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10-K/A</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224155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720" w:type="dxa"/>
            <w:vAlign w:val="bottom"/>
            <w:tcBorders>
              <w:bottom w:val="single" w:sz="8" w:color="auto"/>
            </w:tcBorders>
          </w:tcPr>
          <w:p>
            <w:pPr>
              <w:spacing w:after="0"/>
              <w:rPr>
                <w:sz w:val="17"/>
                <w:szCs w:val="17"/>
                <w:color w:val="auto"/>
              </w:rPr>
            </w:pPr>
          </w:p>
        </w:tc>
      </w:tr>
      <w:tr>
        <w:trPr>
          <w:trHeight w:val="453"/>
        </w:trPr>
        <w:tc>
          <w:tcPr>
            <w:tcW w:w="4040" w:type="dxa"/>
            <w:vAlign w:val="bottom"/>
            <w:gridSpan w:val="4"/>
          </w:tcPr>
          <w:p>
            <w:pPr>
              <w:ind w:left="600"/>
              <w:spacing w:after="0"/>
              <w:rPr>
                <w:sz w:val="20"/>
                <w:szCs w:val="20"/>
                <w:color w:val="auto"/>
              </w:rPr>
            </w:pPr>
            <w:r>
              <w:rPr>
                <w:rFonts w:ascii="Arial" w:cs="Arial" w:eastAsia="Arial" w:hAnsi="Arial"/>
                <w:sz w:val="18"/>
                <w:szCs w:val="18"/>
                <w:b w:val="1"/>
                <w:bCs w:val="1"/>
                <w:color w:val="auto"/>
              </w:rPr>
              <w:t>Commission File Number: 001-39544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00" w:type="dxa"/>
        <w:tblCellMar>
          <w:top w:w="0" w:type="dxa"/>
          <w:left w:w="0" w:type="dxa"/>
          <w:bottom w:w="0" w:type="dxa"/>
          <w:right w:w="0" w:type="dxa"/>
        </w:tblCellMar>
      </w:tblPr>
      <w:tr>
        <w:trPr>
          <w:trHeight w:val="212"/>
        </w:trPr>
        <w:tc>
          <w:tcPr>
            <w:tcW w:w="5800" w:type="dxa"/>
            <w:vAlign w:val="bottom"/>
          </w:tcPr>
          <w:p>
            <w:pPr>
              <w:jc w:val="center"/>
              <w:ind w:right="1321"/>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98-1550750</w:t>
            </w:r>
          </w:p>
        </w:tc>
      </w:tr>
      <w:tr>
        <w:trPr>
          <w:trHeight w:val="148"/>
        </w:trPr>
        <w:tc>
          <w:tcPr>
            <w:tcW w:w="5800" w:type="dxa"/>
            <w:vAlign w:val="bottom"/>
          </w:tcPr>
          <w:p>
            <w:pPr>
              <w:jc w:val="center"/>
              <w:ind w:right="13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00" w:type="dxa"/>
            <w:vAlign w:val="bottom"/>
          </w:tcPr>
          <w:p>
            <w:pPr>
              <w:jc w:val="center"/>
              <w:ind w:right="1321"/>
              <w:spacing w:after="0"/>
              <w:rPr>
                <w:sz w:val="20"/>
                <w:szCs w:val="20"/>
                <w:color w:val="auto"/>
              </w:rPr>
            </w:pPr>
            <w:r>
              <w:rPr>
                <w:rFonts w:ascii="Arial" w:cs="Arial" w:eastAsia="Arial" w:hAnsi="Arial"/>
                <w:sz w:val="14"/>
                <w:szCs w:val="14"/>
                <w:b w:val="1"/>
                <w:bCs w:val="1"/>
                <w:color w:val="auto"/>
                <w:w w:val="95"/>
              </w:rPr>
              <w:t>Incorporation or Organization</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5800" w:type="dxa"/>
            <w:vAlign w:val="bottom"/>
          </w:tcPr>
          <w:p>
            <w:pPr>
              <w:jc w:val="center"/>
              <w:ind w:right="1321"/>
              <w:spacing w:after="0"/>
              <w:rPr>
                <w:sz w:val="20"/>
                <w:szCs w:val="20"/>
                <w:color w:val="auto"/>
              </w:rPr>
            </w:pPr>
            <w:r>
              <w:rPr>
                <w:rFonts w:ascii="Arial" w:cs="Arial" w:eastAsia="Arial" w:hAnsi="Arial"/>
                <w:sz w:val="18"/>
                <w:szCs w:val="18"/>
                <w:b w:val="1"/>
                <w:bCs w:val="1"/>
                <w:color w:val="auto"/>
                <w:w w:val="90"/>
              </w:rPr>
              <w:t>10000 Avalon Boulevard, Suite 1000, Alpharetta, Georgia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30009</w:t>
            </w:r>
          </w:p>
        </w:tc>
      </w:tr>
      <w:tr>
        <w:trPr>
          <w:trHeight w:val="186"/>
        </w:trPr>
        <w:tc>
          <w:tcPr>
            <w:tcW w:w="5800" w:type="dxa"/>
            <w:vAlign w:val="bottom"/>
          </w:tcPr>
          <w:p>
            <w:pPr>
              <w:jc w:val="center"/>
              <w:ind w:right="134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(678) 534-5849</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19"/>
        </w:trPr>
        <w:tc>
          <w:tcPr>
            <w:tcW w:w="3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Class A Common Stock, par value $0.0001 per share</w:t>
            </w:r>
          </w:p>
        </w:tc>
        <w:tc>
          <w:tcPr>
            <w:tcW w:w="120" w:type="dxa"/>
            <w:vAlign w:val="bottom"/>
          </w:tcPr>
          <w:p>
            <w:pPr>
              <w:spacing w:after="0"/>
              <w:rPr>
                <w:sz w:val="10"/>
                <w:szCs w:val="10"/>
                <w:color w:val="auto"/>
              </w:rPr>
            </w:pPr>
          </w:p>
        </w:tc>
        <w:tc>
          <w:tcPr>
            <w:tcW w:w="3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BKKT</w:t>
            </w:r>
          </w:p>
        </w:tc>
        <w:tc>
          <w:tcPr>
            <w:tcW w:w="100" w:type="dxa"/>
            <w:vAlign w:val="bottom"/>
          </w:tcPr>
          <w:p>
            <w:pPr>
              <w:spacing w:after="0"/>
              <w:rPr>
                <w:sz w:val="10"/>
                <w:szCs w:val="10"/>
                <w:color w:val="auto"/>
              </w:rPr>
            </w:pPr>
          </w:p>
        </w:tc>
        <w:tc>
          <w:tcPr>
            <w:tcW w:w="3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The New York Stock Exchange</w:t>
            </w:r>
          </w:p>
        </w:tc>
        <w:tc>
          <w:tcPr>
            <w:tcW w:w="0" w:type="dxa"/>
            <w:vAlign w:val="bottom"/>
          </w:tcPr>
          <w:p>
            <w:pPr>
              <w:spacing w:after="0"/>
              <w:rPr>
                <w:sz w:val="1"/>
                <w:szCs w:val="1"/>
                <w:color w:val="auto"/>
              </w:rPr>
            </w:pPr>
          </w:p>
        </w:tc>
      </w:tr>
      <w:tr>
        <w:trPr>
          <w:trHeight w:val="186"/>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BKKT WS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48" w:orient="portrait"/>
          <w:cols w:equalWidth="0" w:num="1">
            <w:col w:w="11140"/>
          </w:cols>
          <w:pgMar w:left="320" w:top="230" w:right="439" w:bottom="0" w:gutter="0" w:footer="0" w:header="0"/>
        </w:sectPr>
      </w:pPr>
    </w:p>
    <w:p>
      <w:pPr>
        <w:spacing w:after="0" w:line="200" w:lineRule="exact"/>
        <w:rPr>
          <w:sz w:val="24"/>
          <w:szCs w:val="24"/>
          <w:color w:val="auto"/>
        </w:rPr>
      </w:pPr>
    </w:p>
    <w:p>
      <w:pPr>
        <w:spacing w:after="0" w:line="394"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48" w:orient="portrait"/>
          <w:cols w:equalWidth="0" w:num="5">
            <w:col w:w="8560" w:space="180"/>
            <w:col w:w="260" w:space="80"/>
            <w:col w:w="160" w:space="200"/>
            <w:col w:w="200" w:space="100"/>
            <w:col w:w="1400"/>
          </w:cols>
          <w:pgMar w:left="320" w:top="230" w:right="439" w:bottom="0" w:gutter="0" w:footer="0" w:header="0"/>
          <w:type w:val="continuous"/>
        </w:sectPr>
      </w:pPr>
    </w:p>
    <w:p>
      <w:pPr>
        <w:spacing w:after="0" w:line="4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48" w:orient="portrait"/>
          <w:cols w:equalWidth="0" w:num="5">
            <w:col w:w="8720" w:space="180"/>
            <w:col w:w="260" w:space="100"/>
            <w:col w:w="160" w:space="180"/>
            <w:col w:w="220" w:space="80"/>
            <w:col w:w="1240"/>
          </w:cols>
          <w:pgMar w:left="320" w:top="230" w:right="439" w:bottom="0" w:gutter="0" w:footer="0" w:header="0"/>
          <w:type w:val="continuous"/>
        </w:sectPr>
      </w:pPr>
    </w:p>
    <w:p>
      <w:pPr>
        <w:spacing w:after="0" w:line="37"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8" w:lineRule="exact"/>
        <w:rPr>
          <w:sz w:val="24"/>
          <w:szCs w:val="24"/>
          <w:color w:val="auto"/>
        </w:rPr>
      </w:pPr>
    </w:p>
    <w:p>
      <w:pPr>
        <w:ind w:left="120"/>
        <w:spacing w:after="0" w:line="207" w:lineRule="exact"/>
        <w:tabs>
          <w:tab w:leader="none" w:pos="2100" w:val="left"/>
          <w:tab w:leader="none" w:pos="8580" w:val="left"/>
          <w:tab w:leader="none" w:pos="10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48" w:orient="portrait"/>
          <w:cols w:equalWidth="0" w:num="1">
            <w:col w:w="11140"/>
          </w:cols>
          <w:pgMar w:left="320" w:top="230" w:right="439" w:bottom="0" w:gutter="0" w:footer="0" w:header="0"/>
          <w:type w:val="continuous"/>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520" w:space="480"/>
            <w:col w:w="5760" w:space="720"/>
            <w:col w:w="1980" w:space="340"/>
            <w:col w:w="160"/>
          </w:cols>
          <w:pgMar w:left="440" w:top="187" w:right="499" w:bottom="1440" w:gutter="0" w:footer="0" w:header="0"/>
        </w:sectPr>
      </w:pPr>
    </w:p>
    <w:p>
      <w:pPr>
        <w:spacing w:after="0" w:line="33"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460" w:space="340"/>
            <w:col w:w="160"/>
          </w:cols>
          <w:pgMar w:left="440" w:top="187" w:right="499" w:bottom="1440" w:gutter="0" w:footer="0" w:header="0"/>
          <w:type w:val="continuous"/>
        </w:sectPr>
      </w:pPr>
    </w:p>
    <w:p>
      <w:pPr>
        <w:spacing w:after="0" w:line="48"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registrant was not a public company at June 30, 2020, the last business day of the registrant’s most recently completed second fiscal quarter, and therefore it cannot calculate the aggregate market value of its voting and non-voting common equity held by non-affiliates at such date. The registrant’s units began trading on the Nasdaq Capital Market on September 23, 2020 and the registrant’s Class A ordinary shares began separate trading on the Nasdaq on November 13, 2020. The aggregate market value of the registrant’s Class A ordinary shares outstanding, other than shares held by persons who may be deemed affiliates of the registrant, at December 31, 2020, computed by reference to the closing price for the Class A ordinary shares on such date, as reported on the Nasdaq, was $223,907,781.60.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2021, there were 57,164,266 shares of common stock, $0.0001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87" w:right="4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40" w:type="dxa"/>
            <w:vAlign w:val="bottom"/>
            <w:gridSpan w:val="8"/>
          </w:tcPr>
          <w:p>
            <w:pPr>
              <w:jc w:val="center"/>
              <w:ind w:right="4040"/>
              <w:spacing w:after="0"/>
              <w:rPr>
                <w:sz w:val="20"/>
                <w:szCs w:val="20"/>
                <w:color w:val="auto"/>
              </w:rPr>
            </w:pPr>
            <w:r>
              <w:rPr>
                <w:rFonts w:ascii="Arial" w:cs="Arial" w:eastAsia="Arial" w:hAnsi="Arial"/>
                <w:sz w:val="18"/>
                <w:szCs w:val="18"/>
                <w:b w:val="1"/>
                <w:bCs w:val="1"/>
                <w:color w:val="auto"/>
                <w:w w:val="89"/>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rFonts w:ascii="Arial" w:cs="Arial" w:eastAsia="Arial" w:hAnsi="Arial"/>
                <w:sz w:val="16"/>
                <w:szCs w:val="16"/>
                <w:b w:val="1"/>
                <w:bCs w:val="1"/>
                <w:color w:val="0000EE"/>
                <w:w w:val="95"/>
              </w:rPr>
            </w:pPr>
            <w:hyperlink w:anchor="page7">
              <w:r>
                <w:rPr>
                  <w:rFonts w:ascii="Arial" w:cs="Arial" w:eastAsia="Arial" w:hAnsi="Arial"/>
                  <w:sz w:val="16"/>
                  <w:szCs w:val="16"/>
                  <w:b w:val="1"/>
                  <w:bCs w:val="1"/>
                  <w:color w:val="0000EE"/>
                  <w:w w:val="95"/>
                </w:rPr>
                <w:t>PART I</w:t>
              </w:r>
            </w:hyperlink>
          </w:p>
        </w:tc>
        <w:tc>
          <w:tcPr>
            <w:tcW w:w="54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47"/>
        </w:trPr>
        <w:tc>
          <w:tcPr>
            <w:tcW w:w="520" w:type="dxa"/>
            <w:vAlign w:val="bottom"/>
            <w:tcBorders>
              <w:bottom w:val="single" w:sz="8" w:color="0000EE"/>
            </w:tcBorders>
            <w:vMerge w:val="continue"/>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06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580" w:type="dxa"/>
            <w:vAlign w:val="bottom"/>
            <w:gridSpan w:val="2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58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17"/>
                <w:szCs w:val="17"/>
                <w:color w:val="auto"/>
              </w:rPr>
            </w:pPr>
          </w:p>
        </w:tc>
        <w:tc>
          <w:tcPr>
            <w:tcW w:w="754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Legal Proceedings</w:t>
              </w:r>
            </w:hyperlink>
          </w:p>
        </w:tc>
        <w:tc>
          <w:tcPr>
            <w:tcW w:w="824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91"/>
        </w:trPr>
        <w:tc>
          <w:tcPr>
            <w:tcW w:w="1060" w:type="dxa"/>
            <w:vAlign w:val="bottom"/>
            <w:gridSpan w:val="5"/>
          </w:tcPr>
          <w:p>
            <w:pPr>
              <w:spacing w:after="0"/>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480" w:type="dxa"/>
            <w:vAlign w:val="bottom"/>
            <w:gridSpan w:val="3"/>
          </w:tcPr>
          <w:p>
            <w:pPr>
              <w:spacing w:after="0"/>
              <w:rPr>
                <w:sz w:val="18"/>
                <w:szCs w:val="18"/>
                <w:color w:val="auto"/>
              </w:rPr>
            </w:pPr>
          </w:p>
        </w:tc>
        <w:tc>
          <w:tcPr>
            <w:tcW w:w="80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Market for Registrant’s Common Equity, Related Stockholder Matters and Issuer Purchases of Equity Securities</w:t>
              </w:r>
            </w:hyperlink>
          </w:p>
        </w:tc>
        <w:tc>
          <w:tcPr>
            <w:tcW w:w="1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Selected Financial Data</w:t>
              </w:r>
            </w:hyperlink>
          </w:p>
        </w:tc>
        <w:tc>
          <w:tcPr>
            <w:tcW w:w="786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Management’s Discussion and Analysis of Financial Condition and Results of Operations</w:t>
              </w:r>
            </w:hyperlink>
          </w:p>
        </w:tc>
        <w:tc>
          <w:tcPr>
            <w:tcW w:w="31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Quantitative and Qualitative Disclosures About Market Risk</w:t>
              </w:r>
            </w:hyperlink>
          </w:p>
        </w:tc>
        <w:tc>
          <w:tcPr>
            <w:tcW w:w="52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Financial Statements and Supplementary Data</w:t>
              </w:r>
            </w:hyperlink>
          </w:p>
        </w:tc>
        <w:tc>
          <w:tcPr>
            <w:tcW w:w="62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Changes in and Disagreements with Accountants on Accounting and Financial Disclosure</w:t>
              </w:r>
            </w:hyperlink>
          </w:p>
        </w:tc>
        <w:tc>
          <w:tcPr>
            <w:tcW w:w="31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Controls and Procedures</w:t>
              </w:r>
            </w:hyperlink>
          </w:p>
        </w:tc>
        <w:tc>
          <w:tcPr>
            <w:tcW w:w="780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9580" w:type="dxa"/>
            <w:vAlign w:val="bottom"/>
            <w:gridSpan w:val="20"/>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90"/>
        </w:trPr>
        <w:tc>
          <w:tcPr>
            <w:tcW w:w="660" w:type="dxa"/>
            <w:vAlign w:val="bottom"/>
            <w:tcBorders>
              <w:bottom w:val="single" w:sz="8" w:color="0000EE"/>
            </w:tcBorders>
            <w:gridSpan w:val="4"/>
          </w:tcPr>
          <w:p>
            <w:pPr>
              <w:spacing w:after="0"/>
              <w:rPr>
                <w:rFonts w:ascii="Arial" w:cs="Arial" w:eastAsia="Arial" w:hAnsi="Arial"/>
                <w:sz w:val="16"/>
                <w:szCs w:val="16"/>
                <w:b w:val="1"/>
                <w:bCs w:val="1"/>
                <w:color w:val="0000EE"/>
              </w:rPr>
            </w:pPr>
            <w:hyperlink w:anchor="page94">
              <w:r>
                <w:rPr>
                  <w:rFonts w:ascii="Arial" w:cs="Arial" w:eastAsia="Arial" w:hAnsi="Arial"/>
                  <w:sz w:val="16"/>
                  <w:szCs w:val="16"/>
                  <w:b w:val="1"/>
                  <w:bCs w:val="1"/>
                  <w:color w:val="0000EE"/>
                </w:rPr>
                <w:t>PART III</w:t>
              </w:r>
            </w:hyperlink>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Directors, Executive Officers and Corporate Governance</w:t>
              </w:r>
            </w:hyperlink>
          </w:p>
        </w:tc>
        <w:tc>
          <w:tcPr>
            <w:tcW w:w="5480" w:type="dxa"/>
            <w:vAlign w:val="bottom"/>
            <w:gridSpan w:val="7"/>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580" w:type="dxa"/>
            <w:vAlign w:val="bottom"/>
            <w:gridSpan w:val="2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Security Ownership of Certain Beneficial Owners and Management and Related Stockholder Matters</w:t>
              </w:r>
            </w:hyperlink>
          </w:p>
        </w:tc>
        <w:tc>
          <w:tcPr>
            <w:tcW w:w="22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Certain Relationships and Related Transactions, and Director Independence</w:t>
              </w:r>
            </w:hyperlink>
          </w:p>
        </w:tc>
        <w:tc>
          <w:tcPr>
            <w:tcW w:w="41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580" w:type="dxa"/>
            <w:vAlign w:val="bottom"/>
            <w:gridSpan w:val="20"/>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91"/>
        </w:trPr>
        <w:tc>
          <w:tcPr>
            <w:tcW w:w="640" w:type="dxa"/>
            <w:vAlign w:val="bottom"/>
            <w:tcBorders>
              <w:bottom w:val="single" w:sz="8" w:color="0000EE"/>
            </w:tcBorders>
            <w:gridSpan w:val="3"/>
          </w:tcPr>
          <w:p>
            <w:pPr>
              <w:spacing w:after="0"/>
              <w:rPr>
                <w:rFonts w:ascii="Arial" w:cs="Arial" w:eastAsia="Arial" w:hAnsi="Arial"/>
                <w:sz w:val="16"/>
                <w:szCs w:val="16"/>
                <w:b w:val="1"/>
                <w:bCs w:val="1"/>
                <w:color w:val="0000EE"/>
                <w:w w:val="98"/>
              </w:rPr>
            </w:pPr>
            <w:hyperlink w:anchor="page109">
              <w:r>
                <w:rPr>
                  <w:rFonts w:ascii="Arial" w:cs="Arial" w:eastAsia="Arial" w:hAnsi="Arial"/>
                  <w:sz w:val="16"/>
                  <w:szCs w:val="16"/>
                  <w:b w:val="1"/>
                  <w:bCs w:val="1"/>
                  <w:color w:val="0000EE"/>
                  <w:w w:val="98"/>
                </w:rPr>
                <w:t>PART IV</w:t>
              </w:r>
            </w:hyperlink>
          </w:p>
        </w:tc>
        <w:tc>
          <w:tcPr>
            <w:tcW w:w="42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6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58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Exhibits,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00" w:type="dxa"/>
            <w:vAlign w:val="bottom"/>
            <w:tcBorders>
              <w:top w:val="single" w:sz="8" w:color="0000EE"/>
            </w:tcBorders>
            <w:gridSpan w:val="11"/>
          </w:tcPr>
          <w:p>
            <w:pPr>
              <w:spacing w:after="0"/>
              <w:rPr>
                <w:sz w:val="24"/>
                <w:szCs w:val="24"/>
                <w:color w:val="auto"/>
              </w:rPr>
            </w:pPr>
          </w:p>
        </w:tc>
        <w:tc>
          <w:tcPr>
            <w:tcW w:w="2560" w:type="dxa"/>
            <w:vAlign w:val="bottom"/>
            <w:gridSpan w:val="4"/>
          </w:tcPr>
          <w:p>
            <w:pPr>
              <w:jc w:val="right"/>
              <w:ind w:right="98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Bakkt Holdings, Inc., formerly known as VPC Impact Acquisition Holdings (the “Company”) is filing this Amendment No. 2 to its Annual Report on Form 10-K/A for the year ended December 31, 2020 (the “Second Amendment”), as originally filed with the U.S. Securities and Exchange Commission (the “SEC”) on March 31, 2021 (the “Original Form 10-K”) and as previously amended and restated by Amendment No. 1 thereto filed with the SEC on May 24, 2021 (“Amendment No. 1”)</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This amended and restated report on Form 10-K/A is presented as of the filing date of the Original Form 10-K and does not reflect events occurring after that date, or modify or update disclosures in any way other than as required to reflect the restatement as described below. Accordingly, this Amendment No. 2 on Form 10-K/A should be read in conjunction with our filings with the SEC subsequent to the date on which we filed the Original Form 10-K.</w:t>
      </w:r>
    </w:p>
    <w:p>
      <w:pPr>
        <w:spacing w:after="0" w:line="14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is filing this Second Amendment on Form 10-K/A to reflect a restatement of the Company’s condensed financial statements for the year ended December 31, 2020.</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On October 13, 2021, the Company filed its Quarterly Report on Form 10-Q for the fiscal quarter ended September 30, 2021 (the “Original Quarterly Report”), which noted the Equity Reclassification Adjustment, as further described below.</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On October 15, 2021, the Company consummated the previously announced merger (the “Merger”) , among other transactions (the Merger and other transactions contemplated by the Merger Agreement, collectively the “Business Combination”), pursuant to that certain Agreement and Plan of Merger, dated as of January 11, 2021 (as amended, the “Merger Agreement”), by and among VIH, Pylon Merger Company LLC, a Delaware corporation and direct wholly owned subsidiary of the Company (“Merger Sub”), and Bakkt Opco Holdings, LLC, a Delaware limited liability corporation (f/k/a Bakkt Holdings, LLC) (“Opco”).</w:t>
      </w:r>
    </w:p>
    <w:p>
      <w:pPr>
        <w:spacing w:after="0" w:line="188"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On October 18, 2021, the trading day following the Closing Date, the Company’s Class A common stock and warrants began trading on the NYSE under the symbols “BKKT” and “BKKT WS,” respectively. The Company’s public units automatically separated into their component securities upon consummation of the Business Combination and, as a result, no longer trade as a separate security and were delisted from NASDAQ.</w:t>
      </w:r>
    </w:p>
    <w:p>
      <w:pPr>
        <w:spacing w:after="0" w:line="14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Unless stated otherwise, this report contains information about the Company before the consummation of the Business Combination. References to the “Company” in this report refer to Bakkt Holdings, Inc. before the consummation of the Business Combination. All other capitalized but undefined terms in this Explanatory Note have the meanings ascribed to such terms elsewhere within this Second Amendment.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Restatement</w:t>
      </w:r>
    </w:p>
    <w:p>
      <w:pPr>
        <w:spacing w:after="0" w:line="121"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All of the shares held by the Company’s public shareholders (the “Public Shares”) contain a redemption feature, which provides each holder of such shares with the opportunity to have their shares redeemed, and management has no control over which Public Shares will be redeemed. ASC</w:t>
      </w:r>
    </w:p>
    <w:p>
      <w:pPr>
        <w:ind w:left="120" w:right="40"/>
        <w:spacing w:after="0" w:line="267" w:lineRule="auto"/>
        <w:rPr>
          <w:sz w:val="20"/>
          <w:szCs w:val="20"/>
          <w:color w:val="auto"/>
        </w:rPr>
      </w:pPr>
      <w:r>
        <w:rPr>
          <w:rFonts w:ascii="Arial" w:cs="Arial" w:eastAsia="Arial" w:hAnsi="Arial"/>
          <w:sz w:val="17"/>
          <w:szCs w:val="17"/>
          <w:color w:val="auto"/>
        </w:rPr>
        <w:t>480-10-S99-3A provides that redemption provisions not solely within the control of the issuer require shares subject to redemption to be classified outside of permanent equity. Furthermore, ASC 480-10-25-6(b) provides guidance stating that in determining if an instrument is mandatorily redeemable, a provision that defers redemption until a specified liquidity level is reached would not affect classification of the instrument. As such, Management has identified errors made in the historical financial statements where, at the closing of the Company’s Initial Public Offering, the Company improperly classified its Class A ordinary shares subject to possible redemption. The Company previously determined the Class A ordinary shares subject to possible redemption to be equal to the redemption value, while also taking into consideration a redemption cannot result in net tangible assets being less than $5,000,001. Management determined that the Public Shares can be redeemed or become redeemable subject to the occurrence of future events considered outside the Company’s control. Therefore, Management concluded that the redemption value should include all Class A ordinary shares subject to possible redemption, resulting in the Class A ordinary shares subject to possible redemption being equal to their redemption value. As a result, Management has noted a reclassification adjustment related to temporary equity and permanent equity in the Original Quarterly Report (the “Equity Reclassification Adjustment”).</w:t>
      </w:r>
    </w:p>
    <w:p>
      <w:pPr>
        <w:spacing w:after="0" w:line="186"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Following the filing of the Original Quarterly Report, the Company’s Management, together with the Audit Committee, re-evaluated the materiality of the reclassification and whether the reclassification adjustment related to temporary equity and permanent equity should be restated as of the Initial Public Offering date and the next two subsequent reporting periods. Following such re-evaluation, the Company’s Management, together with the Audit Committee determined that the Company’s financial statements and other financial data as of the Initial Public Offering Form 8-K and as of December 31, 2020 should be restated through the filing of this Second Amendment on Form 10-K/A. The financial statements as of December 31, 2020 have been restated in Note 2 of this Second Amendment, with the restatements resulting in a change in the initial carrying value of the Class A ordinary shares subject to possible redemption with the offset recorded to additional paid-in capital (to the extent available), accumulated deficit and Class A ordinary shares. Further, due to change in presentation for the Class A ordinary shares subject to redemption, the Company also revised its earnings per share calculation to allocate net income (loss) evenly to Class A and Class B ordinary shares. This presentation contemplates a Business Combination as the most likely outcome, in which case, both classes of common stock share pro rata in the income (loss) of the Company. There is no impact to the reported amounts for total assets, total liabilities, cash flows, or net income (loss). On November 22, 2021, the Company filed a report on Form 8-K disclosing the non-reliance on the financial statements included in, among other things, Amendment No. 1.</w:t>
      </w:r>
    </w:p>
    <w:p>
      <w:pPr>
        <w:spacing w:after="0" w:line="16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financial information that has been previously filed or otherwise reported for the year ended December 31, 2020 is superseded by the information in this Second Amendment on Form 10-K/A, and the (i) condensed consolidated audited financial statements and related financial information contained in Amendment No. 1, and (ii) condensed consolidated unaudited financial statements for the quarterly periods ended March 31, 2021, June 30, 2021 and September 30, 2021 included in the Company’s</w:t>
      </w:r>
    </w:p>
    <w:p>
      <w:pPr>
        <w:sectPr>
          <w:pgSz w:w="11900" w:h="16838" w:orient="portrait"/>
          <w:cols w:equalWidth="0" w:num="1">
            <w:col w:w="11120"/>
          </w:cols>
          <w:pgMar w:left="320" w:top="486" w:right="459" w:bottom="1149"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20"/>
          </w:cols>
          <w:pgMar w:left="320" w:top="486" w:right="459" w:bottom="1149"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Quarterly Reports on Form 10-Q filed on May 24, 2021, August 13, 2021 and October 13, 2021, respectively (the periods referred to in (i) and (ii), collectively, the “Affected Periods”), should no longer be relied upon.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Considerations</w:t>
      </w:r>
    </w:p>
    <w:p>
      <w:pPr>
        <w:spacing w:after="0" w:line="121" w:lineRule="exact"/>
        <w:rPr>
          <w:sz w:val="20"/>
          <w:szCs w:val="20"/>
          <w:color w:val="auto"/>
        </w:rPr>
      </w:pPr>
    </w:p>
    <w:p>
      <w:pPr>
        <w:ind w:left="120" w:right="200"/>
        <w:spacing w:after="0" w:line="289" w:lineRule="auto"/>
        <w:rPr>
          <w:sz w:val="20"/>
          <w:szCs w:val="20"/>
          <w:color w:val="auto"/>
        </w:rPr>
      </w:pPr>
      <w:r>
        <w:rPr>
          <w:rFonts w:ascii="Arial" w:cs="Arial" w:eastAsia="Arial" w:hAnsi="Arial"/>
          <w:sz w:val="16"/>
          <w:szCs w:val="16"/>
          <w:color w:val="auto"/>
        </w:rPr>
        <w:t>In connection with the restatement, management has re-evaluated the effectiveness of the Company’s disclosure controls and procedures and internal control over financial reporting as of December 31, 2020. Management has concluded that, in light of the errors described above, and the filing of this Second Amendment, a material weakness exists in the Company’s internal control over financial reporting and that the Company’s disclosure controls and procedures were not effective as a result thereof. As a result of the Business Combination, the Company has a new Chief Executive Officer, Chief Financial Officer and Chief Accounting Officer as of the Closing Date. Management plans to enhance the system of evaluating and implementing the accounting standards that apply to the Company’s financial statements, including enhanced training of our personnel and increased communication among our personnel and third-party professionals with whom we consult regarding application of complex accounting standards for financial instruments. For a discussion of management’s consideration of our disclosure controls and procedures, internal controls over financial reporting, and the material weaknesses identified, see Part I, Item 9A, “Controls and Procedures” of this Second Amendment.</w:t>
      </w:r>
    </w:p>
    <w:p>
      <w:pPr>
        <w:spacing w:after="0" w:line="16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are filing this Second Amendment to amend and restate Amendment No. 1 with modifications as necessary to reflect the restatements. The following items have been amended to reflect the restatements: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Part I, Item 1A. Risk Factors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Part II, Item 7, Management’s Discussion and Analysis of Financial Condition and Results of Operations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Part II, Item 8. Financial Statements and Supplementary Data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Part II, Item 9A Controls and Procedures</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addition, the Company’s Chief Executive Officer and Chief Financial Officer have provided new certifications dated as of the date of this filing in connection with this Form 10-K/A (Exhibits 31.1, 31.2, 32.1 and 32.2).</w:t>
      </w:r>
    </w:p>
    <w:p>
      <w:pPr>
        <w:spacing w:after="0" w:line="170"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Except as described above, no other information included in the Annual Report on Form 10-K/A of the Company as of and for the period ended December 31, 2020, as initially filed with the SEC on March 31, 2021 (the “Original Filing”) and as subsequently amended and restated by Amendment No. 1, is being amended or updated by this Second Amendment and, other than as described herein, this Second Amendment does not purport to reflect any information or events subsequent to the Original Filing, as amended. We have not amended our previously filed Quarterly Report on Form 10-Q for the period affected by the restatement or our previously filed balance sheet, dated September 25, 2020, on Form 8-K. This Second Amendment continues to describe the conditions as of the date of the Original Filing and, except as expressly contained herein, we have not updated, modified or supplemented the disclosures contained in the Original Filing, as amended. Accordingly, this Second Amendment should be read in conjunction with the Original Filing, as amended, and with the Company’s filings with the SEC subsequent to the Original Filing.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Certain statements in this annual report on Form 10-K (this “Form 10-K”)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Form 10-K may include, for example, statements about:</w:t>
      </w:r>
    </w:p>
    <w:p>
      <w:pPr>
        <w:spacing w:after="0" w:line="204"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with Bakkt Holdings, LLC, or any other initial business combination;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153" w:lineRule="exact"/>
        <w:rPr>
          <w:rFonts w:ascii="Arial" w:cs="Arial" w:eastAsia="Arial" w:hAnsi="Arial"/>
          <w:sz w:val="16"/>
          <w:szCs w:val="16"/>
          <w:color w:val="auto"/>
        </w:rPr>
      </w:pPr>
    </w:p>
    <w:p>
      <w:pPr>
        <w:ind w:left="540" w:right="20" w:hanging="424"/>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75"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 including the PIPE Investment (as such term is defined below);</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30" w:lineRule="exact"/>
        <w:rPr>
          <w:rFonts w:ascii="Arial" w:cs="Arial" w:eastAsia="Arial" w:hAnsi="Arial"/>
          <w:sz w:val="18"/>
          <w:szCs w:val="18"/>
          <w:color w:val="auto"/>
        </w:rPr>
      </w:pPr>
    </w:p>
    <w:p>
      <w:pPr>
        <w:ind w:left="540" w:right="460" w:hanging="424"/>
        <w:spacing w:after="0" w:line="34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adverse impacts of the COVID-19 outbreak and other events (such as terrorist attacks, natural disasters or a significant outbreak of other infectious diseases) on our ability to consummate an initial business combination or on the restaurant and hospitality related sectors;</w:t>
      </w:r>
    </w:p>
    <w:p>
      <w:pPr>
        <w:spacing w:after="0" w:line="29" w:lineRule="exact"/>
        <w:rPr>
          <w:rFonts w:ascii="Arial" w:cs="Arial" w:eastAsia="Arial" w:hAnsi="Arial"/>
          <w:sz w:val="16"/>
          <w:szCs w:val="16"/>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acquisition opportunities;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forward-looking statements contained in this Form 10-K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of this Form 10-K entitled “Risk Factors” including in our proxy statement/prospectus to be included in a Registration Statement on Form S-4 that we will file with the SEC relating to our proposed business combination with Bakkt Holdings, LLC (the “Bakkt Disclosure Statement”).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86"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i w:val="1"/>
          <w:iCs w:val="1"/>
          <w:color w:val="auto"/>
        </w:rPr>
        <w:t>References in this report to “we,” “us” or the “Company” refer to VPC Impact Acquisition Holdings. References to our “management” or our “management team” refer to our officers and directors, and references to the “Sponsor” refer to VPC Impact Acquisition Holdings Sponsor, LLC.</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Company’s sponsor is affiliated with Victory Park Capital Advisors, LLC (“VPC”), a registered investment advisor with the SEC founded in 2007. VPC’s institutional investor base is diversified geographically and includes sovereign wealth funds, insurance companies, financial institutions, foundations, endowments and family offices for which it has invested approximately $6.0 billion in over 115 transactions across North America, Europe, Latin America, Africa, Southeast Asia and Oceania. As part of those investments, VPC has provided financing to financial technology or financial services (collectively “Fintech”) businesses backed by some of the world’s leading venture capital firms and has a long track record of executing debt and equity financing transactions with some of the largest global Fintech companies, including with Square (U.S. NYSE:SQ), iZettle (Sweden, acquired by PayPal in 2018), Zip Co (Australia ASX:Z1P), Funding Circle (UK LSE:FCH), Kabbage (US), Dave (US), Avant (US), Fundbox (US), Konfio (Mexico), and WeFox (Germany). VPC’s investments have enabled portfolio companies to scale quickly and capture leading market positions. These representative transactions demonstrate VPC’s ability to identify early-stage Fintech companies with strong long-term growth prospects. VPC’s Fintech investment history and robust network of industry relationships furnish the firm with a detailed understanding of the long-term capital needs of the highest growth Fintech businesses globally.</w:t>
      </w:r>
    </w:p>
    <w:p>
      <w:pPr>
        <w:spacing w:after="0" w:line="7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On September 25, 2020, we consummated a $200,000,000 initial public offering (the “Public Offering”) consisting of $10.00 per unit (“Unit”). Each Unit consists of one Class A ordinary shares, $0.0001 par value (the “Class A ordinary shares”) and one-half of one redeemable warrant (each, a “Public Warrant”). Each whole Public Warrant entitles the holder to purchase one Class A common share at a price of $11.50 per share. Simultaneously, with the closing of the Public Offering, the Company consummated a $6,000,000 private placement (the “Private Placement”) of an aggregate of 6,000,000 warrants (“Sponsor Warrants”) at a price of $1.00 per warrant. The Sponsor Warrants are identical to the Public Warrants sold as part of the Units in the Public Offering except that, so long as they are held by the Sponsor or its permitted transferees, (i) they are not redeemable by us, (ii) they (including the Class A ordinary shares issuable upon exercise of these warrants) may not, subject to certain limited exceptions, be transferred, assigned or sold by the Sponsor until 30 days after the completion of the Company’s initial Business Combination and (iii) they may be exercised by the holders on a cashless basis.</w:t>
      </w:r>
    </w:p>
    <w:p>
      <w:pPr>
        <w:spacing w:after="0" w:line="73"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Prior to the Public Offering, on August 3, 2020, the Sponsor paid $25,000, or approximately $0.004 per share, to cover certain of the Company’s offering and formation costs in exchange for 5,750,000 Class B ordinary shares, par value $0.0001 per share (the “founder shares”). In September 2020, the Sponsor transferred an aggregate of 60,000 founder shares to members of the Company’s board of directors, resulting in the Sponsor holding 5,690,000 founder shares. The number of founder shares outstanding was determined based on the expectation that the total size of the Company’s initial public offering would be a maximum of 23,000,000 units if the underwriters’ over-allotment option was exercised in full, and therefore that such founder shares would represent 20% of the outstanding shares after the Public Offering. Up to 750,000 of the founder shares were subject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forfeiture for no consideration depending on the extent to which the underwriters’ over-allotment was exercised. 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87"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Upon the closing of the Public Offering and Private Placement, $200,000,000 from the net proceeds of the sale of the Units in the Public Offering and the Private Placement (including $7,000,000 of deferred underwriting commissions) was placed in a U.S.-based trust account maintained by Continental Stock Transfer &amp; Trust Company, acting as trustee (the “Trust Account”). The Company’s second amended and restated certificate of memorandum and articles of association provide that, other than the withdrawal of interest to pay tax obligations, none of the funds held in the Trust Account will be released until the earliest of: (i) the completion of the Business Combination; (ii) the redemption of any Class A ordinary shares included in the Units being sold in the Public Offering (“Public Shares”) properly submitted in connection with a shareholder vote to amend the Company’s amended and restated memorandum and articles of association to modify the substance or timing of the Company’s obligation to redeem 100% of the Public Shares if the Company does not complete the Business Combination by September 25, 2022 (within 24 months from the closing of the Public Offering); or</w:t>
      </w:r>
    </w:p>
    <w:p>
      <w:pPr>
        <w:spacing w:after="0" w:line="1" w:lineRule="exact"/>
        <w:rPr>
          <w:sz w:val="20"/>
          <w:szCs w:val="20"/>
          <w:color w:val="auto"/>
        </w:rPr>
      </w:pPr>
    </w:p>
    <w:p>
      <w:pPr>
        <w:ind w:left="120" w:right="20" w:hanging="4"/>
        <w:spacing w:after="0" w:line="252" w:lineRule="auto"/>
        <w:tabs>
          <w:tab w:leader="none" w:pos="4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redemption of the Public Shares if the Company is unable to complete the Business Combination by September 25, 2022, subject to applicable law. The proceeds held in the Trust Account can only be invested in permitted United States “government securities” within the meaning of Section 2(a) (16)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of December 31, 2020, we had a balance in cash and investments held in trust of $207,376,213. As of December 31, 2020, no funds had been withdrawn from the Trust Account.</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remaining $6,000,000 held outside of trust was used to pay underwriting commissions of $4,000,000 loans to the Sponsor, and deferred offering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formation costs. On September 29, 2020, the underwriters notified the Company of their intention to partially exercise their over-allotment option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1, 2020. As such, on October 1, 2020, the Company consummated the sale of an additional 737,202 Units, at $10.00 per Unit, and the sale of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147,440 Sponsor Warrants, at $1.00 per Private Warrant, generating total gross proceeds of $7,519,460. Transaction costs amounted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$405,461, consisting of underwriting fees (including $258,021 of deferred fees). A total of $7,372,020 of the net proceeds was deposited into the Trust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 bringing the aggregate proceeds held in the Trust Account to $207,372,020.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Business Combination</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wholly-owned subsidiary of VIH (“Merger Sub”), and Bakkt Holdings, LLC, a Delaware limited liability company (“Bakkt”). The Merger Agreement provides that, among other things and upon the terms and subject to the conditions thereof, the following transactions will occur (together with the other agreements and transactions contemplated by the Merger Agreement, the “Proposed Transaction”):</w:t>
      </w:r>
    </w:p>
    <w:p>
      <w:pPr>
        <w:spacing w:after="0" w:line="80" w:lineRule="exact"/>
        <w:rPr>
          <w:sz w:val="20"/>
          <w:szCs w:val="20"/>
          <w:color w:val="auto"/>
        </w:rPr>
      </w:pPr>
    </w:p>
    <w:p>
      <w:pPr>
        <w:jc w:val="both"/>
        <w:ind w:left="560" w:right="200" w:hanging="4"/>
        <w:spacing w:after="0" w:line="311" w:lineRule="auto"/>
        <w:tabs>
          <w:tab w:leader="none" w:pos="775"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closing of the transactions contemplated by the Merger Agreement (the “Closing”), in accordance with the Delaware Limited Liability Company Act, as amended (“DLLCA”), Merger Sub will merge (the “Merger”) with and into Bakkt, the separate corporate existence of Merger Sub will cease and Bakkt will be the surviving limited liability company, to be renamed Bakkt Opco Holdings, LLC (“Bakkt Opco”);</w:t>
      </w:r>
    </w:p>
    <w:p>
      <w:pPr>
        <w:spacing w:after="0" w:line="40" w:lineRule="exact"/>
        <w:rPr>
          <w:rFonts w:ascii="Arial" w:cs="Arial" w:eastAsia="Arial" w:hAnsi="Arial"/>
          <w:sz w:val="16"/>
          <w:szCs w:val="16"/>
          <w:color w:val="auto"/>
        </w:rPr>
      </w:pPr>
    </w:p>
    <w:p>
      <w:pPr>
        <w:ind w:left="560" w:right="560" w:hanging="4"/>
        <w:spacing w:after="0" w:line="308" w:lineRule="auto"/>
        <w:tabs>
          <w:tab w:leader="none" w:pos="825" w:val="left"/>
        </w:tabs>
        <w:numPr>
          <w:ilvl w:val="0"/>
          <w:numId w:val="5"/>
        </w:numPr>
        <w:rPr>
          <w:rFonts w:ascii="Arial" w:cs="Arial" w:eastAsia="Arial" w:hAnsi="Arial"/>
          <w:sz w:val="17"/>
          <w:szCs w:val="17"/>
          <w:color w:val="auto"/>
        </w:rPr>
      </w:pPr>
      <w:r>
        <w:rPr>
          <w:rFonts w:ascii="Arial" w:cs="Arial" w:eastAsia="Arial" w:hAnsi="Arial"/>
          <w:sz w:val="17"/>
          <w:szCs w:val="17"/>
          <w:color w:val="auto"/>
        </w:rPr>
        <w:t>immediately prior to the closing of the PIPE Investment (as defined below) and the effective time of the Merger, in connection with the Domestication described below, VIH will be renamed “Bakkt Holdings, Inc.” (referred to hereinafter as “Bakkt Pubco”); and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hanging="4"/>
        <w:spacing w:after="0" w:line="263" w:lineRule="auto"/>
        <w:tabs>
          <w:tab w:leader="none" w:pos="8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board of directors of the Company has unanimously (i) approved and declared advisable the Merger Agreement, the Proposed Transaction and the other transactions contemplated thereby and (ii) resolved to recommend approval of the Merger Agreement and related matters by the shareholders of VIH.</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Prior to the Closing, subject to the approval of our shareholders, and in accordance with the DGCL, Cayman Islands Companies Act (as revised) (the “CICA”) and our amended and restated memorandum and articles of association, we will effect a deregistration under the CICA and a domestication under Section 388 of the DGCL (by means of filing a certificate of domestication with the Secretary of State of Delaware), pursuant to which our jurisdiction of incorporation will be changed from the Cayman Islands to the State of Delaware (the “Domestication”) and be renamed “Bakkt Holdings, Inc.”</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former equity owners of Bakkt (“Bakkt Equity Holders”).</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January 11, 2021, concurrently with the execution of the Merger Agreement, we entered into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consummation of the proposed business combination described herein is subject to certain conditions as further described in the Merger Agreement.</w:t>
      </w:r>
    </w:p>
    <w:p>
      <w:pPr>
        <w:spacing w:after="0" w:line="24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For more information about the Merger Agreement and the proposed business combination, see our Current Report on Form 8-K filed with the SEC on January 11, 2021 (File No. 001-39544) and the Bakkt Disclosure Statement that we will file with the SEC. Unless specifically stated, this Annual Report does not give effect to the Proposed Transaction and does not contain the risks associated with the Proposed Transaction. Such risks and effects relating to the Proposed Transaction will be included in the Bakkt Disclosure Statement.</w:t>
      </w:r>
    </w:p>
    <w:p>
      <w:pPr>
        <w:spacing w:after="0" w:line="187"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As a result, our sponsor, officers and directors could have conflicts of interest in determining whether to present business combination opportunities to us or to any other special purpose acquisition company with which they may become involved. In particular, certain of our officers and directors are actively engaged in VPC Acquisition Holdings II (“VPC II”) and VPC Acquisition Holdings III, Inc. (“VPC III”), both special purpose acquisition companies that each completed their initial public offering on March 9, 2021, respectively, and will continue to serve as officers and directors of VPC II and VPC III until their initial business combinations are completed. VPC II and VPC III, like us, may pursue initial business combination targets in any business or industry and is expected to have a similar window as us in which it may complete its initial business combination. Any such companies, businesses or investments, including VPC</w:t>
      </w:r>
    </w:p>
    <w:p>
      <w:pPr>
        <w:spacing w:after="0" w:line="1" w:lineRule="exact"/>
        <w:rPr>
          <w:sz w:val="20"/>
          <w:szCs w:val="20"/>
          <w:color w:val="auto"/>
        </w:rPr>
      </w:pPr>
    </w:p>
    <w:p>
      <w:pPr>
        <w:ind w:left="120" w:right="560" w:hanging="4"/>
        <w:spacing w:after="0" w:line="260" w:lineRule="auto"/>
        <w:tabs>
          <w:tab w:leader="none" w:pos="28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VPC III, may present additional conflicts of interest in pursuing an initial business combination. However, we do not believe that any such potential conflicts would materially affect our ability to complete our initial business combination.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We intend to effectuate our initial business combination, including the Proposed Transaction, using cash held in the trust account, the proceeds of the sale of our shares in connection with our initial business combination (including pursuant to forward purchase agreements or backstop agreements we may enter into), shares issued to the owners of the target, debt issued to bank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78" w:lineRule="exact"/>
        <w:rPr>
          <w:sz w:val="20"/>
          <w:szCs w:val="20"/>
          <w:color w:val="auto"/>
        </w:rPr>
      </w:pPr>
    </w:p>
    <w:p>
      <w:pPr>
        <w:jc w:val="both"/>
        <w:ind w:left="120" w:right="160"/>
        <w:spacing w:after="0" w:line="275" w:lineRule="auto"/>
        <w:rPr>
          <w:sz w:val="20"/>
          <w:szCs w:val="20"/>
          <w:color w:val="auto"/>
        </w:rPr>
      </w:pPr>
      <w:r>
        <w:rPr>
          <w:rFonts w:ascii="Arial" w:cs="Arial" w:eastAsia="Arial" w:hAnsi="Arial"/>
          <w:sz w:val="17"/>
          <w:szCs w:val="17"/>
          <w:color w:val="auto"/>
        </w:rPr>
        <w:t>If our initial business combination, including the Proposed Transaction,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Selection of a target business and structuring of our initial business combination</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While we may pursue an initial business combination target in any industry or sector, we intend to focus on high-growth businesses in the Fintech industry with an enterprise value of approximately $800 million to $2.0 billion. Our amended and restated memorandum and articles of association (our “amended and restated memorandum and articles of association”) prohibits us from effectuating a business combination with another blank check company or similar company with nominal operations.</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including the Merger Agreement, in connection with our initial business combination. Our board of directors will make the determination as to the fair market value of our initial business combination and has made such determination in connection with Proposed Transaction.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 addition, pursuant to Nasdaq rules, any initial business combination must be approved by a majority of our independent directors.</w:t>
      </w:r>
    </w:p>
    <w:p>
      <w:pPr>
        <w:spacing w:after="0" w:line="18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equity interests or assets of the target business or businesses, as is the case with the Proposed Transaction.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or acquires 50% or more of the voting securities of the target, our shareholders prior to the business combination may collectively own a minority interest in the post-transaction company, as is expected if the Proposed Transaction is consummated,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as we have agreed to do pursuant to the Merger Agreement.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as is expected if the Proposed Transaction is consummated.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6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evaluating prospective business combinations, we expect to conduct a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conducted such a review process in connection with the Proposed Transaction.</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total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the Sponsor or our officers or directors. In the event we seek to complete our initial business combination with a company that is affiliated with the Sponsor, our officers or directors, we, or a committee of independent directors, will obtain an opinion from an independent investment banking firm that is a member of FINRA or an independent accounting firm that our initial business combination is fair to our company from a financial point of view. We do not anticipate needing to obtain such an opinion in connection with the Proposed Transaction.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 for holders of public shares upon consummation of the initial business combination</w:t>
      </w:r>
    </w:p>
    <w:p>
      <w:pPr>
        <w:spacing w:after="0" w:line="11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including the Proposed Transaction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franchise and income taxes, divided by the number of then outstanding public shares, subject to the limitations described herein. The amount in the trust account is approximately $10.00 per public share as of December 31, 2020. The per-share amount we will distribute to investors who properly redeem their shares will not be reduced by the deferred underwriting commissions we will pay to the underwriters. The Sponsor, our officers and directors have entered into a letter agreement with us, pursuant to which they have agreed to waive their redemption rights with respect to any founder shares and Class A ordinary shares underlying the private placement warrants (the “private placement shares”) and any public shares held by them in connection with the completion of our initial business combination, including the Proposed Transaction.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Conduct of redemptions pursuant to tender offer rules</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If we conduct redemptions pursuant to the tender offer rules of the U.S. Securities and Exchange Commission (the “SEC”), we will, pursuant to our amended and restated memorandum and articles of association: (a) conduct</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redemptions pursuant to Rule 13e-4 and Regulation 14E of the Exchange Act, which regulate issuer tender offers; and (b) 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 We do not currently plan to conduct redemptions for the Proposed Transaction pursuant to tender offer rules.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Submission of our initial business combination to a shareholder vote</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the event that we seek shareholder approval of our initial business combination, as we expect to do in connection with the Proposed Transaction, we will distribute proxy materials and, in connection therewith, provide our public shareholders with the redemption rights described above upon completion of the business combination.</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If we seek shareholder approval, as we expect to do in connection with the Proposed Transaction, we will complete our initial business combination only if a majority of the outstanding ordinary shares are voted in favor of such transaction. In such case, our initial shareholders have agreed to vote their founder shares, private placement shares and any public shares purchased during or after the initial public offering, in favor of our initial business combination. Each public shareholder may elect to redeem its public shares irrespective of whether they vote for or against such initial business combination, including the Proposed Transaction. In addition, our initial shareholders have agreed to waive their redemption rights with respect to their founder shares, private placement shares and any public shares they may hold in connection with the consummation of the initial business combination.</w:t>
      </w:r>
    </w:p>
    <w:p>
      <w:pPr>
        <w:spacing w:after="0" w:line="164"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If we seek shareholder approval of our initial business combination, as we expect to do in connection with the Proposed Transaction, and we do not conduct redemptions in connection with our initial business combination pursuant to the tender offer rules, our Sponsor, initial shareholders, directors, officers, advisors or their affiliates may purchase public shares or public warrants or a combination thereof in privately negotiated transactions or in the open market either prior to or following the completion of our initial business combination, although they are under no obligation to do so. There is no limit on the number of our securities our initial shareholders, directors, officers, advisors or their affiliates may purchase in such transactions, subject to compliance with applicable law and Nasdaq rules. Any such price per share may be different than the amount per share a public shareholder would receive if it elected to redeem its shares in connection with our initial business combination. Additionally, at any time at or prior to our initial business combination, subject to applicable securities laws (including with respect to material non-public information), our initial shareholders, directors,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held in the trust account will be used to purchase shares or public warrants in such transactions. If they engage in any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We expect any such purchases will be reported pursuant to Section 13 and Section 16 of the Exchange Act to the extent such purchasers are subject to such reporting requirements. Our Sponsor, directors, officers, advisors or any of their affiliates will not make any purchases if the purchases would violate Section 9(a)(2) or Rule 10b-5 of the Exchange Act.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86"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including the Proposed Transaction, and thereby increase the likelihood of obtaining shareholder approval of the initial business combination, including the Proposed Transaction or to satisfy a closing condition in an agreement with a target that requires us to have a minimum net worth or a certain amount of cash at the closing of our initial business combination, including the Proposed Transaction,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including the Proposed Transaction. Any such purchases of our securities may result in the completion of our initial business combination, including the Proposed Transaction,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shareholder approval</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Notwithstanding the foregoing, 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our initial public offering, which we refer to as the “Excess Shares.” Such restriction shall also be applicable to our affiliates. We believe this restriction will discourage shareholders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shareholder holding more than an aggregate of 15% of the shares sold in our initial public offering could threaten to exercise its redemption rights if such holder’s shares are not purchased by us or our management at a premium to the then-current market price or on other undesirable terms. By limiting our shareholders’ ability to redeem no more than 15% of the shares sold in our initial public offering without our prior consent, we believe we will limit the ability of a small group of shareholders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 is completed</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amended and restated memorandum and articles of association provides that we will have until twenty-four (24) months from the closing of our initial public offering, or September 25, 2022, to complete our initial business combination. If we are unable to complete our initial business combination by September 25,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by September 25, 2022.</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shareholders who exercise their redemption rights may reduce the resources available to us for our initial business combination, including the Proposed Transaction,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currently have three officers: John Martin, Gordon Watson and Olibia Stamatoglou. 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as is currently the case, and the stage of the initial business combination process we are in. We do not intend to have any full-time employees prior to the completion of our initial business combination.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required to file Annual Reports on Form 10-K and Quarterly Reports on Form 10-Q with the SEC on a regular basis, and are required to disclose certain material events in a Current Report on Form 8-K. The SEC maintains an Internet website that contains reports, proxy and information statements and other information regarding issuers that file electronically with the SEC. The SEC’s Internet website is located at www.sec.gov. In addition, the Company will provide copies of these documents without charge upon request from us in writing at 150 North Riverside Plaza, Suite 5200, Chicago, IL or by telephone at (312) 701-1777.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Form 10-K,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When available, the preliminary proxy statement/prospectus included in the registration statement and the amendments thereto and the definitive proxy statement/prospectus and other documents filed or to be filed by the Company in connection with the Proposed Transaction, will contain risk factors related to Bakkt, VIH and the Proposed Transaction.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 Summary</w:t>
      </w:r>
    </w:p>
    <w:p>
      <w:pPr>
        <w:spacing w:after="0" w:line="256" w:lineRule="exact"/>
        <w:rPr>
          <w:sz w:val="20"/>
          <w:szCs w:val="20"/>
          <w:color w:val="auto"/>
        </w:rPr>
      </w:pPr>
    </w:p>
    <w:p>
      <w:pPr>
        <w:ind w:left="540" w:right="140" w:hanging="424"/>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blank check company with no operating history and no revenues, and you have no basis on which to evaluate our ability to achieve our business objective.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86"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shareholders may not be afforded an opportunity to vote on our proposed initial business combination, and even if we hold a vote, holders of our founder shares will participate in such vote, which means we may complete our initial business combination, including the Proposed Transaction, even though a majority of our public shareholders do not support such a combination.</w:t>
      </w:r>
    </w:p>
    <w:p>
      <w:pPr>
        <w:spacing w:after="0" w:line="210"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Your only opportunity to affect the investment decision regarding a potential business combination, including the Proposed Transaction, may be limited to the exercise of your right to redeem your shares from us for cash.</w:t>
      </w:r>
    </w:p>
    <w:p>
      <w:pPr>
        <w:spacing w:after="0" w:line="197" w:lineRule="exact"/>
        <w:rPr>
          <w:rFonts w:ascii="Arial" w:cs="Arial" w:eastAsia="Arial" w:hAnsi="Arial"/>
          <w:sz w:val="18"/>
          <w:szCs w:val="18"/>
          <w:color w:val="auto"/>
        </w:rPr>
      </w:pPr>
    </w:p>
    <w:p>
      <w:pPr>
        <w:ind w:left="540" w:right="260" w:hanging="424"/>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as we expect to do in connection with the Proposed Transaction, our initial shareholders and management team have agreed to vote in favor of such initial business combination, including the Proposed Transaction, regardless of how our public shareholders vote.</w:t>
      </w:r>
    </w:p>
    <w:p>
      <w:pPr>
        <w:spacing w:after="0" w:line="210" w:lineRule="exact"/>
        <w:rPr>
          <w:rFonts w:ascii="Arial" w:cs="Arial" w:eastAsia="Arial" w:hAnsi="Arial"/>
          <w:sz w:val="18"/>
          <w:szCs w:val="18"/>
          <w:color w:val="auto"/>
        </w:rPr>
      </w:pPr>
    </w:p>
    <w:p>
      <w:pPr>
        <w:ind w:left="540" w:right="72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97"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97"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we complete our initial business combination by September 25, 2022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213" w:lineRule="exact"/>
        <w:rPr>
          <w:rFonts w:ascii="Arial" w:cs="Arial" w:eastAsia="Arial" w:hAnsi="Arial"/>
          <w:sz w:val="18"/>
          <w:szCs w:val="18"/>
          <w:color w:val="auto"/>
        </w:rPr>
      </w:pPr>
    </w:p>
    <w:p>
      <w:pPr>
        <w:ind w:left="540" w:right="200" w:hanging="424"/>
        <w:spacing w:after="0" w:line="308"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search for a business combination, and any target business with which we ultimately consummate a business combination, including Bakkt, may be materially adversely affected by the coronavirus (COVID-19) outbreak and the status of debt and equity markets.</w:t>
      </w:r>
    </w:p>
    <w:p>
      <w:pPr>
        <w:spacing w:after="0" w:line="173" w:lineRule="exact"/>
        <w:rPr>
          <w:rFonts w:ascii="Arial" w:cs="Arial" w:eastAsia="Arial" w:hAnsi="Arial"/>
          <w:sz w:val="17"/>
          <w:szCs w:val="17"/>
          <w:color w:val="auto"/>
        </w:rPr>
      </w:pPr>
    </w:p>
    <w:p>
      <w:pPr>
        <w:ind w:left="540" w:right="16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complete our initial business combination by September 25, 2022, in which case we would cease all operations except for the purpose of winding up and we would redeem our public shares and liquidate.</w:t>
      </w:r>
    </w:p>
    <w:p>
      <w:pPr>
        <w:spacing w:after="0" w:line="197" w:lineRule="exact"/>
        <w:rPr>
          <w:rFonts w:ascii="Arial" w:cs="Arial" w:eastAsia="Arial" w:hAnsi="Arial"/>
          <w:sz w:val="18"/>
          <w:szCs w:val="18"/>
          <w:color w:val="auto"/>
        </w:rPr>
      </w:pPr>
    </w:p>
    <w:p>
      <w:pPr>
        <w:ind w:left="540" w:right="80" w:hanging="424"/>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as we expect to do in connection with the Proposed Transaction, our sponsor, initial shareholders, directors, executive officers, advisors and their affiliates may elect to purchase shares or public warrants from public shareholders, which may influence a vote on a proposed business combination, including the Proposed Transaction, and reduce the public “float” of our Class A ordinary shares.</w:t>
      </w:r>
    </w:p>
    <w:p>
      <w:pPr>
        <w:spacing w:after="0" w:line="213" w:lineRule="exact"/>
        <w:rPr>
          <w:rFonts w:ascii="Arial" w:cs="Arial" w:eastAsia="Arial" w:hAnsi="Arial"/>
          <w:sz w:val="18"/>
          <w:szCs w:val="18"/>
          <w:color w:val="auto"/>
        </w:rPr>
      </w:pPr>
    </w:p>
    <w:p>
      <w:pPr>
        <w:ind w:left="540" w:right="180" w:hanging="424"/>
        <w:spacing w:after="0" w:line="308"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 shareholder fails to receive notice of our offer to redeem our public shares in connection with our initial business combination, including the Proposed Transaction, or fails to comply with the procedures for tendering its shares, such shares may not be redeemed.</w:t>
      </w:r>
    </w:p>
    <w:p>
      <w:pPr>
        <w:spacing w:after="0" w:line="173" w:lineRule="exact"/>
        <w:rPr>
          <w:rFonts w:ascii="Arial" w:cs="Arial" w:eastAsia="Arial" w:hAnsi="Arial"/>
          <w:sz w:val="17"/>
          <w:szCs w:val="17"/>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many other blank check companies.</w:t>
      </w:r>
    </w:p>
    <w:p>
      <w:pPr>
        <w:spacing w:after="0" w:line="252"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of our limited resources and the significant competition for business combination opportunities, it may be more difficult for us to complete the Proposed Transaction or another initial business combination. If we are unable to complete the Proposed Transaction or another initial business combination, our public shareholders may receive only their pro rata portion of the funds in the Trust Account that are available for distribution to public shareholders, and our warrants will expire worthless.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hanging="424"/>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net proceeds of the initial public offering not being held in the trust account are insufficient to allow us to operate for at least until September 25, 2022, it could limit the amount available to fund our search for a target business or businesses and complete the Proposed Transaction or another initial business combination, and we will depend on loans from our sponsor or management team to fund our search and to complete the Proposed Transaction or another initial business combination.</w:t>
      </w:r>
    </w:p>
    <w:p>
      <w:pPr>
        <w:spacing w:after="0" w:line="213"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Past performance by our management team and their affiliates may not be indicative of future performance of an investment in us.</w:t>
      </w:r>
    </w:p>
    <w:p>
      <w:pPr>
        <w:spacing w:after="0" w:line="252"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97" w:lineRule="exact"/>
        <w:rPr>
          <w:rFonts w:ascii="Arial" w:cs="Arial" w:eastAsia="Arial" w:hAnsi="Arial"/>
          <w:sz w:val="18"/>
          <w:szCs w:val="18"/>
          <w:color w:val="auto"/>
        </w:rPr>
      </w:pPr>
    </w:p>
    <w:p>
      <w:pPr>
        <w:ind w:left="540" w:right="460" w:hanging="424"/>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197" w:lineRule="exact"/>
        <w:rPr>
          <w:rFonts w:ascii="Arial" w:cs="Arial" w:eastAsia="Arial" w:hAnsi="Arial"/>
          <w:sz w:val="18"/>
          <w:szCs w:val="18"/>
          <w:color w:val="auto"/>
        </w:rPr>
      </w:pPr>
    </w:p>
    <w:p>
      <w:pPr>
        <w:ind w:left="540" w:right="300" w:hanging="424"/>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Search for, Consummation of, or Inability to Consummate, a Business Combination</w:t>
      </w:r>
    </w:p>
    <w:p>
      <w:pPr>
        <w:spacing w:after="0" w:line="225"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b w:val="1"/>
          <w:bCs w:val="1"/>
          <w:color w:val="auto"/>
        </w:rPr>
        <w:t>Our public shareholders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shareholders do not support such a combination.</w:t>
      </w:r>
    </w:p>
    <w:p>
      <w:pPr>
        <w:spacing w:after="0" w:line="18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may choose not to hold a shareholder vote to approve our initial business combination unless the business combination would require shareholder approval under applicable law or stock exchange listing requirements. In such case,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Even if we seek shareholder approval, as we currently expect to do in connection with the Proposed Transaction, the holders of our founder shares will participate in the vote on such approval. Accordingly, we may complete our initial business combination, including the Proposed Transaction, even if a majority of our public shareholders do not approve of the business combination we complete.</w:t>
      </w:r>
    </w:p>
    <w:p>
      <w:pPr>
        <w:spacing w:after="0" w:line="270"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Your only opportunity to effect the investment decision regarding a potential business combination, including the Proposed Transaction, may be limited to the exercise of your right to redeem your shares from us for cash.</w:t>
      </w:r>
    </w:p>
    <w:p>
      <w:pPr>
        <w:spacing w:after="0" w:line="16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as we currently expect to do in connection with the Proposed Transaction. Accordingly, your only opportunity to effect the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82"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as we expect to do in connection with the Proposed Transaction, our initial shareholders and management team have agreed to vote in favor of such initial business combination, including the Proposed Transaction, regardless of how our public shareholders vote.</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initial shareholders currently own 20% of our issued and outstanding ordinary shares. Our initial shareholders and management team also may from time to time purchase Class A ordinary shares prior to our initial business combination, including the Proposed Transaction. Our amended and restated memorandum and articles of association provides that, if we seek shareholder approval of an initial business combination, as we expect to do in connection with the Proposed Transaction, such initial business combination, including the Proposed Transaction, will be approved if we receive an ordinary resolution under Cayman Islands law, which requires the affirmative vote of a majority of the shareholders who attend and vote at a general meeting of the Company, including the founder shares. As a result, in addition to our initial shareholders’ founder shares, we would need 7,773,952, or 37.5%, of the public shares sold in the initial public offering to be voted in favor of an initial business combination, including the Proposed Transaction, in order to have such initial business combination approved (assuming all outstanding shares are voted). Accordingly, if we seek shareholder approval of our initial business combination, as we expect to do in connection with the Proposed Transaction, the agreement by our initial shareholders and management team to vote in favor of such initial business combination will increase the likelihood that we will receive an ordinary rsolution, being the requisite shareholder approval for such initial business combination, including the Proposed Transaction.</w:t>
      </w:r>
    </w:p>
    <w:p>
      <w:pPr>
        <w:spacing w:after="0" w:line="276" w:lineRule="exact"/>
        <w:rPr>
          <w:sz w:val="20"/>
          <w:szCs w:val="20"/>
          <w:color w:val="auto"/>
        </w:rPr>
      </w:pPr>
    </w:p>
    <w:p>
      <w:pPr>
        <w:ind w:left="120" w:right="460"/>
        <w:spacing w:after="0" w:line="312" w:lineRule="auto"/>
        <w:rPr>
          <w:sz w:val="20"/>
          <w:szCs w:val="20"/>
          <w:color w:val="auto"/>
        </w:rPr>
      </w:pPr>
      <w:r>
        <w:rPr>
          <w:rFonts w:ascii="Arial" w:cs="Arial" w:eastAsia="Arial" w:hAnsi="Arial"/>
          <w:sz w:val="17"/>
          <w:szCs w:val="17"/>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4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may seek to enter into a business combination transaction agreement with a minimum cash requirement for (i) cash consideration to be paid to the target or its owners, (ii) cash for working capital or other general corporate purposes or (iii) the retention of cash to satisfy other conditions. The Proposed Transaction is conditioned on the post-business combination entity have at least $425,000,000 of available cash after deducting the amount required to satisfy redemptions of our Class A ordinary shares, if any (but prior to payment of (a) deferred underwriting commissions and (b) our or our affiliates’ transaction expenses), (y) outside of the Trust Account, and (z) from the gross proceeds of the PIPE Investment.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86"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66"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At the time we enter into an agreement for our initial business combination, we will not, and at the time we entered into the Merger Agreement, we did not, know how many shareholders may exercise their redemption rights, and therefore will need to, and did, structure the transaction based on our expectations as to the number of shares that will be submitted for redemption. If our initial business combination agreement requires us to use a portion of the cash in the trust account to pay the purchase price, or, like the Merger Agreement,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 Raising additional third-party financing, including the PIPE Investment, may involve dilutive equity issuances, such as the PIPE Investment,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In addition, the amount of the deferred underwriting commissions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payable to the underwriters will not be adjusted for any shares that are redeemed in connection with an initial business combination, including the Proposed Transaction. The per 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292" w:lineRule="exact"/>
        <w:rPr>
          <w:sz w:val="20"/>
          <w:szCs w:val="20"/>
          <w:color w:val="auto"/>
        </w:rPr>
      </w:pPr>
    </w:p>
    <w:p>
      <w:pPr>
        <w:ind w:left="120" w:right="80"/>
        <w:spacing w:after="0" w:line="347" w:lineRule="auto"/>
        <w:rPr>
          <w:sz w:val="20"/>
          <w:szCs w:val="20"/>
          <w:color w:val="auto"/>
        </w:rPr>
      </w:pPr>
      <w:r>
        <w:rPr>
          <w:rFonts w:ascii="Arial" w:cs="Arial" w:eastAsia="Arial" w:hAnsi="Arial"/>
          <w:sz w:val="16"/>
          <w:szCs w:val="16"/>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like the Merger Agreement, requires us to have a minimum amount of cash at closing, the probability that our initial business combination, including the Proposed Transaction, would be unsuccessful is increased. If the Proposed Transaction or another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281"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The requirement that we complete our initial business combination by September 25, 2022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84"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by September 25, 2022.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96"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including Bakkt, with which we ultimately consummate a business combination, may be materially adversely affected by the coronavirus (COVID-19) outbreak and the status of debt and equity markets, as well as protectionist legislation in our target markets.</w:t>
      </w:r>
    </w:p>
    <w:p>
      <w:pPr>
        <w:spacing w:after="0" w:line="180"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Bakkt, or any other potential target business with which we consummate a business combination could be materially and adversely affected. Furthermore, we may be unable to complete a business combination, including the Proposed Transaction, if continued concerns relating to COVID-19 continues to restrict travel, limit the ability to have meetings with potential investors or the target company’s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personnel, vendors and services providers are unavailable to negotiate and consummate a transaction, including the Proposed Transaction, in a timely manner. In addition, countries or supranational organizations in our target markets may develop and implement legislation that makes it more difficult or impossible for entities outside such countries or target markets to acquire or otherwise invest in companies or businesses deemed essential or otherwise vital. The extent to which COVID-19 impacts our search and ability to consummate a business combination, including the Proposed Transaction,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and result in protectionist sentiments and legislation in our target markets, our ability to consummate a business combination, including the Proposed Transaction, or the operations of Bakkt or another target business with which we ultimately consummate a business combination, may be materially adversely affected.</w:t>
      </w:r>
    </w:p>
    <w:p>
      <w:pPr>
        <w:spacing w:after="0" w:line="181"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In addition, our ability to consummate a transaction, including the Proposed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288"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We may not be able to complete our initial business combination by September 25, 2022, in which case we would cease all operations except for the purpose of winding up and we would redeem our public shares and liquidate.</w:t>
      </w:r>
    </w:p>
    <w:p>
      <w:pPr>
        <w:spacing w:after="0" w:line="166"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We may not be able to find a suitable target business and complete our initial business combination by September 25, 2022. Our ability to complete the Proposed Transaction or another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the Proposed Transaction or another initial business combination, including as a result of increased market volatility, decreased market liquidity and third-party financing being unavailable on terms acceptable to us or at all. Furthermore, we may be unable to complete the Proposed Transaction or another initial business combination if continued concerns relating to COVID-19 restrict travel, limit the ability to have meetings with potential investors or the target company’s, including Bakkt’s, personnel, vendors and servicing providers are unavailable to negotiate and consummate a transaction, including the Proposed Transaction, in a timely manner.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taxed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ethe case of clauses</w:t>
      </w:r>
    </w:p>
    <w:p>
      <w:pPr>
        <w:ind w:left="120" w:right="700" w:hanging="4"/>
        <w:spacing w:after="0" w:line="260" w:lineRule="auto"/>
        <w:tabs>
          <w:tab w:leader="none" w:pos="3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(iii), to our obligations under Cayman Islands law to provide for claims of creditors and in all cases subject to the other requirements of applicable law.</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20"/>
        <w:spacing w:after="0" w:line="261" w:lineRule="auto"/>
        <w:rPr>
          <w:sz w:val="20"/>
          <w:szCs w:val="20"/>
          <w:color w:val="auto"/>
        </w:rPr>
      </w:pPr>
      <w:r>
        <w:rPr>
          <w:rFonts w:ascii="Arial" w:cs="Arial" w:eastAsia="Arial" w:hAnsi="Arial"/>
          <w:sz w:val="18"/>
          <w:szCs w:val="18"/>
          <w:b w:val="1"/>
          <w:bCs w:val="1"/>
          <w:color w:val="auto"/>
        </w:rPr>
        <w:t>If we seek shareholder approval of our initial business combination, as we expect to do in connection with the Proposed Transaction, our sponsor, initial shareholders, directors, officers, advisors and their affiliates may elect to purchase shares or public warrants from public shareholders, which may influence a vote on a proposed business combination, including the Proposed Transaction, and reduce the public “float” of our Class A ordinary shares.</w:t>
      </w:r>
    </w:p>
    <w:p>
      <w:pPr>
        <w:spacing w:after="0" w:line="184"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If we seek shareholder approval of our initial business combination, as we expect to do in connection with the Proposed Transaction,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such initial business combination, although they are under no obligation to do so. There is no limit on the number of shares our initial shareholders, directors, officers, advisors or their affiliates may purchase in such transactions, subject to compliance with applicable law and the Nasdaq rules. However, other than as expressly stated herein, they have no current commitments, plans or intentions to engage in such transactions and have not formulated any terms or conditions for any such transactions. None of the funds in the trust account will be used to purchase shares or public warrants in such transactions. Such purchases may include a contractual acknowledgment that such shareholder, although still the record holder of our shares, is no longer the beneficial owner thereof and therefore agrees not to exercise its redemption rights.</w:t>
      </w:r>
    </w:p>
    <w:p>
      <w:pPr>
        <w:spacing w:after="0" w:line="16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the event that our sponsor, initial shareholders,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Proposed Transaction or such other business combination, and thereby increase the likelihood of obtaining shareholder approval of the Proposed Transaction or such other business combination or to satisfy a closing condition in an agreement with a target, such as Bakkt,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the Proposed Transaction or such other initial business combination. Any such purchases of our securities may result in the completion of the Proposed Transaction or such other initial business combination that may not otherwise have been possible. We expect any such purchases will be reported pursuant to Section 13 and Section 16 of the Exchange Act to the extent such purchasers are subject to such reporting requirements.</w:t>
      </w:r>
    </w:p>
    <w:p>
      <w:pPr>
        <w:spacing w:after="0" w:line="18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and the number of beneficial holders of our securities may be reduced, possibly making it difficult to obtain or maintain the quotation, listing or trading of our securities on a national securities exchange.</w:t>
      </w:r>
    </w:p>
    <w:p>
      <w:pPr>
        <w:spacing w:after="0" w:line="288" w:lineRule="exact"/>
        <w:rPr>
          <w:sz w:val="20"/>
          <w:szCs w:val="20"/>
          <w:color w:val="auto"/>
        </w:rPr>
      </w:pPr>
    </w:p>
    <w:p>
      <w:pPr>
        <w:ind w:left="120" w:right="220"/>
        <w:spacing w:after="0" w:line="347" w:lineRule="auto"/>
        <w:rPr>
          <w:sz w:val="20"/>
          <w:szCs w:val="20"/>
          <w:color w:val="auto"/>
        </w:rPr>
      </w:pPr>
      <w:r>
        <w:rPr>
          <w:rFonts w:ascii="Arial" w:cs="Arial" w:eastAsia="Arial" w:hAnsi="Arial"/>
          <w:sz w:val="16"/>
          <w:szCs w:val="16"/>
          <w:b w:val="1"/>
          <w:bCs w:val="1"/>
          <w:color w:val="auto"/>
        </w:rPr>
        <w:t>If a shareholder fails to receive notice of our offer to redeem our public shares in connection with our initial business combination, including the Proposed Transaction, or fails to comply with the procedures for submitting or tendering its shares, such shares may not be redeemed.</w:t>
      </w:r>
    </w:p>
    <w:p>
      <w:pPr>
        <w:spacing w:after="0" w:line="12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including the Proposed Transaction. Despite our compliance with these rules, if a shareholder fails to receive our proxy materials or tender offer documents, as applicable, such shareholder may not become aware of the opportunity to redeem its shares. In addition, proxy materials or tender offer documents, as applicable, that we will furnish to holders of our public shares in connection with the Proposed Transaction or another initial business combination will describe the various procedures that must be complied with in order to validly tender or submit public shares for redemption. For example, we intend to require our public shareholders seeking to exercise their redemption rights, whether they are record holders or hold their shares in “street name,” to, at the holder’s option, either deliver their share certificates to our transfer agent, or to deliver their shares to our transfer agent electronically prior to the date set forth in the proxy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86"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materials or tender offer documents, as applicable. In the case of proxy materials, as we expect to distribute in connection with the Proposed Transaction, this date may be up to two business days prior to the scheduled vote on the proposal to approve the initial business combination. In addition, if we conduct redemptions in connection with a shareholder vote, as we expect to do in connection with the Proposed Transaction, we intend to require a public shareholder seeking redemption of its public shares to also submit a written request for redemption to our transfer agent two business days prior to the scheduled vote in which the name of the beneficial owner of such shares is included. In the event that a shareholder fails to comply with these or any other procedures disclosed in the proxy or tender offer materials, as applicable, its shares may not be redeemed.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22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Since the net proceeds of the initial public offering and the sale of the private placement warrants are intended to be used to complete an initial business combination with a target business that has not been selected, we may be deemed to be a “blank check” company under the United States securities laws. However, because we have net tangible assets in excess of $5,000,000 and have filed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the initial public offering were subject to Rule 419, that rule would prohibit the release of any interest earned on funds held in the trust account to us unless and until the funds in the trust account were released to us in connection with our completion of an initial business combination.</w:t>
      </w:r>
    </w:p>
    <w:p>
      <w:pPr>
        <w:spacing w:after="0" w:line="269" w:lineRule="exact"/>
        <w:rPr>
          <w:sz w:val="20"/>
          <w:szCs w:val="20"/>
          <w:color w:val="auto"/>
        </w:rPr>
      </w:pPr>
    </w:p>
    <w:p>
      <w:pPr>
        <w:ind w:left="120" w:right="20"/>
        <w:spacing w:after="0" w:line="281" w:lineRule="auto"/>
        <w:rPr>
          <w:sz w:val="20"/>
          <w:szCs w:val="20"/>
          <w:color w:val="auto"/>
        </w:rPr>
      </w:pPr>
      <w:r>
        <w:rPr>
          <w:rFonts w:ascii="Arial" w:cs="Arial" w:eastAsia="Arial" w:hAnsi="Arial"/>
          <w:sz w:val="17"/>
          <w:szCs w:val="17"/>
          <w:b w:val="1"/>
          <w:bCs w:val="1"/>
          <w:color w:val="auto"/>
        </w:rPr>
        <w:t>Because of our limited resources and the significant competition for business combination opportunities, it may be more difficult for us to complete the Proposed Transaction or another initial business combination. If we are unable to complete the Proposed Transaction or another initial business combination, our public shareholders may receive only their pro rata portion of the funds in the trust account that are available for distribution to public shareholders, and our warrants will expire worthless.</w:t>
      </w:r>
    </w:p>
    <w:p>
      <w:pPr>
        <w:spacing w:after="0" w:line="16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including Bakkt, we could potentially acquire with the net proceeds of the initial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including the Proposed Transaction, in conjunction with a shareholder vote or via a tender offer. Target companies, such as Bakkt, will be aware that this may reduce the resources available to us for our initial business combination. Any of these obligations may place us at a competitive disadvantage in successfully negotiating a business combination. If we are unable to complete the Proposed Transaction or another initial business combination, our public shareholders may receive only their pro rata portion of the funds in the trust account that are available for distribution to public shareholders, and our warrants will expire worthless.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61" w:lineRule="auto"/>
        <w:rPr>
          <w:sz w:val="20"/>
          <w:szCs w:val="20"/>
          <w:color w:val="auto"/>
        </w:rPr>
      </w:pPr>
      <w:r>
        <w:rPr>
          <w:rFonts w:ascii="Arial" w:cs="Arial" w:eastAsia="Arial" w:hAnsi="Arial"/>
          <w:sz w:val="18"/>
          <w:szCs w:val="18"/>
          <w:b w:val="1"/>
          <w:bCs w:val="1"/>
          <w:color w:val="auto"/>
        </w:rPr>
        <w:t>If the net proceeds of the initial public offering not being held in the trust account are insufficient to allow us to operate for at least until September 25, 2022, it could limit the amount available to fund our search for a target business or businesses and complete the Proposed Transaction or another initial business combination, and we will depend on loans from our sponsor or management team to fund our search and to complete our initial business combination.</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Of the net proceeds of the initial public offering, only approximately $1,000,000 were available to us initially outside the trust account to fund our working capital requirements. We believe that the funds available to us outside of the trust account are sufficient to allow us to operate for at least until September 25, 2022;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and have not done so in connection with the Proposed Transaction.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8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Prior to the completion of our initial business combination, including the Proposed Transaction,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the Proposed Transaction or another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296"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shareholders may be less than $10.00 per share.</w:t>
      </w:r>
    </w:p>
    <w:p>
      <w:pPr>
        <w:spacing w:after="0" w:line="166"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WithumSmith+Brown, PC, our independent registered independent public accounting firm, and the underwriters of our initial public offering will not execute agreements with us waiving such claims to the monies held in the Trust Account.</w:t>
      </w:r>
    </w:p>
    <w:p>
      <w:pPr>
        <w:spacing w:after="0" w:line="18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negotiations, contracts or agreements with us and will not seek recourse against the Trust Account for any reason. Upon redemption of our public shares, if we are unable to complete the Proposed Transaction or another initial business combination within the prescribed timeframe, or upon the exercise of a redemption right in connection with such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Annual Report on Form 10-K forms a part,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the Proposed Transaction or another initial business combination and redemptions could be reduced to less than $10.00 per public share. In such event, we may not be able to complete the Proposed Transaction or another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86"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6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shareholders may be reduced below $10.00 per share.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81" w:lineRule="auto"/>
        <w:rPr>
          <w:sz w:val="20"/>
          <w:szCs w:val="20"/>
          <w:color w:val="auto"/>
        </w:rPr>
      </w:pPr>
      <w:r>
        <w:rPr>
          <w:rFonts w:ascii="Arial" w:cs="Arial" w:eastAsia="Arial" w:hAnsi="Arial"/>
          <w:sz w:val="17"/>
          <w:szCs w:val="17"/>
          <w:b w:val="1"/>
          <w:bCs w:val="1"/>
          <w:color w:val="auto"/>
        </w:rPr>
        <w:t>If, after we distribute the proceeds in the Trust Account to our public shareholders, we file a bankruptcy or insolvency petition or an involuntary bankruptcy or insolvency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6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or insolvency petition or an involuntary bankruptcy or insolvency petition is filed against us that is not dismissed, any distributions received by shareholders could be viewed under applicable debtor/creditor and/or bankruptcy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282"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If, before distributing the proceeds in the Trust Account to our public shareholders, we file a bankruptcy petition or insolvency or an involuntary bankruptcy or insolvency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bankruptcy or insolvency petition or an involuntary bankruptcy or insolvency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292" w:lineRule="exact"/>
        <w:rPr>
          <w:sz w:val="20"/>
          <w:szCs w:val="20"/>
          <w:color w:val="auto"/>
        </w:rPr>
      </w:pPr>
    </w:p>
    <w:p>
      <w:pPr>
        <w:ind w:left="120" w:right="180"/>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30"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the issuance of securities, each of which may make it difficult for us to complete our initial business combination, including the Proposed Transaction. In addition, we may have imposed upon us burdensome requirements, including:</w:t>
      </w:r>
    </w:p>
    <w:p>
      <w:pPr>
        <w:spacing w:after="0" w:line="51" w:lineRule="exact"/>
        <w:rPr>
          <w:rFonts w:ascii="Arial" w:cs="Arial" w:eastAsia="Arial" w:hAnsi="Arial"/>
          <w:sz w:val="17"/>
          <w:szCs w:val="17"/>
          <w:color w:val="auto"/>
        </w:rPr>
      </w:pPr>
    </w:p>
    <w:p>
      <w:pPr>
        <w:ind w:left="1540" w:hanging="439"/>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not subject to.</w:t>
      </w:r>
    </w:p>
    <w:p>
      <w:pPr>
        <w:spacing w:after="0" w:line="23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8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Our securities are not intended for persons who are seeking a return on investments in government securities or investment securities. The Trust Account is intended as a holding place for funds pending the earliest to occur of either: (i) the completion of our initial business combination, including the Proposed Transaction;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September 25, 2022; or (B) with respect to any other material provisions relating to shareholders’ rights or pre-initial business combination activity, or (iii) absent an initial business combination by September 25, 2022,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w:t>
      </w:r>
    </w:p>
    <w:p>
      <w:pPr>
        <w:spacing w:after="0" w:line="292"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Changes in laws or regulations, or a failure to comply with any laws and regulations, may adversely affect our business, including our ability to negotiate and complete the Proposed Transaction or another initial business combination, and results of operations.</w:t>
      </w:r>
    </w:p>
    <w:p>
      <w:pPr>
        <w:spacing w:after="0" w:line="14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the Proposed Transaction or another initial business combination, and results of operations.</w:t>
      </w:r>
    </w:p>
    <w:p>
      <w:pPr>
        <w:spacing w:after="0" w:line="296"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Our shareholders may be held liable for claims by third parties against us to the extent of distributions received by them upon redemption of their shares.</w:t>
      </w:r>
    </w:p>
    <w:p>
      <w:pPr>
        <w:spacing w:after="0" w:line="166"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$18,293 and to imprisonment for five years in the Cayman Islands.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900"/>
        <w:spacing w:after="0" w:line="282" w:lineRule="auto"/>
        <w:rPr>
          <w:sz w:val="20"/>
          <w:szCs w:val="20"/>
          <w:color w:val="auto"/>
        </w:rPr>
      </w:pPr>
      <w:r>
        <w:rPr>
          <w:rFonts w:ascii="Arial" w:cs="Arial" w:eastAsia="Arial" w:hAnsi="Arial"/>
          <w:sz w:val="18"/>
          <w:szCs w:val="18"/>
          <w:b w:val="1"/>
          <w:bCs w:val="1"/>
          <w:color w:val="auto"/>
        </w:rPr>
        <w:t>We may not hold an annual general meeting until after the consummation of our initial business combination, which could delay the opportunity for our shareholders to appoint directors.</w:t>
      </w:r>
    </w:p>
    <w:p>
      <w:pPr>
        <w:spacing w:after="0" w:line="166"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no later than one year after our first fiscal year end following our listing on Nasdaq. There is no requirement under the Companies Law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 In addition, as holders of our Class A ordinary shares, our public shareholders will not have the right to vote on the appointment of directors until after the consummation of our initial business combination, including the Proposed Transaction.</w:t>
      </w:r>
    </w:p>
    <w:p>
      <w:pPr>
        <w:spacing w:after="0" w:line="281"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Because we are not limited to evaluating a target business in a particular industry sector, you will be unable to ascertain the merits or risks of any particular target business’s operations.</w:t>
      </w:r>
    </w:p>
    <w:p>
      <w:pPr>
        <w:spacing w:after="0" w:line="16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and acquire a business or businesses that can benefit from our management team’s established global relationships and operating experience. In particular, we currently expect to complete the Proposed Transaction with Bakkt. Our management team has extensive experience in identifying and executing strategic investments globally and has done so successfully in a number of sectors, including the consumer brands sectors. Our amended and restated memorandum and articles of association prohibits us from effectuating a business combination with another blank check company or similar company with nominal operations. To the extent we complete the Proposed Transaction or another initial business combination, we may be affected by numerous risks inherent in the business operations or Bakkt or another target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and have done so in connection with the Proposed Transaction, we cannot assure you that we have or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Bakkt or another target business. We also cannot assure you that an investment in our units will ultimately prove to be more favorable to investors than a direct investment, if such opportunity were available, in Bakkt or another business combination target.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We may seek business combination opportunities in industries or sectors that may be outside of our management’s areas of expertise.</w:t>
      </w:r>
    </w:p>
    <w:p>
      <w:pPr>
        <w:spacing w:after="0" w:line="24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and will consider business combinations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and it has endeavored to do so in connection with the Proposed Transaction, we cannot assure you that we have or will adequately ascertain or assess all of the significant risk factors. We also cannot assure you that an investment in our securities will not ultimately prove to be less favorable to investors in our securities than a direct investment, if an opportunity were available, in Baakt or another business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combination candidate. In the event we elect to pursue a business combination outside of the areas of our management’s expertise, our management’s expertise may not be directly applicable to its evaluation or operation, and the information contained herein regarding the areas of our management’s expertise would not be relevant to an understanding of the business that we elect to acquire. As a result, our management may not be able to ascertain or assess adequately all of the relevant risk factors. Accordingly, any shareholders who choose to remain shareholders following the Proposed Transaction or another initial business combination could suffer a reduction in the value of their shares. Such shareholders are unlikely to have a remedy for such reduction in value.</w:t>
      </w:r>
    </w:p>
    <w:p>
      <w:pPr>
        <w:spacing w:after="0" w:line="296"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289"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shareholders from a financial point of view.</w:t>
      </w:r>
    </w:p>
    <w:p>
      <w:pPr>
        <w:spacing w:after="0" w:line="180"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shareholders from a financial point of view. We do not expect to obtain such an opinion in connection with the Proposed Transaction. If no opinion is obtained, our shareholders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the Proposed Transaction or any other initial business combination.</w:t>
      </w:r>
    </w:p>
    <w:p>
      <w:pPr>
        <w:spacing w:after="0" w:line="281" w:lineRule="exact"/>
        <w:rPr>
          <w:sz w:val="20"/>
          <w:szCs w:val="20"/>
          <w:color w:val="auto"/>
        </w:rPr>
      </w:pPr>
    </w:p>
    <w:p>
      <w:pPr>
        <w:ind w:left="120" w:right="180"/>
        <w:spacing w:after="0" w:line="258" w:lineRule="auto"/>
        <w:rPr>
          <w:sz w:val="20"/>
          <w:szCs w:val="20"/>
          <w:color w:val="auto"/>
        </w:rPr>
      </w:pPr>
      <w:r>
        <w:rPr>
          <w:rFonts w:ascii="Arial" w:cs="Arial" w:eastAsia="Arial" w:hAnsi="Arial"/>
          <w:sz w:val="18"/>
          <w:szCs w:val="18"/>
          <w:b w:val="1"/>
          <w:bCs w:val="1"/>
          <w:color w:val="auto"/>
        </w:rPr>
        <w:t>We may issue additional Class A ordinary shares or shares of preferred shares to complete our initial business combination, including the Proposed Transaction or under an employee incentive plan after completion of our initial business combination. We may also issue Class A ordinary shares upon the conversion of the founder shares at a ratio greater than one-to-one at the time of the Proposed Transaction or other initial business combination as a result of the anti-dilution provisions contained therein. Any such issuances would dilute the interest of our shareholders and likely present other risks.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86"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amended and restated memorandum and articles of association authorizes the issuance of up to 200,000,000 Class A ordinary shares, par value</w:t>
      </w:r>
    </w:p>
    <w:p>
      <w:pPr>
        <w:spacing w:after="0" w:line="46"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$0.0001 per share, 20,000,000 Class B ordinary shares, par value $0.0001 per share, and 1,000,000 preferred shares, par value $0.0001 per share. As of March 29, 2021 there are 179,262,798 and 14,815,700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The Class B ordinary shares are automatically convertible into Class A ordinary shares concurrently with or immediately following the consummation of the Proposed Transaction or another initial business combination, initially at a one-for-one ratio but subject to adjustment as set forth herein and in our amended and restated memorandum and articles of association, including in certain circumstances in which we issue Class A ordinary shares or equity-linked securities related to such initial business combination. Currently, there are no preferred shares issued and outstanding.</w:t>
      </w:r>
    </w:p>
    <w:p>
      <w:pPr>
        <w:spacing w:after="0" w:line="183"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We may issue a substantial number of additional Class A ordinary shares or preferred shares to complete the Proposed Transaction or another initial business combination or under an employee incentive plan after completion of the Proposed Transaction or such other initial business combination. We may also issue Class A ordinary shares upon conversion of the Class B ordinary shares at a ratio greater than one-to-one at the time of the Proposed Transaction or other initial business combination as a result of the anti-dilution provisions as set forth therein. However, our amended and restated memorandum and articles of association provides, among other things, that prior to our initial business combination, we may not issue additional shares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7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the initial public offering;</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75" w:lineRule="exact"/>
        <w:rPr>
          <w:rFonts w:ascii="Arial" w:cs="Arial" w:eastAsia="Arial" w:hAnsi="Arial"/>
          <w:sz w:val="18"/>
          <w:szCs w:val="18"/>
          <w:color w:val="auto"/>
        </w:rPr>
      </w:pPr>
    </w:p>
    <w:p>
      <w:pPr>
        <w:ind w:left="1080" w:right="24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329" w:lineRule="exact"/>
        <w:rPr>
          <w:sz w:val="20"/>
          <w:szCs w:val="20"/>
          <w:color w:val="auto"/>
        </w:rPr>
      </w:pPr>
    </w:p>
    <w:p>
      <w:pPr>
        <w:ind w:left="120" w:right="180"/>
        <w:spacing w:after="0" w:line="303" w:lineRule="auto"/>
        <w:rPr>
          <w:sz w:val="20"/>
          <w:szCs w:val="20"/>
          <w:color w:val="auto"/>
        </w:rPr>
      </w:pPr>
      <w:r>
        <w:rPr>
          <w:rFonts w:ascii="Arial" w:cs="Arial" w:eastAsia="Arial" w:hAnsi="Arial"/>
          <w:sz w:val="16"/>
          <w:szCs w:val="16"/>
          <w:b w:val="1"/>
          <w:bCs w:val="1"/>
          <w:color w:val="auto"/>
        </w:rPr>
        <w:t>Resources could be wasted in researching business combinations, such as the Proposed Transaction, that are not completed, which could materially adversely affect subsequent attempts to locate and acquire or merge with another business.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w:t>
      </w:r>
    </w:p>
    <w:p>
      <w:pPr>
        <w:spacing w:after="0" w:line="15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the Proposed Transaction or another specific initial business combination, the costs incurred up to that point for such transaction likely would not be recoverable. We may fail to complete the Proposed Transaction for any number of reasons including those beyond our control. Furthermore, if we reach an agreement relating to a different specific target business, we may fail to complete our initial business combination with that businessfor any number of reasons including those beyond our control. Any such event will result in a loss to us of the related costs incurred which could materially adversely affect subsequent attempts to locate and acquire or merge with another business.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We may be a passive foreign investment company, or “PFIC,” which could result in adverse United States federal income tax consequences to U.S. investors.</w:t>
      </w:r>
    </w:p>
    <w:p>
      <w:pPr>
        <w:spacing w:after="0" w:line="166"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If we are a PFIC for any taxable year (or portion thereof) that is included in the holding period of a U.S. Holder (as defined in the section of this prospectus captioned “Taxation—United States Federal Income Tax Considerations—U.S. Holders”)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report captioned “</w:t>
      </w:r>
      <w:r>
        <w:rPr>
          <w:rFonts w:ascii="Arial" w:cs="Arial" w:eastAsia="Arial" w:hAnsi="Arial"/>
          <w:sz w:val="16"/>
          <w:szCs w:val="16"/>
          <w:i w:val="1"/>
          <w:iCs w:val="1"/>
          <w:color w:val="auto"/>
        </w:rPr>
        <w:t>Taxation—United States Federal Income Tax Considerations—U.S. Holders—Passive Foreign Investment Company Rules”).</w:t>
      </w:r>
      <w:r>
        <w:rPr>
          <w:rFonts w:ascii="Arial" w:cs="Arial" w:eastAsia="Arial" w:hAnsi="Arial"/>
          <w:sz w:val="16"/>
          <w:szCs w:val="16"/>
          <w:color w:val="auto"/>
        </w:rPr>
        <w:t xml:space="preserve">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 For a more detailed explanation of the tax consequences of PFIC classification to U.S. Holders, see the section of this report captioned</w:t>
      </w:r>
      <w:r>
        <w:rPr>
          <w:rFonts w:ascii="Arial" w:cs="Arial" w:eastAsia="Arial" w:hAnsi="Arial"/>
          <w:sz w:val="16"/>
          <w:szCs w:val="16"/>
          <w:i w:val="1"/>
          <w:iCs w:val="1"/>
          <w:color w:val="auto"/>
        </w:rPr>
        <w:t>“Taxation—United States Federal Income Tax Considerations—U.S. Holders—Passive Foreign Investment Company Rules.”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investment in our securities may result in uncertain U.S. federal income tax consequences.</w:t>
      </w:r>
    </w:p>
    <w:p>
      <w:pPr>
        <w:spacing w:after="0" w:line="22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An investment in our securities may result in uncertain U.S. federal income tax consequences. For instance, because there are no authorities that directly address instruments similar to our units, the allocation an investor makes with respect to the purchase price of a unit between the Class A ordinary shares and the one-half of a warrant to purchase one Class A ordinary share included in each unit could be challenged by the IRS or courts. In addition, the U.S. federal income tax consequences of a cashless exercise of warrants included in our units is unclear under current law. Finally, it is unclear whether the redemption rights with respect to our ordinary shares suspend the running of a U.S. Holder’s (as defined in section titled “Taxation—United States Federal Income Tax Consideration—U.S. Holders”) holding period for purposes of determining whether any gain or loss realized by such holder on the sale or exchange of Class A ordinary shares is long-term capital gain or loss and for determining whether any dividend we pay would be considered “qualified dividend income” for U.S. federal income tax purposes. See the section titled “Taxation—United States Federal Income Tax Considerations” for a summary of the U.S. federal income tax considerations of an investment in our securities. Prospective investors are urged to consult their tax advisors with respect to these and other tax consequences when acquiring, owning or disposing of our securities.</w:t>
      </w:r>
    </w:p>
    <w:p>
      <w:pPr>
        <w:spacing w:after="0" w:line="272"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We may reincorporate in another jurisdiction, as we plan to do in connection with the Proposed Transaction, which may result in taxes imposed on shareholders.</w:t>
      </w:r>
    </w:p>
    <w:p>
      <w:pPr>
        <w:spacing w:after="0" w:line="166"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We may, in connection with our initial business combination or otherwise and subject to requisite shareholder approval by special resolution under the Companies Law, reincorporate in the jurisdiction in which the target company or business is located or in another jurisdiction. We plan to reincorporate in Delaware in connection with the Proposed Transaction.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8"/>
          <w:szCs w:val="18"/>
          <w:b w:val="1"/>
          <w:bCs w:val="1"/>
          <w:color w:val="auto"/>
        </w:rPr>
        <w:t>After the Proposed Transaction or another initial business combination is completed,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8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It is possible that after the Proposed Transaction or another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75"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result in our inability to consummate an initial business combination.</w:t>
      </w:r>
    </w:p>
    <w:p>
      <w:pPr>
        <w:spacing w:after="0" w:line="180"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In recent years, the number of special purpose acquisition companies has increased substantially. A number of potential targets for special purpose acquisition companies have already been acquired, and there are still many special purpose acquisition companies pursuing an initial business combination. As a result, fewer attractive targets may be available to consummate an initial business combination. In addition, because there are more special purpose acquisition companies seeking to enter into an initial business combination with available targets, the competition for targets may increase and, as a result, the terms of business combination transactions with available targets could become less favorable to us. Attractive transactions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us.</w:t>
      </w:r>
    </w:p>
    <w:p>
      <w:pPr>
        <w:spacing w:after="0" w:line="285"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officers, directors or existing holders which may raise potential conflicts of interest.</w:t>
      </w:r>
    </w:p>
    <w:p>
      <w:pPr>
        <w:spacing w:after="0" w:line="166"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directors or existing holders. Bakkt is not affiliated with our sponsor, officers, directors or existing holders. Our directors also serve as officers and board members for other entities.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Furthermore, we currently intend to complete the Proposed Transaction with Bakkt. Although we will not be specifically focusing on, or targeting, any transaction with any affiliated entities, we would pursue such a transaction if we determined that such affiliated entity met our criteria for a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b w:val="1"/>
          <w:bCs w:val="1"/>
          <w:color w:val="auto"/>
        </w:rPr>
        <w:t>Since our sponsor, officers and directors will lose their entire investment in us if the Proposed Transaction or another initial business combination is not completed (other than with respect to public shares they may acquire during or after the initial public offering), a conflict of interest may arise in determining whether a particular business combination target, including Bakkt, is appropriate for our initial business combination.</w:t>
      </w:r>
    </w:p>
    <w:p>
      <w:pPr>
        <w:spacing w:after="0" w:line="184"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On August 3, 2020, our Sponsor paid $25,000, or approximately $0.004 per share, to cover certain of our offering and formation costs in exchange for 5,750,000 founder shares. In September 2020, our sponsor transferred an aggregate of 60,000 founder shares to members of our board of directors, resulting in our sponsor holding 5,690,000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issued was determined based on the expectation that the total size of our initial public offering would be a maximum of 23,000,000 units if the underwriters’ over-allotment option was exercised in full, and therefore that such founder shares would represent 20% of the outstanding shares after our initial public offering. Up to 750,000 of the founder shares were subject to surrender for no consideration depending on the extent to which the underwriters’ over-allotment was exercised. As a result of the underwriters’ election to partially exercise their over-allotment option and the forfeiture of the remaining over-allotment option, 565,700 founder shares were forfeited and 184,300 founder shares are no longer subject to forfeiture resulting in an aggregate of 5,184,300 founder shares outstanding at March 29, 2021. The founder shares will be worthless if we do not complete the Proposed Transaction or another initial business combination. In addition, our Sponsor purchased an aggregate of 6,147,550 private placement warrants, each exercisable for one Class A ordinary share at $11.50 per share, subject to adjustment as described herein, for an aggregate purchase price of $6,147,550, or $1.00 per warrant, that will also be worthless if we do not complete the Proposed Transaction or another initial business combination within the allocated time period. The personal and financial interests of our officers and directors may have influenced or may influence their motivation in identifying and selecting Bakkt, or another target business combination, completing the Proposed Transaction or another initial business combination and influencing the operation of the business following the initial business combination. This risk may become more acute as the 24-month anniversary of the closing of the initial public offering nears, which is the deadline for our completion of an initial business combination.</w:t>
      </w:r>
    </w:p>
    <w:p>
      <w:pPr>
        <w:spacing w:after="0" w:line="200" w:lineRule="exact"/>
        <w:rPr>
          <w:sz w:val="20"/>
          <w:szCs w:val="20"/>
          <w:color w:val="auto"/>
        </w:rPr>
      </w:pPr>
    </w:p>
    <w:p>
      <w:pPr>
        <w:spacing w:after="0" w:line="294" w:lineRule="exact"/>
        <w:rPr>
          <w:sz w:val="20"/>
          <w:szCs w:val="20"/>
          <w:color w:val="auto"/>
        </w:rPr>
      </w:pPr>
    </w:p>
    <w:p>
      <w:pPr>
        <w:ind w:left="120" w:right="400"/>
        <w:spacing w:after="0" w:line="266"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the Proposed Transaction or another business combination, which may adversely affect our leverage and financial condition and thus negatively impact the value of our shareholders’ investment in us.</w:t>
      </w:r>
    </w:p>
    <w:p>
      <w:pPr>
        <w:spacing w:after="0" w:line="180"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Although we have no commitments as of the date of this Annual Report on Form 10-K to issue any notes or other debt securities, or to otherwise incur outstanding debt, we may choose to incur substantial debt to complete the Proposed Transaction or another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82" w:lineRule="exact"/>
        <w:rPr>
          <w:sz w:val="20"/>
          <w:szCs w:val="20"/>
          <w:color w:val="auto"/>
        </w:rPr>
      </w:pPr>
    </w:p>
    <w:p>
      <w:pPr>
        <w:ind w:left="1080" w:right="3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the Proposed Transaction or other initial business combination are insufficient to repay our debt obligations;</w:t>
      </w:r>
    </w:p>
    <w:p>
      <w:pPr>
        <w:spacing w:after="0" w:line="75"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532"/>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28"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the initial public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80"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net proceeds from the initial public offering and the private placement provided us with $200,113,999 that we may use to complete the Proposed Transaction or another initial business combination (after taking into account the $7,258,020 of deferred underwriting commissions being held in the trust account).</w:t>
      </w:r>
    </w:p>
    <w:p>
      <w:pPr>
        <w:spacing w:after="0" w:line="18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Although the Merger Agreement contemplates an initial business combination with a single target business, Bakkt, we may effectuate another initial business combination with a single target business or multiple target businesses simultaneously or within a short period of time. However, we may not be able to effectuate such other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the Proposed Transaction or another initial business combination with only Bakkt or another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8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This lack of diversification may subject us to numerous economic, competitive and regulatory risks, any or all of which may have a substantial adverse impact upon the particular industry in which we may operate subsequent to the Proposed Transaction or other initial business combination.</w:t>
      </w:r>
    </w:p>
    <w:p>
      <w:pPr>
        <w:spacing w:after="0" w:line="228" w:lineRule="exact"/>
        <w:rPr>
          <w:sz w:val="20"/>
          <w:szCs w:val="20"/>
          <w:color w:val="auto"/>
        </w:rPr>
      </w:pPr>
    </w:p>
    <w:p>
      <w:pPr>
        <w:ind w:left="120" w:right="2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0"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spacing w:after="0" w:line="289" w:lineRule="auto"/>
        <w:rPr>
          <w:sz w:val="20"/>
          <w:szCs w:val="20"/>
          <w:color w:val="auto"/>
        </w:rPr>
      </w:pPr>
      <w:r>
        <w:rPr>
          <w:rFonts w:ascii="Arial" w:cs="Arial" w:eastAsia="Arial" w:hAnsi="Arial"/>
          <w:sz w:val="17"/>
          <w:szCs w:val="17"/>
          <w:b w:val="1"/>
          <w:bCs w:val="1"/>
          <w:color w:val="auto"/>
        </w:rPr>
        <w:t>We are attempting to complete the Proposed Transaction with Bakkt, a private company, and if we do not complete the Proposed Transaction, we may attempt to complete another initial business with a private company, about which little information is available, which may result in a business combination with Bakkt or another company that is not as profitable as we suspected, if at all.</w:t>
      </w:r>
    </w:p>
    <w:p>
      <w:pPr>
        <w:spacing w:after="0" w:line="1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attempting to complete the Proposed Transaction with Bakkt, a privately held company. In pursuing our business combination strategy if we do not complete the Proposed Transaction, we may seek to effectuate another initial business combination with a different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Bakkt or another company that is not as profitable as we suspected, if at all.</w:t>
      </w:r>
    </w:p>
    <w:p>
      <w:pPr>
        <w:spacing w:after="0" w:line="292" w:lineRule="exact"/>
        <w:rPr>
          <w:sz w:val="20"/>
          <w:szCs w:val="20"/>
          <w:color w:val="auto"/>
        </w:rPr>
      </w:pPr>
    </w:p>
    <w:p>
      <w:pPr>
        <w:ind w:left="120" w:right="600"/>
        <w:spacing w:after="0" w:line="312" w:lineRule="auto"/>
        <w:rPr>
          <w:sz w:val="20"/>
          <w:szCs w:val="20"/>
          <w:color w:val="auto"/>
        </w:rPr>
      </w:pPr>
      <w:r>
        <w:rPr>
          <w:rFonts w:ascii="Arial" w:cs="Arial" w:eastAsia="Arial" w:hAnsi="Arial"/>
          <w:sz w:val="17"/>
          <w:szCs w:val="17"/>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4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amended and restated memorandum and articles of association provide that in no event will we redeem our public shares in an amount that would cause our net tangible assets to be less than $5,000,001. In addition, the Proposed Transaction does, and any other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the Proposed Transaction or another initial business combination even though a substantial majority of our public shareholders do not agree with the transaction and have redeemed their shares or, if we seek shareholder approval of the Proposed Transaction (as we expect to do) or another initial business combination and do not conduct redemptions in connection with the Proposed Transaction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Transaction or such other proposed business combination exceed the aggregate amount of cash available to us, we will not complete the Proposed Transaction or other business combination or redeem any shares, all Class A ordinary shares submitted for redemption will be returned to the holders thereof, and we instead may search for an alternate business combination.</w:t>
      </w:r>
    </w:p>
    <w:p>
      <w:pPr>
        <w:spacing w:after="0" w:line="272" w:lineRule="exact"/>
        <w:rPr>
          <w:sz w:val="20"/>
          <w:szCs w:val="20"/>
          <w:color w:val="auto"/>
        </w:rPr>
      </w:pPr>
    </w:p>
    <w:p>
      <w:pPr>
        <w:ind w:left="120"/>
        <w:spacing w:after="0" w:line="303" w:lineRule="auto"/>
        <w:rPr>
          <w:sz w:val="20"/>
          <w:szCs w:val="20"/>
          <w:color w:val="auto"/>
        </w:rPr>
      </w:pPr>
      <w:r>
        <w:rPr>
          <w:rFonts w:ascii="Arial" w:cs="Arial" w:eastAsia="Arial" w:hAnsi="Arial"/>
          <w:sz w:val="16"/>
          <w:szCs w:val="16"/>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the Proposed Transaction or another initial business combination that our shareholders may not support.</w:t>
      </w:r>
    </w:p>
    <w:p>
      <w:pPr>
        <w:spacing w:after="0" w:line="155"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86"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securities. Amending our amended and restated memorandum and articles of association will require a special resolution under Cayman Islands law, being the affirmative vote of a majority of at least two-thirds of the shareholders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then outstanding private placement warrants. In addition, our amended and restated memorandum and articles of association requires us to provide our public shareholders with the opportunity to redeem their public shares for cash if we propose an amendment to our amended and restated memorandum and articles of association (A) to modify the substance or timing of our obligation to allow redemption in connection with our initial business combination or to redeem 100% of our public shares if we do not complete an initial business combination by September 25, 2022 or (B) with respect to any other material provisions relating to shareholders’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27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not less than two-third of our ordinary shares who attend and vote at a general meeting of the Company (or 65% of our ordinary shares with respect to amendments to the trust agreement governing the release of funds from our Trust Account), which is a lower amendment threshold than that of some other special purpose acquisition companies. It may be easier for us, therefore, to amend our amended and restated memorandum and articles of association to facilitate the completion of an initial business combination that some of our shareholders may not support.</w:t>
      </w:r>
    </w:p>
    <w:p>
      <w:pPr>
        <w:spacing w:after="0" w:line="193"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Our amended and restated memorandum and articles of association provides that any of its provisions related to pre-business combination activity (including the requirement to deposit proceeds of the initial public offering and the private placement of warrants into the trust account and not release such amounts except in specified circumstances, and to provide redemption rights to public shareholders as described herein) may be amended if approved by special resolution, under Cayman Islands law being the affirmative vote of a majority of at least two-thirds of the shareholders who attend and vote at a general meeting of the Company and corresponding provisions of the trust agreement governing the release of funds from our trust account may be amended if approved by special resolution, under Cayman Islands law being the affirmative vote of a majority of at least two-thirds of the shareholders who attend and vote at a general meeting of the Company, and corresponding provisions of the trust agreement governing the release of funds from our Trust Account may be amended if approved by holders of 65% of our ordinary shares. Our initial shareholders, who collectively beneficially own 20% of our outstanding ordinary shares,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special purpose acquisition companies, and this may increase our ability to complete the Proposed Transaction or another business combination with which you do not agree. Our shareholders may pursue remedies against us for any breach of our amended and restated memorandum and articles of association.</w:t>
      </w:r>
    </w:p>
    <w:p>
      <w:pPr>
        <w:spacing w:after="0" w:line="184"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Our sponsor, officers and directors have agreed, pursuant to written agreements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September 25, 2022 or</w:t>
      </w:r>
    </w:p>
    <w:p>
      <w:pPr>
        <w:spacing w:after="0" w:line="2" w:lineRule="exact"/>
        <w:rPr>
          <w:sz w:val="20"/>
          <w:szCs w:val="20"/>
          <w:color w:val="auto"/>
        </w:rPr>
      </w:pPr>
    </w:p>
    <w:p>
      <w:pPr>
        <w:ind w:left="120" w:right="460" w:hanging="4"/>
        <w:spacing w:after="0" w:line="260" w:lineRule="auto"/>
        <w:tabs>
          <w:tab w:leader="none" w:pos="4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any other material provisions relating to shareholders’ rights or pre-initial business combination activity, unless we provide our public shareholders with the opportunity to redeem their Class A</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shareholders are not parties to, or third-party beneficiaries of, these agreements and, as a result, will not have the ability to pursue remedies against our sponsor, officers, directors or director nominees for any breach of these agreements. As a result, in the event of a breach, our shareholders would need to pursue a shareholder derivative action, subject to applicable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letter agreement with our sponsor, officers and directors may be amended without shareholder approval.</w:t>
      </w:r>
    </w:p>
    <w:p>
      <w:pPr>
        <w:spacing w:after="0" w:line="229"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Our letter agreement with our Sponsor, officers and directors contains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(although releasing the parties from the restriction not to transfer the founder shares for 185 days following the date of our initial public offering will require the prior written consent of the underwriters). While we do not expect our board to approve any amendment to the letter agreement prior to the completion of the Proposed Transaction or another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282" w:lineRule="exact"/>
        <w:rPr>
          <w:sz w:val="20"/>
          <w:szCs w:val="20"/>
          <w:color w:val="auto"/>
        </w:rPr>
      </w:pPr>
    </w:p>
    <w:p>
      <w:pPr>
        <w:ind w:left="120" w:right="180"/>
        <w:spacing w:after="0" w:line="347" w:lineRule="auto"/>
        <w:rPr>
          <w:sz w:val="20"/>
          <w:szCs w:val="20"/>
          <w:color w:val="auto"/>
        </w:rPr>
      </w:pPr>
      <w:r>
        <w:rPr>
          <w:rFonts w:ascii="Arial" w:cs="Arial" w:eastAsia="Arial" w:hAnsi="Arial"/>
          <w:sz w:val="16"/>
          <w:szCs w:val="16"/>
          <w:b w:val="1"/>
          <w:bCs w:val="1"/>
          <w:color w:val="auto"/>
        </w:rPr>
        <w:t>We may be unable to obtain additional financing to complete the Proposed Transaction or another initial business combination or to fund the operations and growth of a target business, which could compel us to restructure or abandon a particular business combination.</w:t>
      </w:r>
    </w:p>
    <w:p>
      <w:pPr>
        <w:spacing w:after="0" w:line="12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If the cash portion of the purchase price exceeds the amount available from the trust account, net of amounts needed to satisfy any redemption by public shareholders and the funds provided by the PIPE Investment,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the Proposed Transaction or another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the Proposed Transaction or another initial business combination for general corporate purposes, including for maintenance or expansion of operations of the post-transaction businesses, the payment of principal or interest due on indebtedness incurred in completing the Proposed Transaction or such other initial business combination, or to fund the purchase of other companies.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 In addition, even if we do not need additional financing to complete the Proposed Transaction or another initial business combination, we may require such financing to fund the operations or growth of the target business. The failure to secure additional financing could have a material adverse effect on the continued development or growth of Bakkt or such other target business. None of our officers, directors or shareholders is required to provide any financing to us in connection with or after the Proposed Transaction or another initial business combination.</w:t>
      </w:r>
    </w:p>
    <w:p>
      <w:pPr>
        <w:spacing w:after="0" w:line="275"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b w:val="1"/>
          <w:bCs w:val="1"/>
          <w:color w:val="auto"/>
        </w:rPr>
        <w:t>Our initial shareholders control a substantial interest in us and thus may exert a substantial influence on actions requiring a shareholder vote, potentially in a manner that you do not support.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initial shareholders own 20% of our issued and outstanding ordinary shares. Accordingly, they may exert a substantial influence on actions requiring a shareholder vote, potentially in a manner that you do not support, including amendments to our amended and restated memorandum and articles of association. If our initial shareholders purchase any units or additional Class A ordinary shares in the aftermarket or in privately negotiated transactions, this would increase their control. Neither our initial shareholders nor, to our knowledge, any of our officers or directors, have any current intention to purchase additional securities, other than as disclosed in this Annual Report on Form 10-K.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 for three years with only one class of directors being appointed in each year. We may not hold an annual or extraordinary general meeting to appoint new directors prior to the completion of the Proposed Transaction or another initial business combination, in which case all of the current directors will continue in office until at least the completion of the Proposed Transaction or other business combination. If there is an annual meeting, as a consequence of our “staggered” board of directors, only a minority of the board of directors will be considered for election and our initial shareholders, because of their ownership position, will have considerable influence regarding the outcome. . . . In addition, the founder shares, all of which are held by our initial shareholders, will, in a vote to continue the Company in a jurisdiction outside the Cayman Islands (which requires the approval of at least two thirds of the votes of all ordinary shares), including as required in connection with the Proposed Transaction, entitle the holders to ten votes for every founder share. This provision of our amended and restated memorandum and articles of association may only be amended by a special resolution passed by a majority of at least two-thirds of our ordinary shares voting in a general meeting. As a result, you will not have any influence over our continuation in a jurisdiction outside the Cayman Islands prior to the completion of the Proposed Transaction or another initial business combination. Accordingly, our initial shareholders will continue to exert control at least until the completion of the Proposed Transaction or another initial business combination.</w:t>
      </w:r>
    </w:p>
    <w:p>
      <w:pPr>
        <w:spacing w:after="0" w:line="275" w:lineRule="exact"/>
        <w:rPr>
          <w:sz w:val="20"/>
          <w:szCs w:val="20"/>
          <w:color w:val="auto"/>
        </w:rPr>
      </w:pPr>
    </w:p>
    <w:p>
      <w:pPr>
        <w:ind w:left="120" w:right="840"/>
        <w:spacing w:after="0" w:line="282" w:lineRule="auto"/>
        <w:rPr>
          <w:sz w:val="20"/>
          <w:szCs w:val="20"/>
          <w:color w:val="auto"/>
        </w:rPr>
      </w:pPr>
      <w:r>
        <w:rPr>
          <w:rFonts w:ascii="Arial" w:cs="Arial" w:eastAsia="Arial" w:hAnsi="Arial"/>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66"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300" w:lineRule="exact"/>
        <w:rPr>
          <w:sz w:val="20"/>
          <w:szCs w:val="20"/>
          <w:color w:val="auto"/>
        </w:rPr>
      </w:pPr>
    </w:p>
    <w:p>
      <w:pPr>
        <w:ind w:left="120" w:right="420"/>
        <w:spacing w:after="0" w:line="266" w:lineRule="auto"/>
        <w:rPr>
          <w:sz w:val="20"/>
          <w:szCs w:val="20"/>
          <w:color w:val="auto"/>
        </w:rPr>
      </w:pPr>
      <w:r>
        <w:rPr>
          <w:rFonts w:ascii="Arial" w:cs="Arial" w:eastAsia="Arial" w:hAnsi="Arial"/>
          <w:sz w:val="18"/>
          <w:szCs w:val="18"/>
          <w:b w:val="1"/>
          <w:bCs w:val="1"/>
          <w:color w:val="auto"/>
        </w:rPr>
        <w:t>Compliance obligations under the Sarbanes-Oxley Act may make it more difficult for us to effectuate the Proposed Transaction or another initial business combination, require substantial financial and management resources, and increase the time and costs of completing the Proposed Transaction or another initial business combination.</w:t>
      </w:r>
    </w:p>
    <w:p>
      <w:pPr>
        <w:spacing w:after="0" w:line="180"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such as Bakkt with which we seek to complete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86"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Proposed Transaction, or another target business with which we seek to complete another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 including the Proposed Transaction.</w:t>
      </w:r>
    </w:p>
    <w:p>
      <w:pPr>
        <w:spacing w:after="0" w:line="291"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The Proposed Transaction or another initial business combination and our structure thereafter may not be tax-efficient to our shareholders and warrant holders. As a result of the Proposed Transaction or such other business combination, our tax obligations may be more complex, burdensome and uncertain.</w:t>
      </w:r>
    </w:p>
    <w:p>
      <w:pPr>
        <w:spacing w:after="0" w:line="180"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Although we have attempted to structure the Proposed Transaction, and would attempt to structure another initial business combination in a tax-efficient manner, tax structuring considerations are complex, the relevant facts and law are uncertain and may change, and we may prioritize commercial and other considerations over tax considerations. For example, in connection with our initial business combination and subject to any requisite shareholder approval, we may structure our business combination in a manner that requires shareholders and/or warrant holders to recognize gain or income for tax purposes, effect a business combination with a target company in another jurisdiction, or reincorporate in a different jurisdiction (including, but not limited to, the jurisdiction in which the target company or business is located). We do not intend to make any cash distributions to shareholders or warrant holders to pay taxes in connection with the Proposed Transaction, another business combination or thereafter. Accordingly, a shareholder or a warrant holder may need to satisfy any liability resulting from the Proposed Transaction or such other initial business combination with cash from its own funds or by selling all or a portion of the shares received. In addition, shareholders and warrant holders may also be subject to additional income, withholding or other taxes with respect to their ownership of us after our initial business combination.</w:t>
      </w:r>
    </w:p>
    <w:p>
      <w:pPr>
        <w:spacing w:after="0" w:line="16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In addition, we may effect a business combination with a target company that has business operations outside of the United States, and possibly, business operations in multiple jurisdictions. If we effect such a business combination, we could be subject to significant income, withholding and other tax obligations in a number of jurisdictions with respect to income, operations and subsidiaries related to those jurisdictions. Due to the complexity of tax obligations and filings in other jurisdictions, we may have a heightened risk related to audits or examinations by U.S. federal, state, local and non-U.S. taxing authorities. This additional complexity and risk could have an adverse effect on our after-tax profitability and financial condition.</w:t>
      </w:r>
    </w:p>
    <w:p>
      <w:pPr>
        <w:spacing w:after="0" w:line="265"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b w:val="1"/>
          <w:bCs w:val="1"/>
          <w:color w:val="auto"/>
        </w:rPr>
        <w:t>We may engage one or more of our underwriters or one of their respective affiliates to provide additional services to us, which may include acting as financial advisor in connection with the Proposed Transaction or another initial business combination or as placement agent in connection with a related financing transaction. Our underwriters are entitled to receive deferred commissions that will released from the trust only on a completion of the Proposed Transaction or another initial business combination. These financial incentives may cause them to have potential conflicts of interest in rendering any such additional services to us, including, for example, in connection with the sourcing and consummation of the Proposed Transaction or another initial business combination.</w:t>
      </w:r>
    </w:p>
    <w:p>
      <w:pPr>
        <w:spacing w:after="0" w:line="17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may engage one or more of our underwriters or one of their respective affiliates to provide additional services to us, including, for example, identifying potential targets, providing financial advisory services, acting as a placement agent in a private offering or arranging debt financing. We may pay such underwriter or its affiliate fair and reasonable fees or other compensation that would be determined at that time in an arm’s length negotiation. The underwriters are also entitled to receive deferred commissions that are conditioned on the completion of the Proposed Transaction or another initial business combination.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and consummation of the Proposed Transaction or another initial business combination.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Post-Business Combination Company</w:t>
      </w:r>
    </w:p>
    <w:p>
      <w:pPr>
        <w:spacing w:after="0" w:line="225" w:lineRule="exact"/>
        <w:rPr>
          <w:sz w:val="20"/>
          <w:szCs w:val="20"/>
          <w:color w:val="auto"/>
        </w:rPr>
      </w:pPr>
    </w:p>
    <w:p>
      <w:pPr>
        <w:ind w:left="120" w:right="80"/>
        <w:spacing w:after="0" w:line="289" w:lineRule="auto"/>
        <w:rPr>
          <w:sz w:val="20"/>
          <w:szCs w:val="20"/>
          <w:color w:val="auto"/>
        </w:rPr>
      </w:pPr>
      <w:r>
        <w:rPr>
          <w:rFonts w:ascii="Arial" w:cs="Arial" w:eastAsia="Arial" w:hAnsi="Arial"/>
          <w:sz w:val="17"/>
          <w:szCs w:val="17"/>
          <w:b w:val="1"/>
          <w:bCs w:val="1"/>
          <w:color w:val="auto"/>
        </w:rPr>
        <w:t>Subsequent to our completion of the Proposed Transaction or another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Even if we conduct due diligence on a target business with which we combine, as we have done on Bakkt in connection with the Proposed Transaction, we cannot assure you that this diligence will identify all material issues that may be present with a Bakkt or another target business, that it would be possible to uncover all material issues through a customary amount of due diligence, or that factors outside of Bakkt or another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Proposed Transaction or other initial business combination or thereafter. Accordingly, any shareholders who choose to remain shareholders or following the Proposed Transaction or other business combination could suffer a reduction in the value of their securities. Such shareholders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or tender offer documents, as applicable, relating to the Proposed Transaction or other business combination contained an actionable material misstatement or material omission.</w:t>
      </w:r>
    </w:p>
    <w:p>
      <w:pPr>
        <w:spacing w:after="0" w:line="271"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b w:val="1"/>
          <w:bCs w:val="1"/>
          <w:color w:val="auto"/>
        </w:rPr>
        <w:t>The officers and directors of Bakkt, or another acquisition candidate, may resign upon completion of the Proposed Transaction or another initial business combination. The loss of Bakkt’s or another business combination target’s key personnel could negatively impact the operations and profitability of our post-combination business.</w:t>
      </w:r>
    </w:p>
    <w:p>
      <w:pPr>
        <w:spacing w:after="0" w:line="180"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The role of Bakkt’s or another acquisition candidate’s key personnel upon the completion of the Proposed Transaction or another initial business combination cannot be ascertained at this time. Although we contemplate that certain members of Bakkt’s or another acquisition candidate’s management team will remain associated with Bakkt or such other acquisition candidate following the Proposed Transaction or other initial business combination, it is possible that members of the management of Bakkt or such other acquisition candidate will not wish to remain in place.</w:t>
      </w:r>
    </w:p>
    <w:p>
      <w:pPr>
        <w:spacing w:after="0" w:line="261" w:lineRule="exact"/>
        <w:rPr>
          <w:sz w:val="20"/>
          <w:szCs w:val="20"/>
          <w:color w:val="auto"/>
        </w:rPr>
      </w:pPr>
    </w:p>
    <w:p>
      <w:pPr>
        <w:ind w:left="120" w:right="380"/>
        <w:spacing w:after="0" w:line="266" w:lineRule="auto"/>
        <w:rPr>
          <w:sz w:val="20"/>
          <w:szCs w:val="20"/>
          <w:color w:val="auto"/>
        </w:rPr>
      </w:pPr>
      <w:r>
        <w:rPr>
          <w:rFonts w:ascii="Arial" w:cs="Arial" w:eastAsia="Arial" w:hAnsi="Arial"/>
          <w:sz w:val="18"/>
          <w:szCs w:val="18"/>
          <w:b w:val="1"/>
          <w:bCs w:val="1"/>
          <w:color w:val="auto"/>
        </w:rPr>
        <w:t>Our management may not maintain control of Bakkt after the Proposed Transaction or a different target business following another initial business combination. We cannot provide assurance that, upon loss of control of Bakkt or another target business, new management will possess the skills, qualifications or abilities necessary to profitably operate such business.</w:t>
      </w:r>
    </w:p>
    <w:p>
      <w:pPr>
        <w:spacing w:after="0" w:line="180"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Although the Proposed Transaction is structured so that the post-transaction company in which our public shareholders own shares will own 100% of the equity interests of the target, if we do not complete the Proposed Transaction, we may structure another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50% or more of the voting securities of the target, our shareholders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maintain control of the target business. If the Proposed Transaction is completed, our shareholders immediately prior to such transaction will own less than a majority of the post-business combination enity’s outstanding shares subsequent to such transaction.</w:t>
      </w:r>
    </w:p>
    <w:p>
      <w:pPr>
        <w:spacing w:after="0" w:line="285"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Bakkt or another prospective target business and, as a result, may effect the Proposed Transaction or another initial business combination with a target business whose management may not have the skills, qualifications or abilities to manage a public company.</w:t>
      </w:r>
    </w:p>
    <w:p>
      <w:pPr>
        <w:spacing w:after="0" w:line="18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When evaluating the desirability of effecting the Proposed Transaction or another initial business combination with a prospective target business, our ability to assess Bakkt’s or such othertarget business’s management may be limited due to a lack of time, resources or information. Our assessment of the capabilities of Bakkt’s or such othertarget business’s management, therefore, may prove to be incorrect and such management may lack the skills, qualifications or abilities we suspected. Should Bakkt’s or such other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Proposed Transaction or other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Proposed Transaction or other initial business combination contained an actionable material misstatement or material omission.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Being an Entity Formed in a Foreign Country and Acquiring and Operating a Business in Foreign Countries</w:t>
      </w:r>
    </w:p>
    <w:p>
      <w:pPr>
        <w:spacing w:after="0" w:line="225"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166"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86"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68"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28"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Although Bakkt is located in the United States, if we do not complete the Proposed Transaction and instead effect our initial business combination with a company located outside of the United States, we would be subject to a variety of additional risks that may adversely affect us.</w:t>
      </w:r>
    </w:p>
    <w:p>
      <w:pPr>
        <w:spacing w:after="0" w:line="18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Although Bakkt is located in the United States, if we do not complete the Proposed Transaction and instead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87"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76"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30" w:lineRule="exact"/>
        <w:rPr>
          <w:rFonts w:ascii="Arial" w:cs="Arial" w:eastAsia="Arial" w:hAnsi="Arial"/>
          <w:sz w:val="18"/>
          <w:szCs w:val="18"/>
          <w:color w:val="auto"/>
        </w:rPr>
      </w:pPr>
    </w:p>
    <w:p>
      <w:pPr>
        <w:ind w:left="5540" w:right="4020" w:hanging="4992"/>
        <w:spacing w:after="0" w:line="449" w:lineRule="auto"/>
        <w:tabs>
          <w:tab w:leader="none" w:pos="10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 39</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288"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Following the Proposed Transaction or another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292" w:lineRule="exact"/>
        <w:rPr>
          <w:sz w:val="20"/>
          <w:szCs w:val="20"/>
          <w:color w:val="auto"/>
        </w:rPr>
      </w:pPr>
    </w:p>
    <w:p>
      <w:pPr>
        <w:ind w:left="120" w:right="100"/>
        <w:spacing w:after="0" w:line="261" w:lineRule="auto"/>
        <w:rPr>
          <w:sz w:val="20"/>
          <w:szCs w:val="20"/>
          <w:color w:val="auto"/>
        </w:rPr>
      </w:pPr>
      <w:r>
        <w:rPr>
          <w:rFonts w:ascii="Arial" w:cs="Arial" w:eastAsia="Arial" w:hAnsi="Arial"/>
          <w:sz w:val="18"/>
          <w:szCs w:val="18"/>
          <w:b w:val="1"/>
          <w:bCs w:val="1"/>
          <w:color w:val="auto"/>
        </w:rPr>
        <w:t>If we do not complete the Proposed Transaction, and instead complete another initial business combination, substantially all of our assets may be located in a foreign country and substantially all of our revenue may be derived from our operations in such country. Accordingly, our results of operations and prospects may be subject, to a significant extent, to the economic, political and legal policies, developments and conditions in the country in which we operate.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8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Exchange rate fluctuations and currency policies may cause a target business’ ability to succeed in the international markets to be diminished.</w:t>
      </w:r>
    </w:p>
    <w:p>
      <w:pPr>
        <w:spacing w:after="0" w:line="252"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299"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66"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261"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We are subject to changing law and regulations regarding regulatory matters, corporate governance and public disclosure that have increased both our costs and the risk of non-compliance.</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employ a mail forwarding service, which may delay or disrupt our ability to receive mail in a timely manner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Mail addressed to the Company and received at its registered office will be forwarded unopened to the forwarding address supplied by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 which may impair your ability to communicate with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dependent upon our officers and directors and their loss could adversely affect our ability to operate.</w:t>
      </w:r>
    </w:p>
    <w:p>
      <w:pPr>
        <w:spacing w:after="0" w:line="22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Our operations are dependent upon a relatively small group of individuals and, in particular, our officers and directors. We believe that our success depends on the continued service of our officers and directors, at least until we have completed The Proposed Transaction or another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officers could have a detrimental effect on us.</w:t>
      </w:r>
    </w:p>
    <w:p>
      <w:pPr>
        <w:spacing w:after="0" w:line="268" w:lineRule="exact"/>
        <w:rPr>
          <w:sz w:val="20"/>
          <w:szCs w:val="20"/>
          <w:color w:val="auto"/>
        </w:rPr>
      </w:pPr>
    </w:p>
    <w:p>
      <w:pPr>
        <w:ind w:left="120" w:right="160"/>
        <w:spacing w:after="0" w:line="314" w:lineRule="auto"/>
        <w:rPr>
          <w:sz w:val="20"/>
          <w:szCs w:val="20"/>
          <w:color w:val="auto"/>
        </w:rPr>
      </w:pPr>
      <w:r>
        <w:rPr>
          <w:rFonts w:ascii="Arial" w:cs="Arial" w:eastAsia="Arial" w:hAnsi="Arial"/>
          <w:sz w:val="16"/>
          <w:szCs w:val="16"/>
          <w:b w:val="1"/>
          <w:bCs w:val="1"/>
          <w:color w:val="auto"/>
        </w:rPr>
        <w:t>Our ability to successfully effect the Proposed Transaction or another initial business combination and to be successful thereafter will be dependent upon the efforts of our key personnel, some of whom may join us following the Proposed Transaction or such other initial business combination. The loss of key personnel could negatively impact the operations and profitability of our post-combination business.</w:t>
      </w:r>
    </w:p>
    <w:p>
      <w:pPr>
        <w:spacing w:after="0" w:line="146"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ability to successfully effect the Proposed Transaction or another initial business combination is dependent upon the efforts of our key personnel. The role of our key personnel in, Bakkt or such other the target business, however, cannot presently be ascertained. Although some of our key personnel may remain with Bakkt or such other target business in senior management or advisory positions following the Proposed Transaction or such other initial business combination, it is likely that some or all of the management of Bakkt or such other the target business will remain in place. While we intend to closely scrutinize any individuals we engage after the Proposed Transaction or such other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270"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the Proposed Transaction or another initial business combination.</w:t>
      </w:r>
    </w:p>
    <w:p>
      <w:pPr>
        <w:spacing w:after="0" w:line="180"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including the Proposed Transaction, and their other businesses. We do not intend to have any full-time employees prior to the completion of the Proposed Transaction or another initial business combination. Each of our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the Proposed Transaction or another initial business combination.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86"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347" w:lineRule="auto"/>
        <w:rPr>
          <w:sz w:val="20"/>
          <w:szCs w:val="20"/>
          <w:color w:val="auto"/>
        </w:rPr>
      </w:pPr>
      <w:r>
        <w:rPr>
          <w:rFonts w:ascii="Arial" w:cs="Arial" w:eastAsia="Arial" w:hAnsi="Arial"/>
          <w:sz w:val="16"/>
          <w:szCs w:val="16"/>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20"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Until we consummate the Proposed Transaction or another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entities.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such potential conflicts would materially affect our ability to complete the Proposed Transaction or another initial business combination.</w:t>
      </w:r>
    </w:p>
    <w:p>
      <w:pPr>
        <w:spacing w:after="0" w:line="16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25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officers, although we do not intend to do so, Bakkt is not affiliated with our sponsor, our directors or officers.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9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including Bakkt, may have or may in the future, result in a conflict of interest when determining whether the terms, conditions and timing of a particular business combination, including the Proposed Transaction,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officers.</w:t>
      </w:r>
    </w:p>
    <w:p>
      <w:pPr>
        <w:spacing w:after="0" w:line="22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the Proposed Transaction or another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Securities</w:t>
      </w:r>
    </w:p>
    <w:p>
      <w:pPr>
        <w:spacing w:after="0" w:line="225"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66"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and on the conditions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September 25, 2022 or (B) with respect to any other material provisions relating to shareholders’ rights or pre-initial business combination activity, and</w:t>
      </w:r>
    </w:p>
    <w:p>
      <w:pPr>
        <w:spacing w:after="0" w:line="4" w:lineRule="exact"/>
        <w:rPr>
          <w:sz w:val="20"/>
          <w:szCs w:val="20"/>
          <w:color w:val="auto"/>
        </w:rPr>
      </w:pPr>
    </w:p>
    <w:p>
      <w:pPr>
        <w:ind w:left="120" w:right="20" w:hanging="4"/>
        <w:spacing w:after="0" w:line="251" w:lineRule="auto"/>
        <w:tabs>
          <w:tab w:leader="none" w:pos="4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of our public shares if we are unable to complete an initial business combination by September 25, 2022, subject to applicable law and as further described herein. In addition, if our plan to redeem our public shares if we are unable to complete an initial business combination by September 25, 2022 is not completed for any reason, compliance with Cayman Islands law may require that we submit a plan of dissolution to our then-existing shareholders for approval prior to the distribution of the proceeds held in our trust account. In that case, public shareholders may be forced to wait beyond 24 months from the closing of the initial public offering before they receive funds from our trust account.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302" w:lineRule="exact"/>
        <w:rPr>
          <w:sz w:val="20"/>
          <w:szCs w:val="20"/>
          <w:color w:val="auto"/>
        </w:rPr>
      </w:pPr>
    </w:p>
    <w:p>
      <w:pPr>
        <w:ind w:left="120" w:right="240"/>
        <w:spacing w:after="0" w:line="266" w:lineRule="auto"/>
        <w:rPr>
          <w:sz w:val="20"/>
          <w:szCs w:val="20"/>
          <w:color w:val="auto"/>
        </w:rPr>
      </w:pPr>
      <w:r>
        <w:rPr>
          <w:rFonts w:ascii="Arial" w:cs="Arial" w:eastAsia="Arial" w:hAnsi="Arial"/>
          <w:sz w:val="18"/>
          <w:szCs w:val="18"/>
          <w:b w:val="1"/>
          <w:bCs w:val="1"/>
          <w:color w:val="auto"/>
        </w:rPr>
        <w:t>The securities in which we invest the proceeds held in the trust account could bear a negative rate of interest, which could reduce the interest income available for payment of taxes or reduce the value of the assets held in trust such that the per share redemption amount received by shareholders may be less than $10.00 per share.</w:t>
      </w:r>
    </w:p>
    <w:p>
      <w:pPr>
        <w:spacing w:after="0" w:line="18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net proceeds of the initial public offering and certain proceeds from the sale of the private placement warrants, in the amount of $207,372,020, are held in an interest-bearing trust account. The proceeds held in the trust account may only be invested in direct U.S. Treasury obligations having a maturity of 185 days or less, or in certain money market funds which invest only in direct U.S.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withdraw to pay income taxes, if any) would be reduced. In the event that we are unable to complete our initial business combination, our public shareholders are entitled to receive their pro-rata share of the proceeds held in the trust account, plus any interest income. If the balance of the trust account is reduced below $207,372,020 as a result of negative interest rates, the amount of funds in the trust account available for distribution to our public shareholders may be reduced below $10.00 per share.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Nasdaq may delist our securities from trading on its exchange, which could limit investors’ ability to make transactions in our securities and subject us to additional trading restrictions.</w:t>
      </w:r>
    </w:p>
    <w:p>
      <w:pPr>
        <w:spacing w:after="0" w:line="16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cannot assure you that our securities will be, or will continue to be, listed on the Nasdaq in the future or prior to our initial business combination. In order to continue listing our securities on the Nasdaq prior to our initial business combination, we must maintain certain financial, distribution and share price levels. Generally, we must maintain a minimum amount in Shareholders’ equity (generally $2,500,000) and a minimum number of holders of our securities (generally 300 public holders). Additionally, in connection with our initial business combination, we will be required to demonstrate compliance with the Nasdaq’s initial listing requirements, which are more rigorous than the Nasdaq’s continued listing requirements, in order to continue to maintain the listing of our securities on the Nasdaq. For instance, our share price would generally be required to be at least $4.00 per share and our Shareholders’ equity would generally be required to be at least $5.0 million. We cannot assure you that we will be able to meet those initial listing requirements at that time.</w:t>
      </w:r>
    </w:p>
    <w:p>
      <w:pPr>
        <w:spacing w:after="0" w:line="192"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If the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080" w:right="200" w:hanging="532"/>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Nasdaq,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Nasdaq, our securities would not qualify as covered securities under the statute and we would be subject to regulation in each state in which we offer our securities.</w:t>
      </w:r>
    </w:p>
    <w:p>
      <w:pPr>
        <w:spacing w:after="0" w:line="270"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166"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on an as-converted basis, 20% of the total number of Class A ordinary shares outstanding after such conversion (after giving effect to any redemptions of Class A ordinary shares by public shareholders), including the total number of Class A ordinary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or rights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conversion of founder shares will never occur on a less than one-for-one basis. This is different than some other similarly structured special purpose acquisition companies in which the initial shareholders will only be issued an aggregate of 20% of the total number of shares to be outstanding prior to our initial business combination.</w:t>
      </w:r>
    </w:p>
    <w:p>
      <w:pPr>
        <w:spacing w:after="0" w:line="299"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80"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the initial public offering without our prior consent, which we refer to as the “Excess Shares.”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72" w:lineRule="exact"/>
        <w:rPr>
          <w:sz w:val="20"/>
          <w:szCs w:val="20"/>
          <w:color w:val="auto"/>
        </w:rPr>
      </w:pPr>
    </w:p>
    <w:p>
      <w:pPr>
        <w:jc w:val="both"/>
        <w:ind w:left="120" w:right="80"/>
        <w:spacing w:after="0" w:line="347" w:lineRule="auto"/>
        <w:rPr>
          <w:sz w:val="20"/>
          <w:szCs w:val="20"/>
          <w:color w:val="auto"/>
        </w:rPr>
      </w:pPr>
      <w:r>
        <w:rPr>
          <w:rFonts w:ascii="Arial" w:cs="Arial" w:eastAsia="Arial" w:hAnsi="Arial"/>
          <w:sz w:val="16"/>
          <w:szCs w:val="16"/>
          <w:b w:val="1"/>
          <w:bCs w:val="1"/>
          <w:color w:val="auto"/>
        </w:rPr>
        <w:t>Provisions in our amended and restated certificate memorandum and articles of association and Cayman Islands law may inhibit a takeover of us, which could limit the price investors might be willing to pay in the future for our Class A ordinary shares and could entrench management.</w:t>
      </w:r>
    </w:p>
    <w:p>
      <w:pPr>
        <w:spacing w:after="0" w:line="12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Our amended and restated memorandum and articles of association contains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275" w:lineRule="exact"/>
        <w:rPr>
          <w:sz w:val="20"/>
          <w:szCs w:val="20"/>
          <w:color w:val="auto"/>
        </w:rPr>
      </w:pPr>
    </w:p>
    <w:p>
      <w:pPr>
        <w:jc w:val="both"/>
        <w:ind w:left="120" w:right="20"/>
        <w:spacing w:after="0" w:line="314" w:lineRule="auto"/>
        <w:rPr>
          <w:sz w:val="20"/>
          <w:szCs w:val="20"/>
          <w:color w:val="auto"/>
        </w:rPr>
      </w:pPr>
      <w:r>
        <w:rPr>
          <w:rFonts w:ascii="Arial" w:cs="Arial" w:eastAsia="Arial" w:hAnsi="Arial"/>
          <w:sz w:val="16"/>
          <w:szCs w:val="16"/>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14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(a) the terms of the warrants may be amended without the consent of any holder for the purpose of curing any ambiguity, to correct any defective provision or mistake, including to conform the provisions of the warrant agreement to the description of the terms of the warrants and the warrant agreement set forth in the prospects for the Company’s initial public offering, (ii) adjusting the provisions relating to cash dividends on ordinary shares as contemplated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 xml:space="preserve">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w:t>
      </w:r>
      <w:r>
        <w:rPr>
          <w:rFonts w:ascii="Arial" w:cs="Arial" w:eastAsia="Arial" w:hAnsi="Arial"/>
          <w:sz w:val="16"/>
          <w:szCs w:val="16"/>
          <w:i w:val="1"/>
          <w:iCs w:val="1"/>
          <w:color w:val="auto"/>
        </w:rPr>
        <w:t>provided that</w:t>
      </w:r>
      <w:r>
        <w:rPr>
          <w:rFonts w:ascii="Arial" w:cs="Arial" w:eastAsia="Arial" w:hAnsi="Arial"/>
          <w:sz w:val="16"/>
          <w:szCs w:val="16"/>
          <w:color w:val="auto"/>
        </w:rPr>
        <w:t>, the approval of the holders of at least 50% of the then-outstanding public warrants is required to make any change that adversely affects</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Class A ordinary shares purchasable upon exercise of a warrant.</w:t>
      </w:r>
    </w:p>
    <w:p>
      <w:pPr>
        <w:spacing w:after="0" w:line="269"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62"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5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8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 provision of our warrant agreement may make it more difficult for us to consummate the Proposed Transaction or another business combination.</w:t>
      </w:r>
    </w:p>
    <w:p>
      <w:pPr>
        <w:spacing w:after="0" w:line="260"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If (i) we issue additional ordinary shares or equity-linked securities for capital raising purposes in connection with the closing of our initial business combination at a Newly Issued Price of less than $9.20 per Class A ordinary share, (ii) the aggregate gross proceeds from such issuances represent more than 60% of the total equity proceeds, and interest thereon, available for the funding of our initial business combination, and (iii) the Market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86"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Value of our Class A ordinary shares is below $9.20 per share, then the exercise price of the warrants will be adjusted (to the nearest cent) to be equal to 115% of the higher of the Market Value and the Newly Issued Price, and the $18.00 per share redemption trigger prices described below under “Description of Securities—Warrants—Public Warrants—Redemption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below under “Description of Securities—Warrants—Public Warrants—Redemption of warrants when the price per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282"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166"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 xml:space="preserve">We have the ability to redeem outstanding warrants at any time after they become exercisable and prior to their expiration, at a price of $0.01 per warrant,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our Class A ordinary shares equals or exceeds $18.00 per share (as adjusted for share sub-divisions, share capitalizations, reorganizations, recapitalizations and the like) for any 20 trading days within a 30 trading-day period ending on the third trading day prior to the date on which we give proper notice of such redemption to the warrant holders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certain other conditions are met. We will not redeem the warrants unless an effective registration statement under the Securities Act covering the Class A ordinary shares issuable upon exercise of the warrants is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w:t>
      </w:r>
    </w:p>
    <w:p>
      <w:pPr>
        <w:spacing w:after="0" w:line="17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closing price of our Class A ordinary shares equals or exceeds $10.00 per share (as adjusted for adjustments to the number of shares issuable upon exercise or the exercise price of a warrant as described under the heading “—Warrants—Public Warrants—Redemption Procedures—Anti-dilution Adjustments” in Exhibit 4.5 filed herewith for any 20 trading days within a 30 trading-day period ending on the third trading day prior to proper notice of such redemption and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other conditions are met, including that holders will be able to exercise their warrants prior to redemption for a number of Class A ordinary shares determined based on the redemption date and the fair market value of our Class A ordinary shares. The value received upon exercise of the warrants (1) may be less than the value the holders would have received if they had been able to exercise their warrants at a later time at which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 None of the private placement warrants will be redeemable by us so long as they are held by our sponsor or its permitted transferees.</w:t>
      </w:r>
    </w:p>
    <w:p>
      <w:pPr>
        <w:spacing w:after="0" w:line="276" w:lineRule="exact"/>
        <w:rPr>
          <w:sz w:val="20"/>
          <w:szCs w:val="20"/>
          <w:color w:val="auto"/>
        </w:rPr>
      </w:pPr>
    </w:p>
    <w:p>
      <w:pPr>
        <w:ind w:left="120" w:right="900"/>
        <w:spacing w:after="0" w:line="282" w:lineRule="auto"/>
        <w:rPr>
          <w:sz w:val="20"/>
          <w:szCs w:val="20"/>
          <w:color w:val="auto"/>
        </w:rPr>
      </w:pPr>
      <w:r>
        <w:rPr>
          <w:rFonts w:ascii="Arial" w:cs="Arial" w:eastAsia="Arial" w:hAnsi="Arial"/>
          <w:sz w:val="18"/>
          <w:szCs w:val="18"/>
          <w:b w:val="1"/>
          <w:bCs w:val="1"/>
          <w:color w:val="auto"/>
        </w:rPr>
        <w:t>You will not be permitted to exercise your warrants unless we register and qualify the underlying Class A ordinary shares or certain exemptions are available.</w:t>
      </w:r>
    </w:p>
    <w:p>
      <w:pPr>
        <w:spacing w:after="0" w:line="16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the issuance of the Class A ordinary shares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ordinary shares included in the units.</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15 business days, after the closing the Proposed Transaction or another initial business combination, we will use our best efforts to file with the SEC a registration statement covering the registration under the Securities Act of the Class A ordinary shares issuable upon exercise of the warrants and thereafter will use our best efforts to cause the same to become effective within 60 business days following the Proposed Transaction or other initial business combination and to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66"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If the Class A ordinary shares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our Class A ordinary shares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7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288"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You may only be able to exercise your public warrants on a “cashless basis” under certain circumstances, and if you do so, you will receive fewer Class A ordinary shares from such exercise than if you were to exercise such warrants for cash.</w:t>
      </w:r>
    </w:p>
    <w:p>
      <w:pPr>
        <w:spacing w:after="0" w:line="16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Class A ordinary shares issuable upon exercise of the warrants are not registered under the Securities Act in accordance with the terms of the warrant agreement; (ii) if we have so elected and the Class A ordinary shares are at the time of any exercise of a warrant not listed on a national securities exchange such that they satisfy the definition of “covered securities” under Section 18(b)(1) of the Securities Act and (iii) if we have so elected and we call the public warrants for redemption. If you</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exercise your public warrants on a cashless basis under the circumstances described in clauses (i) and (ii) in the preceding sentence, you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our Class A ordinary shares (as defined in the next sentence) over the exercise price of the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 As a result, you would receive fewer Class A ordinary shares from such exercise than if you were to exercise such warrants for cash.</w:t>
      </w:r>
    </w:p>
    <w:p>
      <w:pPr>
        <w:spacing w:after="0" w:line="281"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The grant of registration rights to our initial shareholders and holders of our private placement warrants may make it more difficult to complete our initial business combination, and the future exercise of such rights may adversely affect the market price of our Class A ordinary shares.</w:t>
      </w:r>
    </w:p>
    <w:p>
      <w:pPr>
        <w:spacing w:after="0" w:line="18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and upon conversion of the founder shares) are entitled to registration rights pursuant to a registration rights agreement requiring us to register such securities and any other securities of the company acquired by them prior to the consummation of our initial business combination for resale.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holders of our private placement warrants or holders of our working capital loans or their respective permitted transferees are registered.</w:t>
      </w:r>
    </w:p>
    <w:p>
      <w:pPr>
        <w:spacing w:after="0" w:line="168"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In addition, the Merger Agreement contemplates that, at the Closing, the Sponsor, the Company, Bakkt equity holders and certain of their respective affiliates will enter into the Registration Rights Agreement, pursuant to which the Company will agree to register for resale, pursuant to Rule 415 under the Securities Act, certain of the Company’s shares of Class A common stock and warrants that are held by the parties thereto from time to time. This Registration Rights Agreement will terminate and replace the existing registration rights agreement currently in place between the Company, the Sponsor and certain of their respective affiliates. Each of the Stockholders (as defined in the Registration Rights Agreement) and their respective transferees will be entitled to request to sell all or a portion of their registrable securities in underwritten shelf takedown offerings, in each case subject to certain offering thresholds, applicable lock-up restrictions, issuer suspension periods and certain other conditions. Demanding Holders (as defined in the Registration Rights Agreement) are limited to three demand underwritten offerings for the term of the Registration Rights Agreement. In addition, the Stockholders (as defined in the Registration Rights Agreement) have certain “piggy-back” registration rights, subject to customary underwriter cutbacks, issuer suspension periods and certain other conditions. The Registration Rights Agreement includes customary indemnification provisions. The Company will bear the expenses incurred in connection with the filing of any registration statements filed pursuant to the terms of the Registration Rights Agreement, including the fees of one legal counsel to each of the Stockholders (as defined in the Registration Rights Agreement).</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86"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Our warrants may have an adverse effect on the market price of our Class A ordinary shares and make it more difficult to effectuate our initial business combination.</w:t>
      </w:r>
    </w:p>
    <w:p>
      <w:pPr>
        <w:spacing w:after="0" w:line="166"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issued warrants to purchase 10,368,601 of our Class A ordinary shares as part of the units sold in the initial public offering and, simultaneously with the closing of the initial public offering, we issued in a private placement an aggregate of 6,147,440 private placement warrants, each exercisable to purchase one Class A ordinary share at $11.50 per share, subject to adjustment as described herein. In addition, if our sponsor makes any working capital loans it may convert those loans into up to an additional 1,500,000 private placement warrants, at the price of $1.00 per warrant. To the extent we issue ordinary shares to effectuate a business transaction,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69"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Because each unit contains one-half of one warrant and only a whole warrant may be exercised, the units may be worth less than units of other special purpose acquisition companies.</w:t>
      </w:r>
    </w:p>
    <w:p>
      <w:pPr>
        <w:spacing w:after="0" w:line="16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166"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are a blank check company incorporated as a Cayman Islands exempted company with no operating results, and we will not commence operations until obtaining funding through the initial public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80" w:lineRule="exact"/>
        <w:rPr>
          <w:sz w:val="20"/>
          <w:szCs w:val="20"/>
          <w:color w:val="auto"/>
        </w:rPr>
      </w:pPr>
    </w:p>
    <w:p>
      <w:pPr>
        <w:ind w:left="120" w:right="320"/>
        <w:spacing w:after="0" w:line="347" w:lineRule="auto"/>
        <w:rPr>
          <w:sz w:val="20"/>
          <w:szCs w:val="20"/>
          <w:color w:val="auto"/>
        </w:rPr>
      </w:pPr>
      <w:r>
        <w:rPr>
          <w:rFonts w:ascii="Arial" w:cs="Arial" w:eastAsia="Arial" w:hAnsi="Arial"/>
          <w:sz w:val="16"/>
          <w:szCs w:val="16"/>
          <w:b w:val="1"/>
          <w:bCs w:val="1"/>
          <w:color w:val="auto"/>
        </w:rPr>
        <w:t>Past performance by our management team and their affiliates, including investments and transactions in which they have participated and businesses with which they have been associated, may not be indicative of future performance of an investment in the Company.</w:t>
      </w:r>
    </w:p>
    <w:p>
      <w:pPr>
        <w:spacing w:after="0" w:line="120"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Information regarding our management team and their affiliates, including investments and transactions in which they have participated and businesses with which they have been associated, is presented for informational purposes only. Any past experience and performance by our management team and their affiliates and the businesses with which they have been associated, is not a guarantee that we have or will be able to successfully identify a suitable candidate for our initial business combination, that we will be able to provide positive returns to our shareholders, or of any results with respect to the Proposed Transaction or any other initial business combination we may consummate. You should not rely on the historical experiences of our management team and their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or their affiliates. The market price of our securities may be influenced by numerous factors, many of which are beyond our control, and our securityholders may experience losses on their investment in our securities.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86"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24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68" w:lineRule="exact"/>
        <w:rPr>
          <w:sz w:val="20"/>
          <w:szCs w:val="20"/>
          <w:color w:val="auto"/>
        </w:rPr>
      </w:pPr>
    </w:p>
    <w:p>
      <w:pPr>
        <w:ind w:left="120" w:right="40"/>
        <w:spacing w:after="0" w:line="314" w:lineRule="auto"/>
        <w:rPr>
          <w:sz w:val="20"/>
          <w:szCs w:val="20"/>
          <w:color w:val="auto"/>
        </w:rPr>
      </w:pPr>
      <w:r>
        <w:rPr>
          <w:rFonts w:ascii="Arial" w:cs="Arial" w:eastAsia="Arial" w:hAnsi="Arial"/>
          <w:sz w:val="16"/>
          <w:szCs w:val="16"/>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Our warrants are accounted for as liabilities and the changes in value of our warrants could have a material effect on our financial results.</w:t>
      </w:r>
    </w:p>
    <w:p>
      <w:pPr>
        <w:spacing w:after="0" w:line="252"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Staff Statement”). Specifically, the SEC Staff Statement focused on certain settlement terms and provisions related to certain tender offers following a business combination, which terms are similar to those contained in the warrant agreement governing our warrants. As a result of the SEC Staff Statement, we reevaluated the accounting treatment of our 10,368,601 Public Warrants and 6,147,440 Private Placement Warrants, and determined to classify the warrants as derivative liabilities measured at fair value, with changes in fair value each period reported in earnings.</w:t>
      </w:r>
    </w:p>
    <w:p>
      <w:pPr>
        <w:spacing w:after="0" w:line="166" w:lineRule="exact"/>
        <w:rPr>
          <w:sz w:val="20"/>
          <w:szCs w:val="20"/>
          <w:color w:val="auto"/>
        </w:rPr>
      </w:pPr>
    </w:p>
    <w:p>
      <w:pPr>
        <w:ind w:left="120" w:right="180"/>
        <w:spacing w:after="0" w:line="270" w:lineRule="auto"/>
        <w:rPr>
          <w:sz w:val="20"/>
          <w:szCs w:val="20"/>
          <w:color w:val="auto"/>
        </w:rPr>
      </w:pPr>
      <w:r>
        <w:rPr>
          <w:rFonts w:ascii="Arial" w:cs="Arial" w:eastAsia="Arial" w:hAnsi="Arial"/>
          <w:sz w:val="17"/>
          <w:szCs w:val="17"/>
          <w:color w:val="auto"/>
        </w:rPr>
        <w:t>As a result, included on our balance sheet as of December 31, 2020 contained elsewhere in this Annual Report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 The impact of changes in fair value on earnings may have an adverse effect on the market price of our ordinary shares. In addition, potential targets may seek a special purpose acquisition company that does not have warrants that are accounted for as liability, which may make it more difficult for us to consummate an initial business combination with a target business.</w:t>
      </w:r>
    </w:p>
    <w:p>
      <w:pPr>
        <w:spacing w:after="0" w:line="285" w:lineRule="exact"/>
        <w:rPr>
          <w:sz w:val="20"/>
          <w:szCs w:val="20"/>
          <w:color w:val="auto"/>
        </w:rPr>
      </w:pPr>
    </w:p>
    <w:p>
      <w:pPr>
        <w:ind w:left="120" w:right="300"/>
        <w:spacing w:after="0" w:line="312" w:lineRule="auto"/>
        <w:rPr>
          <w:sz w:val="20"/>
          <w:szCs w:val="20"/>
          <w:color w:val="auto"/>
        </w:rPr>
      </w:pPr>
      <w:r>
        <w:rPr>
          <w:rFonts w:ascii="Arial" w:cs="Arial" w:eastAsia="Arial" w:hAnsi="Arial"/>
          <w:sz w:val="17"/>
          <w:szCs w:val="17"/>
          <w:b w:val="1"/>
          <w:bCs w:val="1"/>
          <w:color w:val="auto"/>
        </w:rPr>
        <w:t>We have identified a material weakness in our internal control over financial reporting. This material weakness could continue to adversely affect our ability to report our results of operations and financial condition accurately and in a timely manner.</w:t>
      </w:r>
    </w:p>
    <w:p>
      <w:pPr>
        <w:spacing w:after="0" w:line="14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92"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As described elsewhere in this Annual Report, we identified a material weakness in our internal control over financial reporting related the accounting for complex financial instruments. As a result of this material weakness, our management concluded that our internal control over financial reporting was not effective as of December 31, 2020. The material weakness resulted in a material misstatement of our warrant liabilities, change in fair value of warrant liabilities, Class A Common Stock subject to possible redemption, additional paid-in capital, accumulated deficit, and earnings per share and related financial disclosures as of and for the period ended December 31, 2020 (the “Affected Period”).</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86"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respond to this material weakness, we have devoted significant effort and resources to the remediation and improvement of our internal control over financial reporting, see “Note 2—Restatement of Previously Issued Financial Statements” to the accompanying consolidated financial statements, as well as Part II, Item 9A: Controls and Procedures included in this Annual Report.</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Efforts to remediate this material weakness may not be effective or prevent any future material weakness or significant deficiency in our internal control over financial reporting. If our efforts are not successful or other material weaknesses or control deficiencies occur in the future, we may be unable to report our financial results accurately on a timely basis, which could cause our reported financial results to be materially misstated and result in the loss of investor confidence and cause the market price of our common stock to decline. Ineffective internal controls could also cause investors to lose confidence in our reported financial information, which could have a negative effect on the trading price of our stock.</w:t>
      </w:r>
    </w:p>
    <w:p>
      <w:pPr>
        <w:spacing w:after="0" w:line="176" w:lineRule="exact"/>
        <w:rPr>
          <w:sz w:val="20"/>
          <w:szCs w:val="20"/>
          <w:color w:val="auto"/>
        </w:rPr>
      </w:pPr>
    </w:p>
    <w:p>
      <w:pPr>
        <w:ind w:left="120" w:right="420"/>
        <w:spacing w:after="0" w:line="257" w:lineRule="auto"/>
        <w:rPr>
          <w:sz w:val="20"/>
          <w:szCs w:val="20"/>
          <w:color w:val="auto"/>
        </w:rPr>
      </w:pPr>
      <w:r>
        <w:rPr>
          <w:rFonts w:ascii="Arial" w:cs="Arial" w:eastAsia="Arial" w:hAnsi="Arial"/>
          <w:sz w:val="18"/>
          <w:szCs w:val="18"/>
          <w:color w:val="auto"/>
        </w:rPr>
        <w:t>We can give no assurance that the measures we have taken or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face litigation and other risks as a result of the material weakness in our internal control over financial reporting.</w:t>
      </w:r>
    </w:p>
    <w:p>
      <w:pPr>
        <w:spacing w:after="0" w:line="22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 discussed elsewhere in this Annual Report, we identified a material weakness in our internal controls over financial reporting related the accounting for complex financial instruments.</w:t>
      </w:r>
    </w:p>
    <w:p>
      <w:pPr>
        <w:spacing w:after="0" w:line="17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As a result of such material weakness, the restatement of our financial statements for the Affected Period, the change in accounting for the warrants, the change in classification of the Class A Ordinary Shares, and other matters raised or that may in the future be raised by the SEC, we may face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consolidated financial statements. As of the date of this Annual Report, we have no knowledge of any such litigation or dispute. However, we can provide no assurance that such litigation or dispute will not arise in the future. Any such litigation or dispute, whether successful or not, could have a material adverse effect on our business and results of operations and financial condition.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executive offices are located at 150 North Riverside Plaza, Suite 5200, Chicago, IL. Our executive offices are provided to us by an affiliate of the Sponsor and we have agreed to pay such affiliate of the Sponsor a total of $10,000 per month for office space, utilities and secretarial and administrative support. We consider our current office space adequate for our current operations.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8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or any of our officers or directors in their corporate capacity.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880"/>
          </w:cols>
          <w:pgMar w:left="320" w:top="486" w:right="6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Our units, Class A ordinary shares and warrants are traded on the Nasdaq Stock Market under the symbols “VIHAU,” “VIH” and “VIHAW,”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of March 19, 2021, there was one holder of record of our units, one holder of record of our Class A ordinary shares and two holders of record of our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If we incur any indebtedness, our ability to declare dividends may be limited by restrictive covenants we may agree to in connection therewith.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22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costs in exchange for 5,750,000 Class B ordinary shares. In September 2020, our Sponsor transferred an aggregate of 60,000 Class B ordinary shares to member of our board of directors, resulting in our Sponsor holding 5,690,000 Class B ordinary shares. Such securities were issued in connection with our organization pursuant to the exemption from registration contained in Section 4(a)(2) of the Securities Act. The number of founder shares issued was determined based on the expectation that the total size of our initial public offering would be a maximum of 23,000,000 units if the underwriters’ over-allotment option was exercised in full and therefore that such founder shares would represent 20% of the outstanding shares after our initial public offering. Up to 750,000 of the founder shares were subject to forfeiture for no consideration depending on the extent to which the underwriters’ over-allotment was exercised. 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8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On September 25, 2020, we consummated our Initial Public Offering of 20,000,000 Units. On October 1, 2020, in connection with underwriters’ election to partially exercise their option to purchase additional Units, we sold an additional 737,202 Units., at a price of $10.00 per Unit, generating total gross proceeds of $207,372,020. Jefferies LLC acted as the sole book-running manager. The securities sold in the offering were registered under the Securities Act on registration statements on Form S-1 (No. 333-248619). The registration statements became effective on September 22, 2020.</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86"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Simultaneously with the consummation of the Initial Public Offering, and the exercise of the over-allotment option in part and the sale of the Private Placement Warrants, we consummated a private placement of 6,147,440 Private Placement Warrants to our Sponsor at a price of $1.00 per Private Placement Warrant, generating total proceeds of $6,147,440. Such securities were issued pursuant to the exemption from registration contained in Section 4(a)(2) of the Securities Act.</w:t>
      </w:r>
    </w:p>
    <w:p>
      <w:pPr>
        <w:spacing w:after="0" w:line="18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are not transferable, assignable or salable until 30 days after the completion of a Business Combination, subject to certain limited exceptions.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Of the gross proceeds received from the Initial Public Offering including the partial exercise of the option to purchase additional Units, and the sale of the Private Placement Warrants, $207,372,020 was placed in the Trust Account.</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paid a total of $4,147,440 in underwriting discounts and commissions and $501,146 for other offering costs related to the Initial Public Offering. In addition, the underwriters agreed to defer $7,258,021 in underwriting discounts and commissions.</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public offering as described in the prospectus filed by the Company on September 24, 2020.</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January 11, 2021, concurrently with the execution of the Merger Agreement, we entered into the Subscription Agreements with the PIPE Investors, pursuant to, and on the terms and subject to the conditions of which, the PIPE Investors have collectively subscribed for 32,500,000 the Company’s shares of Class A common stock. The PIPE Investment will be consummated immediately prior to the Closing.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 Such securities have not been registered under the Securities Act in reliance upon the exemption from registration contained in Section 4(a)(2) of the Securities Act. The Subscription Agreements provide for certain customary registration rights for the PIPE Investors.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References to “we”, “us”, “our” or the “Company” are to VPC Impact Acquisition Holdings, except where the context requires otherwise. The following discussion should be read in conjunction with our consolidated financial statements and related notes thereto included elsewhere in this Annual Report on Form 10-K.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i w:val="1"/>
          <w:iCs w:val="1"/>
          <w:color w:val="auto"/>
        </w:rPr>
        <w:t>This Annual Report on Form 10-K includes forward-looking statements within the meaning of Section 27A of the Securities Act,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86"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 this Annual Report Form on 10-K/A for the period ended December 31, 2020, we are restating our audited financial statements as of, and for the period ended December 31, 2020.</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This Management’s Discussion and Analysis of Financial Condition and Results of Operations has been amended and restated to give effect to the restatement of our financial statements as of December 31, 2020. Management identified errors made in its historical financial statements where, at the closing of our Initial Public Offering, we improperly valued our ordinary shares subject to possible redemption. We previously determined the ordinary shares subject to possible redemption to be equal to the redemption value of $10.00 per ordinary share while also taking into consideration a redemption cannot result in net tangible assets being less than $5,000,001. Management determined that the ordinary shares issued during the Initial Public Offering can be redeemed or become redeemable subject to the occurrence of future events considered outside of the Company’s control. Therefore, Management concluded that the redemption value should include all ordinary shares subject to possible redemption, resulting in the ordinary shares subject to possible redemption being equal to their redemption value. As a result, Management has noted a reclassification error related to temporary equity and permanent equity. This resulted in a restatement to the initial carrying value of the ordinary shares subject to possible redemption with the offset recorded to additional paid-in capital (to the extent available), accumulated deficit and ordinary shares. Further, due to change in presentation for the Class A ordinary shares subject to redemption, the company also revised its earnings per share calculation to allocate net income (loss) evening to Class A and Class B ordinary shares. This presentation contemplates a Business Combination as the most likely outcome, in which case, both classes of common stock share pro rata in the income (loss) of the Company.</w:t>
      </w:r>
    </w:p>
    <w:p>
      <w:pPr>
        <w:spacing w:after="0" w:line="17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connection with the restatement, our management reassessed the effectiveness of its disclosure controls and procedures for the periods affected by the restatement. As a result of that reassessment, we determined that its disclosure controls and procedures for such periods were not effective with respect to the accounting for complex financial instruments. For more information, see Item 9A included in this report on Form 10-K/A.</w:t>
      </w:r>
    </w:p>
    <w:p>
      <w:pPr>
        <w:spacing w:after="0" w:line="14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restatement is more fully described in Note 2 “Restatement of Previously Issued Financial Statements” to the consolidated financial statements included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are a blank check company incorporated on July 31, 2020 as a Cayman Islands exempted company for the purpose of effecting a Business Combination. We intend to effectuate our initial Business Combination using cash from the proceeds of our Initial Public Offering and the sale of the private placement warrants, our shares, debt or a combination of cash, equity and debt.</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86"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for Business Combination</w:t>
      </w:r>
    </w:p>
    <w:p>
      <w:pPr>
        <w:spacing w:after="0" w:line="22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January 11, 2021, the Company entered into the Merger Agreement, with the Merger Sub, and Bakkt. The Merger Agreement provides that, among other things and upon the terms and subject to the conditions thereof, the following Proposed Transaction:</w:t>
      </w:r>
    </w:p>
    <w:p>
      <w:pPr>
        <w:spacing w:after="0" w:line="170" w:lineRule="exact"/>
        <w:rPr>
          <w:sz w:val="20"/>
          <w:szCs w:val="20"/>
          <w:color w:val="auto"/>
        </w:rPr>
      </w:pPr>
    </w:p>
    <w:p>
      <w:pPr>
        <w:ind w:left="560" w:right="80" w:hanging="4"/>
        <w:spacing w:after="0" w:line="277" w:lineRule="auto"/>
        <w:tabs>
          <w:tab w:leader="none" w:pos="7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the Closing, in accordance with the DLLCA, the Merger with and into Bakkt will occur, the separate corporate existence of Merger Sub will cease and Bakkt will be the surviving limited liability company, to be renamed Bakkt Opco Holdings, LLC;</w:t>
      </w:r>
    </w:p>
    <w:p>
      <w:pPr>
        <w:spacing w:after="0" w:line="170" w:lineRule="exact"/>
        <w:rPr>
          <w:rFonts w:ascii="Arial" w:cs="Arial" w:eastAsia="Arial" w:hAnsi="Arial"/>
          <w:sz w:val="18"/>
          <w:szCs w:val="18"/>
          <w:color w:val="auto"/>
        </w:rPr>
      </w:pPr>
    </w:p>
    <w:p>
      <w:pPr>
        <w:ind w:left="560" w:right="560" w:hanging="4"/>
        <w:spacing w:after="0" w:line="277" w:lineRule="auto"/>
        <w:tabs>
          <w:tab w:leader="none" w:pos="8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prior to the closing of the PIPE Investment (as defined below) and the effective time of the Merger, in connection with the Domestication described below, VIH will be renamed “Bakkt Holdings, Inc.”; and</w:t>
      </w:r>
    </w:p>
    <w:p>
      <w:pPr>
        <w:spacing w:after="0" w:line="170" w:lineRule="exact"/>
        <w:rPr>
          <w:rFonts w:ascii="Arial" w:cs="Arial" w:eastAsia="Arial" w:hAnsi="Arial"/>
          <w:sz w:val="18"/>
          <w:szCs w:val="18"/>
          <w:color w:val="auto"/>
        </w:rPr>
      </w:pPr>
    </w:p>
    <w:p>
      <w:pPr>
        <w:jc w:val="both"/>
        <w:ind w:left="560" w:right="320" w:hanging="4"/>
        <w:spacing w:after="0" w:line="263" w:lineRule="auto"/>
        <w:tabs>
          <w:tab w:leader="none" w:pos="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 result of the Merger, the aggregate consideration to be received in respect of the Merger by all of the Bakkt interest holders will be an aggregate of 208,200,000 Bakkt Opco Units and 208,200,000 shares of class V common stock of Bakkt PubCo, which will be non-economic, voting shares of Bakkt Pubco.</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board of directors of the Company has unanimously (i) approved and declared advisable the Merger Agreement, the Proposed Transaction and the other transactions contemplated thereby and (ii) resolved to recommend approval of the Merger Agreement and related matters by the shareholders of VIH.</w:t>
      </w:r>
    </w:p>
    <w:p>
      <w:pPr>
        <w:spacing w:after="0" w:line="184" w:lineRule="exact"/>
        <w:rPr>
          <w:sz w:val="20"/>
          <w:szCs w:val="20"/>
          <w:color w:val="auto"/>
        </w:rPr>
      </w:pPr>
    </w:p>
    <w:p>
      <w:pPr>
        <w:ind w:left="120" w:right="900"/>
        <w:spacing w:after="0" w:line="308" w:lineRule="auto"/>
        <w:rPr>
          <w:sz w:val="20"/>
          <w:szCs w:val="20"/>
          <w:color w:val="auto"/>
        </w:rPr>
      </w:pPr>
      <w:r>
        <w:rPr>
          <w:rFonts w:ascii="Arial" w:cs="Arial" w:eastAsia="Arial" w:hAnsi="Arial"/>
          <w:sz w:val="17"/>
          <w:szCs w:val="17"/>
          <w:color w:val="auto"/>
        </w:rPr>
        <w:t>Prior to the Closing, subject to the approval of our shareholders, and in accordance with the DGCL, the CICA and our amended and restated memorandum and articles of association, we will effect a Domestication and be renamed “Bakkt Holdings, Inc.”</w:t>
      </w:r>
    </w:p>
    <w:p>
      <w:pPr>
        <w:spacing w:after="0" w:line="14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Bakkt Equity Holders.</w:t>
      </w:r>
    </w:p>
    <w:p>
      <w:pPr>
        <w:spacing w:after="0" w:line="17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On January 11, 2021, concurrently with the execution of the Merger Agreement, we entered into subscription agreements with the PIPE Investors, which include certain existing equity holders of the Company and Bakkt, pursuant to, and on the terms and subject to the conditions of which, the PIPE Investors, which include certain existing equity holders of the Company and Bakkt, have collectively subscribed for the PIPE Investment.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consummation of the proposed business combination described herein is subject to certain conditions as further described in the Merger Agreement.</w:t>
      </w:r>
    </w:p>
    <w:p>
      <w:pPr>
        <w:spacing w:after="0" w:line="24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For more information about the Merger Agreement and the proposed business combination, see our Current Report on Form 8-K filed with the SEC on January 11, 2021 (File No. 001-39544) and the Bakkt Disclosure Statement that we will file with the SEC. Unless specifically stated, this Annual Report does not give effect to the Proposed Transaction and does not contain the risks associated with the Proposed Transaction. Such risks and effects relating to the Proposed Transaction will be included in the Bakkt Disclosure Statement.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86"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have neither engaged in any operations (other than searching for a Business Combination after our Initial Public Offering) nor generated any revenues to date. Our only activities from inception to December 31, 2020 were organizational activities, those necessary to prepare for the Initial Public Offering, described below, and, after the Initial Public Offering, identifying a target company for a Business Combination. We do not expect to generate any operating revenues until after the completion of our Business Combination, at the earliest. We generate non-operating income in the form of interest income on marketable securities held in a trust account (the “Trust Account”). We incur expenses as a result of being a public company (for legal, financial reporting, accounting and auditing compliance), as well as for due diligence expenses in connection with completing a Business Combination.</w:t>
      </w:r>
    </w:p>
    <w:p>
      <w:pPr>
        <w:spacing w:after="0" w:line="16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a result of the restatement described in Note 2 of the notes to the consolidated financial statements included herein, we classify the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For the period from July 31, 2020 (inception) through December 31, 2020, we had a net loss of $4,861,190, which consisted of formation and operating expenses of $3,988,331 and a change in the fair value of warrant liabilities of $877,052, offset by interest earned on marketable securities held in the Trust Account of $4,193.</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For the period from July 31, 2020 (inception) through September 30, 2020, we had a net loss of $3,032,369, which consisted of formation and operating expenses of $2,932,533 and a change in the fair value of warrant liabilities of $100,000, offset by interest earned on investments held in the Trust Account of $164.</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Until the consummation of the Initial Public Offering, our only source of liquidity was an initial purchase of ordinary shares by the Sponsor and loans from our Sponsor.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September 25, 2020, we consummated the Initial Public Offering of the Units, at a price of $10.00 per Unit, generating gross proceeds of</w:t>
      </w:r>
    </w:p>
    <w:p>
      <w:pPr>
        <w:spacing w:after="0" w:line="35"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$200,000,000. Simultaneously with the closing of the Initial Public Offering, we consummated the sale the Private Placement Warrants to the Sponsor at a price of $1.00 per Private Placement Warrant generating gross proceeds of $6,000,000.</w:t>
      </w:r>
    </w:p>
    <w:p>
      <w:pPr>
        <w:spacing w:after="0" w:line="18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Following the Initial Public Offering and the sale of the Private Placement Warrants, a total of $200,000,000 was placed in the Trust Account, and we had $1,205,178 of cash held outside of the Trust Account, after payment of costs related to the Initial Public Offering, and available for working capital purposes. We incurred $11,501,146 in transaction costs, including $4,000,000 of underwriting fees, $7,000,000 of deferred underwriting fees and $501,146 of other offering costs.</w:t>
      </w:r>
    </w:p>
    <w:p>
      <w:pPr>
        <w:spacing w:after="0" w:line="187" w:lineRule="exact"/>
        <w:rPr>
          <w:sz w:val="20"/>
          <w:szCs w:val="20"/>
          <w:color w:val="auto"/>
        </w:rPr>
      </w:pPr>
    </w:p>
    <w:p>
      <w:pPr>
        <w:jc w:val="both"/>
        <w:ind w:left="120" w:right="240"/>
        <w:spacing w:after="0" w:line="257" w:lineRule="auto"/>
        <w:rPr>
          <w:sz w:val="20"/>
          <w:szCs w:val="20"/>
          <w:color w:val="auto"/>
        </w:rPr>
      </w:pPr>
      <w:r>
        <w:rPr>
          <w:rFonts w:ascii="Arial" w:cs="Arial" w:eastAsia="Arial" w:hAnsi="Arial"/>
          <w:sz w:val="18"/>
          <w:szCs w:val="18"/>
          <w:color w:val="auto"/>
        </w:rPr>
        <w:t>On October 1, 2020, in connection with the underwriters’ election to partially exercise of their over-allotment option, we consummated the sale of an additional 737,202 Units and the sale of an additional 147,440 Private Placement Warrants, generating total gross proceeds of $7,519,460. A total of $7,372,020 of the net proceeds was deposited into the Trust Account, bringing the aggregate proceeds held in the Trust Account to $207,372,020. We incurred $11,906,606 in transaction costs, including $4,147,440 of underwriting fees, $7,258,021 of deferred underwriting fees and $501,146 of other offering costs.</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the period from July 31, 2020 (inception) through December 31, 2020, net cash used in operating activities was $341,800, which consisted of our net loss of $4,681,190, interest earned on investments of $4,193, formation expenses paid by the Sponsor of $6,606, a change in the fair value of warrant liabilities of $3,090,130, transaction costs allocable to warrant liabilities of $768,391, and changes in operating assets and liabilities, which used $658,456 of cash from operating activities.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8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For the period from July 31, 2020 (inception) through September 30, 2020, net cash used in operating activities was $289,300, which consisted of our net loss of $17,379, interest earned on investments of $164, formation expenses paid by the Sponsor of $6,606, a change in the fair value of warrant liabilities of $100,000, compensation expenses related to warrant liabilities of $2,160,000, transaction costs allocable to warrant liabilities of $754,990 and changes in operating assets and liabilities, which used $278,363 of cash from operating activities.</w:t>
      </w:r>
    </w:p>
    <w:p>
      <w:pPr>
        <w:spacing w:after="0" w:line="17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At December 31, 2020, we had investments held in the Trust Account of $207,376,213. We intend to use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92"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At December 31, 2020, we had cash of $1,177,678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7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pacing w:after="0" w:line="178"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October 15, 2021, substantial doubt about our ability to continue as a going concern was alleviated due to the closing of a business combination.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Warrant Liabilities</w:t>
      </w:r>
    </w:p>
    <w:p>
      <w:pPr>
        <w:spacing w:after="0" w:line="22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86"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issued an aggregate of 16,516,041 warrants in connection with our initial public offering and private placement, which, as a result of the restatement described in Note 2 “Restatement of Previously Issued Financial Statements” to the consolidated financial statements included herein, are recognized as derivative liabilities in accordance with ASC 815-40. Accordingly, we recognize the warrants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our initial public offering and private placement has been estimated using Option Pricing Model simulations at each measurement 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We do not have any long-term debt obligations, capital lease obligations, operating lease obligations, purchase obligations or long-term liabilities, other than an agreement to pay our Sponsor a monthly fee of $10,000 for office space, secretarial and administrative services. We began incurring these fees on September 25, 2020 and will continue to incur these fees monthly until the earlier of the completion of a Business Combination and the Company’s liquidation.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underwriters were paid a cash underwriting discount of $0.20 per Unit, or $4,147,440.40 in the aggregate. In addition, $0.35 per Public Share, or approximately $7,258,021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consolidated financial statements, and income and expenses during the period reported. Actual results could materially differ from those estimates. We have identified the following critical accounting policies: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22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account for our Class A ordinary shares subject to possible redemption in accordance with the guidance in ASC Topic 480.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our control) is classified as temporary equity. At all other times, ordinary shares are classified as shareholders’ equity. Our ordinary shares feature certain redemption rights that are considered to be outside of our control and subject to occurrence of uncertain future events. Accordingly, Class A ordinary shares subject to possible redemption is presented as temporary equity, outside of the shareholders’ equity section of our condensed balance sheets.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86"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Net loss per ordinary share is computed by dividing net loss by the weighted average number of ordinary shares outstanding during the period. We apply the two-class method in calculating earnings per share. Accretion associated with the redeemable shares of Class A ordinary shares is excluded from earnings per share as the redemption value approximates fair value.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(“ASU2020-06”),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The Company adopted ASU2020-06 effective as of January 1, 2021. The adoption of ASU2020-06 did not have an impact on the Company’s condensed consolidated financial statements.</w:t>
      </w:r>
    </w:p>
    <w:p>
      <w:pPr>
        <w:spacing w:after="0" w:line="16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86"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supplement to the auditor’s report providing additional information about the audit and the consolidated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management does not believe there are any other recently issued, but not yet effective, accounting pronouncements, if currently adopted, that would have a material effect on our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40"/>
          </w:cols>
          <w:pgMar w:left="320" w:top="486" w:right="5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9340" w:type="dxa"/>
            <w:vAlign w:val="bottom"/>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74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rPr>
              <w:t>VPC IMPACT ACQUISITION HOLDINGS</w:t>
            </w:r>
          </w:p>
        </w:tc>
        <w:tc>
          <w:tcPr>
            <w:tcW w:w="174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rPr>
              <w:t>INDEX TO CONSOLIDATED FINANCIAL STATEMENTS</w:t>
            </w:r>
          </w:p>
        </w:tc>
        <w:tc>
          <w:tcPr>
            <w:tcW w:w="174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Report of Independent Registered Public Accounting Firm</w:t>
              </w:r>
            </w:hyperlink>
          </w:p>
        </w:tc>
        <w:tc>
          <w:tcPr>
            <w:tcW w:w="500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96"/>
        </w:trPr>
        <w:tc>
          <w:tcPr>
            <w:tcW w:w="120" w:type="dxa"/>
            <w:vAlign w:val="bottom"/>
          </w:tcPr>
          <w:p>
            <w:pPr>
              <w:spacing w:after="0"/>
              <w:rPr>
                <w:sz w:val="17"/>
                <w:szCs w:val="17"/>
                <w:color w:val="auto"/>
              </w:rPr>
            </w:pPr>
          </w:p>
        </w:tc>
        <w:tc>
          <w:tcPr>
            <w:tcW w:w="9220" w:type="dxa"/>
            <w:vAlign w:val="bottom"/>
            <w:gridSpan w:val="9"/>
          </w:tcPr>
          <w:p>
            <w:pPr>
              <w:spacing w:after="0" w:line="196" w:lineRule="exact"/>
              <w:rPr>
                <w:sz w:val="20"/>
                <w:szCs w:val="20"/>
                <w:color w:val="auto"/>
              </w:rPr>
            </w:pPr>
            <w:r>
              <w:rPr>
                <w:rFonts w:ascii="Arial" w:cs="Arial" w:eastAsia="Arial" w:hAnsi="Arial"/>
                <w:sz w:val="18"/>
                <w:szCs w:val="18"/>
                <w:color w:val="0000EE"/>
              </w:rPr>
              <w:t>Consolidated Financial Statements:</w:t>
            </w:r>
          </w:p>
        </w:tc>
        <w:tc>
          <w:tcPr>
            <w:tcW w:w="17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Balance Sheet</w:t>
              </w:r>
            </w:hyperlink>
          </w:p>
        </w:tc>
        <w:tc>
          <w:tcPr>
            <w:tcW w:w="520" w:type="dxa"/>
            <w:vAlign w:val="bottom"/>
            <w:tcBorders>
              <w:top w:val="single" w:sz="8" w:color="0000EE"/>
            </w:tcBorders>
            <w:gridSpan w:val="2"/>
          </w:tcPr>
          <w:p>
            <w:pPr>
              <w:spacing w:after="0"/>
              <w:rPr>
                <w:sz w:val="17"/>
                <w:szCs w:val="17"/>
                <w:color w:val="auto"/>
              </w:rPr>
            </w:pPr>
          </w:p>
        </w:tc>
        <w:tc>
          <w:tcPr>
            <w:tcW w:w="6680" w:type="dxa"/>
            <w:vAlign w:val="bottom"/>
            <w:gridSpan w:val="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20" w:type="dxa"/>
            <w:vAlign w:val="bottom"/>
          </w:tcPr>
          <w:p>
            <w:pPr>
              <w:spacing w:after="0"/>
              <w:rPr>
                <w:sz w:val="17"/>
                <w:szCs w:val="17"/>
                <w:color w:val="auto"/>
              </w:rPr>
            </w:pPr>
          </w:p>
        </w:tc>
        <w:tc>
          <w:tcPr>
            <w:tcW w:w="27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 of Operations</w:t>
              </w:r>
            </w:hyperlink>
          </w:p>
        </w:tc>
        <w:tc>
          <w:tcPr>
            <w:tcW w:w="6480" w:type="dxa"/>
            <w:vAlign w:val="bottom"/>
            <w:gridSpan w:val="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20" w:type="dxa"/>
            <w:vAlign w:val="bottom"/>
          </w:tcPr>
          <w:p>
            <w:pPr>
              <w:spacing w:after="0"/>
              <w:rPr>
                <w:sz w:val="17"/>
                <w:szCs w:val="17"/>
                <w:color w:val="auto"/>
              </w:rPr>
            </w:pPr>
          </w:p>
        </w:tc>
        <w:tc>
          <w:tcPr>
            <w:tcW w:w="9220" w:type="dxa"/>
            <w:vAlign w:val="bottom"/>
            <w:gridSpan w:val="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 of Changes in Shareholders’ Equity (Deficit</w:t>
              </w:r>
            </w:hyperlink>
            <w:r>
              <w:rPr>
                <w:rFonts w:ascii="Arial" w:cs="Arial" w:eastAsia="Arial" w:hAnsi="Arial"/>
                <w:sz w:val="18"/>
                <w:szCs w:val="18"/>
                <w:color w:val="000000"/>
              </w:rPr>
              <w:t>)</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 of Cash Flows</w:t>
              </w:r>
            </w:hyperlink>
          </w:p>
        </w:tc>
        <w:tc>
          <w:tcPr>
            <w:tcW w:w="2120" w:type="dxa"/>
            <w:vAlign w:val="bottom"/>
            <w:tcBorders>
              <w:top w:val="single" w:sz="8" w:color="0000EE"/>
            </w:tcBorders>
            <w:gridSpan w:val="2"/>
          </w:tcPr>
          <w:p>
            <w:pPr>
              <w:spacing w:after="0"/>
              <w:rPr>
                <w:sz w:val="17"/>
                <w:szCs w:val="17"/>
                <w:color w:val="auto"/>
              </w:rPr>
            </w:pPr>
          </w:p>
        </w:tc>
        <w:tc>
          <w:tcPr>
            <w:tcW w:w="430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20" w:type="dxa"/>
            <w:vAlign w:val="bottom"/>
          </w:tcPr>
          <w:p>
            <w:pPr>
              <w:spacing w:after="0"/>
              <w:rPr>
                <w:sz w:val="17"/>
                <w:szCs w:val="17"/>
                <w:color w:val="auto"/>
              </w:rPr>
            </w:pPr>
          </w:p>
        </w:tc>
        <w:tc>
          <w:tcPr>
            <w:tcW w:w="9220" w:type="dxa"/>
            <w:vAlign w:val="bottom"/>
            <w:gridSpan w:val="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Notes to Financial Statements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37"/>
        </w:trPr>
        <w:tc>
          <w:tcPr>
            <w:tcW w:w="12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to 90</w:t>
            </w:r>
          </w:p>
        </w:tc>
      </w:tr>
      <w:tr>
        <w:trPr>
          <w:trHeight w:val="364"/>
        </w:trPr>
        <w:tc>
          <w:tcPr>
            <w:tcW w:w="9340" w:type="dxa"/>
            <w:vAlign w:val="bottom"/>
            <w:gridSpan w:val="10"/>
          </w:tcPr>
          <w:p>
            <w:pPr>
              <w:jc w:val="center"/>
              <w:ind w:left="1830"/>
              <w:spacing w:after="0"/>
              <w:rPr>
                <w:sz w:val="20"/>
                <w:szCs w:val="20"/>
                <w:color w:val="auto"/>
              </w:rPr>
            </w:pPr>
            <w:r>
              <w:rPr>
                <w:rFonts w:ascii="Arial" w:cs="Arial" w:eastAsia="Arial" w:hAnsi="Arial"/>
                <w:sz w:val="18"/>
                <w:szCs w:val="18"/>
                <w:color w:val="auto"/>
                <w:w w:val="89"/>
              </w:rPr>
              <w:t>65</w:t>
            </w:r>
          </w:p>
        </w:tc>
        <w:tc>
          <w:tcPr>
            <w:tcW w:w="1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VPC Impact Acquisition Holdings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audited the accompanying balance sheet of VPC Impact Acquisition Holdings (the “Company”) as of December 31, 2020, the related statements of operations, changes in shareholders’ equity and cash flows for the period from July 31,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31, 2020 (inception) through December 31, 2020,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Restatement of Financial Statements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discussed in Note 2 to the financial statements, the 2020 financial statements have been restated to correct certain misstatements.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46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May 21, 2021, except for the effects of the restatement disclosed in Note 2 and the subsequent event disclosed in Note 11 paragraph 5, as to which the date is December 7, 2021</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86" w:right="4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99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20" w:type="dxa"/>
            <w:vAlign w:val="bottom"/>
          </w:tcPr>
          <w:p>
            <w:pPr>
              <w:jc w:val="center"/>
              <w:spacing w:after="0"/>
              <w:rPr>
                <w:sz w:val="20"/>
                <w:szCs w:val="20"/>
                <w:color w:val="auto"/>
              </w:rPr>
            </w:pPr>
            <w:r>
              <w:rPr>
                <w:rFonts w:ascii="Arial" w:cs="Arial" w:eastAsia="Arial" w:hAnsi="Arial"/>
                <w:sz w:val="18"/>
                <w:szCs w:val="18"/>
                <w:b w:val="1"/>
                <w:bCs w:val="1"/>
                <w:color w:val="auto"/>
              </w:rPr>
              <w:t>VPC IMPACT ACQUISITION HOLDINGS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20" w:type="dxa"/>
            <w:vAlign w:val="bottom"/>
          </w:tcPr>
          <w:p>
            <w:pPr>
              <w:jc w:val="center"/>
              <w:spacing w:after="0"/>
              <w:rPr>
                <w:sz w:val="20"/>
                <w:szCs w:val="20"/>
                <w:color w:val="auto"/>
              </w:rPr>
            </w:pPr>
            <w:r>
              <w:rPr>
                <w:rFonts w:ascii="Arial" w:cs="Arial" w:eastAsia="Arial" w:hAnsi="Arial"/>
                <w:sz w:val="18"/>
                <w:szCs w:val="18"/>
                <w:b w:val="1"/>
                <w:bCs w:val="1"/>
                <w:color w:val="auto"/>
                <w:w w:val="99"/>
              </w:rPr>
              <w:t>CONSOLIDATED BALANCE SHEET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DECEMBER 31, 2020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20" w:type="dxa"/>
            <w:vAlign w:val="bottom"/>
          </w:tcPr>
          <w:p>
            <w:pPr>
              <w:jc w:val="center"/>
              <w:spacing w:after="0"/>
              <w:rPr>
                <w:sz w:val="20"/>
                <w:szCs w:val="20"/>
                <w:color w:val="auto"/>
              </w:rPr>
            </w:pPr>
            <w:r>
              <w:rPr>
                <w:rFonts w:ascii="Arial" w:cs="Arial" w:eastAsia="Arial" w:hAnsi="Arial"/>
                <w:sz w:val="18"/>
                <w:szCs w:val="18"/>
                <w:b w:val="1"/>
                <w:bCs w:val="1"/>
                <w:color w:val="auto"/>
                <w:w w:val="96"/>
              </w:rPr>
              <w:t>AS RESTATED</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207,376,213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208,788,850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Accrued offering costs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Deferred underwriting fee payable</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7,258,021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22,513,065</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30,666,731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860" w:type="dxa"/>
            <w:vAlign w:val="bottom"/>
            <w:gridSpan w:val="2"/>
          </w:tcPr>
          <w:p>
            <w:pPr>
              <w:spacing w:after="0" w:line="201" w:lineRule="exact"/>
              <w:rPr>
                <w:sz w:val="20"/>
                <w:szCs w:val="20"/>
                <w:color w:val="auto"/>
              </w:rPr>
            </w:pPr>
            <w:r>
              <w:rPr>
                <w:rFonts w:ascii="Arial" w:cs="Arial" w:eastAsia="Arial" w:hAnsi="Arial"/>
                <w:sz w:val="18"/>
                <w:szCs w:val="18"/>
                <w:color w:val="auto"/>
                <w:w w:val="91"/>
              </w:rPr>
              <w:t>Class A ordinary shares subject to possible redemption, 20,737,202 shares issued and outstanding at a redemption value of $10.00 per</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60" w:type="dxa"/>
            <w:vAlign w:val="bottom"/>
            <w:gridSpan w:val="2"/>
          </w:tcPr>
          <w:p>
            <w:pPr>
              <w:ind w:left="18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207,372,000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Preference shares, $0.0001 par value; 1,000,000 shares authorized; no shares issued and outstanding</w:t>
            </w:r>
          </w:p>
        </w:tc>
        <w:tc>
          <w:tcPr>
            <w:tcW w:w="14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 $0.0001 par value; 200,000,000 shares authorized at December 31, 2020</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Class B ordinary shares, $0.0001 par value; 20,000,000 shares authorized; 5,184,300 shares issued and outstanding</w:t>
            </w:r>
          </w:p>
        </w:tc>
        <w:tc>
          <w:tcPr>
            <w:tcW w:w="1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(29,250,419)</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(29,249,901)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208,788,850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73" w:right="4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96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320" w:type="dxa"/>
            <w:vAlign w:val="bottom"/>
          </w:tcPr>
          <w:p>
            <w:pPr>
              <w:jc w:val="center"/>
              <w:ind w:left="130"/>
              <w:spacing w:after="0"/>
              <w:rPr>
                <w:sz w:val="20"/>
                <w:szCs w:val="20"/>
                <w:color w:val="auto"/>
              </w:rPr>
            </w:pPr>
            <w:r>
              <w:rPr>
                <w:rFonts w:ascii="Arial" w:cs="Arial" w:eastAsia="Arial" w:hAnsi="Arial"/>
                <w:sz w:val="18"/>
                <w:szCs w:val="18"/>
                <w:b w:val="1"/>
                <w:bCs w:val="1"/>
                <w:color w:val="auto"/>
              </w:rPr>
              <w:t>VPC IMPACT ACQUISITION HOLDINGS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2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CONSOLIDATED STATEMENT OF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2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FOR THE PERIOD FROM JULY 31, 2020 (INCEPTION) THROUGH DECEMBER 31, 2020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320" w:type="dxa"/>
            <w:vAlign w:val="bottom"/>
          </w:tcPr>
          <w:p>
            <w:pPr>
              <w:jc w:val="center"/>
              <w:ind w:left="130"/>
              <w:spacing w:after="0"/>
              <w:rPr>
                <w:sz w:val="20"/>
                <w:szCs w:val="20"/>
                <w:color w:val="auto"/>
              </w:rPr>
            </w:pPr>
            <w:r>
              <w:rPr>
                <w:rFonts w:ascii="Arial" w:cs="Arial" w:eastAsia="Arial" w:hAnsi="Arial"/>
                <w:sz w:val="18"/>
                <w:szCs w:val="18"/>
                <w:b w:val="1"/>
                <w:bCs w:val="1"/>
                <w:color w:val="auto"/>
                <w:w w:val="96"/>
              </w:rPr>
              <w:t>AS RESTATED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1,006,862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(1,006,862)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 allocable to warrant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(768,391)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(3,090,130)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(4,861,190)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A</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13,429,289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Class A</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B</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5,111,809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73"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CHANGES IN SHAREHOLDERS’ EQUITY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JULY 31, 2020 (INCEPTION) THROUGH 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RESTATED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860" w:type="dxa"/>
            <w:vAlign w:val="bottom"/>
            <w:gridSpan w:val="3"/>
          </w:tcPr>
          <w:p>
            <w:pPr>
              <w:ind w:left="360"/>
              <w:spacing w:after="0"/>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left="458"/>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r>
      <w:tr>
        <w:trPr>
          <w:trHeight w:val="176"/>
        </w:trPr>
        <w:tc>
          <w:tcPr>
            <w:tcW w:w="4440" w:type="dxa"/>
            <w:vAlign w:val="bottom"/>
          </w:tcPr>
          <w:p>
            <w:pPr>
              <w:spacing w:after="0"/>
              <w:rPr>
                <w:sz w:val="15"/>
                <w:szCs w:val="15"/>
                <w:color w:val="auto"/>
              </w:rPr>
            </w:pP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Ordinary Shares</w:t>
            </w:r>
          </w:p>
        </w:tc>
        <w:tc>
          <w:tcPr>
            <w:tcW w:w="240" w:type="dxa"/>
            <w:vAlign w:val="bottom"/>
          </w:tcPr>
          <w:p>
            <w:pPr>
              <w:spacing w:after="0"/>
              <w:rPr>
                <w:sz w:val="15"/>
                <w:szCs w:val="15"/>
                <w:color w:val="auto"/>
              </w:rPr>
            </w:pPr>
          </w:p>
        </w:tc>
        <w:tc>
          <w:tcPr>
            <w:tcW w:w="1300" w:type="dxa"/>
            <w:vAlign w:val="bottom"/>
            <w:gridSpan w:val="4"/>
          </w:tcPr>
          <w:p>
            <w:pPr>
              <w:jc w:val="center"/>
              <w:ind w:left="178"/>
              <w:spacing w:after="0"/>
              <w:rPr>
                <w:sz w:val="20"/>
                <w:szCs w:val="20"/>
                <w:color w:val="auto"/>
              </w:rPr>
            </w:pPr>
            <w:r>
              <w:rPr>
                <w:rFonts w:ascii="Arial" w:cs="Arial" w:eastAsia="Arial" w:hAnsi="Arial"/>
                <w:sz w:val="14"/>
                <w:szCs w:val="14"/>
                <w:b w:val="1"/>
                <w:bCs w:val="1"/>
                <w:color w:val="auto"/>
                <w:w w:val="95"/>
              </w:rPr>
              <w:t>Ordinary Shares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Paid in</w:t>
            </w: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r>
      <w:tr>
        <w:trPr>
          <w:trHeight w:val="171"/>
        </w:trPr>
        <w:tc>
          <w:tcPr>
            <w:tcW w:w="444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Balance—July 31, 2020 (inception)</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5,750,000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24,425</w:t>
            </w:r>
          </w:p>
        </w:tc>
        <w:tc>
          <w:tcPr>
            <w:tcW w:w="10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Forfeiture of 565,700 Sponsor shares</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(565,700)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Accretion for Class A ordinary shares to redemption</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amount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(24,425)</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(24,389,286)</w:t>
            </w:r>
          </w:p>
        </w:tc>
        <w:tc>
          <w:tcPr>
            <w:tcW w:w="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(24,413,711)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subject to possible redemption</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(4,861,190)</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(4,861,190)</w:t>
            </w:r>
          </w:p>
        </w:tc>
      </w:tr>
      <w:tr>
        <w:trPr>
          <w:trHeight w:val="27"/>
        </w:trPr>
        <w:tc>
          <w:tcPr>
            <w:tcW w:w="4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2020</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5,184,300</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(29,250,419)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(29,249,901)</w:t>
            </w:r>
          </w:p>
        </w:tc>
      </w:tr>
      <w:tr>
        <w:trPr>
          <w:trHeight w:val="20"/>
        </w:trPr>
        <w:tc>
          <w:tcPr>
            <w:tcW w:w="4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86" w:right="4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96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280" w:type="dxa"/>
            <w:vAlign w:val="bottom"/>
          </w:tcPr>
          <w:p>
            <w:pPr>
              <w:jc w:val="center"/>
              <w:ind w:left="170"/>
              <w:spacing w:after="0"/>
              <w:rPr>
                <w:sz w:val="20"/>
                <w:szCs w:val="20"/>
                <w:color w:val="auto"/>
              </w:rPr>
            </w:pPr>
            <w:r>
              <w:rPr>
                <w:rFonts w:ascii="Arial" w:cs="Arial" w:eastAsia="Arial" w:hAnsi="Arial"/>
                <w:sz w:val="18"/>
                <w:szCs w:val="18"/>
                <w:b w:val="1"/>
                <w:bCs w:val="1"/>
                <w:color w:val="auto"/>
              </w:rPr>
              <w:t>VPC IMPACT ACQUISITION HOLDINGS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CONSOLIDATED STATEMENT OF CASH FLOWS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8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FOR THE PERIOD FROM JULY 31, 2020 (INCEPTION) THROUGH DECEMBER 31, 2020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80" w:type="dxa"/>
            <w:vAlign w:val="bottom"/>
          </w:tcPr>
          <w:p>
            <w:pPr>
              <w:jc w:val="center"/>
              <w:ind w:left="170"/>
              <w:spacing w:after="0"/>
              <w:rPr>
                <w:sz w:val="20"/>
                <w:szCs w:val="20"/>
                <w:color w:val="auto"/>
              </w:rPr>
            </w:pPr>
            <w:r>
              <w:rPr>
                <w:rFonts w:ascii="Arial" w:cs="Arial" w:eastAsia="Arial" w:hAnsi="Arial"/>
                <w:sz w:val="18"/>
                <w:szCs w:val="18"/>
                <w:b w:val="1"/>
                <w:bCs w:val="1"/>
                <w:color w:val="auto"/>
                <w:w w:val="96"/>
              </w:rPr>
              <w:t>AS RESTATED</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(4,861,190)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Formation costs paid by Sponsor in exchange for Founder shares</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3,090,130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costs allocable to warrant liabilities</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(234,959)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20" w:type="dxa"/>
            <w:vAlign w:val="bottom"/>
            <w:gridSpan w:val="2"/>
          </w:tcPr>
          <w:p>
            <w:pPr>
              <w:ind w:left="7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(341,800)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9"/>
              </w:rPr>
              <w:t>(207,372,020)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520" w:type="dxa"/>
            <w:vAlign w:val="bottom"/>
            <w:gridSpan w:val="2"/>
          </w:tcPr>
          <w:p>
            <w:pPr>
              <w:ind w:left="78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(207,372,020</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203,224,580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Private Placements Warrants</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6,147,440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Repayment of promissory note—related party</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(397,793)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520" w:type="dxa"/>
            <w:vAlign w:val="bottom"/>
            <w:gridSpan w:val="2"/>
          </w:tcPr>
          <w:p>
            <w:pPr>
              <w:ind w:left="78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208,891,498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Cash—Beginning</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Cash—Ending</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classification of warrant liabilities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20,960,000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Deferred underwriting fee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7,258,021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 of offering costs through promissory note</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Offering costs paid by Sponsor in exchange for issuance of Founder shares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18,394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Offering costs included in accrued offering costs</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Forfeiture of Founder Shares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73"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22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Company has one subsidiary, Pylon Merger Company LLC, a direct wholly owned subsidiary of the Company formed in Delaware on December 18, 2020.</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July 31, 2020 (inception) through December 31, 2020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4.</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5.</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As such, on October 1, 2020, the Company consummated the sale of an additional 737,202 Units, at $10.00 per Unit, and the sale of an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147,440 Private Placement Warrants, at $1.00 per Private Warrant, generating total gross proceeds of $7,519,460.</w:t>
      </w:r>
    </w:p>
    <w:p>
      <w:pPr>
        <w:spacing w:after="0" w:line="21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Transaction costs charged to equity amounted to $11,906,606, consisting of $4,147,440 of underwriting fees, $7,258,021 of deferred underwriting fees and $501,145 of other offering costs. In addition, at September 25, 2020 cash of $1,205,178 was held outside of the Trust Account (as defined below) and is available for working capital purposes.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the closing of the Initial Public Offering on September 25, 2020 and the partial exercise of the underwriter’s over-allotment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1, 2020, an amount of $207,372,020 ($10.00 per Unit) from the net proceeds of the sale of the Units in the Initial Public Offering and the sale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Private Placement Warrants was placed in a trust account (the “Trust Account”) and invested in U.S. government securities, within the meaning set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forth in Section 2(a)(16) of the Investment Company Act of 1940, as amended (the “Investment Company Act”), with a maturity of 185 days or less,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any open-ended investment company that holds itself out as a money market fund investing solely in U.S. Treasuries and meeting certain conditions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Rule 2a-7 of the Investment Company Act, as determined by the Company, until the earliest of: (i) the completion of a Business Combination and</w:t>
      </w:r>
    </w:p>
    <w:p>
      <w:pPr>
        <w:spacing w:after="0" w:line="32" w:lineRule="exact"/>
        <w:rPr>
          <w:sz w:val="20"/>
          <w:szCs w:val="20"/>
          <w:color w:val="auto"/>
        </w:rPr>
      </w:pPr>
    </w:p>
    <w:p>
      <w:pPr>
        <w:ind w:left="5540" w:right="3460" w:hanging="5424"/>
        <w:spacing w:after="0" w:line="433" w:lineRule="auto"/>
        <w:tabs>
          <w:tab w:leader="none" w:pos="3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distribution of the funds in the Trust Account to the Company’s shareholders, as described below. 71</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6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86"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120" w:right="120" w:hanging="4"/>
        <w:spacing w:after="0" w:line="270"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7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92" w:lineRule="exact"/>
        <w:rPr>
          <w:sz w:val="20"/>
          <w:szCs w:val="20"/>
          <w:color w:val="auto"/>
        </w:rPr>
      </w:pPr>
    </w:p>
    <w:p>
      <w:pPr>
        <w:ind w:left="120" w:firstLine="440"/>
        <w:spacing w:after="0" w:line="252" w:lineRule="auto"/>
        <w:rPr>
          <w:sz w:val="20"/>
          <w:szCs w:val="20"/>
          <w:color w:val="auto"/>
        </w:rPr>
      </w:pPr>
      <w:r>
        <w:rPr>
          <w:rFonts w:ascii="Arial" w:cs="Arial" w:eastAsia="Arial" w:hAnsi="Arial"/>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4" w:lineRule="exact"/>
        <w:rPr>
          <w:sz w:val="20"/>
          <w:szCs w:val="20"/>
          <w:color w:val="auto"/>
        </w:rPr>
      </w:pPr>
    </w:p>
    <w:p>
      <w:pPr>
        <w:ind w:left="120" w:right="20" w:firstLine="440"/>
        <w:spacing w:after="0" w:line="251" w:lineRule="auto"/>
        <w:rPr>
          <w:sz w:val="20"/>
          <w:szCs w:val="20"/>
          <w:color w:val="auto"/>
        </w:rPr>
      </w:pPr>
      <w:r>
        <w:rPr>
          <w:rFonts w:ascii="Arial" w:cs="Arial" w:eastAsia="Arial" w:hAnsi="Arial"/>
          <w:sz w:val="18"/>
          <w:szCs w:val="18"/>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86"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 of December 31, 2020, the Company had approximately $1.2 million in its operating bank accounts and working capital of approximately $0.5 million.</w:t>
      </w:r>
    </w:p>
    <w:p>
      <w:pPr>
        <w:spacing w:after="0" w:line="170"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6),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6). As of December 31, 2020, there were no amounts outstanding under any Working Capital Loan.</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8"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As of October 15, 2021, substantial doubt about our ability to continue as a going concern related to the date for mandatory liquidation and dissolution was alleviated due to the closing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2—RESTATEMENT OF PREVIOUSLY ISSUED FINANCIAL STATEMENTS</w:t>
      </w:r>
    </w:p>
    <w:p>
      <w:pPr>
        <w:spacing w:after="0" w:line="229"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color w:val="auto"/>
        </w:rPr>
        <w:t>The Company concluded it should restate its previously issued financial statements by amending Amendment No. 1 to its Annual Report on Form 10-K/A, filed with the SEC on May 24, 2021, to classify all Class A ordinary shares subject to possible redemption in temporary equity. In accordance with the SEC and its staff’s guidance on redeemable equity instruments, ASC 480, paragraph 10-S99, redemption provisions not solely within the control of the Company require ordinary shares subject to redemption to be classified outside of permanent equity. The Company had previously classified a portion of its Class A ordinary shares in permanent equity, or total shareholders’ equity. Although the Company did not specify a maximum redemption threshold, its charter currently provides that the Company will not redeem its public shares in an amount that would cause its net tangible assets to be less than $5,000,001. Previously, the Company did not consider redeemable stock classified as temporary equity as part of net tangible assets. Effective with these financial statements, the Company revised this interpretation to include temporary equity in net tangible assets. Also, in connection with the change in presentation for the Class A ordinary shares subject to possible redemption, the Company also revised its earnings per share calculation to allocate income and losses shared pro rata between the two classes of shares. This presentation contemplates a Business Combination as the most likely outcome, in which case, both classes of shares share pro rata in the income and losses of the Company. As a result, the Company restated its previously filed financial statements to present all redeemable Class A ordinary shares as temporary equity and to recognize accretion from the initial book value to redemption value at the time of its Initial Public Offering and in accordance with ASC 480. The Company’s previously filed financial statements that contained the error were initially reported in the Company’s Form 8-K filed with the SEC on October 1, 2020 (the “Post-IPO Balance Sheet”), the Company’s Form 10-Q for the quarterly period ended September 30, 2020, and the Company’s Annual Report on 10-K for the annual period ended December 31, 2020, which were previously restated in the Company’s Amendment No. 1 to its Form 10-K as filed with the SEC on May 24, 2021, as well as the Form 10-Qs for the quarterly periods ended March 31, 2021 and June 30, 2021 (the “Affected Periods”). These financial statements restate the Company’s previously issued audited and unaudited financial statements covering the periods through December 31, 2020. The quarterly periods ended March 31, 2021 and June 30, 2021 will be restated in the Company’s Form 10-Q/A for the quarterly period ended September 30, 2021. Please see Note 3 and Note 8, which have been updated to reflect the restatement of the financials contained in this annual report.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86"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Reported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As Previously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Restated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10-K/A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vMerge w:val="restart"/>
          </w:tcPr>
          <w:p>
            <w:pPr>
              <w:spacing w:after="0"/>
              <w:rPr>
                <w:sz w:val="20"/>
                <w:szCs w:val="20"/>
                <w:color w:val="auto"/>
              </w:rPr>
            </w:pPr>
            <w:r>
              <w:rPr>
                <w:rFonts w:ascii="Arial" w:cs="Arial" w:eastAsia="Arial" w:hAnsi="Arial"/>
                <w:sz w:val="16"/>
                <w:szCs w:val="16"/>
                <w:b w:val="1"/>
                <w:bCs w:val="1"/>
                <w:color w:val="auto"/>
              </w:rPr>
              <w:t>Balance Sheet as of September 25, 2020 (audited)</w:t>
            </w: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Amendment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No. 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3"/>
              </w:rPr>
              <w:t>Adjustment</w:t>
            </w:r>
          </w:p>
        </w:tc>
        <w:tc>
          <w:tcPr>
            <w:tcW w:w="11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As Restated</w:t>
            </w:r>
          </w:p>
        </w:tc>
        <w:tc>
          <w:tcPr>
            <w:tcW w:w="0" w:type="dxa"/>
            <w:vAlign w:val="bottom"/>
          </w:tcPr>
          <w:p>
            <w:pPr>
              <w:spacing w:after="0"/>
              <w:rPr>
                <w:sz w:val="1"/>
                <w:szCs w:val="1"/>
                <w:color w:val="auto"/>
              </w:rPr>
            </w:pPr>
          </w:p>
        </w:tc>
      </w:tr>
      <w:tr>
        <w:trPr>
          <w:trHeight w:val="213"/>
        </w:trPr>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168,557,240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31,442,760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200,000,000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7,920,772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(7,920,772)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(2,921,596)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(23,521,674)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(26,443,270)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(deficit)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(31,442,760)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(26,442,752)</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16,855,724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3,144,276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20,000,000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168,446,470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31,553,530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200,000,000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8,031,540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(8,031,540)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(3,032,369)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(23,521,674)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(26,554,043)</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Total shareholders’ equity (deficit)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5,000,005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(31,553,530)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(26,553,825)</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16,844,647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3,155,353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20,000,000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173,122,110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34,249,910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207,372,020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9,860,338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(9,860,338)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(4,861,190)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(24,389,229)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(29,250,419)</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(deficit)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(34,249,910)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(29,249,901)</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Number of shares subject to redemption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17,312,211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3,424,991</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20,737,202</w:t>
            </w:r>
          </w:p>
        </w:tc>
        <w:tc>
          <w:tcPr>
            <w:tcW w:w="0" w:type="dxa"/>
            <w:vAlign w:val="bottom"/>
          </w:tcPr>
          <w:p>
            <w:pPr>
              <w:spacing w:after="0"/>
              <w:rPr>
                <w:sz w:val="1"/>
                <w:szCs w:val="1"/>
                <w:color w:val="auto"/>
              </w:rPr>
            </w:pPr>
          </w:p>
        </w:tc>
      </w:tr>
      <w:tr>
        <w:trPr>
          <w:trHeight w:val="198"/>
        </w:trPr>
        <w:tc>
          <w:tcPr>
            <w:tcW w:w="7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Statement of Cash Flows for the period from July 31, 2020 (Inception) through September 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 (unaudited)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Initial classification of Class A ordinary shares subject to possible redemption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168,557,240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(168,557,240)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(110,770)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730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Statement of Cash Flows for the period from July 31, 2020 (Inception) through 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2020 (audited)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Class A ordinary shares subject to possible redemption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174,833,010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(174,833,010)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(1,760,900)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1,760,900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7300" w:type="dxa"/>
            <w:vAlign w:val="bottom"/>
          </w:tcPr>
          <w:p>
            <w:pPr>
              <w:ind w:left="54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76" w:name="page77"/>
    <w:bookmarkEnd w:id="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7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880" w:type="dxa"/>
            <w:vAlign w:val="bottom"/>
            <w:gridSpan w:val="3"/>
          </w:tcPr>
          <w:p>
            <w:pPr>
              <w:jc w:val="center"/>
              <w:ind w:left="1570"/>
              <w:spacing w:after="0"/>
              <w:rPr>
                <w:sz w:val="20"/>
                <w:szCs w:val="20"/>
                <w:color w:val="auto"/>
              </w:rPr>
            </w:pPr>
            <w:r>
              <w:rPr>
                <w:rFonts w:ascii="Arial" w:cs="Arial" w:eastAsia="Arial" w:hAnsi="Arial"/>
                <w:sz w:val="18"/>
                <w:szCs w:val="18"/>
                <w:b w:val="1"/>
                <w:bCs w:val="1"/>
                <w:color w:val="auto"/>
              </w:rPr>
              <w:t>VPC IMPACT ACQUISITION HOLDINGS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80" w:type="dxa"/>
            <w:vAlign w:val="bottom"/>
            <w:gridSpan w:val="3"/>
          </w:tcPr>
          <w:p>
            <w:pPr>
              <w:jc w:val="center"/>
              <w:ind w:left="1550"/>
              <w:spacing w:after="0"/>
              <w:rPr>
                <w:sz w:val="20"/>
                <w:szCs w:val="20"/>
                <w:color w:val="auto"/>
              </w:rPr>
            </w:pPr>
            <w:r>
              <w:rPr>
                <w:rFonts w:ascii="Arial" w:cs="Arial" w:eastAsia="Arial" w:hAnsi="Arial"/>
                <w:sz w:val="18"/>
                <w:szCs w:val="18"/>
                <w:b w:val="1"/>
                <w:bCs w:val="1"/>
                <w:color w:val="auto"/>
              </w:rPr>
              <w:t>NOTES TO CONSOLIDATED FINANCIAL STATEMENTS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360" w:type="dxa"/>
            <w:vAlign w:val="bottom"/>
          </w:tcPr>
          <w:p>
            <w:pPr>
              <w:jc w:val="center"/>
              <w:ind w:left="3090"/>
              <w:spacing w:after="0"/>
              <w:rPr>
                <w:sz w:val="20"/>
                <w:szCs w:val="20"/>
                <w:color w:val="auto"/>
              </w:rPr>
            </w:pPr>
            <w:r>
              <w:rPr>
                <w:rFonts w:ascii="Arial" w:cs="Arial" w:eastAsia="Arial" w:hAnsi="Arial"/>
                <w:sz w:val="18"/>
                <w:szCs w:val="18"/>
                <w:b w:val="1"/>
                <w:bCs w:val="1"/>
                <w:color w:val="auto"/>
                <w:w w:val="97"/>
              </w:rPr>
              <w:t>(RESTATED)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360" w:type="dxa"/>
            <w:vAlign w:val="bottom"/>
          </w:tcPr>
          <w:p>
            <w:pPr>
              <w:jc w:val="center"/>
              <w:ind w:left="3070"/>
              <w:spacing w:after="0"/>
              <w:rPr>
                <w:sz w:val="20"/>
                <w:szCs w:val="20"/>
                <w:color w:val="auto"/>
              </w:rPr>
            </w:pPr>
            <w:r>
              <w:rPr>
                <w:rFonts w:ascii="Arial" w:cs="Arial" w:eastAsia="Arial" w:hAnsi="Arial"/>
                <w:sz w:val="18"/>
                <w:szCs w:val="18"/>
                <w:b w:val="1"/>
                <w:bCs w:val="1"/>
                <w:color w:val="auto"/>
                <w:w w:val="96"/>
              </w:rPr>
              <w:t>DECEMBER 31, 2020</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48"/>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8"/>
        </w:trPr>
        <w:tc>
          <w:tcPr>
            <w:tcW w:w="120" w:type="dxa"/>
            <w:vAlign w:val="bottom"/>
          </w:tcPr>
          <w:p>
            <w:pPr>
              <w:spacing w:after="0"/>
              <w:rPr>
                <w:sz w:val="17"/>
                <w:szCs w:val="17"/>
                <w:color w:val="auto"/>
              </w:rPr>
            </w:pPr>
          </w:p>
        </w:tc>
        <w:tc>
          <w:tcPr>
            <w:tcW w:w="66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Statement of Operations for the period from July 31, 2020 (Inception) through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2020 (unaudited)</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Weighted average shares outstanding, Class A ordinary shares</w:t>
            </w:r>
          </w:p>
        </w:tc>
        <w:tc>
          <w:tcPr>
            <w:tcW w:w="34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w w:val="88"/>
              </w:rPr>
              <w:t>20,000,000</w:t>
            </w:r>
          </w:p>
        </w:tc>
        <w:tc>
          <w:tcPr>
            <w:tcW w:w="36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w w:val="90"/>
              </w:rPr>
              <w:t>(17,966,102)</w:t>
            </w:r>
          </w:p>
        </w:tc>
        <w:tc>
          <w:tcPr>
            <w:tcW w:w="3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2,033,898</w:t>
            </w:r>
          </w:p>
        </w:tc>
      </w:tr>
      <w:tr>
        <w:trPr>
          <w:trHeight w:val="216"/>
        </w:trPr>
        <w:tc>
          <w:tcPr>
            <w:tcW w:w="1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income per share, Class A ordinary shares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(0.43)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16"/>
        </w:trPr>
        <w:tc>
          <w:tcPr>
            <w:tcW w:w="1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Weighted average shares outstanding, Class B ordinary shares</w:t>
            </w:r>
          </w:p>
        </w:tc>
        <w:tc>
          <w:tcPr>
            <w:tcW w:w="34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w w:val="99"/>
              </w:rPr>
              <w:t>5,184,300</w:t>
            </w:r>
          </w:p>
        </w:tc>
        <w:tc>
          <w:tcPr>
            <w:tcW w:w="36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(184,300)</w:t>
            </w:r>
          </w:p>
        </w:tc>
        <w:tc>
          <w:tcPr>
            <w:tcW w:w="3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5,000,000</w:t>
            </w:r>
          </w:p>
        </w:tc>
      </w:tr>
      <w:tr>
        <w:trPr>
          <w:trHeight w:val="216"/>
        </w:trPr>
        <w:tc>
          <w:tcPr>
            <w:tcW w:w="1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Class B ordinary shares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(0.58)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0.15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198"/>
        </w:trPr>
        <w:tc>
          <w:tcPr>
            <w:tcW w:w="120" w:type="dxa"/>
            <w:vAlign w:val="bottom"/>
          </w:tcPr>
          <w:p>
            <w:pPr>
              <w:spacing w:after="0"/>
              <w:rPr>
                <w:sz w:val="17"/>
                <w:szCs w:val="17"/>
                <w:color w:val="auto"/>
              </w:rPr>
            </w:pPr>
          </w:p>
        </w:tc>
        <w:tc>
          <w:tcPr>
            <w:tcW w:w="66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9"/>
              </w:rPr>
              <w:t>Statement of Operations for the period from July 31, 2020 (Inception) through</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66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2020 (audited)</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Class A ordinary shares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8"/>
              </w:rPr>
              <w:t>20,737,202</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(7,307,913)</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13,429,289</w:t>
            </w:r>
          </w:p>
        </w:tc>
      </w:tr>
      <w:tr>
        <w:trPr>
          <w:trHeight w:val="216"/>
        </w:trPr>
        <w:tc>
          <w:tcPr>
            <w:tcW w:w="1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Basic and diluted net income per share, Class A ordinary shares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(0.26)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16"/>
        </w:trPr>
        <w:tc>
          <w:tcPr>
            <w:tcW w:w="1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Class B ordinary shares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5,184,300</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(72,491)</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5,111,809</w:t>
            </w:r>
          </w:p>
        </w:tc>
      </w:tr>
      <w:tr>
        <w:trPr>
          <w:trHeight w:val="230"/>
        </w:trPr>
        <w:tc>
          <w:tcPr>
            <w:tcW w:w="1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Class B ordinary shares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(0.94)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0.68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350"/>
        </w:trPr>
        <w:tc>
          <w:tcPr>
            <w:tcW w:w="6720" w:type="dxa"/>
            <w:vAlign w:val="bottom"/>
            <w:gridSpan w:val="3"/>
          </w:tcPr>
          <w:p>
            <w:pPr>
              <w:jc w:val="center"/>
              <w:ind w:left="4450"/>
              <w:spacing w:after="0"/>
              <w:rPr>
                <w:sz w:val="20"/>
                <w:szCs w:val="20"/>
                <w:color w:val="auto"/>
              </w:rPr>
            </w:pPr>
            <w:r>
              <w:rPr>
                <w:rFonts w:ascii="Arial" w:cs="Arial" w:eastAsia="Arial" w:hAnsi="Arial"/>
                <w:sz w:val="18"/>
                <w:szCs w:val="18"/>
                <w:color w:val="auto"/>
                <w:w w:val="89"/>
              </w:rPr>
              <w:t>76</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140"/>
          </w:cols>
          <w:pgMar w:left="320" w:top="473"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pursuant to the rules and regulations of the SEC.</w:t>
      </w:r>
    </w:p>
    <w:p>
      <w:pPr>
        <w:spacing w:after="0" w:line="6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described in Note 2—Restatement of Previously Issued Financial Statements, the Company’s consolidated financial statements for the year ended December 31, 2020 (collectively, the “Affected Period”), are restated in this Annual Report on Form 10-K/A (Second Amendment) (this “Annual Report”) to correct the misapplication of accounting guidance related to the Company’s Class A ordinary shares subject to possible redemption in the Company’s previously issued audited and unaudited condensed consolidated financial statements for such periods. The restated consolidated financial statements are indicated as “Restated” in the audited consolidated financial statements and accompanying notes, as applicable. See Note 2—Restatement of Previously Issued Financial Statements for further discussion.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4"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One of the more significant accounting estimates included in these consolidated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86"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22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Company’s portfolio of investments held in trust is comprised solely of U.S. Treasury money market funds,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investments are included in interest earned on marketable securities held in Trust Account in the accompanying consolidated statement of operations. The estimated fair values of investments held in the Trust Account are determined using available market information.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Ordinary Shares Subject to Possible Redemption (Restated)</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at December 31, 2020, Class A ordinary shares subject to possible redemption are presented as temporary equity, outside of the shareholders’ equity section of the Company’s condensed consolidated balance sheets.</w:t>
      </w:r>
    </w:p>
    <w:p>
      <w:pPr>
        <w:spacing w:after="0" w:line="16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2020, the Class A ordinary shares reflected in the condensed balance sheets are reconciled in the following table:</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207,372,020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allocated to Public Warrants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(13,275,495)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Class A ordinary shares issuance costs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(11,138,216)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Accretion of carrying value to redemption value</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24,413,711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ordinary shares subject to possible redemption</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207,372,020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Liability (Restated)</w:t>
      </w:r>
    </w:p>
    <w:p>
      <w:pPr>
        <w:spacing w:after="0" w:line="22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consolidated statements of operations. The fair value of the public warrants were initially estimated using the Option Pricing Method with subsequent remeasurements utilizing the trading stock price, whereas the private warrants were estimated using a Option Pricing Method approach for all periods (see Note 10).</w:t>
      </w:r>
    </w:p>
    <w:p>
      <w:pPr>
        <w:sectPr>
          <w:pgSz w:w="11900" w:h="16838" w:orient="portrait"/>
          <w:cols w:equalWidth="0" w:num="1">
            <w:col w:w="11120"/>
          </w:cols>
          <w:pgMar w:left="320" w:top="486" w:right="459" w:bottom="1440"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20"/>
          </w:cols>
          <w:pgMar w:left="320" w:top="486" w:right="4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Offering costs consist of legal, accounting, underwriting fees and other costs incurred through the Initial Public Offering that are directly related to the Initial Public Offering. Offering costs amounting to $11,906,606 were charged to shareholders’ equity upon the completion of the Initial Public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10,368,601 warrants issued in connection with the Initial Public Offering (the “Public Warrants”) and the 6,147,440 Private Placement Warrants are recognized as derivative liabilities in accordance with ASC 815-40. 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consolidated statement of operations. The fair value of the Public Warrants issued in connection with the Public Offering and Private Placement Warrants were initially measured at fair value using an Option Pricing simulation model and subsequently, the fair value of the Private Placement Warrants have been estimated using a Black Scholes simulation model each measurement date. The fair value of Public Warrants issued in connection with the Initial Public Offering have subsequently been measured based on the listed market price of such warrants.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Ordinary Share (Restated)</w:t>
      </w:r>
    </w:p>
    <w:p>
      <w:pPr>
        <w:spacing w:after="0" w:line="225"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(loss) per ordinary share is computed by dividing net income (loss) by the weighted average number of ordinary shares outstanding for the period. The Company applies the two-class method in calculating earnings per share. Accretion associated with the redeemable shares of Class A ordinary shares is excluded from earnings per share as the redemption value approximates fair value.</w:t>
      </w:r>
    </w:p>
    <w:p>
      <w:pPr>
        <w:spacing w:after="0" w:line="187"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16,516,041 Class A ordinary shares in the aggregate. As of December 31, 2020, the Company did not have any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86"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reflects the calculation of basic and diluted net loss per ordinary share (in dollars, except per share amounts):</w:t>
      </w:r>
    </w:p>
    <w:p>
      <w:pPr>
        <w:spacing w:after="0" w:line="255"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For The Period From</w:t>
      </w:r>
    </w:p>
    <w:p>
      <w:pPr>
        <w:jc w:val="center"/>
        <w:ind w:left="5940"/>
        <w:spacing w:after="0" w:line="226" w:lineRule="auto"/>
        <w:rPr>
          <w:sz w:val="20"/>
          <w:szCs w:val="20"/>
          <w:color w:val="auto"/>
        </w:rPr>
      </w:pPr>
      <w:r>
        <w:rPr>
          <w:rFonts w:ascii="Arial" w:cs="Arial" w:eastAsia="Arial" w:hAnsi="Arial"/>
          <w:sz w:val="14"/>
          <w:szCs w:val="14"/>
          <w:b w:val="1"/>
          <w:bCs w:val="1"/>
          <w:color w:val="auto"/>
        </w:rPr>
        <w:t>July 31, 2020 (inception) through</w:t>
      </w:r>
    </w:p>
    <w:p>
      <w:pPr>
        <w:jc w:val="center"/>
        <w:ind w:left="5940"/>
        <w:spacing w:after="0" w:line="232" w:lineRule="auto"/>
        <w:rPr>
          <w:sz w:val="20"/>
          <w:szCs w:val="20"/>
          <w:color w:val="auto"/>
        </w:rPr>
      </w:pPr>
      <w:r>
        <w:rPr>
          <w:rFonts w:ascii="Arial" w:cs="Arial" w:eastAsia="Arial" w:hAnsi="Arial"/>
          <w:sz w:val="14"/>
          <w:szCs w:val="14"/>
          <w:b w:val="1"/>
          <w:bCs w:val="1"/>
          <w:color w:val="auto"/>
        </w:rPr>
        <w:t>December 31,2020</w:t>
      </w:r>
    </w:p>
    <w:tbl>
      <w:tblPr>
        <w:tblLayout w:type="fixed"/>
        <w:tblInd w:w="1440" w:type="dxa"/>
        <w:tblCellMar>
          <w:top w:w="0" w:type="dxa"/>
          <w:left w:w="0" w:type="dxa"/>
          <w:bottom w:w="0" w:type="dxa"/>
          <w:right w:w="0" w:type="dxa"/>
        </w:tblCellMar>
      </w:tblPr>
      <w:tr>
        <w:trPr>
          <w:trHeight w:val="155"/>
        </w:trPr>
        <w:tc>
          <w:tcPr>
            <w:tcW w:w="5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Class A</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3"/>
                <w:szCs w:val="13"/>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ordinary share:</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i w:val="1"/>
                <w:iCs w:val="1"/>
                <w:color w:val="auto"/>
              </w:rPr>
              <w:t>Numerator: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net loss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(3,520,953)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(1,340,237)</w:t>
            </w:r>
          </w:p>
        </w:tc>
      </w:tr>
      <w:tr>
        <w:trPr>
          <w:trHeight w:val="216"/>
        </w:trPr>
        <w:tc>
          <w:tcPr>
            <w:tcW w:w="5500" w:type="dxa"/>
            <w:vAlign w:val="bottom"/>
          </w:tcPr>
          <w:p>
            <w:pPr>
              <w:spacing w:after="0"/>
              <w:rPr>
                <w:sz w:val="20"/>
                <w:szCs w:val="20"/>
                <w:color w:val="auto"/>
              </w:rPr>
            </w:pPr>
            <w:r>
              <w:rPr>
                <w:rFonts w:ascii="Arial" w:cs="Arial" w:eastAsia="Arial" w:hAnsi="Arial"/>
                <w:sz w:val="18"/>
                <w:szCs w:val="18"/>
                <w:i w:val="1"/>
                <w:iCs w:val="1"/>
                <w:color w:val="auto"/>
              </w:rPr>
              <w:t>Denominator: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 weighted average ordinary shares outstanding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13,429,289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5,111,809</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Basic and diluted net loss per ordinary share</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r>
      <w:tr>
        <w:trPr>
          <w:trHeight w:val="372"/>
        </w:trPr>
        <w:tc>
          <w:tcPr>
            <w:tcW w:w="5500" w:type="dxa"/>
            <w:vAlign w:val="bottom"/>
          </w:tcPr>
          <w:p>
            <w:pPr>
              <w:ind w:left="4100"/>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486"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fair value of the Company’s assets and liabilities other than the warrant liabilities, which qualify as financial instruments under ASC Topic 820, “Fair Value Measurement,” approximates the carrying amounts represented in the Company’s consolidated balance sheet, primarily due to their short-term nature.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 (Restated)</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 (Restated)</w:t>
      </w:r>
    </w:p>
    <w:p>
      <w:pPr>
        <w:spacing w:after="0" w:line="22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86"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 (Restated)</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August 2020, the FASB issued Accounting Standards UpdateNo.2020-06, “Debt—Debt with Conversion and Other Options (Subtopic 470-20) and Derivatives and Hedging—Contracts in Entity’s Own Equity (Subtopic 815-40): Accounting for Convertible Instruments and Contracts in an Entity’s Own Equity” (“ASU2020-06”),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The Company adopted ASU2020-06 effective as of January 1, 2021. The adoption of ASU2020-06 did not have an impact on the Company’s condensed consolidated financial statements.</w:t>
      </w:r>
    </w:p>
    <w:p>
      <w:pPr>
        <w:spacing w:after="0" w:line="16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4—INITIAL PUBLIC OFFERING</w:t>
      </w:r>
    </w:p>
    <w:p>
      <w:pPr>
        <w:spacing w:after="0" w:line="229"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9).</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5—PRIVATE PLACEMENT</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9).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6—RELATED PARTY TRANSACTIONS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w:t>
      </w:r>
    </w:p>
    <w:p>
      <w:pPr>
        <w:spacing w:after="0" w:line="19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86"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August 3, 2020, the Company issued an unsecured promissory note (the “Promissory Note”) to the Sponsor, pursuant to which the Company may borrow up to an aggregate principal amount of $300,000. The Promissory Note was non-interest bearing and payable on the earlier of (i) December 31, 2020 and (ii) the completion of the Initial Public Offering. The outstanding balance under the Promissory Note of $82,729 was repaid at the closing of the Initial Public Offering on September 25,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As of December 31, 2020, $30,000 were earned and remained unpaid in the accrued expenses line item on the consolidated balance sheet.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order to finance transaction costs in connection with a Business Combination, the Sponsor or an affiliate of the Sponsor, or certain of the Company’s officers and directors will loan, and have the means to provide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 Company had no outstanding borrowings under the Working Capital Loans.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global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Shareholders Rights</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86"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8—SHAREHOLDERS’ EQUITY (Restated)</w:t>
      </w:r>
    </w:p>
    <w:p>
      <w:pPr>
        <w:spacing w:after="0" w:line="22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preference shares issued or outstanding.</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—At December 31, 2020, there were 20,737,202 Class A ordinary shares issued and outstanding, including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ordinary shares subject to possible redemption which are presented as temporary equity.</w:t>
      </w:r>
    </w:p>
    <w:p>
      <w:pPr>
        <w:spacing w:after="0" w:line="170"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b w:val="1"/>
          <w:bCs w:val="1"/>
          <w:i w:val="1"/>
          <w:iCs w:val="1"/>
          <w:color w:val="auto"/>
        </w:rPr>
        <w:t>Class B Ordinary Shares</w:t>
      </w:r>
      <w:r>
        <w:rPr>
          <w:rFonts w:ascii="Arial" w:cs="Arial" w:eastAsia="Arial" w:hAnsi="Arial"/>
          <w:sz w:val="18"/>
          <w:szCs w:val="18"/>
          <w:color w:val="auto"/>
        </w:rPr>
        <w:t>—The Company is authorized to issue 20,000,000 Class B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Class B ordinary shares are entitled to one vote for each share. At December 31, 2020, there were 5,184,300 Class B ordinary shares issued and outstanding.</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8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9—WARRANTS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 (a) 30 days after the completion of a Business Combination and (b) one year from the closing of the Initial Public Offering. The Public Warrants will expire five years from the completion of a Business Combination or earlier upon redemption or liquidation.</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$18.00</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and only if, the reported closing price of the Company’s Class A ordinary shares equals or exceeds $18.00 per share (as adjusted) for any 20 trading days within a 30-trading day period ending three trading days prior to the date on which the Company sends the notice of redemption to the warrant holders.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86"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35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$10.00</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240" w:hanging="532"/>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89" w:lineRule="exact"/>
        <w:rPr>
          <w:rFonts w:ascii="Arial" w:cs="Arial" w:eastAsia="Arial" w:hAnsi="Arial"/>
          <w:sz w:val="18"/>
          <w:szCs w:val="18"/>
          <w:color w:val="auto"/>
        </w:rPr>
      </w:pPr>
    </w:p>
    <w:p>
      <w:pPr>
        <w:ind w:left="1080" w:right="220" w:hanging="532"/>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the Company’s Class A ordinary shares equals or exceeds $10.00 per Public Share (as adjusted) for any 20 trading days within the 30-trading day period ending three trading days before the Company sends the notice of redemption to the warrant holders; and</w:t>
      </w:r>
    </w:p>
    <w:p>
      <w:pPr>
        <w:spacing w:after="0" w:line="89" w:lineRule="exact"/>
        <w:rPr>
          <w:rFonts w:ascii="Arial" w:cs="Arial" w:eastAsia="Arial" w:hAnsi="Arial"/>
          <w:sz w:val="18"/>
          <w:szCs w:val="18"/>
          <w:color w:val="auto"/>
        </w:rPr>
      </w:pPr>
    </w:p>
    <w:p>
      <w:pPr>
        <w:jc w:val="both"/>
        <w:ind w:left="1080" w:right="20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86"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10—FAIR VALUE MEASUREMENTS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05" w:lineRule="exact"/>
        <w:rPr>
          <w:sz w:val="20"/>
          <w:szCs w:val="20"/>
          <w:color w:val="auto"/>
        </w:rPr>
      </w:pPr>
    </w:p>
    <w:p>
      <w:pPr>
        <w:ind w:left="900" w:hanging="782"/>
        <w:spacing w:after="0" w:line="308" w:lineRule="auto"/>
        <w:tabs>
          <w:tab w:leader="none" w:pos="8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900" w:right="680" w:hanging="782"/>
        <w:spacing w:after="0" w:line="277" w:lineRule="auto"/>
        <w:tabs>
          <w:tab w:leader="none" w:pos="88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At December 31, 2020, assets held in the Trust Account were comprised of $207,376,213 in money market funds which are invested primarily in U.S. Treasury Securities. During the year ended December 31, 2020, the Company did not withdraw any interest income from the Trust Account.</w:t>
      </w:r>
    </w:p>
    <w:p>
      <w:pPr>
        <w:spacing w:after="0" w:line="12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80" w:type="dxa"/>
            <w:vAlign w:val="bottom"/>
            <w:gridSpan w:val="2"/>
            <w:vMerge w:val="restart"/>
          </w:tcPr>
          <w:p>
            <w:pPr>
              <w:ind w:left="6060"/>
              <w:spacing w:after="0"/>
              <w:rPr>
                <w:sz w:val="20"/>
                <w:szCs w:val="20"/>
                <w:color w:val="auto"/>
              </w:rPr>
            </w:pPr>
            <w:r>
              <w:rPr>
                <w:rFonts w:ascii="Arial" w:cs="Arial" w:eastAsia="Arial" w:hAnsi="Arial"/>
                <w:sz w:val="14"/>
                <w:szCs w:val="14"/>
                <w:b w:val="1"/>
                <w:bCs w:val="1"/>
                <w:color w:val="auto"/>
                <w:w w:val="90"/>
              </w:rPr>
              <w:t>Description</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w:t>
            </w:r>
          </w:p>
        </w:tc>
        <w:tc>
          <w:tcPr>
            <w:tcW w:w="5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7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80" w:type="dxa"/>
            <w:vAlign w:val="bottom"/>
            <w:gridSpan w:val="2"/>
          </w:tcPr>
          <w:p>
            <w:pPr>
              <w:spacing w:after="0" w:line="201" w:lineRule="exact"/>
              <w:rPr>
                <w:sz w:val="20"/>
                <w:szCs w:val="20"/>
                <w:color w:val="auto"/>
              </w:rPr>
            </w:pPr>
            <w:r>
              <w:rPr>
                <w:rFonts w:ascii="Arial" w:cs="Arial" w:eastAsia="Arial" w:hAnsi="Arial"/>
                <w:sz w:val="18"/>
                <w:szCs w:val="18"/>
                <w:color w:val="auto"/>
              </w:rPr>
              <w:t>Investments held in Trust Account—U.S. Treasury Securities Money Market</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Fund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207,376,213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Warrant Liability—Public Warrants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11,509,147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Liability—Private Placement Warrants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11,003,918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the balance sheet. The warrant liabilities are measured at fair value at inception and on a recurring basis, with changes in fair value presented within change in fair value of warrant liabilities in the consolidated statement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86"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Measurement</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established the initial fair value for the Warrants on September 25, 2020, the date of the Company’s Initial Public Offering, using an Option Pricing Method for the Public Warrants and a Black-Scholes Model for the Private Placement Warrants. The Company allocated the proceeds received from (i) the sale of Units (which is inclusive of one share of Class A ordinary shares and one-fourth of one Public Warrant), and (ii) the sale of Private Placement Warrants, first to the Warrants based on their fair values as determined at initial measurement, with the remaining proceeds allocated to Class A ordinary shares subject to possible redemption, Class A ordinary shares and Class B ordinary shares based on their relative fair values at the initial measurement date. The Warrants were classified as Level 3 at the initial measurement date due to the use of unobservable inputs.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inputs into the Option Pricing Method for the Public Warrants were as follows at initial measurement:</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80" w:type="dxa"/>
            <w:vAlign w:val="bottom"/>
            <w:gridSpan w:val="2"/>
            <w:vMerge w:val="restart"/>
          </w:tcPr>
          <w:p>
            <w:pPr>
              <w:ind w:left="4940"/>
              <w:spacing w:after="0"/>
              <w:rPr>
                <w:sz w:val="20"/>
                <w:szCs w:val="20"/>
                <w:color w:val="auto"/>
              </w:rPr>
            </w:pPr>
            <w:r>
              <w:rPr>
                <w:rFonts w:ascii="Arial" w:cs="Arial" w:eastAsia="Arial" w:hAnsi="Arial"/>
                <w:sz w:val="14"/>
                <w:szCs w:val="14"/>
                <w:b w:val="1"/>
                <w:bCs w:val="1"/>
                <w:color w:val="auto"/>
                <w:w w:val="93"/>
              </w:rPr>
              <w:t>Input</w:t>
            </w:r>
          </w:p>
        </w:tc>
        <w:tc>
          <w:tcPr>
            <w:tcW w:w="740" w:type="dxa"/>
            <w:vAlign w:val="bottom"/>
          </w:tcPr>
          <w:p>
            <w:pPr>
              <w:spacing w:after="0"/>
              <w:rPr>
                <w:sz w:val="14"/>
                <w:szCs w:val="14"/>
                <w:color w:val="auto"/>
              </w:rPr>
            </w:pPr>
          </w:p>
        </w:tc>
        <w:tc>
          <w:tcPr>
            <w:tcW w:w="18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4"/>
              </w:rPr>
              <w:t>September 25, 2020</w:t>
            </w:r>
          </w:p>
        </w:tc>
        <w:tc>
          <w:tcPr>
            <w:tcW w:w="142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2560" w:type="dxa"/>
            <w:vAlign w:val="bottom"/>
            <w:gridSpan w:val="4"/>
          </w:tcPr>
          <w:p>
            <w:pPr>
              <w:ind w:left="740"/>
              <w:spacing w:after="0"/>
              <w:rPr>
                <w:sz w:val="20"/>
                <w:szCs w:val="20"/>
                <w:color w:val="auto"/>
              </w:rPr>
            </w:pPr>
            <w:r>
              <w:rPr>
                <w:rFonts w:ascii="Arial" w:cs="Arial" w:eastAsia="Arial" w:hAnsi="Arial"/>
                <w:sz w:val="14"/>
                <w:szCs w:val="14"/>
                <w:b w:val="1"/>
                <w:bCs w:val="1"/>
                <w:color w:val="auto"/>
              </w:rPr>
              <w:t>(Initial Measurement)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Trading days per year</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11.50</w:t>
            </w:r>
          </w:p>
        </w:tc>
        <w:tc>
          <w:tcPr>
            <w:tcW w:w="46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w:t>
            </w: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inputs into the Black-Scholes Model for the Private Placement Warrants were as follows at initial measurement:</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Input</w:t>
            </w:r>
          </w:p>
        </w:tc>
        <w:tc>
          <w:tcPr>
            <w:tcW w:w="660" w:type="dxa"/>
            <w:vAlign w:val="bottom"/>
            <w:vMerge w:val="restart"/>
          </w:tcPr>
          <w:p>
            <w:pPr>
              <w:spacing w:after="0"/>
              <w:rPr>
                <w:sz w:val="13"/>
                <w:szCs w:val="13"/>
                <w:color w:val="auto"/>
              </w:rPr>
            </w:pPr>
          </w:p>
        </w:tc>
        <w:tc>
          <w:tcPr>
            <w:tcW w:w="21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September 25, 2020</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(Initial Measurement)</w:t>
            </w: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Trading days per year</w:t>
            </w:r>
          </w:p>
        </w:tc>
        <w:tc>
          <w:tcPr>
            <w:tcW w:w="52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Price</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September 25, 2020, the Private Placement Warrants and Public Warrants were determined to be $1.36 and $1.28 per warrant, respectively, for aggregate values of $8.2 million and $12.8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Warrants are measured at fair value on a recurring basis. The subsequent measurement of the Public Warrants as of December 31, 2020 is classified as Level 1 due to the use of an observable market quote in an active market.</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 of December 31, 2020, the aggregate values of the Private Placement Warrants and Public Warrants were $11.0 million and $11.5 million,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86"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Private Placement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Public</w:t>
            </w:r>
          </w:p>
        </w:tc>
        <w:tc>
          <w:tcPr>
            <w:tcW w:w="1440" w:type="dxa"/>
            <w:vAlign w:val="bottom"/>
            <w:gridSpan w:val="4"/>
          </w:tcPr>
          <w:p>
            <w:pPr>
              <w:ind w:left="180"/>
              <w:spacing w:after="0"/>
              <w:rPr>
                <w:sz w:val="20"/>
                <w:szCs w:val="20"/>
                <w:color w:val="auto"/>
              </w:rPr>
            </w:pPr>
            <w:r>
              <w:rPr>
                <w:rFonts w:ascii="Arial" w:cs="Arial" w:eastAsia="Arial" w:hAnsi="Arial"/>
                <w:sz w:val="14"/>
                <w:szCs w:val="14"/>
                <w:b w:val="1"/>
                <w:bCs w:val="1"/>
                <w:color w:val="auto"/>
              </w:rPr>
              <w:t>Warrant Liabilities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September 25, 2020</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Initial measurement on September 25, 2020 (IPO)</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8,160,000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12,800,000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Fair value as of September 30, 2020</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8,160,000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12,800,000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21,060,000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Measurement on October 1, 2020 (Over-Allotment)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200,518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2,643,400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(1,866,348)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8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11,003,918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11,509,147</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22,513,065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Due to the use of quoted prices in an active market (Level 1) to measure the fair value of the Public Warrants, subsequent to initial measurement, the Company had transfers out of Level 3 totaling $13,275,495 during the period from September 25, 2020 through December 31, 2020.</w:t>
      </w:r>
    </w:p>
    <w:p>
      <w:pPr>
        <w:spacing w:after="0" w:line="124"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11—SUBSEQUENT EVENTS</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(Restatement of Previously Issued Financial Statements), the Company did not identify any subsequent events that would have required adjustment or disclosure in the consolidated financial statements, with the exception of the following matters: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8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86"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143"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 Agreements (Restated)</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January 11, 2021, concurrently with the execution of the Merger Agreement, the Company entered into subscription agreements (the “Subscription Agreements”) with certain investors (collectively, the “PIPE Investors” which include certain existing equityholders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19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At a special meeting of stockholders on October 14, 2021 (the “Special Meeting”), the stockholders of the Company voted and approved Proposal Nos. 1 through 8, including the Bakkt Business Combination. On October 15, 2021, subsequent to the fiscal quarter ended September 30, 2021, the Company consummated the previously announced merger (the “Merger”), among other transactions (the Merger and other transactions contemplated by the Merger Agreement, collectively the “Business Combination”), pursuant to that certain Agreement and Plan of Merger, dated as of January 11, 2021 (as amended, the “Merger Agreement”), by and among the Company, Pylon Merger Company LLC, a Delaware corporation and direct wholly owned subsidiary of the Company (“Meger Sub”), and Bakkt Opco Holdings, LLC, a Delaware limited liability corporation (f/k/a Bakkt Holdings, LLC) (“Opco”).</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this Second Amendment, our management re-evaluated, with the participation of our current chief executive officer and chief financial officer (our “Certifying Officers”), the effectiveness of our disclosure controls and procedures as of December 31, 2020, pursuant to Rule 13a-15(b) under the Exchange Act. Due to a material weakness in our internal control over financial reporting over the accounting for complex financial instruments, we performed additional analysis as deemed necessary to ensure that our financial statements were prepared in accordance with U.S. generally accepted accounting principles.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86"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2020</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This Annual Report on Form 10-K/A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material weakness that resulted in the restatement of our financial statements included in this Second Amendment, we plan to enhance our processes to identify and appropriately apply applicable accounting requirements to better evaluate and understand the nuances of the complex accounting standards that apply to our financial statements. Since the filing of Amendment No. 1, the Company completed the Business Combination with Bakkt, following which the Company appointed a new Chief Executive Officer, Chief Financial Officer and Chief Accounting Officer, among others. The post-Business Combination management team will provide enhanced access to accounting literature, research materials and documents and increased communication among our personnel and third-party professionals with whom the Company can consult with regarding complex accounting applications. The elements of our remediation plan can only be accomplished over time, and we can offer no assurance that these initiatives will ultimately have the intended effects.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320" w:top="486" w:right="5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officers and directors are as follows: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5"/>
                <w:szCs w:val="15"/>
                <w:color w:val="auto"/>
              </w:rPr>
            </w:pPr>
          </w:p>
        </w:tc>
        <w:tc>
          <w:tcPr>
            <w:tcW w:w="6600" w:type="dxa"/>
            <w:vAlign w:val="bottom"/>
          </w:tcPr>
          <w:p>
            <w:pPr>
              <w:ind w:left="294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4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r>
      <w:tr>
        <w:trPr>
          <w:trHeight w:val="197"/>
        </w:trPr>
        <w:tc>
          <w:tcPr>
            <w:tcW w:w="3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John Martin</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Chairman and Chief Executive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Gordon Watson</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President, Chief Operating Officer and 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Olibia Stamatoglou</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Adrienne Harris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Kai Schmitz</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Kurt Summers</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678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b w:val="1"/>
          <w:bCs w:val="1"/>
          <w:i w:val="1"/>
          <w:iCs w:val="1"/>
          <w:color w:val="auto"/>
        </w:rPr>
        <w:t>John Martin</w:t>
      </w:r>
      <w:r>
        <w:rPr>
          <w:rFonts w:ascii="Arial" w:cs="Arial" w:eastAsia="Arial" w:hAnsi="Arial"/>
          <w:sz w:val="16"/>
          <w:szCs w:val="16"/>
          <w:color w:val="auto"/>
        </w:rPr>
        <w:t>, our Chairman and Chief Executive Officer, maintains over thirty years of investment experience and is a Senior Partner at VPC.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(“CPPIB”) for $12 billion in August 2015. Subsequently, Antares went on to raise more than</w:t>
      </w:r>
    </w:p>
    <w:p>
      <w:pPr>
        <w:spacing w:after="0" w:line="2" w:lineRule="exact"/>
        <w:rPr>
          <w:sz w:val="20"/>
          <w:szCs w:val="20"/>
          <w:color w:val="auto"/>
        </w:rPr>
      </w:pPr>
    </w:p>
    <w:p>
      <w:pPr>
        <w:ind w:left="120" w:right="120"/>
        <w:spacing w:after="0" w:line="277" w:lineRule="auto"/>
        <w:rPr>
          <w:sz w:val="20"/>
          <w:szCs w:val="20"/>
          <w:color w:val="auto"/>
        </w:rPr>
      </w:pPr>
      <w:r>
        <w:rPr>
          <w:rFonts w:ascii="Arial" w:cs="Arial" w:eastAsia="Arial" w:hAnsi="Arial"/>
          <w:sz w:val="17"/>
          <w:szCs w:val="17"/>
          <w:color w:val="auto"/>
        </w:rPr>
        <w:t>$6.5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73"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Gordon Watson</w:t>
      </w:r>
      <w:r>
        <w:rPr>
          <w:rFonts w:ascii="Arial" w:cs="Arial" w:eastAsia="Arial" w:hAnsi="Arial"/>
          <w:sz w:val="17"/>
          <w:szCs w:val="17"/>
          <w:color w:val="auto"/>
        </w:rPr>
        <w:t>, our President and Chief Operating Officer, joined VPC in 2014 and is currently a Partner. Gordon is a member of VPC’s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committee and helps lead our Fintech investing team. Gordon is the Investment Manager for VPC Specialty Lending Investments PLC (LSE: VSL), a VPC managed UK publicly listed investment trust focused on opportunities in the Fintech market. Previously, Gordon was a portfolio manager focused on distressed debt at GLG Partners, a London-based 31 billion multi-strategy hedge fund that concentrates on a diverse range of alternative investments. He joined GLG when it purchased Ore Hill Partners, a credit focused hedge fund where Gordon was a partner.</w:t>
      </w:r>
    </w:p>
    <w:p>
      <w:pPr>
        <w:spacing w:after="0" w:line="176"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b w:val="1"/>
          <w:bCs w:val="1"/>
          <w:i w:val="1"/>
          <w:iCs w:val="1"/>
          <w:color w:val="auto"/>
        </w:rPr>
        <w:t>Olibia Stamatoglou</w:t>
      </w:r>
      <w:r>
        <w:rPr>
          <w:rFonts w:ascii="Arial" w:cs="Arial" w:eastAsia="Arial" w:hAnsi="Arial"/>
          <w:sz w:val="17"/>
          <w:szCs w:val="17"/>
          <w:color w:val="auto"/>
        </w:rPr>
        <w:t>, our Chief Financial Officer, is the Chief Financial Officer and Chief Compliance Officer of VPC. Previously, Olibia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 owned ventures. She joined First National Assets from Aurora Investment Management where she progressed through several accounting roles. Mrs. Stamatoglou was recognized as one of Crain’s Notable Women in Finance for 2019.</w:t>
      </w:r>
    </w:p>
    <w:p>
      <w:pPr>
        <w:spacing w:after="0" w:line="17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Adrienne Harris</w:t>
      </w:r>
      <w:r>
        <w:rPr>
          <w:rFonts w:ascii="Arial" w:cs="Arial" w:eastAsia="Arial" w:hAnsi="Arial"/>
          <w:sz w:val="17"/>
          <w:szCs w:val="17"/>
          <w:color w:val="auto"/>
        </w:rPr>
        <w:t>, a director, is currently a Professor of the Practice and a Gates Foundation Senior Research Fellow with the Center for 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Law and Policy at the University of Michigan. Ms. Harris advises fintech companies, incumbent financial institutions and large venture capital firms, and currently serves on the Board of Directors of Financial Health Network, Beneficial State Bank, and Homie, Inc. From 2017 to 2019, Ms. Harris served as Chief Business Officer and General Counsel at States Title, Inc., where she currently serves as Advisor. From 2015 to 2017, Ms. Harris served as Special Assistant to the President for Economic Policy at the National</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86"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Economic Council, where she spearheaded the development of the administration’s fintech strategy, chairing both the Interagency Fintech Working Group and the Administration’s Distributed Ledger Technology Task Force. From 2013 to 2015, Ms. Harris served as Senior Advisor to the Deputy Secretary at the U.S. Department of the Treasury. From 2008 to 2013, Ms. Harris was an Associate at Sullivan &amp; Cromwell LLP. Ms. Harris received an M.B.A. from NYU Stern School of Business, a J.D. from Columbia University Law School, where she was a member of the Columbia Law Review, and a B.A. from Georgetown University, where she was a John Carrol Scholar and graduated with honors.</w:t>
      </w:r>
    </w:p>
    <w:p>
      <w:pPr>
        <w:spacing w:after="0" w:line="176"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b w:val="1"/>
          <w:bCs w:val="1"/>
          <w:i w:val="1"/>
          <w:iCs w:val="1"/>
          <w:color w:val="auto"/>
        </w:rPr>
        <w:t>Kai Schmitz</w:t>
      </w:r>
      <w:r>
        <w:rPr>
          <w:rFonts w:ascii="Arial" w:cs="Arial" w:eastAsia="Arial" w:hAnsi="Arial"/>
          <w:sz w:val="16"/>
          <w:szCs w:val="16"/>
          <w:color w:val="auto"/>
        </w:rPr>
        <w:t>, a director is currently a Partner at Amadeus Capital, where he focuses on growth stage investments in Emerging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secondaries and Fintech investments. Mr. Schmitz currently serves on the Board of Directors of Koin (online point of sale financing), Minka (financial services cloud), Movii (digital bank), and RS2 (SaaS payment platform). From 2012 to 2019, Mr. Schmitz was Investment Lead Fintech and Regional Head Latin America at IFC, the World Bank’s private sector investment bank, where he was instrumental in building the Fintech portfolio to</w:t>
      </w:r>
    </w:p>
    <w:p>
      <w:pPr>
        <w:spacing w:after="0" w:line="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$600 million. From 2010 to 2012, Mr. Schmitz was a Senior Advisor at the World Bank’s Payment Systems Development Group, where he advised Central Banks and other government agencies on payment market infrastructure and regulation. Previously, Mr. Schmitz co-founded two companies, a remittance company in London and a financial services business with operations in the U.S. and Latin America. Mr. Schmitz has also worked at law firms in Hamburg and London. Mr. Schmitz received a J.D. equivalent from University of Hamburg and an MBA from Henley Management College in the UK.</w:t>
      </w:r>
    </w:p>
    <w:p>
      <w:pPr>
        <w:spacing w:after="0" w:line="191"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i w:val="1"/>
          <w:iCs w:val="1"/>
          <w:color w:val="auto"/>
        </w:rPr>
        <w:t>Kurt Summers</w:t>
      </w:r>
      <w:r>
        <w:rPr>
          <w:rFonts w:ascii="Arial" w:cs="Arial" w:eastAsia="Arial" w:hAnsi="Arial"/>
          <w:sz w:val="16"/>
          <w:szCs w:val="16"/>
          <w:color w:val="auto"/>
        </w:rPr>
        <w:t>, a director, has twenty years of experience in both private and public sector finance. Mr. Summers is currently a Senior Advisor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Blackstone and Ullico, where he provides insight and strategic direction around various investment opportunities and existing holdings. From 2014 to 2019, Mr. Summers served as Treasurer of the City of Chicago, where he managed the city’s more than $8 billion investment portfolio and served as a trustee or fiduciary of five local pension boards with nearly $25 billion under management. As Treasurer of Chicago, Mr. Summers and his team more than tripled the returns on the city’s portfolio, which now generates more than $100 million of incremental revenue to Chicago’s taxpayers, bondholders and other stakeholders each year. From 2012 to 2014, Mr. Summers served as Senior Vice President at Grosvenor Capital Management where he helped lead the firm’s strategy and business development efforts and served as a member of the Office of the Chairman. From 2010 to 2012, Mr. Summers served as Chief of Staff to the Cook County Board President where he was the architect of a turnaround of the second largest county in the country. From 2009 to 2010, Mr. Summers served as Managing Director at Ryan Specialty Group, an international specialty insurance organization.</w:t>
      </w:r>
    </w:p>
    <w:p>
      <w:pPr>
        <w:spacing w:after="0" w:line="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Mr. Summers began his career at McKinsey &amp; Company, a preeminent global strategy-consulting firm, and also worked as an investment banker at Goldman Sachs. Mr. Summers received a BSBA in Finance and International Business with high honors from Washington University and an MBA from Harvard Business School.</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board of directors consists of five members and is divided into three classes with only one class of directors being appointed in each year, and with each class (except for those directors appointed prior to our first annual general meeting) serving a three-year term. In accordance with Nasdaq corporate governance requirements, we are not required to hold an annual general meeting until one year after our first fiscal year end following our listing on Nasdaq. The term of office of the first class of directors, consisting of Kai Schmitz, will expire at our first annual general meeting. The term of office of the second class of directors, consisting of Adrienne Harris and Kurt Summers, will expire at the second annual general meeting. The term of office of the third class of directors, consisting of John Martin and Gordon Watson, will expire at the third annual general meeting.</w:t>
      </w:r>
    </w:p>
    <w:p>
      <w:pPr>
        <w:spacing w:after="0" w:line="164"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86"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rules of Nasdaq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three “independent directors” as defined in the Nasdaq rules and applicable SEC rules. Our board of directors has determined that Adrienne Harris, Kai Schmitz and Kurt Summers are “independent directors” as defined in the Nasdaq listing standards and applicable SEC rules. Our independent directors have regularly scheduled meetings at which only independent directors are present.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board of directors has three standing committees: an audit committee, a compensation committee and a nominating and corporate governance committee. Both our audit committee and our compensation committee are composed solely of independent directors. Subject to phase-in rules, the rules of Nasdaq and Rule 10A-3 of the Exchange Act require that the audit committee of a listed company be comprised solely of independent directors, and the rules of Nasdaq require that the compensation committee and the nominating and corporate governance committee of a listed company be comprised solely of independent directors. Each committee operates under a charter approved by our board and has the composition and responsibilities described below. The charter of each committee is available on our website following.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We established an audit committee of the board of directors. Adrienne Harris, Kai Schmitz and Kurt Summers serve as the members of the audit committee, and Kai Schmitz will chair the audit committee. Under the Nasdaq listing standards and applicable SEC rules, we are required to have at least three members of the audit committee, all of whom must be independent. Each of Adrienne Harris, Kai Schmitz and Kurt Summers meet the independent director standard under Nasdaq listing standards and under Rule 10-A-3(b)(1) of the Exchange Act.</w:t>
      </w:r>
    </w:p>
    <w:p>
      <w:pPr>
        <w:spacing w:after="0" w:line="171"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Kurt Summers qualifies as an “audit committee financial expert” as defined in applicable SEC rules and has accounting or related financial management expertise.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adopted an audit committee charter, which details the principal functions of the audit committee, including:</w:t>
      </w:r>
    </w:p>
    <w:p>
      <w:pPr>
        <w:spacing w:after="0" w:line="131" w:lineRule="exact"/>
        <w:rPr>
          <w:sz w:val="20"/>
          <w:szCs w:val="20"/>
          <w:color w:val="auto"/>
        </w:rPr>
      </w:pPr>
    </w:p>
    <w:p>
      <w:pPr>
        <w:ind w:left="1080" w:right="40" w:hanging="532"/>
        <w:spacing w:after="0" w:line="30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62" w:lineRule="exact"/>
        <w:rPr>
          <w:rFonts w:ascii="Arial" w:cs="Arial" w:eastAsia="Arial" w:hAnsi="Arial"/>
          <w:sz w:val="16"/>
          <w:szCs w:val="16"/>
          <w:color w:val="auto"/>
        </w:rPr>
      </w:pPr>
    </w:p>
    <w:p>
      <w:pPr>
        <w:ind w:left="1080" w:right="120" w:hanging="532"/>
        <w:spacing w:after="0" w:line="31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firm has with us in order to evaluate their continued independence;</w:t>
      </w:r>
    </w:p>
    <w:p>
      <w:pPr>
        <w:spacing w:after="0" w:line="54" w:lineRule="exact"/>
        <w:rPr>
          <w:rFonts w:ascii="Arial" w:cs="Arial" w:eastAsia="Arial" w:hAnsi="Arial"/>
          <w:sz w:val="16"/>
          <w:szCs w:val="16"/>
          <w:color w:val="auto"/>
        </w:rPr>
      </w:pPr>
    </w:p>
    <w:p>
      <w:pPr>
        <w:ind w:left="1080" w:right="40" w:hanging="532"/>
        <w:spacing w:after="0" w:line="275"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 obtaining and reviewing a report, at least annually, from the independent registered public accounting firm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86"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92" w:lineRule="exact"/>
        <w:rPr>
          <w:rFonts w:ascii="Arial" w:cs="Arial" w:eastAsia="Arial" w:hAnsi="Arial"/>
          <w:sz w:val="18"/>
          <w:szCs w:val="18"/>
          <w:color w:val="auto"/>
        </w:rPr>
      </w:pPr>
    </w:p>
    <w:p>
      <w:pPr>
        <w:ind w:left="1080" w:right="120" w:hanging="532"/>
        <w:spacing w:after="0" w:line="30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established a compensation committee of the board of directors. Adrienne Harris and Kurt Summers serve as the members of the compensation committee, and Kurt Summers will chair the compensation committee. Under the Nasdaq listing standards and applicable SEC rules, we are required to have at least two members of the compensation committee, all of whom must be independent. All members of our compensation committee are independent of and unaffiliated with our sponsor and our underwriters.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adopted a compensation committee charter, which will detail the principal functions of the compensation committee, including:</w:t>
      </w:r>
    </w:p>
    <w:p>
      <w:pPr>
        <w:spacing w:after="0" w:line="131" w:lineRule="exact"/>
        <w:rPr>
          <w:sz w:val="20"/>
          <w:szCs w:val="20"/>
          <w:color w:val="auto"/>
        </w:rPr>
      </w:pPr>
    </w:p>
    <w:p>
      <w:pPr>
        <w:ind w:left="1080" w:right="6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89"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Notwithstanding the foregoing, as indicated above, other than the payment of customary fees we may elect to make to members of our board of directors for director service and payment to an affiliate of our sponsor of $10,000 per month, for up to 24 months, for office space, utilities and secretarial and administrative support and reimbursement of expenses, no compensation of any kind, including finders, consulting or other similar fees, will be paid to any of our existing shareholders,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86"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established a nominating and corporate governance committee of the board of directors. The initial members of our nominating and corporate governance are Adrienne Harris, Kai Schmitz and Kurt Summers. Adrienne Harris serves as chair of the nominating and corporate governance committee. Under the Nasdaq listing standards and applicable SEC rules, each member of the nominating and corporate governance committee must be independent. All members of our nominating and corporate governance committee are independent of and unaffiliated with our sponsor and our underwriters.</w:t>
      </w:r>
    </w:p>
    <w:p>
      <w:pPr>
        <w:spacing w:after="0" w:line="18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adopted a nominating and corporate governance committee charter, which details the purpose and responsibilities of the nominating and corporate governance committee, including:</w:t>
      </w:r>
    </w:p>
    <w:p>
      <w:pPr>
        <w:spacing w:after="0" w:line="76" w:lineRule="exact"/>
        <w:rPr>
          <w:sz w:val="20"/>
          <w:szCs w:val="20"/>
          <w:color w:val="auto"/>
        </w:rPr>
      </w:pPr>
    </w:p>
    <w:p>
      <w:pPr>
        <w:ind w:left="1080" w:right="280" w:hanging="532"/>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and recommending to the board of directors candidates for nomination for election at the annual general meeting or to fill vacancies on the board of directors;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and overseeing implementation of our corporate governance guidelines;</w:t>
      </w:r>
    </w:p>
    <w:p>
      <w:pPr>
        <w:spacing w:after="0" w:line="142"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 xml:space="preserve">We adopted a Code of Business Conduct and Ethics applicable to our directors, officers and employees. We will file a copy of our Code of Business Conduct and Ethics as an exhibit to the registration statement of which this prospectus is a part. You will be able to review this document by accessing our public filings at the SEC’s web site at </w:t>
      </w:r>
      <w:r>
        <w:rPr>
          <w:rFonts w:ascii="Arial" w:cs="Arial" w:eastAsia="Arial" w:hAnsi="Arial"/>
          <w:sz w:val="16"/>
          <w:szCs w:val="16"/>
          <w:i w:val="1"/>
          <w:iCs w:val="1"/>
          <w:color w:val="auto"/>
        </w:rPr>
        <w:t>www.sec.gov</w:t>
      </w:r>
      <w:r>
        <w:rPr>
          <w:rFonts w:ascii="Arial" w:cs="Arial" w:eastAsia="Arial" w:hAnsi="Arial"/>
          <w:sz w:val="16"/>
          <w:szCs w:val="16"/>
          <w:color w:val="auto"/>
        </w:rPr>
        <w:t>. In addition, a copy of the Code of Business Conduct and Ethics and the charters of the</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40"/>
          </w:cols>
          <w:pgMar w:left="320" w:top="486"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color w:val="auto"/>
        </w:rPr>
        <w:t>committees of our board of directors will be provided without charge upon request from us. See the section of this report entitled “Where You Can Find Additional Information.” If we make any amendments to our Code of Business Conduct and Ethics other than technical, administrative or</w:t>
      </w:r>
    </w:p>
    <w:p>
      <w:pPr>
        <w:ind w:left="120" w:right="20"/>
        <w:spacing w:after="0" w:line="253" w:lineRule="auto"/>
        <w:rPr>
          <w:sz w:val="20"/>
          <w:szCs w:val="20"/>
          <w:color w:val="auto"/>
        </w:rPr>
      </w:pPr>
      <w:r>
        <w:rPr>
          <w:rFonts w:ascii="Arial" w:cs="Arial" w:eastAsia="Arial" w:hAnsi="Arial"/>
          <w:sz w:val="18"/>
          <w:szCs w:val="18"/>
          <w:color w:val="auto"/>
        </w:rPr>
        <w:t>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report or in any other report or document we file with the SEC, and any references to our website are intended to be inactive textual references only.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3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duty not to put themselves in a position in which there is a conflict between their duty to the company and their personal interests;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6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there is full disclosure by the directors. This can be done by way of permission granted in the memorandum and articles of association or alternatively by shareholder approval at general meetings.</w:t>
      </w:r>
    </w:p>
    <w:p>
      <w:pPr>
        <w:spacing w:after="0" w:line="17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8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8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certain of our officers and directors are employed by Victory Park Capital which make investments in securities or other interests of or relating to companies in industries we may target for our initial business combination. Our directors and officers may also serve as officers or board members for other entities. Specifically, certain of our officers and directors are actively engaged in VPC II and VPC III, both which are special purpose acquisition companies that each completed their initial public offering on March 9, 2021, and will continue to serve as officers and directors of VPC II and VPC III until their initial business combinations are completed. VPC II and VPC III, like us, may pursue initial business combination targets in any business or industry and is expected to have a similar window as us in which it may complete its initial business combination. Any such companies, businesses or investments, including VPC II and VPC III, may present additional conflicts of interest in pursuing an initial business combination. However, we do not believe that any such potential conflicts would materially affect our ability to complete our initial business combination.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table summarizing the entities to which our officers and directors currently have fiduciary duties or contractual obligations: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4000" w:type="dxa"/>
            <w:vAlign w:val="bottom"/>
            <w:gridSpan w:val="2"/>
          </w:tcPr>
          <w:p>
            <w:pPr>
              <w:ind w:left="1680"/>
              <w:spacing w:after="0"/>
              <w:rPr>
                <w:sz w:val="20"/>
                <w:szCs w:val="20"/>
                <w:color w:val="auto"/>
              </w:rPr>
            </w:pPr>
            <w:r>
              <w:rPr>
                <w:rFonts w:ascii="Arial" w:cs="Arial" w:eastAsia="Arial" w:hAnsi="Arial"/>
                <w:sz w:val="14"/>
                <w:szCs w:val="14"/>
                <w:b w:val="1"/>
                <w:bCs w:val="1"/>
                <w:color w:val="auto"/>
              </w:rPr>
              <w:t>ENTITY</w:t>
            </w:r>
          </w:p>
        </w:tc>
        <w:tc>
          <w:tcPr>
            <w:tcW w:w="2080" w:type="dxa"/>
            <w:vAlign w:val="bottom"/>
            <w:gridSpan w:val="2"/>
          </w:tcPr>
          <w:p>
            <w:pPr>
              <w:ind w:left="280"/>
              <w:spacing w:after="0"/>
              <w:rPr>
                <w:sz w:val="20"/>
                <w:szCs w:val="20"/>
                <w:color w:val="auto"/>
              </w:rPr>
            </w:pPr>
            <w:r>
              <w:rPr>
                <w:rFonts w:ascii="Arial" w:cs="Arial" w:eastAsia="Arial" w:hAnsi="Arial"/>
                <w:sz w:val="14"/>
                <w:szCs w:val="14"/>
                <w:b w:val="1"/>
                <w:bCs w:val="1"/>
                <w:color w:val="auto"/>
              </w:rPr>
              <w:t>ENTITY’S BUSINESS</w:t>
            </w:r>
          </w:p>
        </w:tc>
        <w:tc>
          <w:tcPr>
            <w:tcW w:w="1660" w:type="dxa"/>
            <w:vAlign w:val="bottom"/>
          </w:tcPr>
          <w:p>
            <w:pPr>
              <w:ind w:left="360"/>
              <w:spacing w:after="0"/>
              <w:rPr>
                <w:sz w:val="20"/>
                <w:szCs w:val="20"/>
                <w:color w:val="auto"/>
              </w:rPr>
            </w:pPr>
            <w:r>
              <w:rPr>
                <w:rFonts w:ascii="Arial" w:cs="Arial" w:eastAsia="Arial" w:hAnsi="Arial"/>
                <w:sz w:val="14"/>
                <w:szCs w:val="14"/>
                <w:b w:val="1"/>
                <w:bCs w:val="1"/>
                <w:color w:val="auto"/>
              </w:rPr>
              <w:t>AFFILIATION</w:t>
            </w: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2"/>
        </w:trPr>
        <w:tc>
          <w:tcPr>
            <w:tcW w:w="3280" w:type="dxa"/>
            <w:vAlign w:val="bottom"/>
            <w:gridSpan w:val="2"/>
          </w:tcPr>
          <w:p>
            <w:pPr>
              <w:spacing w:after="0"/>
              <w:rPr>
                <w:sz w:val="20"/>
                <w:szCs w:val="20"/>
                <w:color w:val="auto"/>
              </w:rPr>
            </w:pPr>
            <w:r>
              <w:rPr>
                <w:rFonts w:ascii="Arial" w:cs="Arial" w:eastAsia="Arial" w:hAnsi="Arial"/>
                <w:sz w:val="14"/>
                <w:szCs w:val="14"/>
                <w:color w:val="auto"/>
              </w:rPr>
              <w:t>John Martin</w:t>
            </w: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Automotive Keys Investor LLC</w:t>
            </w:r>
          </w:p>
        </w:tc>
        <w:tc>
          <w:tcPr>
            <w:tcW w:w="208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1660" w:type="dxa"/>
            <w:vAlign w:val="bottom"/>
          </w:tcPr>
          <w:p>
            <w:pPr>
              <w:spacing w:after="0"/>
              <w:rPr>
                <w:sz w:val="20"/>
                <w:szCs w:val="20"/>
                <w:color w:val="auto"/>
              </w:rPr>
            </w:pPr>
            <w:r>
              <w:rPr>
                <w:rFonts w:ascii="Arial" w:cs="Arial" w:eastAsia="Arial" w:hAnsi="Arial"/>
                <w:sz w:val="14"/>
                <w:szCs w:val="14"/>
                <w:color w:val="auto"/>
              </w:rPr>
              <w:t>Director</w:t>
            </w:r>
          </w:p>
        </w:tc>
      </w:tr>
      <w:tr>
        <w:trPr>
          <w:trHeight w:val="223"/>
        </w:trPr>
        <w:tc>
          <w:tcPr>
            <w:tcW w:w="8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Investment Advisor</w:t>
            </w:r>
          </w:p>
        </w:tc>
        <w:tc>
          <w:tcPr>
            <w:tcW w:w="1660" w:type="dxa"/>
            <w:vAlign w:val="bottom"/>
          </w:tcPr>
          <w:p>
            <w:pPr>
              <w:spacing w:after="0"/>
              <w:rPr>
                <w:sz w:val="19"/>
                <w:szCs w:val="19"/>
                <w:color w:val="auto"/>
              </w:rPr>
            </w:pPr>
          </w:p>
        </w:tc>
      </w:tr>
      <w:tr>
        <w:trPr>
          <w:trHeight w:val="148"/>
        </w:trPr>
        <w:tc>
          <w:tcPr>
            <w:tcW w:w="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Special Purposes Acquisition</w:t>
            </w:r>
          </w:p>
        </w:tc>
        <w:tc>
          <w:tcPr>
            <w:tcW w:w="1660" w:type="dxa"/>
            <w:vAlign w:val="bottom"/>
          </w:tcPr>
          <w:p>
            <w:pPr>
              <w:spacing w:after="0"/>
              <w:rPr>
                <w:sz w:val="12"/>
                <w:szCs w:val="12"/>
                <w:color w:val="auto"/>
              </w:rPr>
            </w:pPr>
          </w:p>
        </w:tc>
      </w:tr>
      <w:tr>
        <w:trPr>
          <w:trHeight w:val="148"/>
        </w:trPr>
        <w:tc>
          <w:tcPr>
            <w:tcW w:w="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Victory Park Capital Advisors</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Company</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Advisor</w:t>
            </w:r>
          </w:p>
        </w:tc>
      </w:tr>
      <w:tr>
        <w:trPr>
          <w:trHeight w:val="148"/>
        </w:trPr>
        <w:tc>
          <w:tcPr>
            <w:tcW w:w="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VPC Impact Acquisition Holdings II</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Special Purpose Acquisition</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Chairman and Director</w:t>
            </w:r>
          </w:p>
        </w:tc>
      </w:tr>
      <w:tr>
        <w:trPr>
          <w:trHeight w:val="182"/>
        </w:trPr>
        <w:tc>
          <w:tcPr>
            <w:tcW w:w="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VPC Impact Acquisition Holdings III, Inc.</w:t>
            </w:r>
          </w:p>
        </w:tc>
        <w:tc>
          <w:tcPr>
            <w:tcW w:w="208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1660" w:type="dxa"/>
            <w:vAlign w:val="bottom"/>
          </w:tcPr>
          <w:p>
            <w:pPr>
              <w:spacing w:after="0"/>
              <w:rPr>
                <w:sz w:val="20"/>
                <w:szCs w:val="20"/>
                <w:color w:val="auto"/>
              </w:rPr>
            </w:pPr>
            <w:r>
              <w:rPr>
                <w:rFonts w:ascii="Arial" w:cs="Arial" w:eastAsia="Arial" w:hAnsi="Arial"/>
                <w:sz w:val="14"/>
                <w:szCs w:val="14"/>
                <w:color w:val="auto"/>
              </w:rPr>
              <w:t>Chairman and Director</w:t>
            </w:r>
          </w:p>
        </w:tc>
      </w:tr>
      <w:tr>
        <w:trPr>
          <w:trHeight w:val="338"/>
        </w:trPr>
        <w:tc>
          <w:tcPr>
            <w:tcW w:w="3280" w:type="dxa"/>
            <w:vAlign w:val="bottom"/>
            <w:gridSpan w:val="2"/>
          </w:tcPr>
          <w:p>
            <w:pPr>
              <w:spacing w:after="0"/>
              <w:rPr>
                <w:sz w:val="20"/>
                <w:szCs w:val="20"/>
                <w:color w:val="auto"/>
              </w:rPr>
            </w:pPr>
            <w:r>
              <w:rPr>
                <w:rFonts w:ascii="Arial" w:cs="Arial" w:eastAsia="Arial" w:hAnsi="Arial"/>
                <w:sz w:val="14"/>
                <w:szCs w:val="14"/>
                <w:color w:val="auto"/>
              </w:rPr>
              <w:t>Olibia Stamatoglou</w:t>
            </w: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Victory Park Capital Advisors</w:t>
            </w:r>
          </w:p>
        </w:tc>
        <w:tc>
          <w:tcPr>
            <w:tcW w:w="2080" w:type="dxa"/>
            <w:vAlign w:val="bottom"/>
            <w:gridSpan w:val="2"/>
          </w:tcPr>
          <w:p>
            <w:pPr>
              <w:spacing w:after="0"/>
              <w:rPr>
                <w:sz w:val="20"/>
                <w:szCs w:val="20"/>
                <w:color w:val="auto"/>
              </w:rPr>
            </w:pPr>
            <w:r>
              <w:rPr>
                <w:rFonts w:ascii="Arial" w:cs="Arial" w:eastAsia="Arial" w:hAnsi="Arial"/>
                <w:sz w:val="14"/>
                <w:szCs w:val="14"/>
                <w:color w:val="auto"/>
              </w:rPr>
              <w:t>Investment Advisor</w:t>
            </w:r>
          </w:p>
        </w:tc>
        <w:tc>
          <w:tcPr>
            <w:tcW w:w="1660" w:type="dxa"/>
            <w:vAlign w:val="bottom"/>
          </w:tcPr>
          <w:p>
            <w:pPr>
              <w:spacing w:after="0"/>
              <w:rPr>
                <w:sz w:val="20"/>
                <w:szCs w:val="20"/>
                <w:color w:val="auto"/>
              </w:rPr>
            </w:pPr>
            <w:r>
              <w:rPr>
                <w:rFonts w:ascii="Arial" w:cs="Arial" w:eastAsia="Arial" w:hAnsi="Arial"/>
                <w:sz w:val="14"/>
                <w:szCs w:val="14"/>
                <w:color w:val="auto"/>
              </w:rPr>
              <w:t>Officer</w:t>
            </w:r>
          </w:p>
        </w:tc>
      </w:tr>
      <w:tr>
        <w:trPr>
          <w:trHeight w:val="324"/>
        </w:trPr>
        <w:tc>
          <w:tcPr>
            <w:tcW w:w="3280" w:type="dxa"/>
            <w:vAlign w:val="bottom"/>
            <w:gridSpan w:val="2"/>
          </w:tcPr>
          <w:p>
            <w:pPr>
              <w:spacing w:after="0"/>
              <w:rPr>
                <w:sz w:val="20"/>
                <w:szCs w:val="20"/>
                <w:color w:val="auto"/>
              </w:rPr>
            </w:pPr>
            <w:r>
              <w:rPr>
                <w:rFonts w:ascii="Arial" w:cs="Arial" w:eastAsia="Arial" w:hAnsi="Arial"/>
                <w:sz w:val="14"/>
                <w:szCs w:val="14"/>
                <w:color w:val="auto"/>
              </w:rPr>
              <w:t>Gordon Watson</w:t>
            </w: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Borro Ltd</w:t>
            </w:r>
          </w:p>
        </w:tc>
        <w:tc>
          <w:tcPr>
            <w:tcW w:w="2080" w:type="dxa"/>
            <w:vAlign w:val="bottom"/>
            <w:gridSpan w:val="2"/>
          </w:tcPr>
          <w:p>
            <w:pPr>
              <w:spacing w:after="0"/>
              <w:rPr>
                <w:sz w:val="20"/>
                <w:szCs w:val="20"/>
                <w:color w:val="auto"/>
              </w:rPr>
            </w:pPr>
            <w:r>
              <w:rPr>
                <w:rFonts w:ascii="Arial" w:cs="Arial" w:eastAsia="Arial" w:hAnsi="Arial"/>
                <w:sz w:val="14"/>
                <w:szCs w:val="14"/>
                <w:color w:val="auto"/>
              </w:rPr>
              <w:t>Specialty Finance</w:t>
            </w:r>
          </w:p>
        </w:tc>
        <w:tc>
          <w:tcPr>
            <w:tcW w:w="1660" w:type="dxa"/>
            <w:vAlign w:val="bottom"/>
          </w:tcPr>
          <w:p>
            <w:pPr>
              <w:spacing w:after="0"/>
              <w:rPr>
                <w:sz w:val="20"/>
                <w:szCs w:val="20"/>
                <w:color w:val="auto"/>
              </w:rPr>
            </w:pPr>
            <w:r>
              <w:rPr>
                <w:rFonts w:ascii="Arial" w:cs="Arial" w:eastAsia="Arial" w:hAnsi="Arial"/>
                <w:sz w:val="14"/>
                <w:szCs w:val="14"/>
                <w:color w:val="auto"/>
              </w:rPr>
              <w:t>Director</w:t>
            </w:r>
          </w:p>
        </w:tc>
      </w:tr>
      <w:tr>
        <w:trPr>
          <w:trHeight w:val="257"/>
        </w:trPr>
        <w:tc>
          <w:tcPr>
            <w:tcW w:w="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Victory Park Capital Advisors</w:t>
            </w:r>
          </w:p>
        </w:tc>
        <w:tc>
          <w:tcPr>
            <w:tcW w:w="2080" w:type="dxa"/>
            <w:vAlign w:val="bottom"/>
            <w:gridSpan w:val="2"/>
          </w:tcPr>
          <w:p>
            <w:pPr>
              <w:spacing w:after="0"/>
              <w:rPr>
                <w:sz w:val="20"/>
                <w:szCs w:val="20"/>
                <w:color w:val="auto"/>
              </w:rPr>
            </w:pPr>
            <w:r>
              <w:rPr>
                <w:rFonts w:ascii="Arial" w:cs="Arial" w:eastAsia="Arial" w:hAnsi="Arial"/>
                <w:sz w:val="14"/>
                <w:szCs w:val="14"/>
                <w:color w:val="auto"/>
              </w:rPr>
              <w:t>Investment Advisor</w:t>
            </w:r>
          </w:p>
        </w:tc>
        <w:tc>
          <w:tcPr>
            <w:tcW w:w="1660" w:type="dxa"/>
            <w:vAlign w:val="bottom"/>
          </w:tcPr>
          <w:p>
            <w:pPr>
              <w:spacing w:after="0"/>
              <w:rPr>
                <w:sz w:val="20"/>
                <w:szCs w:val="20"/>
                <w:color w:val="auto"/>
              </w:rPr>
            </w:pPr>
            <w:r>
              <w:rPr>
                <w:rFonts w:ascii="Arial" w:cs="Arial" w:eastAsia="Arial" w:hAnsi="Arial"/>
                <w:sz w:val="14"/>
                <w:szCs w:val="14"/>
                <w:color w:val="auto"/>
              </w:rPr>
              <w:t>Partner</w:t>
            </w:r>
          </w:p>
        </w:tc>
      </w:tr>
      <w:tr>
        <w:trPr>
          <w:trHeight w:val="223"/>
        </w:trPr>
        <w:tc>
          <w:tcPr>
            <w:tcW w:w="8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Investment Advisor</w:t>
            </w:r>
          </w:p>
        </w:tc>
        <w:tc>
          <w:tcPr>
            <w:tcW w:w="1660" w:type="dxa"/>
            <w:vAlign w:val="bottom"/>
          </w:tcPr>
          <w:p>
            <w:pPr>
              <w:spacing w:after="0"/>
              <w:rPr>
                <w:sz w:val="20"/>
                <w:szCs w:val="20"/>
                <w:color w:val="auto"/>
              </w:rPr>
            </w:pPr>
            <w:r>
              <w:rPr>
                <w:rFonts w:ascii="Arial" w:cs="Arial" w:eastAsia="Arial" w:hAnsi="Arial"/>
                <w:sz w:val="14"/>
                <w:szCs w:val="14"/>
                <w:color w:val="auto"/>
              </w:rPr>
              <w:t>Manager</w:t>
            </w:r>
          </w:p>
        </w:tc>
      </w:tr>
      <w:tr>
        <w:trPr>
          <w:trHeight w:val="148"/>
        </w:trPr>
        <w:tc>
          <w:tcPr>
            <w:tcW w:w="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Special Purpose Acquisition</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Co-Chief Executive</w:t>
            </w:r>
          </w:p>
        </w:tc>
      </w:tr>
      <w:tr>
        <w:trPr>
          <w:trHeight w:val="148"/>
        </w:trPr>
        <w:tc>
          <w:tcPr>
            <w:tcW w:w="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Victory Park Specialty Lending Investments PLC</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Company</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Officer</w:t>
            </w:r>
          </w:p>
        </w:tc>
      </w:tr>
      <w:tr>
        <w:trPr>
          <w:trHeight w:val="149"/>
        </w:trPr>
        <w:tc>
          <w:tcPr>
            <w:tcW w:w="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VPC Impact Acquisition Holdings II</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Special Purpose</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Co-Chief Executive</w:t>
            </w:r>
          </w:p>
        </w:tc>
      </w:tr>
      <w:tr>
        <w:trPr>
          <w:trHeight w:val="182"/>
        </w:trPr>
        <w:tc>
          <w:tcPr>
            <w:tcW w:w="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VPC Impact Acquisition Holdings III, Inc.</w:t>
            </w:r>
          </w:p>
        </w:tc>
        <w:tc>
          <w:tcPr>
            <w:tcW w:w="2080" w:type="dxa"/>
            <w:vAlign w:val="bottom"/>
            <w:gridSpan w:val="2"/>
          </w:tcPr>
          <w:p>
            <w:pPr>
              <w:spacing w:after="0"/>
              <w:rPr>
                <w:sz w:val="20"/>
                <w:szCs w:val="20"/>
                <w:color w:val="auto"/>
              </w:rPr>
            </w:pPr>
            <w:r>
              <w:rPr>
                <w:rFonts w:ascii="Arial" w:cs="Arial" w:eastAsia="Arial" w:hAnsi="Arial"/>
                <w:sz w:val="14"/>
                <w:szCs w:val="14"/>
                <w:color w:val="auto"/>
              </w:rPr>
              <w:t>Acquisition Company</w:t>
            </w:r>
          </w:p>
        </w:tc>
        <w:tc>
          <w:tcPr>
            <w:tcW w:w="1660" w:type="dxa"/>
            <w:vAlign w:val="bottom"/>
          </w:tcPr>
          <w:p>
            <w:pPr>
              <w:spacing w:after="0"/>
              <w:rPr>
                <w:sz w:val="20"/>
                <w:szCs w:val="20"/>
                <w:color w:val="auto"/>
              </w:rPr>
            </w:pPr>
            <w:r>
              <w:rPr>
                <w:rFonts w:ascii="Arial" w:cs="Arial" w:eastAsia="Arial" w:hAnsi="Arial"/>
                <w:sz w:val="14"/>
                <w:szCs w:val="14"/>
                <w:color w:val="auto"/>
              </w:rPr>
              <w:t>Officer</w:t>
            </w:r>
          </w:p>
        </w:tc>
      </w:tr>
      <w:tr>
        <w:trPr>
          <w:trHeight w:val="338"/>
        </w:trPr>
        <w:tc>
          <w:tcPr>
            <w:tcW w:w="3280" w:type="dxa"/>
            <w:vAlign w:val="bottom"/>
            <w:gridSpan w:val="2"/>
          </w:tcPr>
          <w:p>
            <w:pPr>
              <w:spacing w:after="0"/>
              <w:rPr>
                <w:sz w:val="20"/>
                <w:szCs w:val="20"/>
                <w:color w:val="auto"/>
              </w:rPr>
            </w:pPr>
            <w:r>
              <w:rPr>
                <w:rFonts w:ascii="Arial" w:cs="Arial" w:eastAsia="Arial" w:hAnsi="Arial"/>
                <w:sz w:val="14"/>
                <w:szCs w:val="14"/>
                <w:color w:val="auto"/>
              </w:rPr>
              <w:t>Adrienne Harris</w:t>
            </w: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Beneficial State Bank</w:t>
            </w:r>
          </w:p>
        </w:tc>
        <w:tc>
          <w:tcPr>
            <w:tcW w:w="2080" w:type="dxa"/>
            <w:vAlign w:val="bottom"/>
            <w:gridSpan w:val="2"/>
          </w:tcPr>
          <w:p>
            <w:pPr>
              <w:spacing w:after="0"/>
              <w:rPr>
                <w:sz w:val="20"/>
                <w:szCs w:val="20"/>
                <w:color w:val="auto"/>
              </w:rPr>
            </w:pPr>
            <w:r>
              <w:rPr>
                <w:rFonts w:ascii="Arial" w:cs="Arial" w:eastAsia="Arial" w:hAnsi="Arial"/>
                <w:sz w:val="14"/>
                <w:szCs w:val="14"/>
                <w:color w:val="auto"/>
              </w:rPr>
              <w:t>Banking</w:t>
            </w:r>
          </w:p>
        </w:tc>
        <w:tc>
          <w:tcPr>
            <w:tcW w:w="1660" w:type="dxa"/>
            <w:vAlign w:val="bottom"/>
          </w:tcPr>
          <w:p>
            <w:pPr>
              <w:spacing w:after="0"/>
              <w:rPr>
                <w:sz w:val="20"/>
                <w:szCs w:val="20"/>
                <w:color w:val="auto"/>
              </w:rPr>
            </w:pPr>
            <w:r>
              <w:rPr>
                <w:rFonts w:ascii="Arial" w:cs="Arial" w:eastAsia="Arial" w:hAnsi="Arial"/>
                <w:sz w:val="14"/>
                <w:szCs w:val="14"/>
                <w:color w:val="auto"/>
              </w:rPr>
              <w:t>Director</w:t>
            </w:r>
          </w:p>
        </w:tc>
      </w:tr>
      <w:tr>
        <w:trPr>
          <w:trHeight w:val="256"/>
        </w:trPr>
        <w:tc>
          <w:tcPr>
            <w:tcW w:w="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Financial Health Network</w:t>
            </w:r>
          </w:p>
        </w:tc>
        <w:tc>
          <w:tcPr>
            <w:tcW w:w="2080" w:type="dxa"/>
            <w:vAlign w:val="bottom"/>
            <w:gridSpan w:val="2"/>
          </w:tcPr>
          <w:p>
            <w:pPr>
              <w:spacing w:after="0"/>
              <w:rPr>
                <w:sz w:val="20"/>
                <w:szCs w:val="20"/>
                <w:color w:val="auto"/>
              </w:rPr>
            </w:pPr>
            <w:r>
              <w:rPr>
                <w:rFonts w:ascii="Arial" w:cs="Arial" w:eastAsia="Arial" w:hAnsi="Arial"/>
                <w:sz w:val="14"/>
                <w:szCs w:val="14"/>
                <w:color w:val="auto"/>
              </w:rPr>
              <w:t>Financial Consulting</w:t>
            </w:r>
          </w:p>
        </w:tc>
        <w:tc>
          <w:tcPr>
            <w:tcW w:w="1660" w:type="dxa"/>
            <w:vAlign w:val="bottom"/>
          </w:tcPr>
          <w:p>
            <w:pPr>
              <w:spacing w:after="0"/>
              <w:rPr>
                <w:sz w:val="20"/>
                <w:szCs w:val="20"/>
                <w:color w:val="auto"/>
              </w:rPr>
            </w:pPr>
            <w:r>
              <w:rPr>
                <w:rFonts w:ascii="Arial" w:cs="Arial" w:eastAsia="Arial" w:hAnsi="Arial"/>
                <w:sz w:val="14"/>
                <w:szCs w:val="14"/>
                <w:color w:val="auto"/>
              </w:rPr>
              <w:t>Director</w:t>
            </w:r>
          </w:p>
        </w:tc>
      </w:tr>
      <w:tr>
        <w:trPr>
          <w:trHeight w:val="257"/>
        </w:trPr>
        <w:tc>
          <w:tcPr>
            <w:tcW w:w="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Homie, Inc.</w:t>
            </w:r>
          </w:p>
        </w:tc>
        <w:tc>
          <w:tcPr>
            <w:tcW w:w="2080" w:type="dxa"/>
            <w:vAlign w:val="bottom"/>
            <w:gridSpan w:val="2"/>
          </w:tcPr>
          <w:p>
            <w:pPr>
              <w:spacing w:after="0"/>
              <w:rPr>
                <w:sz w:val="20"/>
                <w:szCs w:val="20"/>
                <w:color w:val="auto"/>
              </w:rPr>
            </w:pPr>
            <w:r>
              <w:rPr>
                <w:rFonts w:ascii="Arial" w:cs="Arial" w:eastAsia="Arial" w:hAnsi="Arial"/>
                <w:sz w:val="14"/>
                <w:szCs w:val="14"/>
                <w:color w:val="auto"/>
              </w:rPr>
              <w:t>Real Estate Brokerage</w:t>
            </w:r>
          </w:p>
        </w:tc>
        <w:tc>
          <w:tcPr>
            <w:tcW w:w="1660" w:type="dxa"/>
            <w:vAlign w:val="bottom"/>
          </w:tcPr>
          <w:p>
            <w:pPr>
              <w:spacing w:after="0"/>
              <w:rPr>
                <w:sz w:val="20"/>
                <w:szCs w:val="20"/>
                <w:color w:val="auto"/>
              </w:rPr>
            </w:pPr>
            <w:r>
              <w:rPr>
                <w:rFonts w:ascii="Arial" w:cs="Arial" w:eastAsia="Arial" w:hAnsi="Arial"/>
                <w:sz w:val="14"/>
                <w:szCs w:val="14"/>
                <w:color w:val="auto"/>
              </w:rPr>
              <w:t>Director</w:t>
            </w:r>
          </w:p>
        </w:tc>
      </w:tr>
      <w:tr>
        <w:trPr>
          <w:trHeight w:val="223"/>
        </w:trPr>
        <w:tc>
          <w:tcPr>
            <w:tcW w:w="8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Real Estate Settlement Services</w:t>
            </w:r>
          </w:p>
        </w:tc>
        <w:tc>
          <w:tcPr>
            <w:tcW w:w="1660" w:type="dxa"/>
            <w:vAlign w:val="bottom"/>
          </w:tcPr>
          <w:p>
            <w:pPr>
              <w:spacing w:after="0"/>
              <w:rPr>
                <w:sz w:val="19"/>
                <w:szCs w:val="19"/>
                <w:color w:val="auto"/>
              </w:rPr>
            </w:pPr>
          </w:p>
        </w:tc>
      </w:tr>
      <w:tr>
        <w:trPr>
          <w:trHeight w:val="148"/>
        </w:trPr>
        <w:tc>
          <w:tcPr>
            <w:tcW w:w="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States Title, Inc.</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Special Purpose Acquisition</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Advisor</w:t>
            </w:r>
          </w:p>
        </w:tc>
      </w:tr>
      <w:tr>
        <w:trPr>
          <w:trHeight w:val="182"/>
        </w:trPr>
        <w:tc>
          <w:tcPr>
            <w:tcW w:w="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VPC Impact Acquisition Holdings II</w:t>
            </w:r>
          </w:p>
        </w:tc>
        <w:tc>
          <w:tcPr>
            <w:tcW w:w="208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1660" w:type="dxa"/>
            <w:vAlign w:val="bottom"/>
          </w:tcPr>
          <w:p>
            <w:pPr>
              <w:spacing w:after="0"/>
              <w:rPr>
                <w:sz w:val="20"/>
                <w:szCs w:val="20"/>
                <w:color w:val="auto"/>
              </w:rPr>
            </w:pPr>
            <w:r>
              <w:rPr>
                <w:rFonts w:ascii="Arial" w:cs="Arial" w:eastAsia="Arial" w:hAnsi="Arial"/>
                <w:sz w:val="14"/>
                <w:szCs w:val="14"/>
                <w:color w:val="auto"/>
              </w:rPr>
              <w:t>Director</w:t>
            </w:r>
          </w:p>
        </w:tc>
      </w:tr>
      <w:tr>
        <w:trPr>
          <w:trHeight w:val="338"/>
        </w:trPr>
        <w:tc>
          <w:tcPr>
            <w:tcW w:w="3280" w:type="dxa"/>
            <w:vAlign w:val="bottom"/>
            <w:gridSpan w:val="2"/>
          </w:tcPr>
          <w:p>
            <w:pPr>
              <w:spacing w:after="0"/>
              <w:rPr>
                <w:sz w:val="20"/>
                <w:szCs w:val="20"/>
                <w:color w:val="auto"/>
              </w:rPr>
            </w:pPr>
            <w:r>
              <w:rPr>
                <w:rFonts w:ascii="Arial" w:cs="Arial" w:eastAsia="Arial" w:hAnsi="Arial"/>
                <w:sz w:val="14"/>
                <w:szCs w:val="14"/>
                <w:color w:val="auto"/>
              </w:rPr>
              <w:t>Kai Schmitz</w:t>
            </w: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Amadeus Capital Partners</w:t>
            </w:r>
          </w:p>
        </w:tc>
        <w:tc>
          <w:tcPr>
            <w:tcW w:w="2080" w:type="dxa"/>
            <w:vAlign w:val="bottom"/>
            <w:gridSpan w:val="2"/>
          </w:tcPr>
          <w:p>
            <w:pPr>
              <w:spacing w:after="0"/>
              <w:rPr>
                <w:sz w:val="20"/>
                <w:szCs w:val="20"/>
                <w:color w:val="auto"/>
              </w:rPr>
            </w:pPr>
            <w:r>
              <w:rPr>
                <w:rFonts w:ascii="Arial" w:cs="Arial" w:eastAsia="Arial" w:hAnsi="Arial"/>
                <w:sz w:val="14"/>
                <w:szCs w:val="14"/>
                <w:color w:val="auto"/>
              </w:rPr>
              <w:t>Investment Advisor</w:t>
            </w:r>
          </w:p>
        </w:tc>
        <w:tc>
          <w:tcPr>
            <w:tcW w:w="1660" w:type="dxa"/>
            <w:vAlign w:val="bottom"/>
          </w:tcPr>
          <w:p>
            <w:pPr>
              <w:spacing w:after="0"/>
              <w:rPr>
                <w:sz w:val="20"/>
                <w:szCs w:val="20"/>
                <w:color w:val="auto"/>
              </w:rPr>
            </w:pPr>
            <w:r>
              <w:rPr>
                <w:rFonts w:ascii="Arial" w:cs="Arial" w:eastAsia="Arial" w:hAnsi="Arial"/>
                <w:sz w:val="14"/>
                <w:szCs w:val="14"/>
                <w:color w:val="auto"/>
              </w:rPr>
              <w:t>Partner</w:t>
            </w:r>
          </w:p>
        </w:tc>
      </w:tr>
      <w:tr>
        <w:trPr>
          <w:trHeight w:val="256"/>
        </w:trPr>
        <w:tc>
          <w:tcPr>
            <w:tcW w:w="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Koin Pagamentos S.A.</w:t>
            </w:r>
          </w:p>
        </w:tc>
        <w:tc>
          <w:tcPr>
            <w:tcW w:w="2080" w:type="dxa"/>
            <w:vAlign w:val="bottom"/>
            <w:gridSpan w:val="2"/>
          </w:tcPr>
          <w:p>
            <w:pPr>
              <w:spacing w:after="0"/>
              <w:rPr>
                <w:sz w:val="20"/>
                <w:szCs w:val="20"/>
                <w:color w:val="auto"/>
              </w:rPr>
            </w:pPr>
            <w:r>
              <w:rPr>
                <w:rFonts w:ascii="Arial" w:cs="Arial" w:eastAsia="Arial" w:hAnsi="Arial"/>
                <w:sz w:val="14"/>
                <w:szCs w:val="14"/>
                <w:color w:val="auto"/>
              </w:rPr>
              <w:t>Financing</w:t>
            </w:r>
          </w:p>
        </w:tc>
        <w:tc>
          <w:tcPr>
            <w:tcW w:w="1660" w:type="dxa"/>
            <w:vAlign w:val="bottom"/>
          </w:tcPr>
          <w:p>
            <w:pPr>
              <w:spacing w:after="0"/>
              <w:rPr>
                <w:sz w:val="20"/>
                <w:szCs w:val="20"/>
                <w:color w:val="auto"/>
              </w:rPr>
            </w:pPr>
            <w:r>
              <w:rPr>
                <w:rFonts w:ascii="Arial" w:cs="Arial" w:eastAsia="Arial" w:hAnsi="Arial"/>
                <w:sz w:val="14"/>
                <w:szCs w:val="14"/>
                <w:color w:val="auto"/>
              </w:rPr>
              <w:t>Director</w:t>
            </w:r>
          </w:p>
        </w:tc>
      </w:tr>
      <w:tr>
        <w:trPr>
          <w:trHeight w:val="257"/>
        </w:trPr>
        <w:tc>
          <w:tcPr>
            <w:tcW w:w="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Minka Ltd</w:t>
            </w:r>
          </w:p>
        </w:tc>
        <w:tc>
          <w:tcPr>
            <w:tcW w:w="2080" w:type="dxa"/>
            <w:vAlign w:val="bottom"/>
            <w:gridSpan w:val="2"/>
          </w:tcPr>
          <w:p>
            <w:pPr>
              <w:spacing w:after="0"/>
              <w:rPr>
                <w:sz w:val="20"/>
                <w:szCs w:val="20"/>
                <w:color w:val="auto"/>
              </w:rPr>
            </w:pPr>
            <w:r>
              <w:rPr>
                <w:rFonts w:ascii="Arial" w:cs="Arial" w:eastAsia="Arial" w:hAnsi="Arial"/>
                <w:sz w:val="14"/>
                <w:szCs w:val="14"/>
                <w:color w:val="auto"/>
              </w:rPr>
              <w:t>Technology</w:t>
            </w:r>
          </w:p>
        </w:tc>
        <w:tc>
          <w:tcPr>
            <w:tcW w:w="1660" w:type="dxa"/>
            <w:vAlign w:val="bottom"/>
          </w:tcPr>
          <w:p>
            <w:pPr>
              <w:spacing w:after="0"/>
              <w:rPr>
                <w:sz w:val="20"/>
                <w:szCs w:val="20"/>
                <w:color w:val="auto"/>
              </w:rPr>
            </w:pPr>
            <w:r>
              <w:rPr>
                <w:rFonts w:ascii="Arial" w:cs="Arial" w:eastAsia="Arial" w:hAnsi="Arial"/>
                <w:sz w:val="14"/>
                <w:szCs w:val="14"/>
                <w:color w:val="auto"/>
              </w:rPr>
              <w:t>Director</w:t>
            </w:r>
          </w:p>
        </w:tc>
      </w:tr>
      <w:tr>
        <w:trPr>
          <w:trHeight w:val="257"/>
        </w:trPr>
        <w:tc>
          <w:tcPr>
            <w:tcW w:w="8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RS2 Software, Inc.</w:t>
            </w:r>
          </w:p>
        </w:tc>
        <w:tc>
          <w:tcPr>
            <w:tcW w:w="2080" w:type="dxa"/>
            <w:vAlign w:val="bottom"/>
            <w:gridSpan w:val="2"/>
          </w:tcPr>
          <w:p>
            <w:pPr>
              <w:spacing w:after="0"/>
              <w:rPr>
                <w:sz w:val="20"/>
                <w:szCs w:val="20"/>
                <w:color w:val="auto"/>
              </w:rPr>
            </w:pPr>
            <w:r>
              <w:rPr>
                <w:rFonts w:ascii="Arial" w:cs="Arial" w:eastAsia="Arial" w:hAnsi="Arial"/>
                <w:sz w:val="14"/>
                <w:szCs w:val="14"/>
                <w:color w:val="auto"/>
              </w:rPr>
              <w:t>Payments Platform</w:t>
            </w:r>
          </w:p>
        </w:tc>
        <w:tc>
          <w:tcPr>
            <w:tcW w:w="1660" w:type="dxa"/>
            <w:vAlign w:val="bottom"/>
          </w:tcPr>
          <w:p>
            <w:pPr>
              <w:spacing w:after="0"/>
              <w:rPr>
                <w:sz w:val="20"/>
                <w:szCs w:val="20"/>
                <w:color w:val="auto"/>
              </w:rPr>
            </w:pPr>
            <w:r>
              <w:rPr>
                <w:rFonts w:ascii="Arial" w:cs="Arial" w:eastAsia="Arial" w:hAnsi="Arial"/>
                <w:sz w:val="14"/>
                <w:szCs w:val="14"/>
                <w:color w:val="auto"/>
              </w:rPr>
              <w:t>Director</w:t>
            </w:r>
          </w:p>
        </w:tc>
      </w:tr>
      <w:tr>
        <w:trPr>
          <w:trHeight w:val="223"/>
        </w:trPr>
        <w:tc>
          <w:tcPr>
            <w:tcW w:w="8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Digital Banking</w:t>
            </w:r>
          </w:p>
        </w:tc>
        <w:tc>
          <w:tcPr>
            <w:tcW w:w="1660" w:type="dxa"/>
            <w:vAlign w:val="bottom"/>
          </w:tcPr>
          <w:p>
            <w:pPr>
              <w:spacing w:after="0"/>
              <w:rPr>
                <w:sz w:val="19"/>
                <w:szCs w:val="19"/>
                <w:color w:val="auto"/>
              </w:rPr>
            </w:pPr>
          </w:p>
        </w:tc>
      </w:tr>
      <w:tr>
        <w:trPr>
          <w:trHeight w:val="148"/>
        </w:trPr>
        <w:tc>
          <w:tcPr>
            <w:tcW w:w="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Tranza Holding Ltd</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Special Purpose Acquisition</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Director</w:t>
            </w:r>
          </w:p>
        </w:tc>
      </w:tr>
      <w:tr>
        <w:trPr>
          <w:trHeight w:val="182"/>
        </w:trPr>
        <w:tc>
          <w:tcPr>
            <w:tcW w:w="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VPC Impact Acquisition Holdings II</w:t>
            </w:r>
          </w:p>
        </w:tc>
        <w:tc>
          <w:tcPr>
            <w:tcW w:w="208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1660" w:type="dxa"/>
            <w:vAlign w:val="bottom"/>
          </w:tcPr>
          <w:p>
            <w:pPr>
              <w:spacing w:after="0"/>
              <w:rPr>
                <w:sz w:val="20"/>
                <w:szCs w:val="20"/>
                <w:color w:val="auto"/>
              </w:rPr>
            </w:pPr>
            <w:r>
              <w:rPr>
                <w:rFonts w:ascii="Arial" w:cs="Arial" w:eastAsia="Arial" w:hAnsi="Arial"/>
                <w:sz w:val="14"/>
                <w:szCs w:val="14"/>
                <w:color w:val="auto"/>
              </w:rPr>
              <w:t>Director</w:t>
            </w:r>
          </w:p>
        </w:tc>
      </w:tr>
      <w:tr>
        <w:trPr>
          <w:trHeight w:val="338"/>
        </w:trPr>
        <w:tc>
          <w:tcPr>
            <w:tcW w:w="3280" w:type="dxa"/>
            <w:vAlign w:val="bottom"/>
            <w:gridSpan w:val="2"/>
          </w:tcPr>
          <w:p>
            <w:pPr>
              <w:spacing w:after="0"/>
              <w:rPr>
                <w:sz w:val="20"/>
                <w:szCs w:val="20"/>
                <w:color w:val="auto"/>
              </w:rPr>
            </w:pPr>
            <w:r>
              <w:rPr>
                <w:rFonts w:ascii="Arial" w:cs="Arial" w:eastAsia="Arial" w:hAnsi="Arial"/>
                <w:sz w:val="14"/>
                <w:szCs w:val="14"/>
                <w:color w:val="auto"/>
              </w:rPr>
              <w:t>Kurt Summers</w:t>
            </w: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Blackstone</w:t>
            </w:r>
          </w:p>
        </w:tc>
        <w:tc>
          <w:tcPr>
            <w:tcW w:w="2080" w:type="dxa"/>
            <w:vAlign w:val="bottom"/>
            <w:gridSpan w:val="2"/>
          </w:tcPr>
          <w:p>
            <w:pPr>
              <w:spacing w:after="0"/>
              <w:rPr>
                <w:sz w:val="20"/>
                <w:szCs w:val="20"/>
                <w:color w:val="auto"/>
              </w:rPr>
            </w:pPr>
            <w:r>
              <w:rPr>
                <w:rFonts w:ascii="Arial" w:cs="Arial" w:eastAsia="Arial" w:hAnsi="Arial"/>
                <w:sz w:val="14"/>
                <w:szCs w:val="14"/>
                <w:color w:val="auto"/>
              </w:rPr>
              <w:t>Investment Management</w:t>
            </w:r>
          </w:p>
        </w:tc>
        <w:tc>
          <w:tcPr>
            <w:tcW w:w="1660" w:type="dxa"/>
            <w:vAlign w:val="bottom"/>
          </w:tcPr>
          <w:p>
            <w:pPr>
              <w:spacing w:after="0"/>
              <w:rPr>
                <w:sz w:val="20"/>
                <w:szCs w:val="20"/>
                <w:color w:val="auto"/>
              </w:rPr>
            </w:pPr>
            <w:r>
              <w:rPr>
                <w:rFonts w:ascii="Arial" w:cs="Arial" w:eastAsia="Arial" w:hAnsi="Arial"/>
                <w:sz w:val="14"/>
                <w:szCs w:val="14"/>
                <w:color w:val="auto"/>
              </w:rPr>
              <w:t>Senior Advisor</w:t>
            </w:r>
          </w:p>
        </w:tc>
      </w:tr>
      <w:tr>
        <w:trPr>
          <w:trHeight w:val="223"/>
        </w:trPr>
        <w:tc>
          <w:tcPr>
            <w:tcW w:w="8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Financial Services</w:t>
            </w:r>
          </w:p>
        </w:tc>
        <w:tc>
          <w:tcPr>
            <w:tcW w:w="1660" w:type="dxa"/>
            <w:vAlign w:val="bottom"/>
          </w:tcPr>
          <w:p>
            <w:pPr>
              <w:spacing w:after="0"/>
              <w:rPr>
                <w:sz w:val="19"/>
                <w:szCs w:val="19"/>
                <w:color w:val="auto"/>
              </w:rPr>
            </w:pPr>
          </w:p>
        </w:tc>
      </w:tr>
      <w:tr>
        <w:trPr>
          <w:trHeight w:val="148"/>
        </w:trPr>
        <w:tc>
          <w:tcPr>
            <w:tcW w:w="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Ullico</w:t>
            </w: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Special Purpose Acquisition</w:t>
            </w:r>
          </w:p>
        </w:tc>
        <w:tc>
          <w:tcPr>
            <w:tcW w:w="1660" w:type="dxa"/>
            <w:vAlign w:val="bottom"/>
          </w:tcPr>
          <w:p>
            <w:pPr>
              <w:spacing w:after="0" w:line="149" w:lineRule="exact"/>
              <w:rPr>
                <w:sz w:val="20"/>
                <w:szCs w:val="20"/>
                <w:color w:val="auto"/>
              </w:rPr>
            </w:pPr>
            <w:r>
              <w:rPr>
                <w:rFonts w:ascii="Arial" w:cs="Arial" w:eastAsia="Arial" w:hAnsi="Arial"/>
                <w:sz w:val="14"/>
                <w:szCs w:val="14"/>
                <w:color w:val="auto"/>
              </w:rPr>
              <w:t>Senior Advisor</w:t>
            </w:r>
          </w:p>
        </w:tc>
      </w:tr>
      <w:tr>
        <w:trPr>
          <w:trHeight w:val="182"/>
        </w:trPr>
        <w:tc>
          <w:tcPr>
            <w:tcW w:w="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00" w:type="dxa"/>
            <w:vAlign w:val="bottom"/>
            <w:gridSpan w:val="2"/>
          </w:tcPr>
          <w:p>
            <w:pPr>
              <w:ind w:left="20"/>
              <w:spacing w:after="0"/>
              <w:rPr>
                <w:sz w:val="20"/>
                <w:szCs w:val="20"/>
                <w:color w:val="auto"/>
              </w:rPr>
            </w:pPr>
            <w:r>
              <w:rPr>
                <w:rFonts w:ascii="Arial" w:cs="Arial" w:eastAsia="Arial" w:hAnsi="Arial"/>
                <w:sz w:val="14"/>
                <w:szCs w:val="14"/>
                <w:color w:val="auto"/>
              </w:rPr>
              <w:t>VPC Impact Acquisition Holdings III, Inc.</w:t>
            </w:r>
          </w:p>
        </w:tc>
        <w:tc>
          <w:tcPr>
            <w:tcW w:w="208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1660" w:type="dxa"/>
            <w:vAlign w:val="bottom"/>
          </w:tcPr>
          <w:p>
            <w:pPr>
              <w:spacing w:after="0"/>
              <w:rPr>
                <w:sz w:val="20"/>
                <w:szCs w:val="20"/>
                <w:color w:val="auto"/>
              </w:rPr>
            </w:pPr>
            <w:r>
              <w:rPr>
                <w:rFonts w:ascii="Arial" w:cs="Arial" w:eastAsia="Arial" w:hAnsi="Arial"/>
                <w:sz w:val="14"/>
                <w:szCs w:val="14"/>
                <w:color w:val="auto"/>
              </w:rPr>
              <w:t>Director</w:t>
            </w: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86"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hanging="532"/>
        <w:spacing w:after="0" w:line="25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w:t>
      </w:r>
    </w:p>
    <w:p>
      <w:pPr>
        <w:spacing w:after="0" w:line="93" w:lineRule="exact"/>
        <w:rPr>
          <w:rFonts w:ascii="Arial" w:cs="Arial" w:eastAsia="Arial" w:hAnsi="Arial"/>
          <w:sz w:val="18"/>
          <w:szCs w:val="18"/>
          <w:color w:val="auto"/>
        </w:rPr>
      </w:pPr>
    </w:p>
    <w:p>
      <w:pPr>
        <w:ind w:left="1080" w:hanging="532"/>
        <w:spacing w:after="0" w:line="267"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initial shareholders purchased founder shares prior to the date of this prospectus and purchased private placement warrants in a transaction that closed simultaneously with the closing of our initial public offering. Our sponsor, officers and directors have entered into a letter agreement with us, pursuant to which they have agreed to waive their redemption rights with respect to their founder shares and public shares in connection with the completion of our initial business combination. Additionally, our sponsor, officers and directors have agreed to waive their rights to liquidating distributions from the trust account with respect to their founder shares if we fail to complete our initial business combination within the prescribed time frame. If we do not complete our initial business combination within the prescribed time frame, the private placement warrants will expire worthless. Furthermore, our sponsor, officers and directors have agreed not to transfer, assign or sell any of their founder shares and any Class A ordinary shares issuable upon conversion thereof until the earlier to occur of: (i) one year after the completion of our initial business combination or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 The private placement warrants (including the Class A ordinary shares issuable upon exercise of the private placement warrants) will not be transferable until 30 days following the completion of our initial business combination. Because each of our officers and directors own ordinary shares or warrants directly or indirectly, they may have a conflict of interest in determining whether a particular target business is an appropriate business with which to effectuate our initial business combination.</w:t>
      </w:r>
    </w:p>
    <w:p>
      <w:pPr>
        <w:spacing w:after="0" w:line="95" w:lineRule="exact"/>
        <w:rPr>
          <w:rFonts w:ascii="Arial" w:cs="Arial" w:eastAsia="Arial" w:hAnsi="Arial"/>
          <w:sz w:val="17"/>
          <w:szCs w:val="17"/>
          <w:color w:val="auto"/>
        </w:rPr>
      </w:pPr>
    </w:p>
    <w:p>
      <w:pPr>
        <w:ind w:left="1080" w:right="16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86"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initial business combination with a business combination target that is affiliated with our sponsor, officers or directors, we, or a committee of independent directors, would obtain an opinion from an independent investment banking which is a member of FINRA or a valuation or appraisal firm, that the consideration to be paid in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our sponsor $10,000 per month for office space, utilities, secretarial and administrative services provided to members of our management team.</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sponsor, officers and directors have agreed to vote their founder shares, and they and the other members of our management team have agreed to vote their founder shares and any shares purchased during or after the offering in favor of our initial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7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86"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None of our officers or directors have received any cash compensation for services rendered to us. Commencing on the date that our securities are first listed on Nasdaq through the earlier of consummation of our initial business combination and our liquidation, we will pay our sponsor $10,000 per month for office space, utilities, secretarial and administrative support services provided to members of our management team. We may elect to make payment of customary fees to members of our board of directors for director service. In addition,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officers and directors, or any of their respective affiliates, prior to completion of our initial business combination.</w:t>
      </w:r>
    </w:p>
    <w:p>
      <w:pPr>
        <w:spacing w:after="0" w:line="168"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w:t>
      </w:r>
    </w:p>
    <w:p>
      <w:pPr>
        <w:spacing w:after="0" w:line="178"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46"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the beneficial ownership of our ordinary shares as of March 29, 2021 by:</w:t>
      </w:r>
    </w:p>
    <w:p>
      <w:pPr>
        <w:spacing w:after="0" w:line="252"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ordinary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the date of this Form 10-K.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86"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beneficial ownership of our ordinary shares is based on 25,916,502 ordinary shares issued and outstanding as of March 29, 2021, consisting of 20,732,202 Class A ordinary shares and 5,184,300 Class B ordinary shares.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rPr>
              <w:t>NUMBER OF</w:t>
            </w: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SHARES</w:t>
            </w: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780" w:type="dxa"/>
            <w:vAlign w:val="bottom"/>
            <w:gridSpan w:val="4"/>
          </w:tcPr>
          <w:p>
            <w:pPr>
              <w:jc w:val="right"/>
              <w:ind w:right="700"/>
              <w:spacing w:after="0" w:line="149" w:lineRule="exact"/>
              <w:rPr>
                <w:sz w:val="20"/>
                <w:szCs w:val="20"/>
                <w:color w:val="auto"/>
              </w:rPr>
            </w:pPr>
            <w:r>
              <w:rPr>
                <w:rFonts w:ascii="Arial" w:cs="Arial" w:eastAsia="Arial" w:hAnsi="Arial"/>
                <w:sz w:val="14"/>
                <w:szCs w:val="14"/>
                <w:b w:val="1"/>
                <w:bCs w:val="1"/>
                <w:color w:val="auto"/>
              </w:rPr>
              <w:t>BENEFICIALLY</w:t>
            </w: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44"/>
        </w:trPr>
        <w:tc>
          <w:tcPr>
            <w:tcW w:w="5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3"/>
          </w:tcPr>
          <w:p>
            <w:pPr>
              <w:jc w:val="center"/>
              <w:ind w:right="760"/>
              <w:spacing w:after="0" w:line="125" w:lineRule="exact"/>
              <w:rPr>
                <w:sz w:val="20"/>
                <w:szCs w:val="20"/>
                <w:color w:val="auto"/>
              </w:rPr>
            </w:pPr>
            <w:r>
              <w:rPr>
                <w:rFonts w:ascii="Arial" w:cs="Arial" w:eastAsia="Arial" w:hAnsi="Arial"/>
                <w:sz w:val="14"/>
                <w:szCs w:val="14"/>
                <w:b w:val="1"/>
                <w:bCs w:val="1"/>
                <w:color w:val="auto"/>
              </w:rPr>
              <w:t>OWNED</w:t>
            </w:r>
          </w:p>
        </w:tc>
        <w:tc>
          <w:tcPr>
            <w:tcW w:w="128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20"/>
        </w:trPr>
        <w:tc>
          <w:tcPr>
            <w:tcW w:w="326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i w:val="1"/>
                <w:iCs w:val="1"/>
                <w:color w:val="auto"/>
              </w:rPr>
              <w:t>Directors, Executive Officers and Founders</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John Martin</w:t>
            </w:r>
          </w:p>
        </w:tc>
        <w:tc>
          <w:tcPr>
            <w:tcW w:w="60" w:type="dxa"/>
            <w:vAlign w:val="bottom"/>
          </w:tcPr>
          <w:p>
            <w:pPr>
              <w:spacing w:after="0"/>
              <w:rPr>
                <w:sz w:val="18"/>
                <w:szCs w:val="18"/>
                <w:color w:val="auto"/>
              </w:rPr>
            </w:pPr>
          </w:p>
        </w:tc>
        <w:tc>
          <w:tcPr>
            <w:tcW w:w="17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Watson</w:t>
            </w:r>
          </w:p>
        </w:tc>
        <w:tc>
          <w:tcPr>
            <w:tcW w:w="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Olibia Stamatoglou</w:t>
            </w:r>
          </w:p>
        </w:tc>
        <w:tc>
          <w:tcPr>
            <w:tcW w:w="60" w:type="dxa"/>
            <w:vAlign w:val="bottom"/>
          </w:tcPr>
          <w:p>
            <w:pPr>
              <w:spacing w:after="0"/>
              <w:rPr>
                <w:sz w:val="18"/>
                <w:szCs w:val="18"/>
                <w:color w:val="auto"/>
              </w:rPr>
            </w:pPr>
          </w:p>
        </w:tc>
        <w:tc>
          <w:tcPr>
            <w:tcW w:w="17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Adrienne Harris</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20,000</w:t>
            </w:r>
          </w:p>
        </w:tc>
        <w:tc>
          <w:tcPr>
            <w:tcW w:w="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Kai Schmitz</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20,000</w:t>
            </w:r>
          </w:p>
        </w:tc>
        <w:tc>
          <w:tcPr>
            <w:tcW w:w="6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Summers</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20,000</w:t>
            </w:r>
          </w:p>
        </w:tc>
        <w:tc>
          <w:tcPr>
            <w:tcW w:w="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53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executive officers and directors as a group</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ind w:left="180"/>
              <w:spacing w:after="0"/>
              <w:rPr>
                <w:sz w:val="20"/>
                <w:szCs w:val="20"/>
                <w:color w:val="auto"/>
              </w:rPr>
            </w:pPr>
            <w:r>
              <w:rPr>
                <w:rFonts w:ascii="Arial" w:cs="Arial" w:eastAsia="Arial" w:hAnsi="Arial"/>
                <w:sz w:val="18"/>
                <w:szCs w:val="18"/>
                <w:b w:val="1"/>
                <w:bCs w:val="1"/>
                <w:color w:val="auto"/>
              </w:rPr>
              <w:t>(6 individuals)</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60,000</w:t>
            </w:r>
          </w:p>
        </w:tc>
        <w:tc>
          <w:tcPr>
            <w:tcW w:w="6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9"/>
        </w:trPr>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rPr>
              <w:t>NUMBER OF</w:t>
            </w: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9"/>
              </w:rPr>
              <w:t>SHARES</w:t>
            </w: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60" w:type="dxa"/>
            <w:vAlign w:val="bottom"/>
          </w:tcPr>
          <w:p>
            <w:pPr>
              <w:spacing w:after="0"/>
              <w:rPr>
                <w:sz w:val="12"/>
                <w:szCs w:val="12"/>
                <w:color w:val="auto"/>
              </w:rPr>
            </w:pPr>
          </w:p>
        </w:tc>
        <w:tc>
          <w:tcPr>
            <w:tcW w:w="172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BENEFICIALLY</w:t>
            </w: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44"/>
        </w:trPr>
        <w:tc>
          <w:tcPr>
            <w:tcW w:w="5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3"/>
          </w:tcPr>
          <w:p>
            <w:pPr>
              <w:jc w:val="center"/>
              <w:ind w:right="640"/>
              <w:spacing w:after="0" w:line="125" w:lineRule="exact"/>
              <w:rPr>
                <w:sz w:val="20"/>
                <w:szCs w:val="20"/>
                <w:color w:val="auto"/>
              </w:rPr>
            </w:pPr>
            <w:r>
              <w:rPr>
                <w:rFonts w:ascii="Arial" w:cs="Arial" w:eastAsia="Arial" w:hAnsi="Arial"/>
                <w:sz w:val="14"/>
                <w:szCs w:val="14"/>
                <w:b w:val="1"/>
                <w:bCs w:val="1"/>
                <w:color w:val="auto"/>
              </w:rPr>
              <w:t>OWNED</w:t>
            </w:r>
          </w:p>
        </w:tc>
        <w:tc>
          <w:tcPr>
            <w:tcW w:w="128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20"/>
        </w:trPr>
        <w:tc>
          <w:tcPr>
            <w:tcW w:w="326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i w:val="1"/>
                <w:iCs w:val="1"/>
                <w:color w:val="auto"/>
              </w:rPr>
              <w:t>Five Percent Holders</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VPC Impact Acquisition Holdings Sponsor, LLC(1)(2)(3)</w:t>
            </w:r>
          </w:p>
        </w:tc>
        <w:tc>
          <w:tcPr>
            <w:tcW w:w="1780" w:type="dxa"/>
            <w:vAlign w:val="bottom"/>
            <w:gridSpan w:val="4"/>
          </w:tcPr>
          <w:p>
            <w:pPr>
              <w:jc w:val="right"/>
              <w:ind w:right="620"/>
              <w:spacing w:after="0"/>
              <w:rPr>
                <w:sz w:val="20"/>
                <w:szCs w:val="20"/>
                <w:color w:val="auto"/>
              </w:rPr>
            </w:pPr>
            <w:r>
              <w:rPr>
                <w:rFonts w:ascii="Arial" w:cs="Arial" w:eastAsia="Arial" w:hAnsi="Arial"/>
                <w:sz w:val="18"/>
                <w:szCs w:val="18"/>
                <w:color w:val="auto"/>
              </w:rPr>
              <w:t>5,124,300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Global Management, LLC(4)</w:t>
            </w:r>
          </w:p>
        </w:tc>
        <w:tc>
          <w:tcPr>
            <w:tcW w:w="17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2,813,820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Invesco Ltd.(5)</w:t>
            </w:r>
          </w:p>
        </w:tc>
        <w:tc>
          <w:tcPr>
            <w:tcW w:w="1780" w:type="dxa"/>
            <w:vAlign w:val="bottom"/>
            <w:gridSpan w:val="4"/>
          </w:tcPr>
          <w:p>
            <w:pPr>
              <w:jc w:val="right"/>
              <w:ind w:right="620"/>
              <w:spacing w:after="0"/>
              <w:rPr>
                <w:sz w:val="20"/>
                <w:szCs w:val="20"/>
                <w:color w:val="auto"/>
              </w:rPr>
            </w:pPr>
            <w:r>
              <w:rPr>
                <w:rFonts w:ascii="Arial" w:cs="Arial" w:eastAsia="Arial" w:hAnsi="Arial"/>
                <w:sz w:val="18"/>
                <w:szCs w:val="18"/>
                <w:color w:val="auto"/>
              </w:rPr>
              <w:t>2,391,105</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Millennium Management LLC(6)</w:t>
            </w:r>
          </w:p>
        </w:tc>
        <w:tc>
          <w:tcPr>
            <w:tcW w:w="17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1,600,000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Corbin Capital Partners Group, LLC(7)</w:t>
            </w:r>
          </w:p>
        </w:tc>
        <w:tc>
          <w:tcPr>
            <w:tcW w:w="1780" w:type="dxa"/>
            <w:vAlign w:val="bottom"/>
            <w:gridSpan w:val="4"/>
          </w:tcPr>
          <w:p>
            <w:pPr>
              <w:jc w:val="right"/>
              <w:ind w:right="620"/>
              <w:spacing w:after="0"/>
              <w:rPr>
                <w:sz w:val="20"/>
                <w:szCs w:val="20"/>
                <w:color w:val="auto"/>
              </w:rPr>
            </w:pPr>
            <w:r>
              <w:rPr>
                <w:rFonts w:ascii="Arial" w:cs="Arial" w:eastAsia="Arial" w:hAnsi="Arial"/>
                <w:sz w:val="18"/>
                <w:szCs w:val="18"/>
                <w:color w:val="auto"/>
              </w:rPr>
              <w:t>1,500,000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Sculptor Capital LP(8)</w:t>
            </w:r>
          </w:p>
        </w:tc>
        <w:tc>
          <w:tcPr>
            <w:tcW w:w="17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1,404,800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Empyrean Capital Overseas Master Fund, Ltd.(9)</w:t>
            </w:r>
          </w:p>
        </w:tc>
        <w:tc>
          <w:tcPr>
            <w:tcW w:w="1780" w:type="dxa"/>
            <w:vAlign w:val="bottom"/>
            <w:gridSpan w:val="4"/>
          </w:tcPr>
          <w:p>
            <w:pPr>
              <w:jc w:val="right"/>
              <w:ind w:right="620"/>
              <w:spacing w:after="0"/>
              <w:rPr>
                <w:sz w:val="20"/>
                <w:szCs w:val="20"/>
                <w:color w:val="auto"/>
              </w:rPr>
            </w:pPr>
            <w:r>
              <w:rPr>
                <w:rFonts w:ascii="Arial" w:cs="Arial" w:eastAsia="Arial" w:hAnsi="Arial"/>
                <w:sz w:val="18"/>
                <w:szCs w:val="18"/>
                <w:color w:val="auto"/>
              </w:rPr>
              <w:t>1,208,580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Point72 Asset Management, L.P.(10)</w:t>
            </w:r>
          </w:p>
        </w:tc>
        <w:tc>
          <w:tcPr>
            <w:tcW w:w="17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1,159,546</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is 150 North Riverside Plaza, Suite 5200, Chicago, IL 60606.</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concurrently with or immediately following the consummation of our initial business combination on a one-for-one basis, subject to adjustment, as described herein.</w:t>
      </w:r>
    </w:p>
    <w:p>
      <w:pPr>
        <w:spacing w:after="0" w:line="1" w:lineRule="exact"/>
        <w:rPr>
          <w:rFonts w:ascii="Arial" w:cs="Arial" w:eastAsia="Arial" w:hAnsi="Arial"/>
          <w:sz w:val="18"/>
          <w:szCs w:val="18"/>
          <w:color w:val="auto"/>
        </w:rPr>
      </w:pPr>
    </w:p>
    <w:p>
      <w:pPr>
        <w:ind w:left="540" w:right="160" w:hanging="424"/>
        <w:spacing w:after="0" w:line="26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VPC Impact Acquisition Holdings Sponsor, LLC, our sponsor, is the record holder of such shares. Richard Levy, as Chief Executive Officer and Founder of Victory Park Capital Advisors, LLC, has voting and investment discretion over these shares and therefore may be deemed to beneficially own such shares. Richard Levy disclaims any beneficial ownership of the securities held by VPC Impact Acquisition Holdings Sponsor, LLC other than to the extent of any pecuniary interest he may have therein, directly or indirectly.</w:t>
      </w:r>
    </w:p>
    <w:p>
      <w:pPr>
        <w:ind w:left="540" w:right="60" w:hanging="424"/>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According to a Schedule 13G/A filed on February 24, 2021, Alpine Global Management, LLC is the holder of 2,813,820 Class A ordinary shares. The address of Alpine Global Management, LLC is 140 Broadway, 38th Floor, New York, NY 10005.</w:t>
      </w:r>
    </w:p>
    <w:p>
      <w:pPr>
        <w:ind w:left="540" w:hanging="424"/>
        <w:spacing w:after="0" w:line="255"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According to a Schedule 13G filed on March 10, 2021, Invesco Ltd. in its capacity as a parent holding company to its investment advisers, may be deemed to beneficially own 2,391,105 Class A ordinary shares which are held of record by clients of Invesco Ltd. The address of Invesco Ltd. is 1555 Peachtree Street NE, Suite 1800, Atlanta, GA 30309.</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86"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82"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According to a Schedule 13G/A filed on February 1, 2021, (i) Millenium Management LLC, a Delaware limited liability company (“Millenium Management”), Millennium Group Management LLC, a Delaware limited liability company (“Millenium Group Management”), Millenium International Management LP, a Delaware limited partnership (“Millennium International Management”) and Israel A. Englander, a United States citizen share voting control and investment discretion over part or all of an aggregate of 800,000 units, each consisting of 1 Class A ordinary share and one-half of one redeemable warrant and 800,000 Class A ordinary shares, of which (i) 800,000 Class A ordinary shares are held by Integrated Core Strategies (US) LLC, a Delaware limited liability company (“Integrated Core Strategies”) and (ii) 800,000 units are held by ICS Opportunities, Ltd., an exempted company organized under the laws of the Cayman Islands (“ICS Opportunities”). Millenium International Management is the investment manager to ICS Opportunities and may be deemed to have shared voting control and investment discretion over securities owned by ICS Opportunities. Millenium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may also be deemed to have shared voting control and investment discretion over securities owned by ICS Opportunities. Millenium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Mr. Englander, currently serves as the sole voting trustee. Therefore, Mr. Englander may also be deemed to have shared voting control and investment discretion over securities owned by Integrated Core Strategies and ICS Opportunities. The address of each entity and Mr. Englander is c/o Millennium International Management LP, 666 Fifth Avenue, New York, New York 10103.</w:t>
      </w:r>
    </w:p>
    <w:p>
      <w:pPr>
        <w:spacing w:after="0" w:line="11"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According to a Schedule 13G filed on February 12, 2021, Corbin Capital Partners Group, LLC (“CCPG”) and Corbin Capital Partners, L.P. (“CCP”) may be deemed to be the beneficial owners of an aggregate of 1,500,00 Class A ordinary shares. The shares reported are held by Corbin ERISA Opportunity Fund, Ltd. (“CEOF”), a Cayman Islands exempted company, and Corbin Opportunity Fund, L.P. (“COF”), a Delaware limited partnership. CCPG is the general partner of CCP, which serves as investment advisor for both COF and CEOF. The address of the principal business office of each of CCPG and CCP is 590 Madison Avenue, 31st Floor, New York, NY 10022.</w:t>
      </w:r>
    </w:p>
    <w:p>
      <w:pPr>
        <w:ind w:left="540" w:right="20" w:hanging="424"/>
        <w:spacing w:after="0" w:line="281"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According to a Schedule 13G/A filed on February 5, 2021, Sculptor Capital LP (“Sculptor”), a Delaware limited partnership, as the principal investment manager to a number of investment funds and discretionary accounts (collectively, the “Sculptor Accounts”) may be deemed to beneficially own 1,404,800 Class A ordinary shares which are held by the Sculptor Accounts. Sculptor Capital Holding Corporation (“SCHC”), a Delaware corporation, serves as the general partner of Sculptor As such, SCHC may be deemed to control Sculptor and, therefore, may be deemed to be the beneficial owner of the Class A ordinary shares owned by the Sculptor Accounts. Sculptor Capital Management, Inc. (“SCU”), a Delaware limited liability company, is a holding company that is the sole shareholder of SCHC. SCU is the sole shareholder of SCHC, and therefore may be deemed to be the beneficial owner of the Class A ordinary shares owned by the Sculptor Accounts. Sculptor Master Fund, Ltd. (“SCMF”), a Cayman Islands company and Sculptor Special Funding, LP (“NRMD”), a Cayman Islands exempted limited partnership, may also be deemed to share beneficial ownership over such Class A ordinary shares. The address of the principal business office of Sculptor, SCHC, and SCU is 9 West 57 Street, 39 Floor, New York, NY 10019. The address of the principal business office of SCMF and NRMD is c/o State Street (Cayman) Trust, Limited, P.O. Box 896, Suite 3307, Gardenia Court, 45 Market Street, Camana Bay, Grand Cayman, Cayman Islands KY1-1103.</w:t>
      </w:r>
    </w:p>
    <w:p>
      <w:pPr>
        <w:spacing w:after="0" w:line="6" w:lineRule="exact"/>
        <w:rPr>
          <w:rFonts w:ascii="Arial" w:cs="Arial" w:eastAsia="Arial" w:hAnsi="Arial"/>
          <w:sz w:val="16"/>
          <w:szCs w:val="16"/>
          <w:color w:val="auto"/>
        </w:rPr>
      </w:pPr>
    </w:p>
    <w:p>
      <w:pPr>
        <w:ind w:left="540" w:right="80" w:hanging="424"/>
        <w:spacing w:after="0" w:line="271"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According to a Schedule 13G filed on December 18, 2020, Empyrean Capital Overseas Master Fund, Ltd. (“Empyrean Fund”) is the direct holder of 1,208,590 Class A ordinary shares. Empyrean Capital Partners, LP (“Empyrean Capital”), as the investment manager of Empyrean Fund, may be deemed to share voting and investment discretion over such securities. Mr. Meron, as the managing member of Empyrean Capital, LLC, the general partner of Empyrean Capital, may be deemed to share voting and investment discretion over such securities. The address of each is c/o Empyrean Capital Partners, LP, 10250 Constellation Boulevard, Suite 2950, Los Angeles, CA 90067.</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86"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hanging="4"/>
        <w:spacing w:after="0" w:line="255" w:lineRule="auto"/>
        <w:tabs>
          <w:tab w:leader="none" w:pos="4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According to a Schedule 13G filed on February 24, 2021, the reported shares are held by certain investment funds managed by Point72 Asset Management, L.P. (“Point72 Asset Management”). Point72 Capital Advisors, Inc. (“Point72 Capital Advisors Inc.”) may be deemed to share voting and dispositive power of the shares held by certain investment funds managed by Point72 Asset Management; and (iii) Steven A. Cohen (“Mr. Cohen”) may be deemed to share voting and dispositive power with respect to shares beneficially owned by Point72 Asset Management and Point72 Capital Advisors Inc. The address of the principal business office of Point72 Asset Management, Point72 Capital Advisors Inc., and Mr. Cohen is 72 Cummings Point Road, Stamford, CT 06902.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on August 3, 2020, the Sponsor paid $25,000, or approximately $0.004 per share, to cover certain of the Company’s offering and formation costs in exchange for 5,750,000 Class B ordinary shares, par value $0.0001 per share (the “founder shares”). In September 2020, the Sponsor transferred an aggregate of 60,000 founder shares to members of the Company’s board of directors, resulting in the Sponsor holding 5,690,000 founder shares. The number of founder shares outstanding was determined based on the expectation that the total size of the Company’s initial public offering would be a maximum of 23,000,000 units if the underwriters’ over-allotment option was exercised in full, and therefore that such founder shares would represent 20% of the outstanding shares after the Public Offering. Up to 750,000 of the founder shares were subject to forfeiture for no consideration depending on the extent to which the underwriters’ over-allotment was exercised. 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6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Sponsor, officers and directors have agreed not to transfer, assign or sell any of their founder shares and any Class A ordinary shares issuable upon conversion thereof until the earlier to occur of: (i) one year after the completion of our initial business combination or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Simultaneously with the closing of the Initial Public Offering, we consummated the sale of 6,000,000 warrants (the “Private Placement Warrants”) to the Sponsor at a price of $1.00 per Private Placement Warrant generating gross proceeds of $6,000,000.</w:t>
      </w:r>
    </w:p>
    <w:p>
      <w:pPr>
        <w:spacing w:after="0" w:line="170"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Each private placement warrant is exercisable for one whole Class A ordinary share at a price of $11.50 per share. A portion of the proceeds from the sale of the private placement warrants to the Sponsor was added to the proceeds from the initial public offering held in the trust account. If we do not complete a business combination by September 25, 2022, the private placement warrants will expire worthless. The private placement warrants will be non-redeemable for cash and exercisable on a cashless basis so long as they are held by the Sponsor or its permitted transferees.</w:t>
      </w:r>
    </w:p>
    <w:p>
      <w:pPr>
        <w:spacing w:after="0" w:line="15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Sponsor and our officers and directors has agreed, subject to limited exceptions, not to transfer, assign or sell any of their private placement warrants until 30 days after the completion of the initial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86"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the Company had no outstanding borrowings under the Working Capital Loans.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Commencing on the date that our securities were first listed on the Nasdaq and continuing until the earlier of the consummation of a Business Combination or our liquidation, we agreed to pay the Sponsor a total of $10,000 per month for office space, utilities, secretarial and administrative support services, provided to the Company. We began incurring these fees on September 25, 2020 and will continue to incur these fees monthly until the earlier of the completion of a Business Combination and the Company’s liquidation.</w:t>
      </w:r>
    </w:p>
    <w:p>
      <w:pPr>
        <w:spacing w:after="0" w:line="18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Sponsor, officers and directors, or any of their respective affiliates will be reimbursed for any out-of-pocket expenses incurred in connection with activities performed on our behalf such as identifying potential target businesses and performing due diligence on suitable Business Combinations.</w:t>
      </w:r>
    </w:p>
    <w:p>
      <w:pPr>
        <w:spacing w:after="0" w:line="124"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color w:val="auto"/>
        </w:rPr>
        <w:t>We recognized an aggregate of $30,000 in expenses incurred in connection with the aforementioned arrangements with the related parties on our Statements of Operations for the period from July 31, 2020 (date of inception) through December 31, 2020, respectively.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fees paid to WithumSmith+Brown, PC, for services rendered.</w:t>
      </w:r>
    </w:p>
    <w:p>
      <w:pPr>
        <w:spacing w:after="0" w:line="22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Audit fees consist of fees billed for professional services rendered for the audit of our year-end financial statements, reviews of our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services that are normally provided by our independent registered public accounting firm in connection with statutory and regulatory filings. The aggregate fees billed by WithumSmith+Brown, PC for audit fees, inclusive of required filings with the SEC for the period from July 31, 2020 (inception) through December 31, 2020, and of services rendered in connection with our initial public offering, totaled $81,000.</w:t>
      </w:r>
    </w:p>
    <w:p>
      <w:pPr>
        <w:spacing w:after="0" w:line="15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i w:val="1"/>
          <w:iCs w:val="1"/>
          <w:color w:val="auto"/>
        </w:rPr>
        <w:t>Audit-Related Fees</w:t>
      </w:r>
      <w:r>
        <w:rPr>
          <w:rFonts w:ascii="Arial" w:cs="Arial" w:eastAsia="Arial" w:hAnsi="Arial"/>
          <w:sz w:val="17"/>
          <w:szCs w:val="17"/>
          <w:color w:val="auto"/>
        </w:rPr>
        <w:t>. Audit-related fees consist of fees billed for assurance and related services that are reasonably related to performance of the audit or</w:t>
      </w:r>
      <w:r>
        <w:rPr>
          <w:rFonts w:ascii="Arial" w:cs="Arial" w:eastAsia="Arial" w:hAnsi="Arial"/>
          <w:sz w:val="17"/>
          <w:szCs w:val="17"/>
          <w:i w:val="1"/>
          <w:iCs w:val="1"/>
          <w:color w:val="auto"/>
        </w:rPr>
        <w:t xml:space="preserve"> </w:t>
      </w:r>
      <w:r>
        <w:rPr>
          <w:rFonts w:ascii="Arial" w:cs="Arial" w:eastAsia="Arial" w:hAnsi="Arial"/>
          <w:sz w:val="17"/>
          <w:szCs w:val="17"/>
          <w:color w:val="auto"/>
        </w:rPr>
        <w:t>review of our year-end financial statements and are not reported under “Audit Fees.” These services include attest services that are not required by statute or regulation and consultation concerning financial accounting and reporting standards. We did not pay WithumSmith+Brown, PC any audit-related fees during the period from July 31, 2020 (inception) through December 31, 2020.</w:t>
      </w:r>
    </w:p>
    <w:p>
      <w:pPr>
        <w:spacing w:after="0" w:line="171" w:lineRule="exact"/>
        <w:rPr>
          <w:sz w:val="20"/>
          <w:szCs w:val="20"/>
          <w:color w:val="auto"/>
        </w:rPr>
      </w:pPr>
    </w:p>
    <w:p>
      <w:pPr>
        <w:ind w:left="120" w:right="1160"/>
        <w:spacing w:after="0" w:line="308" w:lineRule="auto"/>
        <w:rPr>
          <w:sz w:val="20"/>
          <w:szCs w:val="20"/>
          <w:color w:val="auto"/>
        </w:rPr>
      </w:pPr>
      <w:r>
        <w:rPr>
          <w:rFonts w:ascii="Arial" w:cs="Arial" w:eastAsia="Arial" w:hAnsi="Arial"/>
          <w:sz w:val="17"/>
          <w:szCs w:val="17"/>
          <w:i w:val="1"/>
          <w:iCs w:val="1"/>
          <w:color w:val="auto"/>
        </w:rPr>
        <w:t>Tax Fees</w:t>
      </w:r>
      <w:r>
        <w:rPr>
          <w:rFonts w:ascii="Arial" w:cs="Arial" w:eastAsia="Arial" w:hAnsi="Arial"/>
          <w:sz w:val="17"/>
          <w:szCs w:val="17"/>
          <w:color w:val="auto"/>
        </w:rPr>
        <w:t>. Tax fees consist of fees billed for professional services relating to tax compliance, tax planning and tax advice. We did not pay</w:t>
      </w:r>
      <w:r>
        <w:rPr>
          <w:rFonts w:ascii="Arial" w:cs="Arial" w:eastAsia="Arial" w:hAnsi="Arial"/>
          <w:sz w:val="17"/>
          <w:szCs w:val="17"/>
          <w:i w:val="1"/>
          <w:iCs w:val="1"/>
          <w:color w:val="auto"/>
        </w:rPr>
        <w:t xml:space="preserve"> </w:t>
      </w:r>
      <w:r>
        <w:rPr>
          <w:rFonts w:ascii="Arial" w:cs="Arial" w:eastAsia="Arial" w:hAnsi="Arial"/>
          <w:sz w:val="17"/>
          <w:szCs w:val="17"/>
          <w:color w:val="auto"/>
        </w:rPr>
        <w:t>WithumSmith+Brown, PC any tax fees during the period from July 31, 2020 (inception) through December 31, 2020.</w:t>
      </w:r>
    </w:p>
    <w:p>
      <w:pPr>
        <w:spacing w:after="0" w:line="14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All other fees consist of fees billed for all other services. We did not pay WithumSmith+Brown, PC any other fees during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31, 2020 (inception) through December 31,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86"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860"/>
          </w:cols>
          <w:pgMar w:left="320" w:top="486" w:right="7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6" w:lineRule="exact"/>
        <w:rPr>
          <w:sz w:val="20"/>
          <w:szCs w:val="20"/>
          <w:color w:val="auto"/>
        </w:rPr>
      </w:pPr>
    </w:p>
    <w:p>
      <w:pPr>
        <w:ind w:left="1080" w:hanging="532"/>
        <w:spacing w:after="0"/>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300" w:hanging="184"/>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Statements: See “Index to Financial Statements” at “Item 8. Financial Statements and Supplementary Data” herein.</w:t>
      </w:r>
    </w:p>
    <w:p>
      <w:pPr>
        <w:spacing w:after="0" w:line="252" w:lineRule="exact"/>
        <w:rPr>
          <w:rFonts w:ascii="Arial" w:cs="Arial" w:eastAsia="Arial" w:hAnsi="Arial"/>
          <w:sz w:val="18"/>
          <w:szCs w:val="18"/>
          <w:color w:val="auto"/>
        </w:rPr>
      </w:pPr>
    </w:p>
    <w:p>
      <w:pPr>
        <w:ind w:left="1080" w:right="200" w:hanging="532"/>
        <w:spacing w:after="0" w:line="277" w:lineRule="auto"/>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for the reason that the information is included in the financial statements or the notes thereto or that they are not required or are not applicable.</w:t>
      </w:r>
    </w:p>
    <w:p>
      <w:pPr>
        <w:spacing w:after="0" w:line="197" w:lineRule="exact"/>
        <w:rPr>
          <w:rFonts w:ascii="Arial" w:cs="Arial" w:eastAsia="Arial" w:hAnsi="Arial"/>
          <w:sz w:val="18"/>
          <w:szCs w:val="18"/>
          <w:color w:val="auto"/>
        </w:rPr>
      </w:pPr>
    </w:p>
    <w:p>
      <w:pPr>
        <w:ind w:left="1080" w:hanging="532"/>
        <w:spacing w:after="0"/>
        <w:tabs>
          <w:tab w:leader="none" w:pos="10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Exhibits: The exhibits listed in the Exhibit Index below are filed or incorporated by reference as part of this Annual Report on Form 10-K.</w:t>
      </w:r>
    </w:p>
    <w:p>
      <w:pPr>
        <w:spacing w:after="0" w:line="200" w:lineRule="exact"/>
        <w:rPr>
          <w:sz w:val="20"/>
          <w:szCs w:val="20"/>
          <w:color w:val="auto"/>
        </w:rPr>
      </w:pP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00" w:type="dxa"/>
            <w:vAlign w:val="bottom"/>
          </w:tcPr>
          <w:p>
            <w:pPr>
              <w:ind w:left="4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030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10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840" w:right="180" w:hanging="714"/>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22">
        <w:r>
          <w:rPr>
            <w:rFonts w:ascii="Arial" w:cs="Arial" w:eastAsia="Arial" w:hAnsi="Arial"/>
            <w:sz w:val="18"/>
            <w:szCs w:val="18"/>
            <w:u w:val="single" w:color="auto"/>
            <w:color w:val="0000EE"/>
          </w:rPr>
          <w:t>Business Combination Agreement, dated as of January 11, 2021, by and among the Company, Pylon Merger Company LLC and Bakkt</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Holdings, LLC (incorporated by reference to Exhibit 2.1 to the Company’s Current Report on Form 8-K (File No. 001-39544), filed with the</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Securities and Exchange Commission on January 11, 2021).</w:t>
        </w:r>
      </w:hyperlink>
    </w:p>
    <w:p>
      <w:pPr>
        <w:spacing w:after="0" w:line="76" w:lineRule="exact"/>
        <w:rPr>
          <w:rFonts w:ascii="Arial" w:cs="Arial" w:eastAsia="Arial" w:hAnsi="Arial"/>
          <w:sz w:val="18"/>
          <w:szCs w:val="18"/>
          <w:u w:val="single" w:color="auto"/>
          <w:color w:val="0000EE"/>
        </w:rPr>
      </w:pPr>
    </w:p>
    <w:p>
      <w:pPr>
        <w:ind w:left="840" w:right="140" w:hanging="714"/>
        <w:spacing w:after="0" w:line="308" w:lineRule="auto"/>
        <w:tabs>
          <w:tab w:leader="none" w:pos="820" w:val="left"/>
        </w:tabs>
        <w:rPr>
          <w:rFonts w:ascii="Arial" w:cs="Arial" w:eastAsia="Arial" w:hAnsi="Arial"/>
          <w:sz w:val="17"/>
          <w:szCs w:val="17"/>
          <w:u w:val="single" w:color="auto"/>
          <w:color w:val="0000EE"/>
        </w:rPr>
      </w:pPr>
      <w:r>
        <w:rPr>
          <w:rFonts w:ascii="Arial" w:cs="Arial" w:eastAsia="Arial" w:hAnsi="Arial"/>
          <w:sz w:val="18"/>
          <w:szCs w:val="18"/>
          <w:color w:val="auto"/>
        </w:rPr>
        <w:t>3.1</w:t>
      </w:r>
      <w:r>
        <w:rPr>
          <w:sz w:val="20"/>
          <w:szCs w:val="20"/>
          <w:color w:val="auto"/>
        </w:rPr>
        <w:tab/>
      </w:r>
      <w:hyperlink r:id="rId123">
        <w:r>
          <w:rPr>
            <w:rFonts w:ascii="Arial" w:cs="Arial" w:eastAsia="Arial" w:hAnsi="Arial"/>
            <w:sz w:val="17"/>
            <w:szCs w:val="17"/>
            <w:u w:val="single" w:color="auto"/>
            <w:color w:val="0000EE"/>
          </w:rPr>
          <w:t>Amended and Restated Memorandum and Articles of Association (incorporated by reference to Exhibit 3.1 to the Company’s Current Report</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on Form 8-K (File No. 001-39544), filed with the Securities and Exchange Commission on September 28, 2020).</w:t>
        </w:r>
      </w:hyperlink>
    </w:p>
    <w:p>
      <w:pPr>
        <w:spacing w:after="0" w:line="38" w:lineRule="exact"/>
        <w:rPr>
          <w:sz w:val="20"/>
          <w:szCs w:val="20"/>
          <w:color w:val="auto"/>
        </w:rPr>
      </w:pPr>
    </w:p>
    <w:p>
      <w:pPr>
        <w:ind w:left="840" w:right="380" w:hanging="714"/>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24">
        <w:r>
          <w:rPr>
            <w:rFonts w:ascii="Arial" w:cs="Arial" w:eastAsia="Arial" w:hAnsi="Arial"/>
            <w:sz w:val="18"/>
            <w:szCs w:val="18"/>
            <w:u w:val="single" w:color="auto"/>
            <w:color w:val="0000EE"/>
          </w:rPr>
          <w:t>Specimen Unit Certificate (incorporated by reference to Exhibit 4.1 to the Company’s Registration Statement on Amendment No. 1 to the</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Form S-1 (File No. 333-248619), filed with the Securities and Exchange Commission on September 16, 2020).</w:t>
        </w:r>
      </w:hyperlink>
    </w:p>
    <w:p>
      <w:pPr>
        <w:spacing w:after="0" w:line="62" w:lineRule="exact"/>
        <w:rPr>
          <w:sz w:val="20"/>
          <w:szCs w:val="20"/>
          <w:color w:val="auto"/>
        </w:rPr>
      </w:pPr>
    </w:p>
    <w:p>
      <w:pPr>
        <w:ind w:left="840" w:right="480" w:hanging="714"/>
        <w:spacing w:after="0" w:line="342" w:lineRule="auto"/>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25">
        <w:r>
          <w:rPr>
            <w:rFonts w:ascii="Arial" w:cs="Arial" w:eastAsia="Arial" w:hAnsi="Arial"/>
            <w:sz w:val="16"/>
            <w:szCs w:val="16"/>
            <w:u w:val="single" w:color="auto"/>
            <w:color w:val="0000EE"/>
          </w:rPr>
          <w:t>Specimen Class A Ordinary Share Certificate (incorporated by reference to Exhibit 4.2 to the Company’s Registration Statement on</w:t>
        </w:r>
      </w:hyperlink>
      <w:r>
        <w:rPr>
          <w:rFonts w:ascii="Arial" w:cs="Arial" w:eastAsia="Arial" w:hAnsi="Arial"/>
          <w:sz w:val="16"/>
          <w:szCs w:val="16"/>
          <w:u w:val="single" w:color="auto"/>
          <w:color w:val="0000EE"/>
        </w:rPr>
        <w:t xml:space="preserve"> </w:t>
      </w:r>
      <w:hyperlink r:id="rId125">
        <w:r>
          <w:rPr>
            <w:rFonts w:ascii="Arial" w:cs="Arial" w:eastAsia="Arial" w:hAnsi="Arial"/>
            <w:sz w:val="16"/>
            <w:szCs w:val="16"/>
            <w:u w:val="single" w:color="auto"/>
            <w:color w:val="0000EE"/>
          </w:rPr>
          <w:t>Amendment No. 1 to the Form S-1 (File No. 333-248619), filed with the Securities and Exchange Commission on September 16, 2020).</w:t>
        </w:r>
      </w:hyperlink>
    </w:p>
    <w:p>
      <w:pPr>
        <w:spacing w:after="0" w:line="16" w:lineRule="exact"/>
        <w:rPr>
          <w:sz w:val="20"/>
          <w:szCs w:val="20"/>
          <w:color w:val="auto"/>
        </w:rPr>
      </w:pPr>
    </w:p>
    <w:p>
      <w:pPr>
        <w:ind w:left="840" w:right="140" w:hanging="714"/>
        <w:spacing w:after="0" w:line="308" w:lineRule="auto"/>
        <w:tabs>
          <w:tab w:leader="none" w:pos="820" w:val="left"/>
        </w:tabs>
        <w:rPr>
          <w:rFonts w:ascii="Arial" w:cs="Arial" w:eastAsia="Arial" w:hAnsi="Arial"/>
          <w:sz w:val="17"/>
          <w:szCs w:val="17"/>
          <w:u w:val="single" w:color="auto"/>
          <w:color w:val="0000EE"/>
        </w:rPr>
      </w:pPr>
      <w:r>
        <w:rPr>
          <w:rFonts w:ascii="Arial" w:cs="Arial" w:eastAsia="Arial" w:hAnsi="Arial"/>
          <w:sz w:val="18"/>
          <w:szCs w:val="18"/>
          <w:color w:val="auto"/>
        </w:rPr>
        <w:t>4.3</w:t>
      </w:r>
      <w:r>
        <w:rPr>
          <w:sz w:val="20"/>
          <w:szCs w:val="20"/>
          <w:color w:val="auto"/>
        </w:rPr>
        <w:tab/>
      </w:r>
      <w:hyperlink r:id="rId126">
        <w:r>
          <w:rPr>
            <w:rFonts w:ascii="Arial" w:cs="Arial" w:eastAsia="Arial" w:hAnsi="Arial"/>
            <w:sz w:val="17"/>
            <w:szCs w:val="17"/>
            <w:u w:val="single" w:color="auto"/>
            <w:color w:val="0000EE"/>
          </w:rPr>
          <w:t>Specimen Warrant Certificate (incorporated by reference to Exhibit 4.3 to the Company’s Registration Statement on Amendment No. 1 to the</w:t>
        </w:r>
      </w:hyperlink>
      <w:r>
        <w:rPr>
          <w:rFonts w:ascii="Arial" w:cs="Arial" w:eastAsia="Arial" w:hAnsi="Arial"/>
          <w:sz w:val="17"/>
          <w:szCs w:val="17"/>
          <w:u w:val="single" w:color="auto"/>
          <w:color w:val="0000EE"/>
        </w:rPr>
        <w:t xml:space="preserve"> </w:t>
      </w:r>
      <w:hyperlink r:id="rId126">
        <w:r>
          <w:rPr>
            <w:rFonts w:ascii="Arial" w:cs="Arial" w:eastAsia="Arial" w:hAnsi="Arial"/>
            <w:sz w:val="17"/>
            <w:szCs w:val="17"/>
            <w:u w:val="single" w:color="auto"/>
            <w:color w:val="0000EE"/>
          </w:rPr>
          <w:t>Form S-1 (File No. 333-248619), filed with the Securities and Exchange Commission on September 16, 2020).</w:t>
        </w:r>
      </w:hyperlink>
    </w:p>
    <w:p>
      <w:pPr>
        <w:spacing w:after="0" w:line="38" w:lineRule="exact"/>
        <w:rPr>
          <w:sz w:val="20"/>
          <w:szCs w:val="20"/>
          <w:color w:val="auto"/>
        </w:rPr>
      </w:pPr>
    </w:p>
    <w:p>
      <w:pPr>
        <w:ind w:left="840" w:right="80" w:hanging="714"/>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27">
        <w:r>
          <w:rPr>
            <w:rFonts w:ascii="Arial" w:cs="Arial" w:eastAsia="Arial" w:hAnsi="Arial"/>
            <w:sz w:val="18"/>
            <w:szCs w:val="18"/>
            <w:u w:val="single" w:color="auto"/>
            <w:color w:val="0000EE"/>
          </w:rPr>
          <w:t>Warrant Agreement by and between the Company and Continental Stock Transfer &amp; Trust Company (incorporated by reference to Exhibit 4.1</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to the Company’s Current Report on Form 8-K (File No. 001-39544), filed with the Securities and Exchange Commission on September 28,</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2020).</w:t>
        </w:r>
      </w:hyperlink>
    </w:p>
    <w:p>
      <w:pPr>
        <w:spacing w:after="0" w:line="76" w:lineRule="exact"/>
        <w:rPr>
          <w:rFonts w:ascii="Arial" w:cs="Arial" w:eastAsia="Arial" w:hAnsi="Arial"/>
          <w:sz w:val="18"/>
          <w:szCs w:val="18"/>
          <w:u w:val="single" w:color="auto"/>
          <w:color w:val="0000EE"/>
        </w:rPr>
      </w:pPr>
    </w:p>
    <w:p>
      <w:pPr>
        <w:ind w:left="12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128">
        <w:r>
          <w:rPr>
            <w:rFonts w:ascii="Arial" w:cs="Arial" w:eastAsia="Arial" w:hAnsi="Arial"/>
            <w:sz w:val="16"/>
            <w:szCs w:val="16"/>
            <w:u w:val="single" w:color="auto"/>
            <w:color w:val="0000EE"/>
          </w:rPr>
          <w:t>Description of Securities.</w:t>
        </w:r>
      </w:hyperlink>
    </w:p>
    <w:p>
      <w:pPr>
        <w:spacing w:after="0" w:line="117" w:lineRule="exact"/>
        <w:rPr>
          <w:rFonts w:ascii="Arial" w:cs="Arial" w:eastAsia="Arial" w:hAnsi="Arial"/>
          <w:sz w:val="18"/>
          <w:szCs w:val="18"/>
          <w:u w:val="single" w:color="auto"/>
          <w:color w:val="0000EE"/>
        </w:rPr>
      </w:pPr>
    </w:p>
    <w:p>
      <w:pPr>
        <w:ind w:left="840" w:right="320" w:hanging="714"/>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29">
        <w:r>
          <w:rPr>
            <w:rFonts w:ascii="Arial" w:cs="Arial" w:eastAsia="Arial" w:hAnsi="Arial"/>
            <w:sz w:val="18"/>
            <w:szCs w:val="18"/>
            <w:u w:val="single" w:color="auto"/>
            <w:color w:val="0000EE"/>
          </w:rPr>
          <w:t>Letter Agreement among the Company, its officers, certain directors, dated as of September 22, 2020 (incorporated by reference to Exhibit</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10.1 to the Company’s Current Report on Form 8-K (File No. 001-39544), filed with the Securities and Exchange Commission on</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September 28, 2020).</w:t>
        </w:r>
      </w:hyperlink>
    </w:p>
    <w:p>
      <w:pPr>
        <w:spacing w:after="0" w:line="76" w:lineRule="exact"/>
        <w:rPr>
          <w:rFonts w:ascii="Arial" w:cs="Arial" w:eastAsia="Arial" w:hAnsi="Arial"/>
          <w:sz w:val="18"/>
          <w:szCs w:val="18"/>
          <w:u w:val="single" w:color="auto"/>
          <w:color w:val="0000EE"/>
        </w:rPr>
      </w:pPr>
    </w:p>
    <w:p>
      <w:pPr>
        <w:ind w:left="840" w:right="160" w:hanging="714"/>
        <w:spacing w:after="0" w:line="263"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30">
        <w:r>
          <w:rPr>
            <w:rFonts w:ascii="Arial" w:cs="Arial" w:eastAsia="Arial" w:hAnsi="Arial"/>
            <w:sz w:val="18"/>
            <w:szCs w:val="18"/>
            <w:u w:val="single" w:color="auto"/>
            <w:color w:val="0000EE"/>
          </w:rPr>
          <w:t>Promissory Note issued to VPC Impact Acquisition Holdings Sponsor, LLC (incorporated by reference to Exhibit 10.6 to the Company’s</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Registration Statement on Amendment No. 1 to the Form S-1 (File No. 333-248619), filed with the Securities and Exchange Commission on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September 16, 2020).</w:t>
        </w:r>
      </w:hyperlink>
    </w:p>
    <w:p>
      <w:pPr>
        <w:spacing w:after="0" w:line="116" w:lineRule="exact"/>
        <w:rPr>
          <w:rFonts w:ascii="Arial" w:cs="Arial" w:eastAsia="Arial" w:hAnsi="Arial"/>
          <w:sz w:val="18"/>
          <w:szCs w:val="18"/>
          <w:u w:val="single" w:color="auto"/>
          <w:color w:val="0000EE"/>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86"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520" w:type="dxa"/>
            <w:vAlign w:val="bottom"/>
            <w:gridSpan w:val="25"/>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9960" w:type="dxa"/>
            <w:vAlign w:val="bottom"/>
            <w:tcBorders>
              <w:bottom w:val="single" w:sz="8" w:color="0000EE"/>
            </w:tcBorders>
            <w:gridSpan w:val="27"/>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Registration Rights Agreement, dated September 22, 2020, by and among the Company, VPC Impact Acquisition Holdings Sponsor, LLC</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and the holders party thereto (incorporated by reference to Exhibit 10.3 to the Company’s Current Report on Form 8-K (File</w:t>
              </w:r>
            </w:hyperlink>
          </w:p>
        </w:tc>
        <w:tc>
          <w:tcPr>
            <w:tcW w:w="10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No. 001-39544), filed with the Securities and Exchange Commission on September 28,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9940" w:type="dxa"/>
            <w:vAlign w:val="bottom"/>
            <w:tcBorders>
              <w:bottom w:val="single" w:sz="8" w:color="0000EE"/>
            </w:tcBorders>
            <w:gridSpan w:val="26"/>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Administrative Service Agreement, dated as of September 22, 2020, by and between the Company and VPC Impact Acquisition Holdings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Sponsor, LLC (incorporated by reference to Exhibit 10.5 to the Company’s Current Report on Form 8-K (File No. 001-39544), filed with</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the Securities and Exchange Commission on September 28,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9520" w:type="dxa"/>
            <w:vAlign w:val="bottom"/>
            <w:tcBorders>
              <w:bottom w:val="single" w:sz="8" w:color="0000EE"/>
            </w:tcBorders>
            <w:gridSpan w:val="19"/>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Securities Subscription Agreement, dated as of August 3, 2020, by and between the Company and VPC Impact Acquisition Holding</w:t>
              </w:r>
            </w:hyperlink>
          </w:p>
        </w:tc>
        <w:tc>
          <w:tcPr>
            <w:tcW w:w="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Sponsor, LLC (incorporated by reference to Exhibit 10.7 to the Company’s Registration Statement on Amendment No. 1 to the Form S-1</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(File No. 333-248619), filed with the Securities and Exchange Commission on September 16, 2020).</w:t>
              </w:r>
            </w:hyperlink>
          </w:p>
        </w:tc>
        <w:tc>
          <w:tcPr>
            <w:tcW w:w="2600" w:type="dxa"/>
            <w:vAlign w:val="bottom"/>
            <w:tcBorders>
              <w:top w:val="single" w:sz="8" w:color="0000EE"/>
            </w:tcBorders>
            <w:gridSpan w:val="13"/>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Form of Indemnity Agreement (incorporated by reference to Exhibit 10.5 to the Company’s Registration Statement on Amendment No. 1</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to the Form S-1 (File No. 333-248619), filed with the Securities and Exchange Commission on September 16, 2020).</w:t>
              </w:r>
            </w:hyperlink>
          </w:p>
        </w:tc>
        <w:tc>
          <w:tcPr>
            <w:tcW w:w="1440" w:type="dxa"/>
            <w:vAlign w:val="bottom"/>
            <w:tcBorders>
              <w:top w:val="single" w:sz="8" w:color="0000EE"/>
            </w:tcBorders>
            <w:gridSpan w:val="11"/>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9920" w:type="dxa"/>
            <w:vAlign w:val="bottom"/>
            <w:tcBorders>
              <w:bottom w:val="single" w:sz="8" w:color="0000EE"/>
            </w:tcBorders>
            <w:gridSpan w:val="25"/>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Amendment to the Letter Agreement, dated as of January 11, 2021, by and among the Registrant, its executive officers, its directors, VPC</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EE"/>
                <w:w w:val="97"/>
              </w:rPr>
            </w:pPr>
            <w:hyperlink r:id="rId136">
              <w:r>
                <w:rPr>
                  <w:rFonts w:ascii="Arial" w:cs="Arial" w:eastAsia="Arial" w:hAnsi="Arial"/>
                  <w:sz w:val="18"/>
                  <w:szCs w:val="18"/>
                  <w:color w:val="0000EE"/>
                  <w:w w:val="97"/>
                </w:rPr>
                <w:t>Impact Acquisition Holdings Sponsor, LLC, and Bakkt Holdings, Inc. (incorporated by reference to Exhibit 10.3 to the Company’s</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20" w:type="dxa"/>
            <w:vAlign w:val="bottom"/>
            <w:tcBorders>
              <w:top w:val="single" w:sz="8" w:color="0000EE"/>
            </w:tcBorders>
            <w:gridSpan w:val="18"/>
          </w:tcPr>
          <w:p>
            <w:pPr>
              <w:spacing w:after="0" w:line="196" w:lineRule="exact"/>
              <w:rPr>
                <w:rFonts w:ascii="Arial" w:cs="Arial" w:eastAsia="Arial" w:hAnsi="Arial"/>
                <w:sz w:val="18"/>
                <w:szCs w:val="18"/>
                <w:color w:val="0000EE"/>
                <w:w w:val="94"/>
              </w:rPr>
            </w:pPr>
            <w:hyperlink r:id="rId136">
              <w:r>
                <w:rPr>
                  <w:rFonts w:ascii="Arial" w:cs="Arial" w:eastAsia="Arial" w:hAnsi="Arial"/>
                  <w:sz w:val="18"/>
                  <w:szCs w:val="18"/>
                  <w:color w:val="0000EE"/>
                  <w:w w:val="94"/>
                </w:rPr>
                <w:t>Current Report on Form 8-K (File No. 001-39544), filed with the Securities and Exchange Commission on January 11, 2021).</w:t>
              </w:r>
            </w:hyperlink>
          </w:p>
        </w:tc>
        <w:tc>
          <w:tcPr>
            <w:tcW w:w="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9300" w:type="dxa"/>
            <w:vAlign w:val="bottom"/>
            <w:tcBorders>
              <w:bottom w:val="single" w:sz="8" w:color="0000EE"/>
            </w:tcBorders>
            <w:gridSpan w:val="17"/>
          </w:tcPr>
          <w:p>
            <w:pPr>
              <w:spacing w:after="0"/>
              <w:rPr>
                <w:rFonts w:ascii="Arial" w:cs="Arial" w:eastAsia="Arial" w:hAnsi="Arial"/>
                <w:sz w:val="18"/>
                <w:szCs w:val="18"/>
                <w:color w:val="0000EE"/>
                <w:w w:val="89"/>
              </w:rPr>
            </w:pPr>
            <w:hyperlink r:id="rId137">
              <w:r>
                <w:rPr>
                  <w:rFonts w:ascii="Arial" w:cs="Arial" w:eastAsia="Arial" w:hAnsi="Arial"/>
                  <w:sz w:val="18"/>
                  <w:szCs w:val="18"/>
                  <w:color w:val="0000EE"/>
                  <w:w w:val="89"/>
                </w:rPr>
                <w:t>Support Agreement, dated as of January 11, 2021, by and among the Company and the subscribers party thereto (incorporated by</w:t>
              </w:r>
            </w:hyperlink>
          </w:p>
        </w:tc>
        <w:tc>
          <w:tcPr>
            <w:tcW w:w="6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reference to Exhibit 10.2 to the Company’s Current Report on Form 8-K (File No. 001-39544), filed with the Securities and Exchange</w:t>
              </w:r>
            </w:hyperlink>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Commission on January 11, 2021).</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w w:val="94"/>
              </w:rPr>
            </w:pPr>
            <w:hyperlink r:id="rId137">
              <w:r>
                <w:rPr>
                  <w:rFonts w:ascii="Arial" w:cs="Arial" w:eastAsia="Arial" w:hAnsi="Arial"/>
                  <w:sz w:val="18"/>
                  <w:szCs w:val="18"/>
                  <w:color w:val="0000EE"/>
                  <w:w w:val="94"/>
                </w:rPr>
                <w:t>Support Agreement, dated as of January 11, 2021, by and among the Registrant, Intercontinental Exchange Holdings, Inc. and Bakkt</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gridSpan w:val="28"/>
          </w:tcPr>
          <w:p>
            <w:pPr>
              <w:spacing w:after="0" w:line="196" w:lineRule="exact"/>
              <w:rPr>
                <w:rFonts w:ascii="Arial" w:cs="Arial" w:eastAsia="Arial" w:hAnsi="Arial"/>
                <w:sz w:val="18"/>
                <w:szCs w:val="18"/>
                <w:color w:val="0000EE"/>
                <w:w w:val="95"/>
              </w:rPr>
            </w:pPr>
            <w:hyperlink r:id="rId137">
              <w:r>
                <w:rPr>
                  <w:rFonts w:ascii="Arial" w:cs="Arial" w:eastAsia="Arial" w:hAnsi="Arial"/>
                  <w:sz w:val="18"/>
                  <w:szCs w:val="18"/>
                  <w:color w:val="0000EE"/>
                  <w:w w:val="95"/>
                </w:rPr>
                <w:t>Holdings, LLC. (incorporated by reference to Exhibit 10.2 to the Company’s Current Report on Form 8-K (File No. 001-39544), filed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with the Securities and Exchange Commission on January 11, 2021).</w:t>
              </w:r>
            </w:hyperlink>
          </w:p>
        </w:tc>
        <w:tc>
          <w:tcPr>
            <w:tcW w:w="4660" w:type="dxa"/>
            <w:vAlign w:val="bottom"/>
            <w:tcBorders>
              <w:top w:val="single" w:sz="8" w:color="0000EE"/>
            </w:tcBorders>
            <w:gridSpan w:val="16"/>
          </w:tcPr>
          <w:p>
            <w:pPr>
              <w:spacing w:after="0"/>
              <w:rPr>
                <w:sz w:val="17"/>
                <w:szCs w:val="17"/>
                <w:color w:val="auto"/>
              </w:rPr>
            </w:pPr>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w w:val="98"/>
              </w:rPr>
            </w:pPr>
            <w:hyperlink r:id="rId138">
              <w:r>
                <w:rPr>
                  <w:rFonts w:ascii="Arial" w:cs="Arial" w:eastAsia="Arial" w:hAnsi="Arial"/>
                  <w:sz w:val="18"/>
                  <w:szCs w:val="18"/>
                  <w:color w:val="0000EE"/>
                  <w:w w:val="98"/>
                </w:rPr>
                <w:t>Form of Subscription Agreement (incorporated by reference to Exhibit 10.1 to the Company’s Current Report on Form 8-K (File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No. 001-39544), filed with the Securities and Exchange Commission on January 11, 2021).</w:t>
              </w:r>
            </w:hyperlink>
          </w:p>
        </w:tc>
        <w:tc>
          <w:tcPr>
            <w:tcW w:w="7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Code of Business Conduct and Ethics.</w:t>
              </w:r>
            </w:hyperlink>
          </w:p>
        </w:tc>
        <w:tc>
          <w:tcPr>
            <w:tcW w:w="3800" w:type="dxa"/>
            <w:vAlign w:val="bottom"/>
            <w:tcBorders>
              <w:top w:val="single" w:sz="8" w:color="0000EE"/>
            </w:tcBorders>
            <w:gridSpan w:val="6"/>
          </w:tcPr>
          <w:p>
            <w:pPr>
              <w:spacing w:after="0"/>
              <w:rPr>
                <w:sz w:val="24"/>
                <w:szCs w:val="24"/>
                <w:color w:val="auto"/>
              </w:rPr>
            </w:pPr>
          </w:p>
        </w:tc>
        <w:tc>
          <w:tcPr>
            <w:tcW w:w="34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44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11">
              <w:r>
                <w:rPr>
                  <w:rFonts w:ascii="Arial" w:cs="Arial" w:eastAsia="Arial" w:hAnsi="Arial"/>
                  <w:sz w:val="18"/>
                  <w:szCs w:val="18"/>
                  <w:color w:val="0000EE"/>
                  <w:w w:val="91"/>
                </w:rPr>
                <w:t>Power of Attorney (included on signature page of this report).</w:t>
              </w:r>
            </w:hyperlink>
          </w:p>
        </w:tc>
        <w:tc>
          <w:tcPr>
            <w:tcW w:w="552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65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12">
              <w:r>
                <w:rPr>
                  <w:rFonts w:ascii="Arial" w:cs="Arial" w:eastAsia="Arial" w:hAnsi="Arial"/>
                  <w:sz w:val="18"/>
                  <w:szCs w:val="18"/>
                  <w:color w:val="0000EE"/>
                  <w:w w:val="92"/>
                </w:rPr>
                <w:t>Certification of the Chief Executive Officer required by Rule 13a-14(a) or Rule 15d-14(a).</w:t>
              </w:r>
            </w:hyperlink>
          </w:p>
        </w:tc>
        <w:tc>
          <w:tcPr>
            <w:tcW w:w="34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Certification of the Chief Financial Officer required by Rule 13a-14(a) or Rule 15d-14(a).</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60" w:type="dxa"/>
            <w:vAlign w:val="bottom"/>
            <w:gridSpan w:val="6"/>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80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14">
              <w:r>
                <w:rPr>
                  <w:rFonts w:ascii="Arial" w:cs="Arial" w:eastAsia="Arial" w:hAnsi="Arial"/>
                  <w:sz w:val="18"/>
                  <w:szCs w:val="18"/>
                  <w:color w:val="0000EE"/>
                  <w:w w:val="91"/>
                </w:rPr>
                <w:t>Certification of the Chief Executive Officer required by Rule 13a-14(b) or Rule 15d-14(b) and 18 U.S.C. 1350.</w:t>
              </w:r>
            </w:hyperlink>
          </w:p>
        </w:tc>
        <w:tc>
          <w:tcPr>
            <w:tcW w:w="19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9980" w:type="dxa"/>
            <w:vAlign w:val="bottom"/>
            <w:gridSpan w:val="28"/>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Certification of the Chief Financial Officer required by Rule 13a-14(b) or Rule 15d-14(b) and 18 U.S.C. 1350.</w:t>
              </w:r>
            </w:hyperlink>
          </w:p>
        </w:tc>
        <w:tc>
          <w:tcPr>
            <w:tcW w:w="0" w:type="dxa"/>
            <w:vAlign w:val="bottom"/>
          </w:tcPr>
          <w:p>
            <w:pPr>
              <w:spacing w:after="0"/>
              <w:rPr>
                <w:sz w:val="1"/>
                <w:szCs w:val="1"/>
                <w:color w:val="auto"/>
              </w:rPr>
            </w:pPr>
          </w:p>
        </w:tc>
      </w:tr>
      <w:tr>
        <w:trPr>
          <w:trHeight w:val="345"/>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79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XBRL Instance Document</w:t>
            </w:r>
          </w:p>
        </w:tc>
        <w:tc>
          <w:tcPr>
            <w:tcW w:w="20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101.SCH*** XBRL Taxonomy Extension Schema Document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101.LAB*** XBRL Taxonomy Extension Label Linkbase Document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52"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601(a)(5). The Registrant agrees</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furnish a copy of all omitted exhibits and schedules to the SEC upon its request.</w:t>
      </w:r>
    </w:p>
    <w:p>
      <w:pPr>
        <w:spacing w:after="0" w:line="9"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Original 10-K, filed with the SEC on March 31, 2021.</w:t>
      </w:r>
    </w:p>
    <w:p>
      <w:pPr>
        <w:spacing w:after="0" w:line="9" w:lineRule="exact"/>
        <w:rPr>
          <w:rFonts w:ascii="Arial" w:cs="Arial" w:eastAsia="Arial" w:hAnsi="Arial"/>
          <w:sz w:val="18"/>
          <w:szCs w:val="18"/>
          <w:color w:val="auto"/>
        </w:rPr>
      </w:pPr>
    </w:p>
    <w:p>
      <w:pPr>
        <w:ind w:left="540" w:right="40" w:hanging="424"/>
        <w:spacing w:after="0" w:line="255"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86"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right="180" w:firstLine="42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6"/>
          <w:szCs w:val="16"/>
          <w:b w:val="1"/>
          <w:bCs w:val="1"/>
          <w:color w:val="auto"/>
        </w:rPr>
        <w:t>Bakkt Holdings, Inc.</w:t>
      </w:r>
    </w:p>
    <w:p>
      <w:pPr>
        <w:spacing w:after="0" w:line="229"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Gavin Michael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Gavin Michael, Marc D’Annunzio and Andrew LaBenne, and each or any one of them,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substitutes or substitute, may lawfully do or cause to be done by virtue hereof.</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Gavin Michael</w:t>
            </w:r>
          </w:p>
        </w:tc>
        <w:tc>
          <w:tcPr>
            <w:tcW w:w="3800" w:type="dxa"/>
            <w:vAlign w:val="bottom"/>
          </w:tcPr>
          <w:p>
            <w:pPr>
              <w:ind w:left="120"/>
              <w:spacing w:after="0"/>
              <w:rPr>
                <w:sz w:val="20"/>
                <w:szCs w:val="20"/>
                <w:color w:val="auto"/>
              </w:rPr>
            </w:pPr>
            <w:r>
              <w:rPr>
                <w:rFonts w:ascii="Arial" w:cs="Arial" w:eastAsia="Arial" w:hAnsi="Arial"/>
                <w:sz w:val="18"/>
                <w:szCs w:val="18"/>
                <w:color w:val="auto"/>
              </w:rPr>
              <w:t>Chief Executive Officer, Director</w:t>
            </w:r>
          </w:p>
        </w:tc>
        <w:tc>
          <w:tcPr>
            <w:tcW w:w="2600" w:type="dxa"/>
            <w:vAlign w:val="bottom"/>
          </w:tcPr>
          <w:p>
            <w:pPr>
              <w:ind w:left="1280"/>
              <w:spacing w:after="0"/>
              <w:rPr>
                <w:sz w:val="20"/>
                <w:szCs w:val="20"/>
                <w:color w:val="auto"/>
              </w:rPr>
            </w:pPr>
            <w:r>
              <w:rPr>
                <w:rFonts w:ascii="Arial" w:cs="Arial" w:eastAsia="Arial" w:hAnsi="Arial"/>
                <w:sz w:val="18"/>
                <w:szCs w:val="18"/>
                <w:color w:val="auto"/>
                <w:w w:val="87"/>
              </w:rPr>
              <w:t>December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Gavin Michael</w:t>
            </w:r>
          </w:p>
        </w:tc>
        <w:tc>
          <w:tcPr>
            <w:tcW w:w="38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26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LaBenne</w:t>
            </w:r>
          </w:p>
        </w:tc>
        <w:tc>
          <w:tcPr>
            <w:tcW w:w="3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2600" w:type="dxa"/>
            <w:vAlign w:val="bottom"/>
          </w:tcPr>
          <w:p>
            <w:pPr>
              <w:ind w:left="1280"/>
              <w:spacing w:after="0"/>
              <w:rPr>
                <w:sz w:val="20"/>
                <w:szCs w:val="20"/>
                <w:color w:val="auto"/>
              </w:rPr>
            </w:pPr>
            <w:r>
              <w:rPr>
                <w:rFonts w:ascii="Arial" w:cs="Arial" w:eastAsia="Arial" w:hAnsi="Arial"/>
                <w:sz w:val="18"/>
                <w:szCs w:val="18"/>
                <w:color w:val="auto"/>
                <w:w w:val="87"/>
              </w:rPr>
              <w:t>December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Andrew LaBenne</w:t>
            </w:r>
          </w:p>
        </w:tc>
        <w:tc>
          <w:tcPr>
            <w:tcW w:w="380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c>
          <w:tcPr>
            <w:tcW w:w="26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Alexander</w:t>
            </w:r>
          </w:p>
        </w:tc>
        <w:tc>
          <w:tcPr>
            <w:tcW w:w="3800" w:type="dxa"/>
            <w:vAlign w:val="bottom"/>
          </w:tcPr>
          <w:p>
            <w:pPr>
              <w:ind w:left="120"/>
              <w:spacing w:after="0"/>
              <w:rPr>
                <w:sz w:val="20"/>
                <w:szCs w:val="20"/>
                <w:color w:val="auto"/>
              </w:rPr>
            </w:pPr>
            <w:r>
              <w:rPr>
                <w:rFonts w:ascii="Arial" w:cs="Arial" w:eastAsia="Arial" w:hAnsi="Arial"/>
                <w:sz w:val="18"/>
                <w:szCs w:val="18"/>
                <w:color w:val="auto"/>
              </w:rPr>
              <w:t>Chief Accounting Officer</w:t>
            </w:r>
          </w:p>
        </w:tc>
        <w:tc>
          <w:tcPr>
            <w:tcW w:w="2600" w:type="dxa"/>
            <w:vAlign w:val="bottom"/>
          </w:tcPr>
          <w:p>
            <w:pPr>
              <w:ind w:left="1280"/>
              <w:spacing w:after="0"/>
              <w:rPr>
                <w:sz w:val="20"/>
                <w:szCs w:val="20"/>
                <w:color w:val="auto"/>
              </w:rPr>
            </w:pPr>
            <w:r>
              <w:rPr>
                <w:rFonts w:ascii="Arial" w:cs="Arial" w:eastAsia="Arial" w:hAnsi="Arial"/>
                <w:sz w:val="18"/>
                <w:szCs w:val="18"/>
                <w:color w:val="auto"/>
                <w:w w:val="87"/>
              </w:rPr>
              <w:t>December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Karen Alexander</w:t>
            </w:r>
          </w:p>
        </w:tc>
        <w:tc>
          <w:tcPr>
            <w:tcW w:w="380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c>
          <w:tcPr>
            <w:tcW w:w="26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Michelle Goldberg</w:t>
            </w:r>
          </w:p>
        </w:tc>
        <w:tc>
          <w:tcPr>
            <w:tcW w:w="3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ind w:left="1280"/>
              <w:spacing w:after="0"/>
              <w:rPr>
                <w:sz w:val="20"/>
                <w:szCs w:val="20"/>
                <w:color w:val="auto"/>
              </w:rPr>
            </w:pPr>
            <w:r>
              <w:rPr>
                <w:rFonts w:ascii="Arial" w:cs="Arial" w:eastAsia="Arial" w:hAnsi="Arial"/>
                <w:sz w:val="18"/>
                <w:szCs w:val="18"/>
                <w:color w:val="auto"/>
                <w:w w:val="87"/>
              </w:rPr>
              <w:t>December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Michelle Goldberg</w:t>
            </w:r>
          </w:p>
        </w:tc>
        <w:tc>
          <w:tcPr>
            <w:tcW w:w="380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Clifton</w:t>
            </w:r>
          </w:p>
        </w:tc>
        <w:tc>
          <w:tcPr>
            <w:tcW w:w="3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ind w:left="1280"/>
              <w:spacing w:after="0"/>
              <w:rPr>
                <w:sz w:val="20"/>
                <w:szCs w:val="20"/>
                <w:color w:val="auto"/>
              </w:rPr>
            </w:pPr>
            <w:r>
              <w:rPr>
                <w:rFonts w:ascii="Arial" w:cs="Arial" w:eastAsia="Arial" w:hAnsi="Arial"/>
                <w:sz w:val="18"/>
                <w:szCs w:val="18"/>
                <w:color w:val="auto"/>
                <w:w w:val="87"/>
              </w:rPr>
              <w:t>December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David C. Clifton</w:t>
            </w:r>
          </w:p>
        </w:tc>
        <w:tc>
          <w:tcPr>
            <w:tcW w:w="380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Kristyn Cook</w:t>
            </w:r>
          </w:p>
        </w:tc>
        <w:tc>
          <w:tcPr>
            <w:tcW w:w="3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ind w:left="1280"/>
              <w:spacing w:after="0"/>
              <w:rPr>
                <w:sz w:val="20"/>
                <w:szCs w:val="20"/>
                <w:color w:val="auto"/>
              </w:rPr>
            </w:pPr>
            <w:r>
              <w:rPr>
                <w:rFonts w:ascii="Arial" w:cs="Arial" w:eastAsia="Arial" w:hAnsi="Arial"/>
                <w:sz w:val="18"/>
                <w:szCs w:val="18"/>
                <w:color w:val="auto"/>
                <w:w w:val="87"/>
              </w:rPr>
              <w:t>December 7,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Kristyn Cook</w:t>
            </w:r>
          </w:p>
        </w:tc>
        <w:tc>
          <w:tcPr>
            <w:tcW w:w="380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364"/>
        </w:trPr>
        <w:tc>
          <w:tcPr>
            <w:tcW w:w="4180" w:type="dxa"/>
            <w:vAlign w:val="bottom"/>
          </w:tcPr>
          <w:p>
            <w:pPr>
              <w:spacing w:after="0"/>
              <w:rPr>
                <w:sz w:val="24"/>
                <w:szCs w:val="24"/>
                <w:color w:val="auto"/>
              </w:rPr>
            </w:pPr>
          </w:p>
        </w:tc>
        <w:tc>
          <w:tcPr>
            <w:tcW w:w="3800" w:type="dxa"/>
            <w:vAlign w:val="bottom"/>
          </w:tcPr>
          <w:p>
            <w:pPr>
              <w:ind w:left="1200"/>
              <w:spacing w:after="0"/>
              <w:rPr>
                <w:sz w:val="20"/>
                <w:szCs w:val="20"/>
                <w:color w:val="auto"/>
              </w:rPr>
            </w:pPr>
            <w:r>
              <w:rPr>
                <w:rFonts w:ascii="Arial" w:cs="Arial" w:eastAsia="Arial" w:hAnsi="Arial"/>
                <w:sz w:val="18"/>
                <w:szCs w:val="18"/>
                <w:color w:val="auto"/>
              </w:rPr>
              <w:t>110</w:t>
            </w:r>
          </w:p>
        </w:tc>
        <w:tc>
          <w:tcPr>
            <w:tcW w:w="260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Gavin Michael, certify that:</w:t>
      </w:r>
    </w:p>
    <w:p>
      <w:pPr>
        <w:spacing w:after="0" w:line="131" w:lineRule="exact"/>
        <w:rPr>
          <w:sz w:val="20"/>
          <w:szCs w:val="20"/>
          <w:color w:val="auto"/>
        </w:rPr>
      </w:pPr>
    </w:p>
    <w:p>
      <w:pPr>
        <w:ind w:left="960" w:hanging="53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Bakkt Holdings,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Gavin Michael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Andrew Labenne, certify that:</w:t>
      </w:r>
    </w:p>
    <w:p>
      <w:pPr>
        <w:spacing w:after="0" w:line="131" w:lineRule="exact"/>
        <w:rPr>
          <w:sz w:val="20"/>
          <w:szCs w:val="20"/>
          <w:color w:val="auto"/>
        </w:rPr>
      </w:pPr>
    </w:p>
    <w:p>
      <w:pPr>
        <w:ind w:left="960" w:hanging="5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Bakkt Holdings,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Labenne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0"/>
          </w:cols>
          <w:pgMar w:left="440" w:top="121" w:right="4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connection with the Annual Report of Bakkt Holdings, Inc. (the “Company”) on Form 10-K/A for the year ended December 30, 2020, as filed with the Securities and Exchange Commission (the “Report”), I, Gavin Michael, Chief Executive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Gavin Michael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connection with the Annual Report of Bakkt Holdings, Inc. (the “Company”) on Form 10-K/A for the year ended December 31, 2020, as filed with the Securities and Exchange Commission (the “Report”), I, Andrew Labenne, Chief Financial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Labenne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lowerRoman"/>
      <w:start w:val="3"/>
    </w:lvl>
  </w:abstractNum>
  <w:abstractNum w:abstractNumId="4">
    <w:nsid w:val="71F32454"/>
    <w:multiLevelType w:val="hybridMultilevel"/>
    <w:lvl w:ilvl="0">
      <w:lvlJc w:val="left"/>
      <w:lvlText w:val="(%1)"/>
      <w:numFmt w:val="lowerRoman"/>
      <w:start w:val="1"/>
    </w:lvl>
  </w:abstractNum>
  <w:abstractNum w:abstractNumId="5">
    <w:nsid w:val="2CA88611"/>
    <w:multiLevelType w:val="hybridMultilevel"/>
    <w:lvl w:ilvl="0">
      <w:lvlJc w:val="left"/>
      <w:lvlText w:val="(%1)"/>
      <w:numFmt w:val="lowerRoman"/>
      <w:start w:val="3"/>
    </w:lvl>
  </w:abstractNum>
  <w:abstractNum w:abstractNumId="6">
    <w:nsid w:val="836C40E"/>
    <w:multiLevelType w:val="hybridMultilevel"/>
    <w:lvl w:ilvl="0">
      <w:lvlJc w:val="left"/>
      <w:lvlText w:val="%1"/>
      <w:numFmt w:val="upperLetter"/>
      <w:start w:val="35"/>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lowerRoman"/>
      <w:start w:val="2"/>
    </w:lvl>
  </w:abstractNum>
  <w:abstractNum w:abstractNumId="11">
    <w:nsid w:val="7C3DBD3D"/>
    <w:multiLevelType w:val="hybridMultilevel"/>
    <w:lvl w:ilvl="0">
      <w:lvlJc w:val="left"/>
      <w:lvlText w:val="•"/>
      <w:numFmt w:val="bullet"/>
      <w:start w:val="1"/>
    </w:lvl>
    <w:lvl w:ilvl="1">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upperLetter"/>
      <w:start w:val="2"/>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lowerRoman"/>
      <w:start w:val="3"/>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lowerRoman"/>
      <w:start w:val="1"/>
    </w:lvl>
  </w:abstractNum>
  <w:abstractNum w:abstractNumId="22">
    <w:nsid w:val="3804823E"/>
    <w:multiLevelType w:val="hybridMultilevel"/>
    <w:lvl w:ilvl="0">
      <w:lvlJc w:val="left"/>
      <w:lvlText w:val="(%1)"/>
      <w:numFmt w:val="lowerRoman"/>
      <w:start w:val="2"/>
    </w:lvl>
  </w:abstractNum>
  <w:abstractNum w:abstractNumId="23">
    <w:nsid w:val="77465F01"/>
    <w:multiLevelType w:val="hybridMultilevel"/>
    <w:lvl w:ilvl="0">
      <w:lvlJc w:val="left"/>
      <w:lvlText w:val="(%1)"/>
      <w:numFmt w:val="lowerRoman"/>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lowerRoman"/>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6"/>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
    </w:lvl>
    <w:lvl w:ilvl="1">
      <w:lvlJc w:val="left"/>
      <w:lvlText w:val="(%2)"/>
      <w:numFmt w:val="lowerLetter"/>
      <w:start w:val="1"/>
    </w:lvl>
  </w:abstractNum>
  <w:abstractNum w:abstractNumId="39">
    <w:nsid w:val="57E4CCAF"/>
    <w:multiLevelType w:val="hybridMultilevel"/>
    <w:lvl w:ilvl="0">
      <w:lvlJc w:val="left"/>
      <w:lvlText w:val="%1."/>
      <w:numFmt w:val="decimal"/>
      <w:start w:val="1"/>
    </w:lvl>
    <w:lvl w:ilvl="1">
      <w:lvlJc w:val="left"/>
      <w:lvlText w:val="(%2)"/>
      <w:numFmt w:val="lowerLetter"/>
      <w:start w:val="2"/>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1"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22" Type="http://schemas.openxmlformats.org/officeDocument/2006/relationships/hyperlink" Target="http://www.sec.gov/Archives/edgar/data/0001820302/000119312521005832/d913171dex21.htm" TargetMode="External"/><Relationship Id="rId123" Type="http://schemas.openxmlformats.org/officeDocument/2006/relationships/hyperlink" Target="http://www.sec.gov/Archives/edgar/data/0001820302/000119312520256308/d38926dex31.htm" TargetMode="External"/><Relationship Id="rId124" Type="http://schemas.openxmlformats.org/officeDocument/2006/relationships/hyperlink" Target="http://www.sec.gov/Archives/edgar/data/0001820302/000119312520247281/d10733dex41.htm" TargetMode="External"/><Relationship Id="rId125" Type="http://schemas.openxmlformats.org/officeDocument/2006/relationships/hyperlink" Target="http://www.sec.gov/Archives/edgar/data/0001820302/000119312520247281/d10733dex42.htm" TargetMode="External"/><Relationship Id="rId126" Type="http://schemas.openxmlformats.org/officeDocument/2006/relationships/hyperlink" Target="http://www.sec.gov/Archives/edgar/data/0001820302/000119312520247281/d10733dex43.htm" TargetMode="External"/><Relationship Id="rId127" Type="http://schemas.openxmlformats.org/officeDocument/2006/relationships/hyperlink" Target="http://www.sec.gov/Archives/edgar/data/0001820302/000119312520256308/d38926dex41.htm" TargetMode="External"/><Relationship Id="rId128" Type="http://schemas.openxmlformats.org/officeDocument/2006/relationships/hyperlink" Target="http://www.sec.gov/Archives/edgar/data/1820302/000119312521100874/d25798dex45.htm" TargetMode="External"/><Relationship Id="rId129" Type="http://schemas.openxmlformats.org/officeDocument/2006/relationships/hyperlink" Target="http://www.sec.gov/Archives/edgar/data/1820302/000119312520256308/d38926dex101.htm" TargetMode="External"/><Relationship Id="rId130" Type="http://schemas.openxmlformats.org/officeDocument/2006/relationships/hyperlink" Target="http://www.sec.gov/Archives/edgar/data/0001820302/000119312520247281/d10733dex106.htm" TargetMode="External"/><Relationship Id="rId132" Type="http://schemas.openxmlformats.org/officeDocument/2006/relationships/hyperlink" Target="http://www.sec.gov/Archives/edgar/data/0001820302/000119312520256308/d38926dex103.htm" TargetMode="External"/><Relationship Id="rId133" Type="http://schemas.openxmlformats.org/officeDocument/2006/relationships/hyperlink" Target="http://www.sec.gov/Archives/edgar/data/0001820302/000119312520256308/d38926dex105.htm" TargetMode="External"/><Relationship Id="rId134" Type="http://schemas.openxmlformats.org/officeDocument/2006/relationships/hyperlink" Target="http://www.sec.gov/Archives/edgar/data/0001820302/000119312520247281/d10733dex107.htm" TargetMode="External"/><Relationship Id="rId135" Type="http://schemas.openxmlformats.org/officeDocument/2006/relationships/hyperlink" Target="http://www.sec.gov/Archives/edgar/data/0001820302/000119312520247281/d10733dex105.htm" TargetMode="External"/><Relationship Id="rId136" Type="http://schemas.openxmlformats.org/officeDocument/2006/relationships/hyperlink" Target="http://www.sec.gov/Archives/edgar/data/0001820302/000119312521005832/d913171dex103.htm" TargetMode="External"/><Relationship Id="rId137" Type="http://schemas.openxmlformats.org/officeDocument/2006/relationships/hyperlink" Target="http://www.sec.gov/Archives/edgar/data/0001820302/000119312521005832/d913171dex102.htm" TargetMode="External"/><Relationship Id="rId138" Type="http://schemas.openxmlformats.org/officeDocument/2006/relationships/hyperlink" Target="http://www.sec.gov/Archives/edgar/data/0001820302/000119312521005832/d913171dex101.htm" TargetMode="External"/><Relationship Id="rId139" Type="http://schemas.openxmlformats.org/officeDocument/2006/relationships/hyperlink" Target="http://www.sec.gov/Archives/edgar/data/1820302/000119312521100874/d25798d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2021-12-08T05:13:04Z</dcterms:created>
  <dcterms:modified xsi:type="dcterms:W3CDTF">2021-12-08T05:13:04Z</dcterms:modified>
</cp:coreProperties>
</file>