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9" w:lineRule="exact"/>
        <w:rPr>
          <w:sz w:val="24"/>
          <w:szCs w:val="24"/>
          <w:color w:val="auto"/>
        </w:rPr>
      </w:pPr>
    </w:p>
    <w:p>
      <w:pPr>
        <w:ind w:left="360"/>
        <w:spacing w:after="0" w:line="253"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-234315</wp:posOffset>
            </wp:positionV>
            <wp:extent cx="128270" cy="128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624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8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3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3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8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25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8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5231130</wp:posOffset>
            </wp:positionH>
            <wp:positionV relativeFrom="paragraph">
              <wp:posOffset>-613410</wp:posOffset>
            </wp:positionV>
            <wp:extent cx="57785" cy="626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26745"/>
                    </a:xfrm>
                    <a:prstGeom prst="rect">
                      <a:avLst/>
                    </a:prstGeom>
                    <a:noFill/>
                  </pic:spPr>
                </pic:pic>
              </a:graphicData>
            </a:graphic>
          </wp:anchor>
        </w:drawing>
        <w:drawing>
          <wp:anchor simplePos="0" relativeHeight="251657728" behindDoc="1" locked="0" layoutInCell="0" allowOverlap="1">
            <wp:simplePos x="0" y="0"/>
            <wp:positionH relativeFrom="column">
              <wp:posOffset>3947795</wp:posOffset>
            </wp:positionH>
            <wp:positionV relativeFrom="paragraph">
              <wp:posOffset>-613410</wp:posOffset>
            </wp:positionV>
            <wp:extent cx="57785" cy="6267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67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20955</wp:posOffset>
            </wp:positionV>
            <wp:extent cx="6996430" cy="51593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6430" cy="5159375"/>
                    </a:xfrm>
                    <a:prstGeom prst="rect">
                      <a:avLst/>
                    </a:prstGeom>
                    <a:noFill/>
                  </pic:spPr>
                </pic:pic>
              </a:graphicData>
            </a:graphic>
          </wp:anchor>
        </w:drawing>
      </w:r>
    </w:p>
    <w:p>
      <w:pPr>
        <w:spacing w:after="0" w:line="93" w:lineRule="exact"/>
        <w:rPr>
          <w:sz w:val="24"/>
          <w:szCs w:val="24"/>
          <w:color w:val="auto"/>
        </w:rPr>
      </w:pPr>
    </w:p>
    <w:p>
      <w:pPr>
        <w:sectPr>
          <w:pgSz w:w="11900" w:h="16838" w:orient="portrait"/>
          <w:cols w:equalWidth="0" w:num="2">
            <w:col w:w="2220" w:space="400"/>
            <w:col w:w="8460"/>
          </w:cols>
          <w:pgMar w:left="460" w:top="215"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D'Annunzio Marc</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BAKKT HOLDINGS,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10000 AVALON BOULEVARD, SUITE 1000</w:t>
      </w:r>
    </w:p>
    <w:p>
      <w:pPr>
        <w:spacing w:after="0" w:line="284"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7"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6"/>
          <w:szCs w:val="16"/>
          <w:color w:val="0000FF"/>
        </w:rPr>
        <w:t>ALPHARETTA</w:t>
        <w:tab/>
        <w:t>GA</w:t>
      </w:r>
      <w:r>
        <w:rPr>
          <w:sz w:val="20"/>
          <w:szCs w:val="20"/>
          <w:color w:val="auto"/>
        </w:rPr>
        <w:tab/>
      </w:r>
      <w:r>
        <w:rPr>
          <w:rFonts w:ascii="Times New Roman" w:cs="Times New Roman" w:eastAsia="Times New Roman" w:hAnsi="Times New Roman"/>
          <w:sz w:val="16"/>
          <w:szCs w:val="16"/>
          <w:color w:val="0000FF"/>
        </w:rPr>
        <w:t>30009</w:t>
      </w:r>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3760" w:type="dxa"/>
            <w:vAlign w:val="bottom"/>
            <w:gridSpan w:val="3"/>
          </w:tcPr>
          <w:p>
            <w:pPr>
              <w:spacing w:after="0" w:line="139"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560" w:type="dxa"/>
            <w:vAlign w:val="bottom"/>
          </w:tcPr>
          <w:p>
            <w:pPr>
              <w:spacing w:after="0"/>
              <w:rPr>
                <w:sz w:val="3"/>
                <w:szCs w:val="3"/>
                <w:color w:val="auto"/>
              </w:rPr>
            </w:pPr>
          </w:p>
        </w:tc>
        <w:tc>
          <w:tcPr>
            <w:tcW w:w="2080" w:type="dxa"/>
            <w:vAlign w:val="bottom"/>
          </w:tcPr>
          <w:p>
            <w:pPr>
              <w:spacing w:after="0"/>
              <w:rPr>
                <w:sz w:val="3"/>
                <w:szCs w:val="3"/>
                <w:color w:val="auto"/>
              </w:rPr>
            </w:pPr>
          </w:p>
        </w:tc>
        <w:tc>
          <w:tcPr>
            <w:tcW w:w="184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560" w:type="dxa"/>
            <w:vAlign w:val="bottom"/>
            <w:tcBorders>
              <w:bottom w:val="single" w:sz="8" w:color="0000EE"/>
            </w:tcBorders>
          </w:tcPr>
          <w:p>
            <w:pPr>
              <w:spacing w:after="0"/>
              <w:rPr>
                <w:sz w:val="3"/>
                <w:szCs w:val="3"/>
                <w:color w:val="auto"/>
              </w:rPr>
            </w:pPr>
          </w:p>
        </w:tc>
        <w:tc>
          <w:tcPr>
            <w:tcW w:w="20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6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tcPr>
          <w:p>
            <w:pPr>
              <w:spacing w:after="0"/>
              <w:rPr>
                <w:sz w:val="5"/>
                <w:szCs w:val="5"/>
                <w:color w:val="auto"/>
              </w:rPr>
            </w:pPr>
          </w:p>
        </w:tc>
        <w:tc>
          <w:tcPr>
            <w:tcW w:w="208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9"/>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19"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1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4"/>
        </w:trPr>
        <w:tc>
          <w:tcPr>
            <w:tcW w:w="17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01/25/2024</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rPr>
              <w:t>General Counsel &amp; Secretary</w:t>
            </w: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0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56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28"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4" w:lineRule="exact"/>
        <w:rPr>
          <w:sz w:val="24"/>
          <w:szCs w:val="24"/>
          <w:color w:val="auto"/>
        </w:rPr>
      </w:pPr>
    </w:p>
    <w:p>
      <w:pPr>
        <w:ind w:left="360" w:right="400" w:hanging="245"/>
        <w:spacing w:after="0" w:line="191" w:lineRule="auto"/>
        <w:tabs>
          <w:tab w:leader="none" w:pos="360" w:val="left"/>
        </w:tabs>
        <w:numPr>
          <w:ilvl w:val="0"/>
          <w:numId w:val="1"/>
        </w:numPr>
        <w:rPr>
          <w:rFonts w:ascii="Times New Roman" w:cs="Times New Roman" w:eastAsia="Times New Roman" w:hAnsi="Times New Roman"/>
          <w:sz w:val="21"/>
          <w:szCs w:val="21"/>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160" w:space="680"/>
            <w:col w:w="724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20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300" w:type="dxa"/>
            <w:vAlign w:val="bottom"/>
          </w:tcPr>
          <w:p>
            <w:pPr>
              <w:spacing w:after="0"/>
              <w:rPr>
                <w:sz w:val="13"/>
                <w:szCs w:val="13"/>
                <w:color w:val="auto"/>
              </w:rPr>
            </w:pP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6"/>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74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200" w:type="dxa"/>
            <w:vAlign w:val="bottom"/>
          </w:tcPr>
          <w:p>
            <w:pPr>
              <w:spacing w:after="0"/>
              <w:rPr>
                <w:sz w:val="10"/>
                <w:szCs w:val="10"/>
                <w:color w:val="auto"/>
              </w:rPr>
            </w:pP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w:t>
            </w:r>
          </w:p>
        </w:tc>
        <w:tc>
          <w:tcPr>
            <w:tcW w:w="300" w:type="dxa"/>
            <w:vAlign w:val="bottom"/>
            <w:vMerge w:val="restart"/>
          </w:tcPr>
          <w:p>
            <w:pPr>
              <w:spacing w:after="0"/>
              <w:rPr>
                <w:sz w:val="20"/>
                <w:szCs w:val="20"/>
                <w:color w:val="auto"/>
              </w:rPr>
            </w:pPr>
            <w:r>
              <w:rPr>
                <w:rFonts w:ascii="Arial" w:cs="Arial" w:eastAsia="Arial" w:hAnsi="Arial"/>
                <w:sz w:val="11"/>
                <w:szCs w:val="11"/>
                <w:b w:val="1"/>
                <w:bCs w:val="1"/>
                <w:color w:val="auto"/>
              </w:rPr>
              <w:t>V</w:t>
            </w:r>
          </w:p>
        </w:tc>
        <w:tc>
          <w:tcPr>
            <w:tcW w:w="50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3"/>
          </w:tcPr>
          <w:p>
            <w:pPr>
              <w:ind w:left="360"/>
              <w:spacing w:after="0"/>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62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1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500" w:type="dxa"/>
            <w:vAlign w:val="bottom"/>
          </w:tcPr>
          <w:p>
            <w:pPr>
              <w:spacing w:after="0"/>
              <w:rPr>
                <w:sz w:val="5"/>
                <w:szCs w:val="5"/>
                <w:color w:val="auto"/>
              </w:rPr>
            </w:pP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8"/>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01/25/2024</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41"/>
              <w:spacing w:after="0"/>
              <w:rPr>
                <w:sz w:val="20"/>
                <w:szCs w:val="20"/>
                <w:color w:val="auto"/>
              </w:rPr>
            </w:pPr>
            <w:r>
              <w:rPr>
                <w:rFonts w:ascii="Times New Roman" w:cs="Times New Roman" w:eastAsia="Times New Roman" w:hAnsi="Times New Roman"/>
                <w:sz w:val="16"/>
                <w:szCs w:val="16"/>
                <w:color w:val="0000FF"/>
              </w:rPr>
              <w:t>23,193</w:t>
            </w:r>
            <w:r>
              <w:rPr>
                <w:rFonts w:ascii="Times New Roman" w:cs="Times New Roman" w:eastAsia="Times New Roman" w:hAnsi="Times New Roman"/>
                <w:sz w:val="21"/>
                <w:szCs w:val="21"/>
                <w:color w:val="008000"/>
                <w:vertAlign w:val="superscript"/>
              </w:rPr>
              <w:t>(1)</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1.39</w:t>
            </w:r>
            <w:r>
              <w:rPr>
                <w:rFonts w:ascii="Times New Roman" w:cs="Times New Roman" w:eastAsia="Times New Roman" w:hAnsi="Times New Roman"/>
                <w:sz w:val="21"/>
                <w:szCs w:val="21"/>
                <w:color w:val="008000"/>
                <w:vertAlign w:val="superscript"/>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710,127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4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6"/>
                <w:szCs w:val="16"/>
                <w:color w:val="0000FF"/>
              </w:rPr>
              <w:t>01/25/2024</w:t>
            </w:r>
          </w:p>
        </w:tc>
        <w:tc>
          <w:tcPr>
            <w:tcW w:w="8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jc w:val="right"/>
              <w:ind w:right="241"/>
              <w:spacing w:after="0"/>
              <w:rPr>
                <w:sz w:val="20"/>
                <w:szCs w:val="20"/>
                <w:color w:val="auto"/>
              </w:rPr>
            </w:pPr>
            <w:r>
              <w:rPr>
                <w:rFonts w:ascii="Times New Roman" w:cs="Times New Roman" w:eastAsia="Times New Roman" w:hAnsi="Times New Roman"/>
                <w:sz w:val="16"/>
                <w:szCs w:val="16"/>
                <w:color w:val="0000FF"/>
              </w:rPr>
              <w:t>42,807</w:t>
            </w:r>
            <w:r>
              <w:rPr>
                <w:rFonts w:ascii="Times New Roman" w:cs="Times New Roman" w:eastAsia="Times New Roman" w:hAnsi="Times New Roman"/>
                <w:sz w:val="21"/>
                <w:szCs w:val="21"/>
                <w:color w:val="008000"/>
                <w:vertAlign w:val="superscript"/>
              </w:rPr>
              <w:t>(3)</w:t>
            </w:r>
          </w:p>
        </w:tc>
        <w:tc>
          <w:tcPr>
            <w:tcW w:w="14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6"/>
                <w:szCs w:val="16"/>
                <w:color w:val="0000FF"/>
              </w:rPr>
              <w:t>D</w:t>
            </w:r>
          </w:p>
        </w:tc>
        <w:tc>
          <w:tcPr>
            <w:tcW w:w="1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1.2673</w:t>
            </w:r>
            <w:r>
              <w:rPr>
                <w:rFonts w:ascii="Times New Roman" w:cs="Times New Roman" w:eastAsia="Times New Roman" w:hAnsi="Times New Roman"/>
                <w:sz w:val="21"/>
                <w:szCs w:val="21"/>
                <w:color w:val="008000"/>
                <w:vertAlign w:val="superscript"/>
              </w:rPr>
              <w:t>(4)</w:t>
            </w:r>
          </w:p>
        </w:tc>
        <w:tc>
          <w:tcPr>
            <w:tcW w:w="1260" w:type="dxa"/>
            <w:vAlign w:val="bottom"/>
            <w:tcBorders>
              <w:bottom w:val="single" w:sz="8" w:color="2C2C2C"/>
            </w:tcBorders>
            <w:gridSpan w:val="3"/>
          </w:tcPr>
          <w:p>
            <w:pPr>
              <w:ind w:left="300"/>
              <w:spacing w:after="0"/>
              <w:rPr>
                <w:sz w:val="20"/>
                <w:szCs w:val="20"/>
                <w:color w:val="auto"/>
              </w:rPr>
            </w:pPr>
            <w:r>
              <w:rPr>
                <w:rFonts w:ascii="Times New Roman" w:cs="Times New Roman" w:eastAsia="Times New Roman" w:hAnsi="Times New Roman"/>
                <w:sz w:val="16"/>
                <w:szCs w:val="16"/>
                <w:color w:val="0000FF"/>
              </w:rPr>
              <w:t>667,320</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12"/>
          </w:tcPr>
          <w:p>
            <w:pPr>
              <w:ind w:left="76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4"/>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5. Number</w:t>
            </w:r>
          </w:p>
        </w:tc>
        <w:tc>
          <w:tcPr>
            <w:tcW w:w="150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of</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w w:val="98"/>
              </w:rPr>
              <w:t>Code (Instr.</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Derivative</w:t>
            </w:r>
          </w:p>
        </w:tc>
        <w:tc>
          <w:tcPr>
            <w:tcW w:w="100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500" w:type="dxa"/>
            <w:vAlign w:val="bottom"/>
          </w:tcPr>
          <w:p>
            <w:pPr>
              <w:spacing w:after="0"/>
              <w:rPr>
                <w:sz w:val="10"/>
                <w:szCs w:val="10"/>
                <w:color w:val="auto"/>
              </w:rPr>
            </w:pPr>
          </w:p>
        </w:tc>
        <w:tc>
          <w:tcPr>
            <w:tcW w:w="1520" w:type="dxa"/>
            <w:vAlign w:val="bottom"/>
            <w:gridSpan w:val="5"/>
          </w:tcPr>
          <w:p>
            <w:pPr>
              <w:ind w:left="20"/>
              <w:spacing w:after="0"/>
              <w:rPr>
                <w:sz w:val="20"/>
                <w:szCs w:val="20"/>
                <w:color w:val="auto"/>
              </w:rPr>
            </w:pPr>
            <w:r>
              <w:rPr>
                <w:rFonts w:ascii="Arial" w:cs="Arial" w:eastAsia="Arial" w:hAnsi="Arial"/>
                <w:sz w:val="11"/>
                <w:szCs w:val="11"/>
                <w:b w:val="1"/>
                <w:bCs w:val="1"/>
                <w:color w:val="auto"/>
              </w:rPr>
              <w:t>Derivative Security (Instr.</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3 and 4)</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Acquired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Disposed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of (D)</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(Instr. 3, 4</w:t>
            </w:r>
          </w:p>
        </w:tc>
        <w:tc>
          <w:tcPr>
            <w:tcW w:w="2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and 5)</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Amount or</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w:t>
            </w: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Number of</w:t>
            </w: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0" w:type="dxa"/>
            <w:vAlign w:val="bottom"/>
          </w:tcPr>
          <w:p>
            <w:pPr>
              <w:ind w:left="180"/>
              <w:spacing w:after="0"/>
              <w:rPr>
                <w:sz w:val="20"/>
                <w:szCs w:val="20"/>
                <w:color w:val="auto"/>
              </w:rPr>
            </w:pPr>
            <w:r>
              <w:rPr>
                <w:rFonts w:ascii="Arial" w:cs="Arial" w:eastAsia="Arial" w:hAnsi="Arial"/>
                <w:sz w:val="11"/>
                <w:szCs w:val="11"/>
                <w:b w:val="1"/>
                <w:bCs w:val="1"/>
                <w:color w:val="auto"/>
              </w:rPr>
              <w:t>(A)   (D)</w:t>
            </w: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800" w:type="dxa"/>
            <w:vAlign w:val="bottom"/>
            <w:gridSpan w:val="2"/>
          </w:tcPr>
          <w:p>
            <w:pPr>
              <w:ind w:left="120"/>
              <w:spacing w:after="0"/>
              <w:rPr>
                <w:sz w:val="20"/>
                <w:szCs w:val="20"/>
                <w:color w:val="auto"/>
              </w:rPr>
            </w:pPr>
            <w:r>
              <w:rPr>
                <w:rFonts w:ascii="Arial" w:cs="Arial" w:eastAsia="Arial" w:hAnsi="Arial"/>
                <w:sz w:val="11"/>
                <w:szCs w:val="11"/>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140" w:type="dxa"/>
            <w:vAlign w:val="bottom"/>
          </w:tcPr>
          <w:p>
            <w:pPr>
              <w:spacing w:after="0"/>
              <w:rPr>
                <w:sz w:val="13"/>
                <w:szCs w:val="13"/>
                <w:color w:val="auto"/>
              </w:rPr>
            </w:pPr>
          </w:p>
        </w:tc>
        <w:tc>
          <w:tcPr>
            <w:tcW w:w="900" w:type="dxa"/>
            <w:vAlign w:val="bottom"/>
            <w:gridSpan w:val="3"/>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Bakkt</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(6)</w:t>
            </w:r>
          </w:p>
        </w:tc>
        <w:tc>
          <w:tcPr>
            <w:tcW w:w="300" w:type="dxa"/>
            <w:vAlign w:val="bottom"/>
          </w:tcPr>
          <w:p>
            <w:pPr>
              <w:spacing w:after="0"/>
              <w:rPr>
                <w:sz w:val="15"/>
                <w:szCs w:val="15"/>
                <w:color w:val="auto"/>
              </w:rPr>
            </w:pPr>
          </w:p>
        </w:tc>
        <w:tc>
          <w:tcPr>
            <w:tcW w:w="500" w:type="dxa"/>
            <w:vAlign w:val="bottom"/>
            <w:vMerge w:val="restart"/>
          </w:tcPr>
          <w:p>
            <w:pPr>
              <w:jc w:val="right"/>
              <w:ind w:right="255"/>
              <w:spacing w:after="0"/>
              <w:rPr>
                <w:sz w:val="20"/>
                <w:szCs w:val="20"/>
                <w:color w:val="auto"/>
              </w:rPr>
            </w:pPr>
            <w:r>
              <w:rPr>
                <w:rFonts w:ascii="Times New Roman" w:cs="Times New Roman" w:eastAsia="Times New Roman" w:hAnsi="Times New Roman"/>
                <w:sz w:val="11"/>
                <w:szCs w:val="11"/>
                <w:color w:val="008000"/>
              </w:rPr>
              <w:t>(6)</w:t>
            </w:r>
          </w:p>
        </w:tc>
        <w:tc>
          <w:tcPr>
            <w:tcW w:w="480" w:type="dxa"/>
            <w:vAlign w:val="bottom"/>
          </w:tcPr>
          <w:p>
            <w:pPr>
              <w:ind w:left="60"/>
              <w:spacing w:after="0"/>
              <w:rPr>
                <w:sz w:val="20"/>
                <w:szCs w:val="20"/>
                <w:color w:val="auto"/>
              </w:rPr>
            </w:pPr>
            <w:r>
              <w:rPr>
                <w:rFonts w:ascii="Times New Roman" w:cs="Times New Roman" w:eastAsia="Times New Roman" w:hAnsi="Times New Roman"/>
                <w:sz w:val="13"/>
                <w:szCs w:val="13"/>
                <w:color w:val="0000FF"/>
                <w:w w:val="97"/>
              </w:rPr>
              <w:t>Class A</w:t>
            </w:r>
          </w:p>
        </w:tc>
        <w:tc>
          <w:tcPr>
            <w:tcW w:w="140" w:type="dxa"/>
            <w:vAlign w:val="bottom"/>
          </w:tcPr>
          <w:p>
            <w:pPr>
              <w:spacing w:after="0"/>
              <w:rPr>
                <w:sz w:val="15"/>
                <w:szCs w:val="15"/>
                <w:color w:val="auto"/>
              </w:rPr>
            </w:pPr>
          </w:p>
        </w:tc>
        <w:tc>
          <w:tcPr>
            <w:tcW w:w="8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1,204,712</w:t>
            </w:r>
            <w:r>
              <w:rPr>
                <w:rFonts w:ascii="Times New Roman" w:cs="Times New Roman" w:eastAsia="Times New Roman" w:hAnsi="Times New Roman"/>
                <w:sz w:val="21"/>
                <w:szCs w:val="21"/>
                <w:color w:val="008000"/>
                <w:vertAlign w:val="superscript"/>
              </w:rPr>
              <w:t>(5)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3"/>
                <w:szCs w:val="13"/>
                <w:color w:val="0000FF"/>
              </w:rPr>
              <w:t>1,204,712</w:t>
            </w:r>
            <w:r>
              <w:rPr>
                <w:rFonts w:ascii="Times New Roman" w:cs="Times New Roman" w:eastAsia="Times New Roman" w:hAnsi="Times New Roman"/>
                <w:sz w:val="21"/>
                <w:szCs w:val="21"/>
                <w:color w:val="008000"/>
                <w:vertAlign w:val="superscript"/>
              </w:rPr>
              <w:t>(5)</w:t>
            </w: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Opco</w:t>
            </w:r>
          </w:p>
        </w:tc>
        <w:tc>
          <w:tcPr>
            <w:tcW w:w="7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620" w:type="dxa"/>
            <w:vAlign w:val="bottom"/>
            <w:gridSpan w:val="2"/>
          </w:tcPr>
          <w:p>
            <w:pPr>
              <w:ind w:left="2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8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640" w:type="dxa"/>
            <w:vAlign w:val="bottom"/>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Stock</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-1889125</wp:posOffset>
            </wp:positionV>
            <wp:extent cx="28575" cy="1894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189420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4"/>
          <w:szCs w:val="24"/>
          <w:color w:val="auto"/>
        </w:rPr>
      </w:pPr>
    </w:p>
    <w:p>
      <w:pPr>
        <w:ind w:left="40" w:right="30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vesting of restricted stock units on January 21, 2024, the issuer withheld Class A Common Stock that would otherwise have been issued to the reporting person to satisfy such person's tax withholding obligations. The number of shares withheld was determined based on the closing price per share of Class A Common Stock on January 19, 2024.</w:t>
      </w:r>
    </w:p>
    <w:p>
      <w:pPr>
        <w:spacing w:after="0" w:line="2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317,320 shares of Class A Common Stock subject to restricted stock units that remain subject to vesting.</w:t>
      </w:r>
    </w:p>
    <w:p>
      <w:pPr>
        <w:spacing w:after="0" w:line="40" w:lineRule="exact"/>
        <w:rPr>
          <w:rFonts w:ascii="Times New Roman" w:cs="Times New Roman" w:eastAsia="Times New Roman" w:hAnsi="Times New Roman"/>
          <w:sz w:val="13"/>
          <w:szCs w:val="13"/>
          <w:color w:val="008000"/>
        </w:rPr>
      </w:pPr>
    </w:p>
    <w:p>
      <w:pPr>
        <w:ind w:left="160" w:hanging="121"/>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were effectuated pursuant to a Rule 10b5-1 trading plan adopted by the reporting person on 05/22/2023.</w:t>
      </w:r>
    </w:p>
    <w:p>
      <w:pPr>
        <w:spacing w:after="0" w:line="40" w:lineRule="exact"/>
        <w:rPr>
          <w:rFonts w:ascii="Times New Roman" w:cs="Times New Roman" w:eastAsia="Times New Roman" w:hAnsi="Times New Roman"/>
          <w:sz w:val="13"/>
          <w:szCs w:val="13"/>
          <w:color w:val="008000"/>
        </w:rPr>
      </w:pPr>
    </w:p>
    <w:p>
      <w:pPr>
        <w:ind w:left="40" w:right="16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weighted-average price. These shares were sold in multiple transactions at prices ranging from $1.25 to $1.29, inclusive. For all transactions reported in this Form 4 utilizing a weighted-average price, the reporting person will provide to the issuer, any security holder of the issuer, or the SEC staff, upon request, information regarding the number of shares sold at each price within the range.</w:t>
      </w:r>
    </w:p>
    <w:p>
      <w:pPr>
        <w:spacing w:after="0" w:line="20" w:lineRule="exact"/>
        <w:rPr>
          <w:rFonts w:ascii="Times New Roman" w:cs="Times New Roman" w:eastAsia="Times New Roman" w:hAnsi="Times New Roman"/>
          <w:sz w:val="13"/>
          <w:szCs w:val="13"/>
          <w:color w:val="008000"/>
        </w:rPr>
      </w:pPr>
    </w:p>
    <w:p>
      <w:pPr>
        <w:ind w:left="40" w:right="34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incentive units of Bakkt Management LLC, which units are, subject to certain limitations, redeemable at the request of the reporting person in exchange for the indicated number of common units of Bakkt Opco Holdings, LLC "(Bakkt Opco Units") and an equal number of shares of the issuer's Class V Common Stock.</w:t>
      </w:r>
    </w:p>
    <w:p>
      <w:pPr>
        <w:spacing w:after="0" w:line="20" w:lineRule="exact"/>
        <w:rPr>
          <w:rFonts w:ascii="Times New Roman" w:cs="Times New Roman" w:eastAsia="Times New Roman" w:hAnsi="Times New Roman"/>
          <w:sz w:val="13"/>
          <w:szCs w:val="13"/>
          <w:color w:val="008000"/>
        </w:rPr>
      </w:pPr>
    </w:p>
    <w:p>
      <w:pPr>
        <w:ind w:left="40" w:right="320" w:hanging="1"/>
        <w:spacing w:after="0" w:line="247"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an Amended and Restated Exchange Agreement dated as of May 3, 2022, subject to certain conditions, Bakkt Opco Units together with an equal number of shares of the issuer's Class V Common Stock, are exchangeable by the Reporting Person for shares of the issuer's Class A Common Stock on a one-for-one basis.</w:t>
      </w:r>
    </w:p>
    <w:p>
      <w:pPr>
        <w:spacing w:after="0" w:line="3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1380" w:type="dxa"/>
            <w:vAlign w:val="bottom"/>
          </w:tcPr>
          <w:p>
            <w:pPr>
              <w:spacing w:after="0"/>
              <w:rPr>
                <w:sz w:val="20"/>
                <w:szCs w:val="20"/>
                <w:color w:val="auto"/>
              </w:rPr>
            </w:pPr>
            <w:r>
              <w:rPr>
                <w:rFonts w:ascii="Times New Roman" w:cs="Times New Roman" w:eastAsia="Times New Roman" w:hAnsi="Times New Roman"/>
                <w:sz w:val="16"/>
                <w:szCs w:val="16"/>
                <w:color w:val="0000FF"/>
              </w:rPr>
              <w:t>/s/ Marc D'Annunzio</w:t>
            </w:r>
          </w:p>
        </w:tc>
        <w:tc>
          <w:tcPr>
            <w:tcW w:w="64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0000FF"/>
                <w:w w:val="98"/>
              </w:rPr>
              <w:t>01/29/2024</w:t>
            </w:r>
          </w:p>
        </w:tc>
      </w:tr>
      <w:tr>
        <w:trPr>
          <w:trHeight w:val="20"/>
        </w:trPr>
        <w:tc>
          <w:tcPr>
            <w:tcW w:w="13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0" w:lineRule="exact"/>
        <w:rPr>
          <w:sz w:val="24"/>
          <w:szCs w:val="24"/>
          <w:color w:val="auto"/>
        </w:rPr>
      </w:pPr>
    </w:p>
    <w:p>
      <w:pPr>
        <w:jc w:val="both"/>
        <w:ind w:left="40" w:right="3760" w:hanging="1"/>
        <w:spacing w:after="0" w:line="329"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1559" TargetMode="External"/><Relationship Id="rId13"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2024-01-29T18:23:23Z</dcterms:created>
  <dcterms:modified xsi:type="dcterms:W3CDTF">2024-01-29T18:23:23Z</dcterms:modified>
</cp:coreProperties>
</file>