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02/24/2023</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8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02/28/2023</w:t>
            </w:r>
          </w:p>
        </w:tc>
        <w:tc>
          <w:tcPr>
            <w:tcW w:w="19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391,645</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2,463,414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80,000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2,543,414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2,029,617 shares of Class A Common Stock subject to RSU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2,109,617 shares of Class A Common Stock subject to RSU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04/19/2023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2023-04-19T17:42:23Z</dcterms:created>
  <dcterms:modified xsi:type="dcterms:W3CDTF">2023-04-19T17:42:23Z</dcterms:modified>
</cp:coreProperties>
</file>