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December 20, 2021</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260" w:type="dxa"/>
        <w:tblCellMar>
          <w:top w:w="0" w:type="dxa"/>
          <w:left w:w="0" w:type="dxa"/>
          <w:bottom w:w="0" w:type="dxa"/>
          <w:right w:w="0" w:type="dxa"/>
        </w:tblCellMar>
      </w:tblPr>
      <w:tr>
        <w:trPr>
          <w:trHeight w:val="212"/>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ind w:right="855"/>
              <w:spacing w:after="0"/>
              <w:rPr>
                <w:sz w:val="20"/>
                <w:szCs w:val="20"/>
                <w:color w:val="auto"/>
              </w:rPr>
            </w:pPr>
            <w:r>
              <w:rPr>
                <w:rFonts w:ascii="Arial" w:cs="Arial" w:eastAsia="Arial" w:hAnsi="Arial"/>
                <w:sz w:val="18"/>
                <w:szCs w:val="18"/>
                <w:b w:val="1"/>
                <w:bCs w:val="1"/>
                <w:color w:val="auto"/>
              </w:rPr>
              <w:t>98-1550750</w:t>
            </w:r>
          </w:p>
        </w:tc>
      </w:tr>
      <w:tr>
        <w:trPr>
          <w:trHeight w:val="148"/>
        </w:trPr>
        <w:tc>
          <w:tcPr>
            <w:tcW w:w="5660" w:type="dxa"/>
            <w:vAlign w:val="bottom"/>
            <w:gridSpan w:val="3"/>
          </w:tcPr>
          <w:p>
            <w:pPr>
              <w:jc w:val="center"/>
              <w:ind w:right="26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660" w:type="dxa"/>
            <w:vAlign w:val="bottom"/>
            <w:gridSpan w:val="3"/>
          </w:tcPr>
          <w:p>
            <w:pPr>
              <w:jc w:val="center"/>
              <w:ind w:right="2620"/>
              <w:spacing w:after="0"/>
              <w:rPr>
                <w:sz w:val="20"/>
                <w:szCs w:val="20"/>
                <w:color w:val="auto"/>
              </w:rPr>
            </w:pPr>
            <w:r>
              <w:rPr>
                <w:rFonts w:ascii="Arial" w:cs="Arial" w:eastAsia="Arial" w:hAnsi="Arial"/>
                <w:sz w:val="14"/>
                <w:szCs w:val="14"/>
                <w:b w:val="1"/>
                <w:bCs w:val="1"/>
                <w:color w:val="auto"/>
                <w:w w:val="94"/>
              </w:rPr>
              <w:t>incorporation or organization)</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5660" w:type="dxa"/>
            <w:vAlign w:val="bottom"/>
            <w:gridSpan w:val="3"/>
          </w:tcPr>
          <w:p>
            <w:pPr>
              <w:jc w:val="center"/>
              <w:ind w:left="2735"/>
              <w:spacing w:after="0"/>
              <w:rPr>
                <w:sz w:val="20"/>
                <w:szCs w:val="20"/>
                <w:color w:val="auto"/>
              </w:rPr>
            </w:pPr>
            <w:r>
              <w:rPr>
                <w:rFonts w:ascii="Arial" w:cs="Arial" w:eastAsia="Arial" w:hAnsi="Arial"/>
                <w:sz w:val="18"/>
                <w:szCs w:val="18"/>
                <w:b w:val="1"/>
                <w:bCs w:val="1"/>
                <w:color w:val="auto"/>
                <w:w w:val="89"/>
              </w:rPr>
              <w:t>10000 Avalon Boulevard, Suite 1000</w:t>
            </w:r>
          </w:p>
        </w:tc>
        <w:tc>
          <w:tcPr>
            <w:tcW w:w="2800" w:type="dxa"/>
            <w:vAlign w:val="bottom"/>
          </w:tcPr>
          <w:p>
            <w:pPr>
              <w:spacing w:after="0"/>
              <w:rPr>
                <w:sz w:val="24"/>
                <w:szCs w:val="24"/>
                <w:color w:val="auto"/>
              </w:rPr>
            </w:pPr>
          </w:p>
        </w:tc>
      </w:tr>
      <w:tr>
        <w:trPr>
          <w:trHeight w:val="212"/>
        </w:trPr>
        <w:tc>
          <w:tcPr>
            <w:tcW w:w="3080" w:type="dxa"/>
            <w:vAlign w:val="bottom"/>
          </w:tcPr>
          <w:p>
            <w:pPr>
              <w:spacing w:after="0"/>
              <w:rPr>
                <w:sz w:val="18"/>
                <w:szCs w:val="18"/>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Alpharetta, Georgia 30009</w:t>
            </w:r>
          </w:p>
        </w:tc>
        <w:tc>
          <w:tcPr>
            <w:tcW w:w="2800" w:type="dxa"/>
            <w:vAlign w:val="bottom"/>
          </w:tcPr>
          <w:p>
            <w:pPr>
              <w:spacing w:after="0"/>
              <w:rPr>
                <w:sz w:val="18"/>
                <w:szCs w:val="18"/>
                <w:color w:val="auto"/>
              </w:rPr>
            </w:pPr>
          </w:p>
        </w:tc>
      </w:tr>
      <w:tr>
        <w:trPr>
          <w:trHeight w:val="186"/>
        </w:trPr>
        <w:tc>
          <w:tcPr>
            <w:tcW w:w="8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r>
      <w:tr>
        <w:trPr>
          <w:trHeight w:val="286"/>
        </w:trPr>
        <w:tc>
          <w:tcPr>
            <w:tcW w:w="8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Bakkt Holdings, Inc. 2021 Omnibus Employee Incentive Plan</w:t>
            </w:r>
          </w:p>
        </w:tc>
      </w:tr>
      <w:tr>
        <w:trPr>
          <w:trHeight w:val="186"/>
        </w:trPr>
        <w:tc>
          <w:tcPr>
            <w:tcW w:w="3080" w:type="dxa"/>
            <w:vAlign w:val="bottom"/>
          </w:tcPr>
          <w:p>
            <w:pPr>
              <w:spacing w:after="0"/>
              <w:rPr>
                <w:sz w:val="16"/>
                <w:szCs w:val="16"/>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(Full title of the plan)</w:t>
            </w:r>
          </w:p>
        </w:tc>
        <w:tc>
          <w:tcPr>
            <w:tcW w:w="2800" w:type="dxa"/>
            <w:vAlign w:val="bottom"/>
          </w:tcPr>
          <w:p>
            <w:pPr>
              <w:spacing w:after="0"/>
              <w:rPr>
                <w:sz w:val="16"/>
                <w:szCs w:val="16"/>
                <w:color w:val="auto"/>
              </w:rPr>
            </w:pPr>
          </w:p>
        </w:tc>
      </w:tr>
      <w:tr>
        <w:trPr>
          <w:trHeight w:val="291"/>
        </w:trPr>
        <w:tc>
          <w:tcPr>
            <w:tcW w:w="3080" w:type="dxa"/>
            <w:vAlign w:val="bottom"/>
          </w:tcPr>
          <w:p>
            <w:pPr>
              <w:spacing w:after="0"/>
              <w:rPr>
                <w:sz w:val="24"/>
                <w:szCs w:val="24"/>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Gavin Michael</w:t>
            </w:r>
          </w:p>
        </w:tc>
        <w:tc>
          <w:tcPr>
            <w:tcW w:w="280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Chief Executive Officer</w:t>
            </w:r>
          </w:p>
        </w:tc>
        <w:tc>
          <w:tcPr>
            <w:tcW w:w="2800" w:type="dxa"/>
            <w:vAlign w:val="bottom"/>
          </w:tcPr>
          <w:p>
            <w:pPr>
              <w:spacing w:after="0"/>
              <w:rPr>
                <w:sz w:val="18"/>
                <w:szCs w:val="18"/>
                <w:color w:val="auto"/>
              </w:rPr>
            </w:pPr>
          </w:p>
        </w:tc>
      </w:tr>
      <w:tr>
        <w:trPr>
          <w:trHeight w:val="216"/>
        </w:trPr>
        <w:tc>
          <w:tcPr>
            <w:tcW w:w="5660" w:type="dxa"/>
            <w:vAlign w:val="bottom"/>
            <w:gridSpan w:val="3"/>
          </w:tcPr>
          <w:p>
            <w:pPr>
              <w:jc w:val="center"/>
              <w:ind w:left="2735"/>
              <w:spacing w:after="0"/>
              <w:rPr>
                <w:sz w:val="20"/>
                <w:szCs w:val="20"/>
                <w:color w:val="auto"/>
              </w:rPr>
            </w:pPr>
            <w:r>
              <w:rPr>
                <w:rFonts w:ascii="Arial" w:cs="Arial" w:eastAsia="Arial" w:hAnsi="Arial"/>
                <w:sz w:val="18"/>
                <w:szCs w:val="18"/>
                <w:b w:val="1"/>
                <w:bCs w:val="1"/>
                <w:color w:val="auto"/>
                <w:w w:val="89"/>
              </w:rPr>
              <w:t>10000 Avalon Boulevard, Suite 1000</w:t>
            </w:r>
          </w:p>
        </w:tc>
        <w:tc>
          <w:tcPr>
            <w:tcW w:w="28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Alpharetta, Georgia 30009</w:t>
            </w:r>
          </w:p>
        </w:tc>
        <w:tc>
          <w:tcPr>
            <w:tcW w:w="2800" w:type="dxa"/>
            <w:vAlign w:val="bottom"/>
          </w:tcPr>
          <w:p>
            <w:pPr>
              <w:spacing w:after="0"/>
              <w:rPr>
                <w:sz w:val="18"/>
                <w:szCs w:val="18"/>
                <w:color w:val="auto"/>
              </w:rPr>
            </w:pPr>
          </w:p>
        </w:tc>
      </w:tr>
      <w:tr>
        <w:trPr>
          <w:trHeight w:val="212"/>
        </w:trPr>
        <w:tc>
          <w:tcPr>
            <w:tcW w:w="5400" w:type="dxa"/>
            <w:vAlign w:val="bottom"/>
            <w:gridSpan w:val="2"/>
          </w:tcPr>
          <w:p>
            <w:pPr>
              <w:jc w:val="center"/>
              <w:ind w:left="2995"/>
              <w:spacing w:after="0"/>
              <w:rPr>
                <w:sz w:val="20"/>
                <w:szCs w:val="20"/>
                <w:color w:val="auto"/>
              </w:rPr>
            </w:pPr>
            <w:r>
              <w:rPr>
                <w:rFonts w:ascii="Arial" w:cs="Arial" w:eastAsia="Arial" w:hAnsi="Arial"/>
                <w:sz w:val="18"/>
                <w:szCs w:val="18"/>
                <w:b w:val="1"/>
                <w:bCs w:val="1"/>
                <w:color w:val="auto"/>
                <w:w w:val="90"/>
              </w:rPr>
              <w:t>(678) 534-5849</w:t>
            </w: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86"/>
        </w:trPr>
        <w:tc>
          <w:tcPr>
            <w:tcW w:w="8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(Name, address and telephone number, including area code, of agent for service)</w:t>
            </w:r>
          </w:p>
        </w:tc>
      </w:tr>
      <w:tr>
        <w:trPr>
          <w:trHeight w:val="228"/>
        </w:trPr>
        <w:tc>
          <w:tcPr>
            <w:tcW w:w="308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18"/>
        </w:trPr>
        <w:tc>
          <w:tcPr>
            <w:tcW w:w="3080" w:type="dxa"/>
            <w:vAlign w:val="bottom"/>
          </w:tcPr>
          <w:p>
            <w:pPr>
              <w:spacing w:after="0"/>
              <w:rPr>
                <w:sz w:val="24"/>
                <w:szCs w:val="24"/>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i w:val="1"/>
                <w:iCs w:val="1"/>
                <w:color w:val="auto"/>
                <w:w w:val="84"/>
              </w:rPr>
              <w:t>Copies to:</w:t>
            </w:r>
          </w:p>
        </w:tc>
        <w:tc>
          <w:tcPr>
            <w:tcW w:w="2800" w:type="dxa"/>
            <w:vAlign w:val="bottom"/>
          </w:tcPr>
          <w:p>
            <w:pPr>
              <w:spacing w:after="0"/>
              <w:rPr>
                <w:sz w:val="24"/>
                <w:szCs w:val="24"/>
                <w:color w:val="auto"/>
              </w:rPr>
            </w:pPr>
          </w:p>
        </w:tc>
      </w:tr>
      <w:tr>
        <w:trPr>
          <w:trHeight w:val="319"/>
        </w:trPr>
        <w:tc>
          <w:tcPr>
            <w:tcW w:w="5660" w:type="dxa"/>
            <w:vAlign w:val="bottom"/>
            <w:gridSpan w:val="3"/>
          </w:tcPr>
          <w:p>
            <w:pPr>
              <w:jc w:val="center"/>
              <w:ind w:right="2640"/>
              <w:spacing w:after="0"/>
              <w:rPr>
                <w:sz w:val="20"/>
                <w:szCs w:val="20"/>
                <w:color w:val="auto"/>
              </w:rPr>
            </w:pPr>
            <w:r>
              <w:rPr>
                <w:rFonts w:ascii="Arial" w:cs="Arial" w:eastAsia="Arial" w:hAnsi="Arial"/>
                <w:sz w:val="18"/>
                <w:szCs w:val="18"/>
                <w:b w:val="1"/>
                <w:bCs w:val="1"/>
                <w:color w:val="auto"/>
                <w:w w:val="91"/>
              </w:rPr>
              <w:t>J. Matthew Lyons</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5"/>
              </w:rPr>
              <w:t>Marc D’Annunzio</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3"/>
              </w:rPr>
              <w:t>Austin D. March</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10000 Avalon Boulevard, Suite 1000</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0"/>
              </w:rPr>
              <w:t>900 S. Capital of Texas Highway</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1"/>
              </w:rPr>
              <w:t>Alpharetta, Georgia 30009</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2"/>
              </w:rPr>
              <w:t>Las Cimas IV, 5th Floor</w:t>
            </w:r>
          </w:p>
        </w:tc>
        <w:tc>
          <w:tcPr>
            <w:tcW w:w="2800" w:type="dxa"/>
            <w:vAlign w:val="bottom"/>
          </w:tcPr>
          <w:p>
            <w:pPr>
              <w:jc w:val="right"/>
              <w:ind w:right="735"/>
              <w:spacing w:after="0"/>
              <w:rPr>
                <w:sz w:val="20"/>
                <w:szCs w:val="20"/>
                <w:color w:val="auto"/>
              </w:rPr>
            </w:pPr>
            <w:r>
              <w:rPr>
                <w:rFonts w:ascii="Arial" w:cs="Arial" w:eastAsia="Arial" w:hAnsi="Arial"/>
                <w:sz w:val="18"/>
                <w:szCs w:val="18"/>
                <w:b w:val="1"/>
                <w:bCs w:val="1"/>
                <w:color w:val="auto"/>
              </w:rPr>
              <w:t>(678) 534-5849</w:t>
            </w:r>
          </w:p>
        </w:tc>
      </w:tr>
      <w:tr>
        <w:trPr>
          <w:trHeight w:val="216"/>
        </w:trPr>
        <w:tc>
          <w:tcPr>
            <w:tcW w:w="5660" w:type="dxa"/>
            <w:vAlign w:val="bottom"/>
            <w:gridSpan w:val="3"/>
          </w:tcPr>
          <w:p>
            <w:pPr>
              <w:jc w:val="center"/>
              <w:ind w:right="2640"/>
              <w:spacing w:after="0"/>
              <w:rPr>
                <w:sz w:val="20"/>
                <w:szCs w:val="20"/>
                <w:color w:val="auto"/>
              </w:rPr>
            </w:pPr>
            <w:r>
              <w:rPr>
                <w:rFonts w:ascii="Arial" w:cs="Arial" w:eastAsia="Arial" w:hAnsi="Arial"/>
                <w:sz w:val="18"/>
                <w:szCs w:val="18"/>
                <w:b w:val="1"/>
                <w:bCs w:val="1"/>
                <w:color w:val="auto"/>
                <w:w w:val="92"/>
              </w:rPr>
              <w:t>Austin, TX 78746</w:t>
            </w:r>
          </w:p>
        </w:tc>
        <w:tc>
          <w:tcPr>
            <w:tcW w:w="2800" w:type="dxa"/>
            <w:vAlign w:val="bottom"/>
          </w:tcPr>
          <w:p>
            <w:pPr>
              <w:spacing w:after="0"/>
              <w:rPr>
                <w:sz w:val="18"/>
                <w:szCs w:val="18"/>
                <w:color w:val="auto"/>
              </w:rPr>
            </w:pPr>
          </w:p>
        </w:tc>
      </w:tr>
      <w:tr>
        <w:trPr>
          <w:trHeight w:val="234"/>
        </w:trPr>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0"/>
              </w:rPr>
              <w:t>(512) 338-5400</w:t>
            </w: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154305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Class A Common Stock, par value $0.0001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issuance under the Bakkt Holdings, Inc. 2021 Omnibus Employee</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Incentive Plan (the “2021 Plan”)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25,816,946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$10.32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$266,301,798 (3)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$24,686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00" w:hanging="424"/>
        <w:spacing w:after="0" w:line="26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promulgated under the Securities Act of 1933, as amended (the “Securities Act”), this registration statement (“Registration Statement”) shall also cover any additional shares of Bakkt Holdings, Inc.’s (the “Company”) Class A common stock, par value $0.0001 per share (“Class A Common Stock”), that become issuable in respect of the securities identified in the table above as a result of any stock dividend, stock split, recapitalization, or other similar transaction effected without the receipt of consideration that results in an increase to the number of outstanding shares of the Company’s Class A Common Stock.</w:t>
      </w:r>
    </w:p>
    <w:p>
      <w:pPr>
        <w:spacing w:after="0" w:line="2" w:lineRule="exact"/>
        <w:rPr>
          <w:rFonts w:ascii="Arial" w:cs="Arial" w:eastAsia="Arial" w:hAnsi="Arial"/>
          <w:sz w:val="17"/>
          <w:szCs w:val="17"/>
          <w:color w:val="auto"/>
        </w:rPr>
      </w:pPr>
    </w:p>
    <w:p>
      <w:pPr>
        <w:ind w:left="424"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of Class A Common Stock that may be issued under the 2021 Plan. Shares subject to an award that is forfeited (including any restricted shares repurchased by the Company at the same price paid by the grantee so that such shares are returned to the Company), expires, terminates or is settled for cash (in whole or in part), to the extent of such forfeiture, expiration, termination or cash settlement will be available for future grants of awards under the 2021 Plan and will be added back in the same number of shares as were deducted in respect of the grant of such award (including in the case of stock-settled stock appreciation rights the full number of shares underlying such stock appreciation right). The payment of dividend equivalent rights in cash in conjunction with any outstanding awards will not be counted against the shares available for issuance under the 2021 Plan. Shares tendered by a grantee, repurchased by the Company using proceeds from the exercise of stock options or withheld by the Company in payment of the exercise price of a stock option or to satisfy any tax withholding obligation for an award will not again be available for awards under the 2021 Plan.</w:t>
      </w:r>
    </w:p>
    <w:p>
      <w:pPr>
        <w:spacing w:after="0" w:line="1" w:lineRule="exact"/>
        <w:rPr>
          <w:rFonts w:ascii="Arial" w:cs="Arial" w:eastAsia="Arial" w:hAnsi="Arial"/>
          <w:sz w:val="17"/>
          <w:szCs w:val="17"/>
          <w:color w:val="auto"/>
        </w:rPr>
      </w:pPr>
    </w:p>
    <w:p>
      <w:pPr>
        <w:jc w:val="both"/>
        <w:ind w:left="424" w:right="6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457(c) and 457(h) under the Securities Act, and solely for the purpose of calculating the registration fee, the proposed maximum offering price per share is $10.32, which is the average of the high and low prices of shares of the Company’s Class A Common Stock on the New York Stock Exchange (“NYSE”) on December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documents containing the information specified in this Item 1 will be sent or given to participants as specified by Rule 428(b)(1)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660"/>
          </w:cols>
          <w:pgMar w:left="440" w:top="270" w:right="79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incorporates by reference into this Registration Statement the following documents filed with the Commission:</w:t>
      </w:r>
    </w:p>
    <w:p>
      <w:pPr>
        <w:spacing w:after="0" w:line="117" w:lineRule="exact"/>
        <w:rPr>
          <w:sz w:val="20"/>
          <w:szCs w:val="20"/>
          <w:color w:val="auto"/>
        </w:rPr>
      </w:pPr>
    </w:p>
    <w:p>
      <w:pPr>
        <w:ind w:left="440" w:right="100" w:hanging="4"/>
        <w:spacing w:after="0" w:line="311" w:lineRule="auto"/>
        <w:tabs>
          <w:tab w:leader="none" w:pos="68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Company’s </w:t>
      </w:r>
      <w:hyperlink r:id="rId21">
        <w:r>
          <w:rPr>
            <w:rFonts w:ascii="Arial" w:cs="Arial" w:eastAsia="Arial" w:hAnsi="Arial"/>
            <w:sz w:val="16"/>
            <w:szCs w:val="16"/>
            <w:u w:val="single" w:color="auto"/>
            <w:color w:val="0000EE"/>
          </w:rPr>
          <w:t>Prospectus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filed with the Commission on December 15, 2021 pursuant to Rule 424(b)(3) (the “Prospectus”) under the Securities Act relating to the Registration Statement on </w:t>
      </w:r>
      <w:hyperlink r:id="rId22">
        <w:r>
          <w:rPr>
            <w:rFonts w:ascii="Arial" w:cs="Arial" w:eastAsia="Arial" w:hAnsi="Arial"/>
            <w:sz w:val="16"/>
            <w:szCs w:val="16"/>
            <w:u w:val="single" w:color="auto"/>
            <w:color w:val="0000EE"/>
          </w:rPr>
          <w:t>Form S-1</w:t>
        </w:r>
      </w:hyperlink>
      <w:r>
        <w:rPr>
          <w:rFonts w:ascii="Arial" w:cs="Arial" w:eastAsia="Arial" w:hAnsi="Arial"/>
          <w:sz w:val="16"/>
          <w:szCs w:val="16"/>
          <w:color w:val="auto"/>
        </w:rPr>
        <w:t>, as amended (File No. 333-261034), which became effective on December 15, 2021 and contains the Company’s audited financial statements for the latest fiscal year for which such statements have been filed;</w:t>
      </w:r>
    </w:p>
    <w:p>
      <w:pPr>
        <w:spacing w:after="0" w:line="40" w:lineRule="exact"/>
        <w:rPr>
          <w:rFonts w:ascii="Arial" w:cs="Arial" w:eastAsia="Arial" w:hAnsi="Arial"/>
          <w:sz w:val="16"/>
          <w:szCs w:val="16"/>
          <w:color w:val="auto"/>
        </w:rPr>
      </w:pPr>
    </w:p>
    <w:p>
      <w:pPr>
        <w:ind w:left="700" w:hanging="264"/>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Company’s Quarterly Report on </w:t>
      </w:r>
      <w:hyperlink r:id="rId23">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001-39544) filed with the Commission on May 24, 2021 for the quarter ended</w:t>
      </w:r>
    </w:p>
    <w:p>
      <w:pPr>
        <w:spacing w:after="0" w:line="34" w:lineRule="exact"/>
        <w:rPr>
          <w:rFonts w:ascii="Arial" w:cs="Arial" w:eastAsia="Arial" w:hAnsi="Arial"/>
          <w:sz w:val="17"/>
          <w:szCs w:val="17"/>
          <w:color w:val="auto"/>
        </w:rPr>
      </w:pPr>
    </w:p>
    <w:p>
      <w:pPr>
        <w:ind w:left="440" w:right="4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March 31, 2021, the Company’s Quarterly Report on </w:t>
      </w:r>
      <w:hyperlink r:id="rId24">
        <w:r>
          <w:rPr>
            <w:rFonts w:ascii="Arial" w:cs="Arial" w:eastAsia="Arial" w:hAnsi="Arial"/>
            <w:sz w:val="16"/>
            <w:szCs w:val="16"/>
            <w:u w:val="single" w:color="auto"/>
            <w:color w:val="0000EE"/>
          </w:rPr>
          <w:t>Form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filed with the Commission on August 13, 2021 for the quarter ended June 30, 2021, and the Company’s Quarterly Report on </w:t>
      </w:r>
      <w:hyperlink r:id="rId25">
        <w:r>
          <w:rPr>
            <w:rFonts w:ascii="Arial" w:cs="Arial" w:eastAsia="Arial" w:hAnsi="Arial"/>
            <w:sz w:val="16"/>
            <w:szCs w:val="16"/>
            <w:u w:val="single" w:color="auto"/>
            <w:color w:val="0000EE"/>
          </w:rPr>
          <w:t>Form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filed with the Commission on October 13, 2021, as amended by Amendment No. 1 to the Company’s Quarterly Report on </w:t>
      </w:r>
      <w:hyperlink r:id="rId26">
        <w:r>
          <w:rPr>
            <w:rFonts w:ascii="Arial" w:cs="Arial" w:eastAsia="Arial" w:hAnsi="Arial"/>
            <w:sz w:val="16"/>
            <w:szCs w:val="16"/>
            <w:u w:val="single" w:color="auto"/>
            <w:color w:val="0000EE"/>
          </w:rPr>
          <w:t>Form 10-Q/A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with the Commission on December 8, 2021, for the quarter ended September 30, 2021;</w:t>
      </w:r>
    </w:p>
    <w:p>
      <w:pPr>
        <w:spacing w:after="0" w:line="47" w:lineRule="exact"/>
        <w:rPr>
          <w:rFonts w:ascii="Arial" w:cs="Arial" w:eastAsia="Arial" w:hAnsi="Arial"/>
          <w:sz w:val="16"/>
          <w:szCs w:val="16"/>
          <w:color w:val="auto"/>
        </w:rPr>
      </w:pPr>
    </w:p>
    <w:p>
      <w:pPr>
        <w:ind w:left="440" w:right="180" w:hanging="4"/>
        <w:spacing w:after="0" w:line="259" w:lineRule="auto"/>
        <w:tabs>
          <w:tab w:leader="none" w:pos="685"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The Company’s Current Reports on Forms 8-K and 8-K/A (File No. 001-39544), filed with the Commission on </w:t>
      </w:r>
      <w:hyperlink r:id="rId27">
        <w:r>
          <w:rPr>
            <w:rFonts w:ascii="Arial" w:cs="Arial" w:eastAsia="Arial" w:hAnsi="Arial"/>
            <w:sz w:val="18"/>
            <w:szCs w:val="18"/>
            <w:u w:val="single" w:color="auto"/>
            <w:color w:val="0000EE"/>
          </w:rPr>
          <w:t>November 26, 2021</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November 22,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
        <w:r>
          <w:rPr>
            <w:rFonts w:ascii="Arial" w:cs="Arial" w:eastAsia="Arial" w:hAnsi="Arial"/>
            <w:sz w:val="18"/>
            <w:szCs w:val="18"/>
            <w:u w:val="single" w:color="auto"/>
            <w:color w:val="0000EE"/>
          </w:rPr>
          <w:t>November 17,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0">
        <w:r>
          <w:rPr>
            <w:rFonts w:ascii="Arial" w:cs="Arial" w:eastAsia="Arial" w:hAnsi="Arial"/>
            <w:sz w:val="18"/>
            <w:szCs w:val="18"/>
            <w:u w:val="single" w:color="auto"/>
            <w:color w:val="0000EE"/>
          </w:rPr>
          <w:t>November 12,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1">
        <w:r>
          <w:rPr>
            <w:rFonts w:ascii="Arial" w:cs="Arial" w:eastAsia="Arial" w:hAnsi="Arial"/>
            <w:sz w:val="18"/>
            <w:szCs w:val="18"/>
            <w:u w:val="single" w:color="auto"/>
            <w:color w:val="0000EE"/>
          </w:rPr>
          <w:t>November 12,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2">
        <w:r>
          <w:rPr>
            <w:rFonts w:ascii="Arial" w:cs="Arial" w:eastAsia="Arial" w:hAnsi="Arial"/>
            <w:sz w:val="18"/>
            <w:szCs w:val="18"/>
            <w:u w:val="single" w:color="auto"/>
            <w:color w:val="0000EE"/>
          </w:rPr>
          <w:t>October 21,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3">
        <w:r>
          <w:rPr>
            <w:rFonts w:ascii="Arial" w:cs="Arial" w:eastAsia="Arial" w:hAnsi="Arial"/>
            <w:sz w:val="18"/>
            <w:szCs w:val="18"/>
            <w:u w:val="single" w:color="auto"/>
            <w:color w:val="0000EE"/>
          </w:rPr>
          <w:t>October 14,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October 5,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September 30,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6">
        <w:r>
          <w:rPr>
            <w:rFonts w:ascii="Arial" w:cs="Arial" w:eastAsia="Arial" w:hAnsi="Arial"/>
            <w:sz w:val="18"/>
            <w:szCs w:val="18"/>
            <w:u w:val="single" w:color="auto"/>
            <w:color w:val="0000EE"/>
          </w:rPr>
          <w:t>September 9,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7">
        <w:r>
          <w:rPr>
            <w:rFonts w:ascii="Arial" w:cs="Arial" w:eastAsia="Arial" w:hAnsi="Arial"/>
            <w:sz w:val="18"/>
            <w:szCs w:val="18"/>
            <w:u w:val="single" w:color="auto"/>
            <w:color w:val="0000EE"/>
          </w:rPr>
          <w:t>May 24,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8">
        <w:r>
          <w:rPr>
            <w:rFonts w:ascii="Arial" w:cs="Arial" w:eastAsia="Arial" w:hAnsi="Arial"/>
            <w:sz w:val="18"/>
            <w:szCs w:val="18"/>
            <w:u w:val="single" w:color="auto"/>
            <w:color w:val="0000EE"/>
          </w:rPr>
          <w:t xml:space="preserve">March 31,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9">
        <w:r>
          <w:rPr>
            <w:rFonts w:ascii="Arial" w:cs="Arial" w:eastAsia="Arial" w:hAnsi="Arial"/>
            <w:sz w:val="18"/>
            <w:szCs w:val="18"/>
            <w:u w:val="single" w:color="auto"/>
            <w:color w:val="0000EE"/>
          </w:rPr>
          <w:t xml:space="preserve">January 11, 2021 </w:t>
        </w:r>
      </w:hyperlink>
      <w:r>
        <w:rPr>
          <w:rFonts w:ascii="Arial" w:cs="Arial" w:eastAsia="Arial" w:hAnsi="Arial"/>
          <w:sz w:val="18"/>
          <w:szCs w:val="18"/>
          <w:color w:val="000000"/>
        </w:rPr>
        <w:t>(excluding</w:t>
      </w:r>
      <w:r>
        <w:rPr>
          <w:rFonts w:ascii="Arial" w:cs="Arial" w:eastAsia="Arial" w:hAnsi="Arial"/>
          <w:sz w:val="18"/>
          <w:szCs w:val="18"/>
          <w:color w:val="0000EE"/>
        </w:rPr>
        <w:t xml:space="preserve"> </w:t>
      </w:r>
      <w:r>
        <w:rPr>
          <w:rFonts w:ascii="Arial" w:cs="Arial" w:eastAsia="Arial" w:hAnsi="Arial"/>
          <w:sz w:val="18"/>
          <w:szCs w:val="18"/>
          <w:color w:val="000000"/>
        </w:rPr>
        <w:t>“furnished” and not “filed”</w:t>
      </w:r>
      <w:r>
        <w:rPr>
          <w:rFonts w:ascii="Arial" w:cs="Arial" w:eastAsia="Arial" w:hAnsi="Arial"/>
          <w:sz w:val="18"/>
          <w:szCs w:val="18"/>
          <w:color w:val="0000EE"/>
        </w:rPr>
        <w:t xml:space="preserve"> </w:t>
      </w:r>
      <w:r>
        <w:rPr>
          <w:rFonts w:ascii="Arial" w:cs="Arial" w:eastAsia="Arial" w:hAnsi="Arial"/>
          <w:sz w:val="18"/>
          <w:szCs w:val="18"/>
          <w:color w:val="000000"/>
        </w:rPr>
        <w:t>information); and</w:t>
      </w:r>
    </w:p>
    <w:p>
      <w:pPr>
        <w:spacing w:after="0" w:line="78" w:lineRule="exact"/>
        <w:rPr>
          <w:rFonts w:ascii="Arial" w:cs="Arial" w:eastAsia="Arial" w:hAnsi="Arial"/>
          <w:sz w:val="18"/>
          <w:szCs w:val="18"/>
          <w:color w:val="0000EE"/>
        </w:rPr>
      </w:pPr>
    </w:p>
    <w:p>
      <w:pPr>
        <w:ind w:left="700" w:hanging="264"/>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Company’s securities that is contained in the Prospectus, including any amendment or supplements thereto.</w:t>
      </w:r>
    </w:p>
    <w:p>
      <w:pPr>
        <w:spacing w:after="0" w:line="237" w:lineRule="exact"/>
        <w:rPr>
          <w:rFonts w:ascii="Arial" w:cs="Arial" w:eastAsia="Arial" w:hAnsi="Arial"/>
          <w:sz w:val="18"/>
          <w:szCs w:val="18"/>
          <w:color w:val="0000EE"/>
        </w:rPr>
      </w:pPr>
    </w:p>
    <w:p>
      <w:pPr>
        <w:ind w:right="40"/>
        <w:spacing w:after="0" w:line="259" w:lineRule="auto"/>
        <w:rPr>
          <w:sz w:val="20"/>
          <w:szCs w:val="20"/>
          <w:color w:val="auto"/>
        </w:rPr>
      </w:pPr>
      <w:r>
        <w:rPr>
          <w:rFonts w:ascii="Arial" w:cs="Arial" w:eastAsia="Arial" w:hAnsi="Arial"/>
          <w:sz w:val="18"/>
          <w:szCs w:val="18"/>
          <w:color w:val="auto"/>
        </w:rPr>
        <w:t>All documents that the Company subsequently files pursuant to Sections 13(a), 13(c), 14 and 15(d) of the Exchange Act of 1934, as amended (the “Exchange Act”), prior to the filing of a post-effective amendment to this registration statement that indicates that all of the shares of Class A Common Stock offered have been sold or that deregisters all of such shares then remaining unsold, shall be deemed to be incorporated by reference in this registration statement and to be a part hereof from the date of the filing of such documents.</w:t>
      </w:r>
    </w:p>
    <w:p>
      <w:pPr>
        <w:spacing w:after="0" w:line="187" w:lineRule="exact"/>
        <w:rPr>
          <w:rFonts w:ascii="Arial" w:cs="Arial" w:eastAsia="Arial" w:hAnsi="Arial"/>
          <w:sz w:val="18"/>
          <w:szCs w:val="18"/>
          <w:color w:val="0000EE"/>
        </w:rPr>
      </w:pPr>
    </w:p>
    <w:p>
      <w:pPr>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7" w:lineRule="exact"/>
        <w:rPr>
          <w:rFonts w:ascii="Arial" w:cs="Arial" w:eastAsia="Arial" w:hAnsi="Arial"/>
          <w:sz w:val="18"/>
          <w:szCs w:val="18"/>
          <w:color w:val="0000EE"/>
        </w:rPr>
      </w:pPr>
    </w:p>
    <w:p>
      <w:pPr>
        <w:ind w:right="540"/>
        <w:spacing w:after="0" w:line="277" w:lineRule="auto"/>
        <w:rPr>
          <w:sz w:val="20"/>
          <w:szCs w:val="20"/>
          <w:color w:val="auto"/>
        </w:rPr>
      </w:pPr>
      <w:r>
        <w:rPr>
          <w:rFonts w:ascii="Arial" w:cs="Arial" w:eastAsia="Arial" w:hAnsi="Arial"/>
          <w:sz w:val="18"/>
          <w:szCs w:val="18"/>
          <w:color w:val="auto"/>
        </w:rPr>
        <w:t>Under no circumstances will any information “furnished” and not “filed” under the rules of the Exchange Act be deemed incorporated herein by reference unless the Company expressly provides for the contrary.</w:t>
      </w:r>
    </w:p>
    <w:p>
      <w:pPr>
        <w:spacing w:after="0" w:line="274"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rFonts w:ascii="Arial" w:cs="Arial" w:eastAsia="Arial" w:hAnsi="Arial"/>
          <w:sz w:val="18"/>
          <w:szCs w:val="18"/>
          <w:color w:val="0000EE"/>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20"/>
          </w:cols>
          <w:pgMar w:left="440" w:top="270" w:right="5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Section 145 of the Delaware General Corporate Law (“DGCL”)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Company’s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w:t>
      </w:r>
    </w:p>
    <w:p>
      <w:pPr>
        <w:spacing w:after="0" w:line="89"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their duty of loyalty to the Company or its stockholders;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addition, the Company’s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9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Certain of the Company’s non-employee directors may, through their relationships with their employers, be insured and/or indemnified against certain liabilities incurred in their capacity as members of the board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00"/>
          </w:cols>
          <w:pgMar w:left="440" w:top="270" w:right="459" w:bottom="1440" w:gutter="0" w:footer="0" w:header="0"/>
        </w:sectPr>
      </w:pPr>
    </w:p>
    <w:bookmarkStart w:id="5" w:name="page6"/>
    <w:bookmarkEnd w:id="5"/>
    <w:p>
      <w:pPr>
        <w:jc w:val="both"/>
        <w:ind w:left="4"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00" w:type="dxa"/>
            <w:vAlign w:val="bottom"/>
            <w:gridSpan w:val="11"/>
          </w:tcPr>
          <w:p>
            <w:pPr>
              <w:ind w:left="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40" w:type="dxa"/>
            <w:vAlign w:val="bottom"/>
            <w:gridSpan w:val="10"/>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4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2"/>
                <w:szCs w:val="22"/>
                <w:color w:val="auto"/>
              </w:rPr>
            </w:pPr>
          </w:p>
        </w:tc>
        <w:tc>
          <w:tcPr>
            <w:tcW w:w="9040" w:type="dxa"/>
            <w:vAlign w:val="bottom"/>
            <w:tcBorders>
              <w:bottom w:val="single" w:sz="8" w:color="0000EE"/>
            </w:tcBorders>
            <w:gridSpan w:val="11"/>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Certificate of Incorporation of the Company, as currently in effect (incorporated by reference to Exhibit 3.1 to the Company’s</w:t>
              </w:r>
            </w:hyperlink>
          </w:p>
        </w:tc>
        <w:tc>
          <w:tcPr>
            <w:tcW w:w="11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Form 8-K filed with the Commission on October 21, 2021).</w:t>
              </w:r>
            </w:hyperlink>
          </w:p>
        </w:tc>
        <w:tc>
          <w:tcPr>
            <w:tcW w:w="58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w w:val="98"/>
              </w:rPr>
            </w:pPr>
            <w:hyperlink r:id="rId43">
              <w:r>
                <w:rPr>
                  <w:rFonts w:ascii="Arial" w:cs="Arial" w:eastAsia="Arial" w:hAnsi="Arial"/>
                  <w:sz w:val="18"/>
                  <w:szCs w:val="18"/>
                  <w:color w:val="0000EE"/>
                  <w:w w:val="98"/>
                </w:rPr>
                <w:t>By-Laws of the Company, as currently in effect (incorporated by reference to Exhibit 3.2 to the Company’s Form 8-K filed with the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Commission on October 21, 2021).</w:t>
              </w:r>
            </w:hyperlink>
          </w:p>
        </w:tc>
        <w:tc>
          <w:tcPr>
            <w:tcW w:w="6980" w:type="dxa"/>
            <w:vAlign w:val="bottom"/>
            <w:tcBorders>
              <w:top w:val="single" w:sz="8" w:color="0000EE"/>
            </w:tcBorders>
            <w:gridSpan w:val="11"/>
          </w:tcPr>
          <w:p>
            <w:pPr>
              <w:spacing w:after="0"/>
              <w:rPr>
                <w:sz w:val="17"/>
                <w:szCs w:val="17"/>
                <w:color w:val="auto"/>
              </w:rPr>
            </w:pPr>
          </w:p>
        </w:tc>
        <w:tc>
          <w:tcPr>
            <w:tcW w:w="6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9920" w:type="dxa"/>
            <w:vAlign w:val="bottom"/>
            <w:tcBorders>
              <w:bottom w:val="single" w:sz="8" w:color="0000EE"/>
            </w:tcBorders>
            <w:gridSpan w:val="13"/>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Specimen Class A Common Stock Certificate of the Company (incorporated by reference to Exhibit 4.1 to the Company’s Form 8-K filed</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with the Commission on October 21,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38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Opinion of Wilson Sonsini Goodrich and Rosati, P.C.</w:t>
              </w:r>
            </w:hyperlink>
          </w:p>
        </w:tc>
        <w:tc>
          <w:tcPr>
            <w:tcW w:w="6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23.1*</w:t>
            </w:r>
          </w:p>
        </w:tc>
        <w:tc>
          <w:tcPr>
            <w:tcW w:w="420" w:type="dxa"/>
            <w:vAlign w:val="bottom"/>
          </w:tcPr>
          <w:p>
            <w:pPr>
              <w:spacing w:after="0"/>
              <w:rPr>
                <w:sz w:val="24"/>
                <w:szCs w:val="24"/>
                <w:color w:val="auto"/>
              </w:rPr>
            </w:pPr>
          </w:p>
        </w:tc>
        <w:tc>
          <w:tcPr>
            <w:tcW w:w="57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Consent of Ernst &amp; Young LLP, independent registered public accounting firm.</w:t>
              </w:r>
            </w:hyperlink>
          </w:p>
        </w:tc>
        <w:tc>
          <w:tcPr>
            <w:tcW w:w="4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23.2*</w:t>
            </w:r>
          </w:p>
        </w:tc>
        <w:tc>
          <w:tcPr>
            <w:tcW w:w="42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Consent of Bennett Thrasher LLP, independent registered public accounting firm.</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23.3*</w:t>
            </w:r>
          </w:p>
        </w:tc>
        <w:tc>
          <w:tcPr>
            <w:tcW w:w="42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Consent of WithumSmith+Brown, PC, independent registered public accounting firm.</w:t>
              </w:r>
            </w:hyperlink>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23.4*</w:t>
            </w:r>
          </w:p>
        </w:tc>
        <w:tc>
          <w:tcPr>
            <w:tcW w:w="420" w:type="dxa"/>
            <w:vAlign w:val="bottom"/>
          </w:tcPr>
          <w:p>
            <w:pPr>
              <w:spacing w:after="0"/>
              <w:rPr>
                <w:sz w:val="24"/>
                <w:szCs w:val="24"/>
                <w:color w:val="auto"/>
              </w:rPr>
            </w:pPr>
          </w:p>
        </w:tc>
        <w:tc>
          <w:tcPr>
            <w:tcW w:w="57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Consent of Wilson Sonsini Goodrich and Rosati, P.C. (included in Exhibit 5.1).</w:t>
              </w:r>
            </w:hyperlink>
          </w:p>
        </w:tc>
        <w:tc>
          <w:tcPr>
            <w:tcW w:w="480" w:type="dxa"/>
            <w:vAlign w:val="bottom"/>
            <w:tcBorders>
              <w:top w:val="single" w:sz="8" w:color="0000EE"/>
            </w:tcBorders>
            <w:gridSpan w:val="3"/>
          </w:tcPr>
          <w:p>
            <w:pPr>
              <w:spacing w:after="0"/>
              <w:rPr>
                <w:sz w:val="24"/>
                <w:szCs w:val="24"/>
                <w:color w:val="auto"/>
              </w:rPr>
            </w:pPr>
          </w:p>
        </w:tc>
        <w:tc>
          <w:tcPr>
            <w:tcW w:w="39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24.1*</w:t>
            </w:r>
          </w:p>
        </w:tc>
        <w:tc>
          <w:tcPr>
            <w:tcW w:w="420" w:type="dxa"/>
            <w:vAlign w:val="bottom"/>
          </w:tcPr>
          <w:p>
            <w:pPr>
              <w:spacing w:after="0"/>
              <w:rPr>
                <w:sz w:val="24"/>
                <w:szCs w:val="24"/>
                <w:color w:val="auto"/>
              </w:rPr>
            </w:pPr>
          </w:p>
        </w:tc>
        <w:tc>
          <w:tcPr>
            <w:tcW w:w="34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Power of Attorney (included on signature page).</w:t>
              </w:r>
            </w:hyperlink>
          </w:p>
        </w:tc>
        <w:tc>
          <w:tcPr>
            <w:tcW w:w="66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10080" w:type="dxa"/>
            <w:vAlign w:val="bottom"/>
            <w:tcBorders>
              <w:bottom w:val="single" w:sz="8" w:color="0000EE"/>
            </w:tcBorders>
            <w:gridSpan w:val="14"/>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Bakkt Holdings, Inc. 2021 Omnibus Employee Incentive Plan and related form agreements (incorporated by reference to Exhibit 10.9 to the</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Company’s Form 8-K filed with the Commission on October 21,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5364" w:right="1400" w:hanging="4924"/>
        <w:spacing w:after="0" w:line="449" w:lineRule="auto"/>
        <w:tabs>
          <w:tab w:leader="none" w:pos="686"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II-3</w:t>
      </w:r>
    </w:p>
    <w:p>
      <w:pPr>
        <w:sectPr>
          <w:pgSz w:w="11900" w:h="16838" w:orient="portrait"/>
          <w:cols w:equalWidth="0" w:num="1">
            <w:col w:w="11024"/>
          </w:cols>
          <w:pgMar w:left="436" w:top="274" w:right="439" w:bottom="1440" w:gutter="0" w:footer="0" w:header="0"/>
        </w:sectPr>
      </w:pPr>
    </w:p>
    <w:bookmarkStart w:id="6" w:name="page7"/>
    <w:bookmarkEnd w:id="6"/>
    <w:p>
      <w:pPr>
        <w:ind w:left="1204" w:hanging="213"/>
        <w:spacing w:after="0"/>
        <w:tabs>
          <w:tab w:leader="none" w:pos="1204"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include any prospectus required by Section 10(a)(3) of the Securities Act;</w:t>
      </w:r>
    </w:p>
    <w:p>
      <w:pPr>
        <w:spacing w:after="0" w:line="117" w:lineRule="exact"/>
        <w:rPr>
          <w:rFonts w:ascii="Arial" w:cs="Arial" w:eastAsia="Arial" w:hAnsi="Arial"/>
          <w:sz w:val="18"/>
          <w:szCs w:val="18"/>
          <w:color w:val="auto"/>
        </w:rPr>
      </w:pPr>
    </w:p>
    <w:p>
      <w:pPr>
        <w:ind w:left="984" w:right="100" w:firstLine="7"/>
        <w:spacing w:after="0" w:line="272" w:lineRule="auto"/>
        <w:tabs>
          <w:tab w:leader="none" w:pos="1249"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984" w:right="260" w:firstLine="7"/>
        <w:spacing w:after="0" w:line="277" w:lineRule="auto"/>
        <w:tabs>
          <w:tab w:leader="none" w:pos="129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984" w:right="40"/>
        <w:spacing w:after="0" w:line="31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herein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41" w:lineRule="exact"/>
        <w:rPr>
          <w:sz w:val="20"/>
          <w:szCs w:val="20"/>
          <w:color w:val="auto"/>
        </w:rPr>
      </w:pPr>
    </w:p>
    <w:p>
      <w:pPr>
        <w:ind w:left="444" w:hanging="4"/>
        <w:spacing w:after="0" w:line="263" w:lineRule="auto"/>
        <w:tabs>
          <w:tab w:leader="none" w:pos="69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44" w:right="620" w:hanging="4"/>
        <w:spacing w:after="0" w:line="277" w:lineRule="auto"/>
        <w:tabs>
          <w:tab w:leader="none" w:pos="699"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4" w:right="20" w:hanging="4"/>
        <w:spacing w:after="0" w:line="257"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Arial" w:cs="Arial" w:eastAsia="Arial" w:hAnsi="Arial"/>
          <w:sz w:val="18"/>
          <w:szCs w:val="18"/>
          <w:color w:val="auto"/>
        </w:rPr>
      </w:pPr>
    </w:p>
    <w:p>
      <w:pPr>
        <w:ind w:left="704" w:hanging="264"/>
        <w:spacing w:after="0"/>
        <w:tabs>
          <w:tab w:leader="none" w:pos="704" w:val="left"/>
        </w:tabs>
        <w:numPr>
          <w:ilvl w:val="1"/>
          <w:numId w:val="8"/>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44" w:right="640" w:hanging="4"/>
        <w:spacing w:after="0" w:line="277" w:lineRule="auto"/>
        <w:tabs>
          <w:tab w:leader="none" w:pos="69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44" w:right="60" w:hanging="4"/>
        <w:spacing w:after="0" w:line="277" w:lineRule="auto"/>
        <w:tabs>
          <w:tab w:leader="none" w:pos="699"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4" w:right="120" w:hanging="4"/>
        <w:spacing w:after="0" w:line="257"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Arial" w:cs="Arial" w:eastAsia="Arial" w:hAnsi="Arial"/>
          <w:sz w:val="18"/>
          <w:szCs w:val="18"/>
          <w:color w:val="auto"/>
        </w:rPr>
      </w:pPr>
    </w:p>
    <w:p>
      <w:pPr>
        <w:ind w:left="4" w:right="40" w:hanging="4"/>
        <w:spacing w:after="0" w:line="254"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984"/>
          </w:cols>
          <w:pgMar w:left="436" w:top="274"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Alpharetta, State of Georgia, on the 20th day of December,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Gavin Michael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KNOW ALL BY THESE PRESENT, that each individual whose signature appears below hereby constitutes and appoints each of Gavin Michael, Marc D’Annunzio and Andrew LaBenne, and each or any one of them,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below on December 20,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2"/>
              </w:rPr>
              <w:t>Signature</w:t>
            </w:r>
          </w:p>
        </w:tc>
        <w:tc>
          <w:tcPr>
            <w:tcW w:w="98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180" w:type="dxa"/>
            <w:vAlign w:val="bottom"/>
          </w:tcPr>
          <w:p>
            <w:pPr>
              <w:spacing w:after="0"/>
              <w:rPr>
                <w:sz w:val="24"/>
                <w:szCs w:val="24"/>
                <w:color w:val="auto"/>
              </w:rPr>
            </w:pPr>
          </w:p>
        </w:tc>
        <w:tc>
          <w:tcPr>
            <w:tcW w:w="4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4"/>
              </w:rPr>
              <w:t>/s/ Gavin Michael</w:t>
            </w:r>
          </w:p>
        </w:tc>
        <w:tc>
          <w:tcPr>
            <w:tcW w:w="9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Chief Executive Officer, Director</w:t>
            </w:r>
          </w:p>
        </w:tc>
      </w:tr>
      <w:tr>
        <w:trPr>
          <w:trHeight w:val="224"/>
        </w:trPr>
        <w:tc>
          <w:tcPr>
            <w:tcW w:w="180" w:type="dxa"/>
            <w:vAlign w:val="bottom"/>
          </w:tcPr>
          <w:p>
            <w:pPr>
              <w:spacing w:after="0"/>
              <w:rPr>
                <w:sz w:val="19"/>
                <w:szCs w:val="19"/>
                <w:color w:val="auto"/>
              </w:rPr>
            </w:pPr>
          </w:p>
        </w:tc>
        <w:tc>
          <w:tcPr>
            <w:tcW w:w="4900" w:type="dxa"/>
            <w:vAlign w:val="bottom"/>
          </w:tcPr>
          <w:p>
            <w:pPr>
              <w:jc w:val="center"/>
              <w:ind w:right="91"/>
              <w:spacing w:after="0"/>
              <w:rPr>
                <w:sz w:val="20"/>
                <w:szCs w:val="20"/>
                <w:color w:val="auto"/>
              </w:rPr>
            </w:pPr>
            <w:r>
              <w:rPr>
                <w:rFonts w:ascii="Arial" w:cs="Arial" w:eastAsia="Arial" w:hAnsi="Arial"/>
                <w:sz w:val="18"/>
                <w:szCs w:val="18"/>
                <w:color w:val="auto"/>
                <w:w w:val="94"/>
              </w:rPr>
              <w:t>Gavin Michael</w:t>
            </w:r>
          </w:p>
        </w:tc>
        <w:tc>
          <w:tcPr>
            <w:tcW w:w="98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431"/>
        </w:trPr>
        <w:tc>
          <w:tcPr>
            <w:tcW w:w="180" w:type="dxa"/>
            <w:vAlign w:val="bottom"/>
          </w:tcPr>
          <w:p>
            <w:pPr>
              <w:spacing w:after="0"/>
              <w:rPr>
                <w:sz w:val="24"/>
                <w:szCs w:val="24"/>
                <w:color w:val="auto"/>
              </w:rPr>
            </w:pPr>
          </w:p>
        </w:tc>
        <w:tc>
          <w:tcPr>
            <w:tcW w:w="4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2"/>
              </w:rPr>
              <w:t>/s/ Andrew LaBenne</w:t>
            </w:r>
          </w:p>
        </w:tc>
        <w:tc>
          <w:tcPr>
            <w:tcW w:w="9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180" w:type="dxa"/>
            <w:vAlign w:val="bottom"/>
          </w:tcPr>
          <w:p>
            <w:pPr>
              <w:spacing w:after="0"/>
              <w:rPr>
                <w:sz w:val="19"/>
                <w:szCs w:val="19"/>
                <w:color w:val="auto"/>
              </w:rPr>
            </w:pPr>
          </w:p>
        </w:tc>
        <w:tc>
          <w:tcPr>
            <w:tcW w:w="4900" w:type="dxa"/>
            <w:vAlign w:val="bottom"/>
          </w:tcPr>
          <w:p>
            <w:pPr>
              <w:jc w:val="center"/>
              <w:ind w:right="91"/>
              <w:spacing w:after="0"/>
              <w:rPr>
                <w:sz w:val="20"/>
                <w:szCs w:val="20"/>
                <w:color w:val="auto"/>
              </w:rPr>
            </w:pPr>
            <w:r>
              <w:rPr>
                <w:rFonts w:ascii="Arial" w:cs="Arial" w:eastAsia="Arial" w:hAnsi="Arial"/>
                <w:sz w:val="18"/>
                <w:szCs w:val="18"/>
                <w:color w:val="auto"/>
                <w:w w:val="92"/>
              </w:rPr>
              <w:t>Andrew LaBenne</w:t>
            </w:r>
          </w:p>
        </w:tc>
        <w:tc>
          <w:tcPr>
            <w:tcW w:w="98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431"/>
        </w:trPr>
        <w:tc>
          <w:tcPr>
            <w:tcW w:w="180" w:type="dxa"/>
            <w:vAlign w:val="bottom"/>
          </w:tcPr>
          <w:p>
            <w:pPr>
              <w:spacing w:after="0"/>
              <w:rPr>
                <w:sz w:val="24"/>
                <w:szCs w:val="24"/>
                <w:color w:val="auto"/>
              </w:rPr>
            </w:pPr>
          </w:p>
        </w:tc>
        <w:tc>
          <w:tcPr>
            <w:tcW w:w="4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2"/>
              </w:rPr>
              <w:t>/s/ Karen Alexander</w:t>
            </w:r>
          </w:p>
        </w:tc>
        <w:tc>
          <w:tcPr>
            <w:tcW w:w="9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Chief Accounting Officer</w:t>
            </w:r>
          </w:p>
        </w:tc>
      </w:tr>
      <w:tr>
        <w:trPr>
          <w:trHeight w:val="224"/>
        </w:trPr>
        <w:tc>
          <w:tcPr>
            <w:tcW w:w="180" w:type="dxa"/>
            <w:vAlign w:val="bottom"/>
          </w:tcPr>
          <w:p>
            <w:pPr>
              <w:spacing w:after="0"/>
              <w:rPr>
                <w:sz w:val="19"/>
                <w:szCs w:val="19"/>
                <w:color w:val="auto"/>
              </w:rPr>
            </w:pPr>
          </w:p>
        </w:tc>
        <w:tc>
          <w:tcPr>
            <w:tcW w:w="4900" w:type="dxa"/>
            <w:vAlign w:val="bottom"/>
          </w:tcPr>
          <w:p>
            <w:pPr>
              <w:jc w:val="center"/>
              <w:ind w:right="91"/>
              <w:spacing w:after="0"/>
              <w:rPr>
                <w:sz w:val="20"/>
                <w:szCs w:val="20"/>
                <w:color w:val="auto"/>
              </w:rPr>
            </w:pPr>
            <w:r>
              <w:rPr>
                <w:rFonts w:ascii="Arial" w:cs="Arial" w:eastAsia="Arial" w:hAnsi="Arial"/>
                <w:sz w:val="18"/>
                <w:szCs w:val="18"/>
                <w:color w:val="auto"/>
                <w:w w:val="92"/>
              </w:rPr>
              <w:t>Karen Alexander</w:t>
            </w:r>
          </w:p>
        </w:tc>
        <w:tc>
          <w:tcPr>
            <w:tcW w:w="98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r>
      <w:tr>
        <w:trPr>
          <w:trHeight w:val="431"/>
        </w:trPr>
        <w:tc>
          <w:tcPr>
            <w:tcW w:w="180" w:type="dxa"/>
            <w:vAlign w:val="bottom"/>
          </w:tcPr>
          <w:p>
            <w:pPr>
              <w:spacing w:after="0"/>
              <w:rPr>
                <w:sz w:val="24"/>
                <w:szCs w:val="24"/>
                <w:color w:val="auto"/>
              </w:rPr>
            </w:pPr>
          </w:p>
        </w:tc>
        <w:tc>
          <w:tcPr>
            <w:tcW w:w="4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3"/>
              </w:rPr>
              <w:t>/s/ Michelle Goldberg</w:t>
            </w:r>
          </w:p>
        </w:tc>
        <w:tc>
          <w:tcPr>
            <w:tcW w:w="9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180" w:type="dxa"/>
            <w:vAlign w:val="bottom"/>
          </w:tcPr>
          <w:p>
            <w:pPr>
              <w:spacing w:after="0"/>
              <w:rPr>
                <w:sz w:val="19"/>
                <w:szCs w:val="19"/>
                <w:color w:val="auto"/>
              </w:rPr>
            </w:pPr>
          </w:p>
        </w:tc>
        <w:tc>
          <w:tcPr>
            <w:tcW w:w="4900" w:type="dxa"/>
            <w:vAlign w:val="bottom"/>
          </w:tcPr>
          <w:p>
            <w:pPr>
              <w:jc w:val="center"/>
              <w:ind w:right="91"/>
              <w:spacing w:after="0"/>
              <w:rPr>
                <w:sz w:val="20"/>
                <w:szCs w:val="20"/>
                <w:color w:val="auto"/>
              </w:rPr>
            </w:pPr>
            <w:r>
              <w:rPr>
                <w:rFonts w:ascii="Arial" w:cs="Arial" w:eastAsia="Arial" w:hAnsi="Arial"/>
                <w:sz w:val="18"/>
                <w:szCs w:val="18"/>
                <w:color w:val="auto"/>
                <w:w w:val="93"/>
              </w:rPr>
              <w:t>Michelle Goldberg</w:t>
            </w:r>
          </w:p>
        </w:tc>
        <w:tc>
          <w:tcPr>
            <w:tcW w:w="98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431"/>
        </w:trPr>
        <w:tc>
          <w:tcPr>
            <w:tcW w:w="180" w:type="dxa"/>
            <w:vAlign w:val="bottom"/>
          </w:tcPr>
          <w:p>
            <w:pPr>
              <w:spacing w:after="0"/>
              <w:rPr>
                <w:sz w:val="24"/>
                <w:szCs w:val="24"/>
                <w:color w:val="auto"/>
              </w:rPr>
            </w:pPr>
          </w:p>
        </w:tc>
        <w:tc>
          <w:tcPr>
            <w:tcW w:w="4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5"/>
              </w:rPr>
              <w:t>/s/ David C. Clifton</w:t>
            </w:r>
          </w:p>
        </w:tc>
        <w:tc>
          <w:tcPr>
            <w:tcW w:w="9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180" w:type="dxa"/>
            <w:vAlign w:val="bottom"/>
          </w:tcPr>
          <w:p>
            <w:pPr>
              <w:spacing w:after="0"/>
              <w:rPr>
                <w:sz w:val="19"/>
                <w:szCs w:val="19"/>
                <w:color w:val="auto"/>
              </w:rPr>
            </w:pPr>
          </w:p>
        </w:tc>
        <w:tc>
          <w:tcPr>
            <w:tcW w:w="4900" w:type="dxa"/>
            <w:vAlign w:val="bottom"/>
          </w:tcPr>
          <w:p>
            <w:pPr>
              <w:jc w:val="center"/>
              <w:ind w:right="91"/>
              <w:spacing w:after="0"/>
              <w:rPr>
                <w:sz w:val="20"/>
                <w:szCs w:val="20"/>
                <w:color w:val="auto"/>
              </w:rPr>
            </w:pPr>
            <w:r>
              <w:rPr>
                <w:rFonts w:ascii="Arial" w:cs="Arial" w:eastAsia="Arial" w:hAnsi="Arial"/>
                <w:sz w:val="18"/>
                <w:szCs w:val="18"/>
                <w:color w:val="auto"/>
                <w:w w:val="95"/>
              </w:rPr>
              <w:t>David C. Clifton</w:t>
            </w:r>
          </w:p>
        </w:tc>
        <w:tc>
          <w:tcPr>
            <w:tcW w:w="98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431"/>
        </w:trPr>
        <w:tc>
          <w:tcPr>
            <w:tcW w:w="180" w:type="dxa"/>
            <w:vAlign w:val="bottom"/>
          </w:tcPr>
          <w:p>
            <w:pPr>
              <w:spacing w:after="0"/>
              <w:rPr>
                <w:sz w:val="24"/>
                <w:szCs w:val="24"/>
                <w:color w:val="auto"/>
              </w:rPr>
            </w:pPr>
          </w:p>
        </w:tc>
        <w:tc>
          <w:tcPr>
            <w:tcW w:w="4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3"/>
              </w:rPr>
              <w:t>/s/ Kristyn Cook</w:t>
            </w:r>
          </w:p>
        </w:tc>
        <w:tc>
          <w:tcPr>
            <w:tcW w:w="9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180" w:type="dxa"/>
            <w:vAlign w:val="bottom"/>
          </w:tcPr>
          <w:p>
            <w:pPr>
              <w:spacing w:after="0"/>
              <w:rPr>
                <w:sz w:val="19"/>
                <w:szCs w:val="19"/>
                <w:color w:val="auto"/>
              </w:rPr>
            </w:pPr>
          </w:p>
        </w:tc>
        <w:tc>
          <w:tcPr>
            <w:tcW w:w="4900" w:type="dxa"/>
            <w:vAlign w:val="bottom"/>
          </w:tcPr>
          <w:p>
            <w:pPr>
              <w:jc w:val="center"/>
              <w:ind w:right="111"/>
              <w:spacing w:after="0"/>
              <w:rPr>
                <w:sz w:val="20"/>
                <w:szCs w:val="20"/>
                <w:color w:val="auto"/>
              </w:rPr>
            </w:pPr>
            <w:r>
              <w:rPr>
                <w:rFonts w:ascii="Arial" w:cs="Arial" w:eastAsia="Arial" w:hAnsi="Arial"/>
                <w:sz w:val="18"/>
                <w:szCs w:val="18"/>
                <w:color w:val="auto"/>
                <w:w w:val="96"/>
              </w:rPr>
              <w:t>Kristyn Cook</w:t>
            </w:r>
          </w:p>
        </w:tc>
        <w:tc>
          <w:tcPr>
            <w:tcW w:w="98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431"/>
        </w:trPr>
        <w:tc>
          <w:tcPr>
            <w:tcW w:w="180" w:type="dxa"/>
            <w:vAlign w:val="bottom"/>
          </w:tcPr>
          <w:p>
            <w:pPr>
              <w:spacing w:after="0"/>
              <w:rPr>
                <w:sz w:val="24"/>
                <w:szCs w:val="24"/>
                <w:color w:val="auto"/>
              </w:rPr>
            </w:pPr>
          </w:p>
        </w:tc>
        <w:tc>
          <w:tcPr>
            <w:tcW w:w="4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89"/>
              </w:rPr>
              <w:t>/s/ Gordon Watson</w:t>
            </w:r>
          </w:p>
        </w:tc>
        <w:tc>
          <w:tcPr>
            <w:tcW w:w="9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180" w:type="dxa"/>
            <w:vAlign w:val="bottom"/>
          </w:tcPr>
          <w:p>
            <w:pPr>
              <w:spacing w:after="0"/>
              <w:rPr>
                <w:sz w:val="19"/>
                <w:szCs w:val="19"/>
                <w:color w:val="auto"/>
              </w:rPr>
            </w:pPr>
          </w:p>
        </w:tc>
        <w:tc>
          <w:tcPr>
            <w:tcW w:w="4900" w:type="dxa"/>
            <w:vAlign w:val="bottom"/>
          </w:tcPr>
          <w:p>
            <w:pPr>
              <w:jc w:val="center"/>
              <w:ind w:right="111"/>
              <w:spacing w:after="0"/>
              <w:rPr>
                <w:sz w:val="20"/>
                <w:szCs w:val="20"/>
                <w:color w:val="auto"/>
              </w:rPr>
            </w:pPr>
            <w:r>
              <w:rPr>
                <w:rFonts w:ascii="Arial" w:cs="Arial" w:eastAsia="Arial" w:hAnsi="Arial"/>
                <w:sz w:val="18"/>
                <w:szCs w:val="18"/>
                <w:color w:val="auto"/>
                <w:w w:val="90"/>
              </w:rPr>
              <w:t>Gordon Watson</w:t>
            </w:r>
          </w:p>
        </w:tc>
        <w:tc>
          <w:tcPr>
            <w:tcW w:w="98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431"/>
        </w:trPr>
        <w:tc>
          <w:tcPr>
            <w:tcW w:w="180" w:type="dxa"/>
            <w:vAlign w:val="bottom"/>
          </w:tcPr>
          <w:p>
            <w:pPr>
              <w:spacing w:after="0"/>
              <w:rPr>
                <w:sz w:val="24"/>
                <w:szCs w:val="24"/>
                <w:color w:val="auto"/>
              </w:rPr>
            </w:pPr>
          </w:p>
        </w:tc>
        <w:tc>
          <w:tcPr>
            <w:tcW w:w="4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1"/>
              </w:rPr>
              <w:t>/s/ Sean Collins</w:t>
            </w:r>
          </w:p>
        </w:tc>
        <w:tc>
          <w:tcPr>
            <w:tcW w:w="9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180" w:type="dxa"/>
            <w:vAlign w:val="bottom"/>
          </w:tcPr>
          <w:p>
            <w:pPr>
              <w:spacing w:after="0"/>
              <w:rPr>
                <w:sz w:val="19"/>
                <w:szCs w:val="19"/>
                <w:color w:val="auto"/>
              </w:rPr>
            </w:pPr>
          </w:p>
        </w:tc>
        <w:tc>
          <w:tcPr>
            <w:tcW w:w="4900" w:type="dxa"/>
            <w:vAlign w:val="bottom"/>
          </w:tcPr>
          <w:p>
            <w:pPr>
              <w:jc w:val="center"/>
              <w:ind w:right="91"/>
              <w:spacing w:after="0"/>
              <w:rPr>
                <w:sz w:val="20"/>
                <w:szCs w:val="20"/>
                <w:color w:val="auto"/>
              </w:rPr>
            </w:pPr>
            <w:r>
              <w:rPr>
                <w:rFonts w:ascii="Arial" w:cs="Arial" w:eastAsia="Arial" w:hAnsi="Arial"/>
                <w:sz w:val="18"/>
                <w:szCs w:val="18"/>
                <w:color w:val="auto"/>
                <w:w w:val="91"/>
              </w:rPr>
              <w:t>Sean Collins</w:t>
            </w:r>
          </w:p>
        </w:tc>
        <w:tc>
          <w:tcPr>
            <w:tcW w:w="98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364"/>
        </w:trPr>
        <w:tc>
          <w:tcPr>
            <w:tcW w:w="1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940" w:type="dxa"/>
            <w:vAlign w:val="bottom"/>
            <w:gridSpan w:val="2"/>
          </w:tcPr>
          <w:p>
            <w:pPr>
              <w:ind w:left="28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98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210"/>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Lumb</w:t>
            </w:r>
          </w:p>
        </w:tc>
        <w:tc>
          <w:tcPr>
            <w:tcW w:w="98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Richard Lumb</w:t>
            </w:r>
          </w:p>
        </w:tc>
        <w:tc>
          <w:tcPr>
            <w:tcW w:w="98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Andrew A. Main</w:t>
            </w:r>
          </w:p>
        </w:tc>
        <w:tc>
          <w:tcPr>
            <w:tcW w:w="9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Andrew A. Main</w:t>
            </w:r>
          </w:p>
        </w:tc>
        <w:tc>
          <w:tcPr>
            <w:tcW w:w="98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364"/>
        </w:trPr>
        <w:tc>
          <w:tcPr>
            <w:tcW w:w="5080" w:type="dxa"/>
            <w:vAlign w:val="bottom"/>
          </w:tcPr>
          <w:p>
            <w:pPr>
              <w:spacing w:after="0"/>
              <w:rPr>
                <w:sz w:val="24"/>
                <w:szCs w:val="24"/>
                <w:color w:val="auto"/>
              </w:rPr>
            </w:pPr>
          </w:p>
        </w:tc>
        <w:tc>
          <w:tcPr>
            <w:tcW w:w="5940" w:type="dxa"/>
            <w:vAlign w:val="bottom"/>
            <w:gridSpan w:val="2"/>
          </w:tcPr>
          <w:p>
            <w:pPr>
              <w:ind w:left="28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020"/>
          </w:cols>
          <w:pgMar w:left="440" w:top="265"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71245"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extLst>
                    </a:blip>
                    <a:srcRect/>
                    <a:stretch>
                      <a:fillRect/>
                    </a:stretch>
                  </pic:blipFill>
                  <pic:spPr bwMode="auto">
                    <a:xfrm>
                      <a:off x="0" y="0"/>
                      <a:ext cx="1071245" cy="454660"/>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Professional Corporation</w:t>
      </w:r>
    </w:p>
    <w:p>
      <w:pPr>
        <w:spacing w:after="0" w:line="1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900 South Capital of Texas Highway</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Las Cimas IV, Fifth Floor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Austin, Texas 78746-5546</w:t>
      </w:r>
    </w:p>
    <w:p>
      <w:pPr>
        <w:spacing w:after="0" w:line="116" w:lineRule="exact"/>
        <w:rPr>
          <w:sz w:val="20"/>
          <w:szCs w:val="20"/>
          <w:color w:val="auto"/>
        </w:rPr>
      </w:pPr>
    </w:p>
    <w:p>
      <w:pPr>
        <w:ind w:left="7480"/>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512.338.5400</w:t>
      </w:r>
    </w:p>
    <w:p>
      <w:pPr>
        <w:spacing w:after="0" w:line="35" w:lineRule="exact"/>
        <w:rPr>
          <w:sz w:val="20"/>
          <w:szCs w:val="20"/>
          <w:color w:val="auto"/>
        </w:rPr>
      </w:pPr>
    </w:p>
    <w:p>
      <w:pPr>
        <w:ind w:left="7480"/>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512.338.5499</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 Avalon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Alpharetta, Georgia 30009</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u w:val="single" w:color="auto"/>
          <w:color w:val="auto"/>
        </w:rPr>
        <w:t>Registration Statement on Form S-8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This opinion is furnished to you in connection with the Registration Statement on Form S-8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by Bakkt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25,816,946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Class A common stock, par value $0.0001 per share reserved for future issuance under the Bakkt Holdings, Inc. 2021 Omnibus Employee Incentive Plan (the “</w:t>
      </w:r>
      <w:r>
        <w:rPr>
          <w:rFonts w:ascii="Arial" w:cs="Arial" w:eastAsia="Arial" w:hAnsi="Arial"/>
          <w:sz w:val="16"/>
          <w:szCs w:val="16"/>
          <w:u w:val="single" w:color="auto"/>
          <w:color w:val="auto"/>
        </w:rPr>
        <w:t>2021 Plan</w:t>
      </w:r>
      <w:r>
        <w:rPr>
          <w:rFonts w:ascii="Arial" w:cs="Arial" w:eastAsia="Arial" w:hAnsi="Arial"/>
          <w:sz w:val="16"/>
          <w:szCs w:val="16"/>
          <w:color w:val="auto"/>
        </w:rPr>
        <w:t>”).</w:t>
      </w:r>
    </w:p>
    <w:p>
      <w:pPr>
        <w:spacing w:after="0" w:line="15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We are acting as counsel for the Company in connection with the registration of the Securities. As such counsel, we have made such legal and factual examinations and inquiries as we have deemed necessary or advisable for the purpose of rendering the opinions and statements set forth below. In rendering the opinions and statements expressed below, 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88"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In addition, we have reviewed originals or copies of such corporate records of the Company, certificates of public officials, a certificate of an officer of the Company as to factual matters, and such other documents that we considered necessary or advisable for the purpose of rendering the opinions set forth below. We have not independently established the facts stated therein.</w:t>
      </w:r>
    </w:p>
    <w:p>
      <w:pPr>
        <w:spacing w:after="0" w:line="184"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In our examination, we have assumed the genuineness of all signatures, the authenticity and completeness of all documents submitted to us as originals, the conformity with the originals of all documents submitted to us as copies, the authenticity of the originals of such documents, and the legal competence of all signatories to such documents. We have also assumed the authority of such persons signing on behalf of the parties thereto other than the Company and the due authorization, execution and delivery of all documents by the parties thereto other than the Company. We have assumed that any certificates representing the Securities have been properly authenticated by the signature of an authorized officer of the Company’s transfer agent. We have also assumed the conformity of the documents filed with the Commission via the Electronic Data Gathering, Analysis and Retrieval System (“</w:t>
      </w:r>
      <w:r>
        <w:rPr>
          <w:rFonts w:ascii="Arial" w:cs="Arial" w:eastAsia="Arial" w:hAnsi="Arial"/>
          <w:sz w:val="17"/>
          <w:szCs w:val="17"/>
          <w:u w:val="single" w:color="auto"/>
          <w:color w:val="auto"/>
        </w:rPr>
        <w:t>EDGAR</w:t>
      </w:r>
      <w:r>
        <w:rPr>
          <w:rFonts w:ascii="Arial" w:cs="Arial" w:eastAsia="Arial" w:hAnsi="Arial"/>
          <w:sz w:val="17"/>
          <w:szCs w:val="17"/>
          <w:color w:val="auto"/>
        </w:rPr>
        <w:t>”), except for required EDGAR formatting changes, to physical copies submitted for our examination and the absence of any evidence extrinsic to the provisions of the written agreements between the parties that the parties intended a meaning contrary to that expressed by those provisions.</w:t>
      </w:r>
    </w:p>
    <w:p>
      <w:pPr>
        <w:spacing w:after="0" w:line="68" w:lineRule="exact"/>
        <w:rPr>
          <w:sz w:val="20"/>
          <w:szCs w:val="20"/>
          <w:color w:val="auto"/>
        </w:rPr>
      </w:pPr>
    </w:p>
    <w:p>
      <w:pPr>
        <w:jc w:val="center"/>
        <w:spacing w:after="0"/>
        <w:tabs>
          <w:tab w:leader="none" w:pos="260" w:val="left"/>
          <w:tab w:leader="none" w:pos="260" w:val="left"/>
          <w:tab w:leader="none" w:pos="300" w:val="left"/>
          <w:tab w:leader="none" w:pos="280" w:val="left"/>
          <w:tab w:leader="none" w:pos="260" w:val="left"/>
          <w:tab w:leader="none" w:pos="260" w:val="left"/>
          <w:tab w:leader="none" w:pos="280" w:val="left"/>
          <w:tab w:leader="none" w:pos="260" w:val="left"/>
        </w:tabs>
        <w:rPr>
          <w:sz w:val="20"/>
          <w:szCs w:val="20"/>
          <w:color w:val="auto"/>
        </w:rPr>
      </w:pPr>
      <w:r>
        <w:rPr>
          <w:rFonts w:ascii="Arial" w:cs="Arial" w:eastAsia="Arial" w:hAnsi="Arial"/>
          <w:sz w:val="14"/>
          <w:szCs w:val="14"/>
          <w:color w:val="auto"/>
        </w:rPr>
        <w:t>AUSTIN</w:t>
      </w:r>
      <w:r>
        <w:rPr>
          <w:sz w:val="20"/>
          <w:szCs w:val="20"/>
          <w:color w:val="auto"/>
        </w:rPr>
        <w:tab/>
      </w: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HONG KONG</w:t>
      </w:r>
      <w:r>
        <w:rPr>
          <w:sz w:val="20"/>
          <w:szCs w:val="20"/>
          <w:color w:val="auto"/>
        </w:rPr>
        <w:tab/>
      </w: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LOS ANGELES</w:t>
      </w:r>
      <w:r>
        <w:rPr>
          <w:sz w:val="20"/>
          <w:szCs w:val="20"/>
          <w:color w:val="auto"/>
        </w:rPr>
        <w:tab/>
      </w:r>
      <w:r>
        <w:rPr>
          <w:rFonts w:ascii="Arial" w:cs="Arial" w:eastAsia="Arial" w:hAnsi="Arial"/>
          <w:sz w:val="14"/>
          <w:szCs w:val="14"/>
          <w:color w:val="auto"/>
        </w:rPr>
        <w:t>NEW YORK</w:t>
      </w:r>
      <w:r>
        <w:rPr>
          <w:sz w:val="20"/>
          <w:szCs w:val="20"/>
          <w:color w:val="auto"/>
        </w:rPr>
        <w:tab/>
      </w:r>
      <w:r>
        <w:rPr>
          <w:rFonts w:ascii="Arial" w:cs="Arial" w:eastAsia="Arial" w:hAnsi="Arial"/>
          <w:sz w:val="14"/>
          <w:szCs w:val="14"/>
          <w:color w:val="auto"/>
        </w:rPr>
        <w:t>PALO ALTO</w:t>
      </w:r>
    </w:p>
    <w:p>
      <w:pPr>
        <w:jc w:val="center"/>
        <w:spacing w:after="0"/>
        <w:tabs>
          <w:tab w:leader="none" w:pos="280" w:val="left"/>
          <w:tab w:leader="none" w:pos="280" w:val="left"/>
          <w:tab w:leader="none" w:pos="260" w:val="left"/>
          <w:tab w:leader="none" w:pos="260" w:val="left"/>
          <w:tab w:leader="none" w:pos="260" w:val="left"/>
        </w:tabs>
        <w:rPr>
          <w:sz w:val="20"/>
          <w:szCs w:val="20"/>
          <w:color w:val="auto"/>
        </w:rPr>
      </w:pPr>
      <w:r>
        <w:rPr>
          <w:rFonts w:ascii="Arial" w:cs="Arial" w:eastAsia="Arial" w:hAnsi="Arial"/>
          <w:sz w:val="14"/>
          <w:szCs w:val="14"/>
          <w:color w:val="auto"/>
        </w:rPr>
        <w:t>SAN DIEGO</w:t>
      </w:r>
      <w:r>
        <w:rPr>
          <w:sz w:val="20"/>
          <w:szCs w:val="20"/>
          <w:color w:val="auto"/>
        </w:rPr>
        <w:tab/>
      </w:r>
      <w:r>
        <w:rPr>
          <w:rFonts w:ascii="Arial" w:cs="Arial" w:eastAsia="Arial" w:hAnsi="Arial"/>
          <w:sz w:val="14"/>
          <w:szCs w:val="14"/>
          <w:color w:val="auto"/>
        </w:rPr>
        <w:t>SAN FRANCISCO</w:t>
      </w:r>
      <w:r>
        <w:rPr>
          <w:sz w:val="20"/>
          <w:szCs w:val="20"/>
          <w:color w:val="auto"/>
        </w:rPr>
        <w:tab/>
      </w:r>
      <w:r>
        <w:rPr>
          <w:rFonts w:ascii="Arial" w:cs="Arial" w:eastAsia="Arial" w:hAnsi="Arial"/>
          <w:sz w:val="14"/>
          <w:szCs w:val="14"/>
          <w:color w:val="auto"/>
        </w:rPr>
        <w:t>SEATTLE</w:t>
      </w:r>
      <w:r>
        <w:rPr>
          <w:sz w:val="20"/>
          <w:szCs w:val="20"/>
          <w:color w:val="auto"/>
        </w:rPr>
        <w:tab/>
      </w:r>
      <w:r>
        <w:rPr>
          <w:rFonts w:ascii="Arial" w:cs="Arial" w:eastAsia="Arial" w:hAnsi="Arial"/>
          <w:sz w:val="14"/>
          <w:szCs w:val="14"/>
          <w:color w:val="auto"/>
        </w:rPr>
        <w:t>SHANGHAI</w:t>
      </w:r>
      <w:r>
        <w:rPr>
          <w:sz w:val="20"/>
          <w:szCs w:val="20"/>
          <w:color w:val="auto"/>
        </w:rPr>
        <w:tab/>
      </w:r>
      <w:r>
        <w:rPr>
          <w:rFonts w:ascii="Arial" w:cs="Arial" w:eastAsia="Arial" w:hAnsi="Arial"/>
          <w:sz w:val="14"/>
          <w:szCs w:val="14"/>
          <w:color w:val="auto"/>
        </w:rPr>
        <w:t>WASHINGTON, DC</w:t>
      </w:r>
      <w:r>
        <w:rPr>
          <w:sz w:val="20"/>
          <w:szCs w:val="20"/>
          <w:color w:val="auto"/>
        </w:rPr>
        <w:tab/>
      </w:r>
      <w:r>
        <w:rPr>
          <w:rFonts w:ascii="Arial" w:cs="Arial" w:eastAsia="Arial" w:hAnsi="Arial"/>
          <w:sz w:val="14"/>
          <w:szCs w:val="14"/>
          <w:color w:val="auto"/>
        </w:rPr>
        <w:t>WILMINGTON, DE</w:t>
      </w:r>
    </w:p>
    <w:p>
      <w:pPr>
        <w:sectPr>
          <w:pgSz w:w="11900" w:h="16838" w:orient="portrait"/>
          <w:cols w:equalWidth="0" w:num="1">
            <w:col w:w="11020"/>
          </w:cols>
          <w:pgMar w:left="440" w:top="121"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91185"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91185" cy="266065"/>
                    </a:xfrm>
                    <a:prstGeom prst="rect">
                      <a:avLst/>
                    </a:prstGeom>
                    <a:noFill/>
                  </pic:spPr>
                </pic:pic>
              </a:graphicData>
            </a:graphic>
          </wp:anchor>
        </w:drawing>
        <w:t>Bakkt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We express no opinion as to any matter relating to the laws of any jurisdiction other than the federal laws of the United States of America and the General Corporation Law of the State of Delaware.</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Based upon and subject to the foregoing qualifications, assumptions and limitations and the further limitations set out below, we are of the opinion that the Shares, when issued pursuant to the terms of the 2021 Plan and pursuant to the agreements that accompany the 2021 Plan and in accordance with the Registration Statement, will have been duly authorized and validly issued, fully paid and nonassessable.</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This opinion is furnished to you in connection with the filing of the Registration Statement, and is not to be used, circulated, quoted or otherwise relied upon for any other purpose.</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hereby consent to the filing of this opinion as an exhibit to the above-referenced Registration Statement and to the use of our name wherever it appears in the Registration Statement, the prospectus, and in any amendment or supplement thereto. In giving such consent, we do not thereby admit that we are in the category of persons whose consent is required under Section 7 of the Securities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0980"/>
          </w:cols>
          <w:pgMar w:left="440" w:top="800" w:right="47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consent to the incorporation by reference in this Registration Statement (Form S-8) pertaining to the 2021 Omnibus Employee Incentive Plan of Bakkt Holdings, Inc. of our report dated March 31, 2021, with respect to the consolidated financial statements of Bakkt Holdings, LLC included in the Bakkt Holdings, Inc. Registration Statement on Form S-1 (File No. 333-261034), as amended, filed with the Securities and Exchange Commission.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2021</w:t>
      </w:r>
    </w:p>
    <w:p>
      <w:pPr>
        <w:sectPr>
          <w:pgSz w:w="11900" w:h="16838" w:orient="portrait"/>
          <w:cols w:equalWidth="0" w:num="1">
            <w:col w:w="11020"/>
          </w:cols>
          <w:pgMar w:left="440" w:top="121"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July 22, 2020 on the consolidated financial statements of B2S Holdings, Inc. and Subsidiaries as of and for the year ended December 31, 2019, which appears in Bakkt Holdings, Inc.’s Registration Statement on Form S-1 (File No. 333-261034).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Bennett Thrasher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2021</w:t>
      </w:r>
    </w:p>
    <w:p>
      <w:pPr>
        <w:sectPr>
          <w:pgSz w:w="11900" w:h="16838" w:orient="portrait"/>
          <w:cols w:equalWidth="0" w:num="1">
            <w:col w:w="11020"/>
          </w:cols>
          <w:pgMar w:left="440" w:top="121" w:right="4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May 21, 2021, except for the effects of the restatement disclosed in Note 2 and the subsequent event disclosed in Note 11 paragraph 5, as to which the date is December 7, 2021 relating to the consolidated financial statements of VPC Impact Acquisition Holdings, which appears in Bakkt Holdings, Inc.’s Registration Statement on Form S-1 (File No. 333-261034).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lvl w:ilvl="1">
      <w:lvlJc w:val="left"/>
      <w:lvlText w:val="(%2)"/>
      <w:numFmt w:val="decimal"/>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Letter"/>
      <w:start w:val="1"/>
    </w:lvl>
    <w:lvl w:ilvl="1">
      <w:lvlJc w:val="left"/>
      <w:lvlText w:val="(%2)"/>
      <w:numFmt w:val="decimal"/>
      <w:start w:val="2"/>
    </w:lvl>
  </w:abstractNum>
  <w:abstractNum w:abstractNumId="7">
    <w:nsid w:val="7545E146"/>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6" Type="http://schemas.openxmlformats.org/officeDocument/2006/relationships/image" Target="media/image16.png"/><Relationship Id="rId47"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jpeg"/><Relationship Id="rId51" Type="http://schemas.openxmlformats.org/officeDocument/2006/relationships/image" Target="media/image21.png"/><Relationship Id="rId52" Type="http://schemas.openxmlformats.org/officeDocument/2006/relationships/image" Target="media/image22.jpeg"/><Relationship Id="rId21" Type="http://schemas.openxmlformats.org/officeDocument/2006/relationships/hyperlink" Target="http://www.sec.gov/Archives/edgar/data/0001820302/000119312521357992/d226097d424b3.htm" TargetMode="External"/><Relationship Id="rId22" Type="http://schemas.openxmlformats.org/officeDocument/2006/relationships/hyperlink" Target="http://www.sec.gov/ix?doc=/Archives/edgar/data/0001820302/000119312521351448/d226097ds1a.htm#rom226097_16" TargetMode="External"/><Relationship Id="rId23" Type="http://schemas.openxmlformats.org/officeDocument/2006/relationships/hyperlink" Target="http://www.sec.gov/Archives/edgar/data/0001820302/000119312521170116/d68617d10q.htm" TargetMode="External"/><Relationship Id="rId24" Type="http://schemas.openxmlformats.org/officeDocument/2006/relationships/hyperlink" Target="http://www.sec.gov/ix?doc=/Archives/edgar/data/0001820302/000119312521246094/d182407d10q.htm" TargetMode="External"/><Relationship Id="rId25" Type="http://schemas.openxmlformats.org/officeDocument/2006/relationships/hyperlink" Target="http://www.sec.gov/ix?doc=/Archives/edgar/data/0001820302/000119312521297787/d238345d10q.htm" TargetMode="External"/><Relationship Id="rId26" Type="http://schemas.openxmlformats.org/officeDocument/2006/relationships/hyperlink" Target="http://www.sec.gov/ix?doc=/Archives/edgar/data/0001820302/000119312521350610/d120886d10qa.htm" TargetMode="External"/><Relationship Id="rId27" Type="http://schemas.openxmlformats.org/officeDocument/2006/relationships/hyperlink" Target="http://www.sec.gov/ix?doc=/Archives/edgar/data/0001820302/000119312521341222/d250804d8k.htm" TargetMode="External"/><Relationship Id="rId28" Type="http://schemas.openxmlformats.org/officeDocument/2006/relationships/hyperlink" Target="http://www.sec.gov/ix?doc=/Archives/edgar/data/0001820302/000119312521335953/d248793d8k.htm" TargetMode="External"/><Relationship Id="rId29" Type="http://schemas.openxmlformats.org/officeDocument/2006/relationships/hyperlink" Target="http://www.sec.gov/ix?doc=/Archives/edgar/data/0001820302/000119312521332560/d258255d8k.htm" TargetMode="External"/><Relationship Id="rId30" Type="http://schemas.openxmlformats.org/officeDocument/2006/relationships/hyperlink" Target="http://www.sec.gov/ix?doc=/Archives/edgar/data/0001820302/000119312521327401/d262546d8k.htm" TargetMode="External"/><Relationship Id="rId31" Type="http://schemas.openxmlformats.org/officeDocument/2006/relationships/hyperlink" Target="http://www.sec.gov/ix?doc=/Archives/edgar/data/0001820302/000119312521327389/d22901d8ka.htm" TargetMode="External"/><Relationship Id="rId32" Type="http://schemas.openxmlformats.org/officeDocument/2006/relationships/hyperlink" Target="http://www.sec.gov/ix?doc=/Archives/edgar/data/0001820302/000119312521303985/d219325d8k.htm" TargetMode="External"/><Relationship Id="rId33" Type="http://schemas.openxmlformats.org/officeDocument/2006/relationships/hyperlink" Target="http://www.sec.gov/ix?doc=/Archives/edgar/data/0001820302/000119312521298929/d230383d8k.htm" TargetMode="External"/><Relationship Id="rId34" Type="http://schemas.openxmlformats.org/officeDocument/2006/relationships/hyperlink" Target="http://www.sec.gov/ix?doc=/Archives/edgar/data/0001820302/000119312521292273/d221777d8k.htm" TargetMode="External"/><Relationship Id="rId35" Type="http://schemas.openxmlformats.org/officeDocument/2006/relationships/hyperlink" Target="http://www.sec.gov/ix?doc=/Archives/edgar/data/0001820302/000119312521286927/d204551d8k.htm" TargetMode="External"/><Relationship Id="rId36" Type="http://schemas.openxmlformats.org/officeDocument/2006/relationships/hyperlink" Target="http://www.sec.gov/ix?doc=/Archives/edgar/data/0001820302/000119312521266104/d228822d8k.htm" TargetMode="External"/><Relationship Id="rId37" Type="http://schemas.openxmlformats.org/officeDocument/2006/relationships/hyperlink" Target="http://www.sec.gov/Archives/edgar/data/0001820302/000119312521169591/d101706d8k.htm" TargetMode="External"/><Relationship Id="rId38" Type="http://schemas.openxmlformats.org/officeDocument/2006/relationships/hyperlink" Target="http://www.sec.gov/Archives/edgar/data/0001820302/000119312521101249/d107545d8k.htm" TargetMode="External"/><Relationship Id="rId39" Type="http://schemas.openxmlformats.org/officeDocument/2006/relationships/hyperlink" Target="http://www.sec.gov/Archives/edgar/data/0001820302/000119312521005832/d913171d8k.htm" TargetMode="External"/><Relationship Id="rId42" Type="http://schemas.openxmlformats.org/officeDocument/2006/relationships/hyperlink" Target="http://www.sec.gov/Archives/edgar/data/1820302/000119312521303985/d219325dex31.htm" TargetMode="External"/><Relationship Id="rId43" Type="http://schemas.openxmlformats.org/officeDocument/2006/relationships/hyperlink" Target="http://www.sec.gov/Archives/edgar/data/1820302/000119312521303985/d219325dex32.htm" TargetMode="External"/><Relationship Id="rId44" Type="http://schemas.openxmlformats.org/officeDocument/2006/relationships/hyperlink" Target="http://www.sec.gov/Archives/edgar/data/1820302/000119312521303985/d219325dex41.htm" TargetMode="External"/><Relationship Id="rId45" Type="http://schemas.openxmlformats.org/officeDocument/2006/relationships/hyperlink" Target="http://www.sec.gov/Archives/edgar/data/1820302/000119312521303985/d219325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2021-12-20T15:20:37Z</dcterms:created>
  <dcterms:modified xsi:type="dcterms:W3CDTF">2021-12-20T15:20:37Z</dcterms:modified>
</cp:coreProperties>
</file>