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00" w:lineRule="exact"/>
        <w:rPr>
          <w:sz w:val="24"/>
          <w:szCs w:val="24"/>
          <w:color w:val="auto"/>
        </w:rPr>
      </w:pPr>
    </w:p>
    <w:p>
      <w:pPr>
        <w:spacing w:after="0" w:line="27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 (Amendment No.         )</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70" w:lineRule="exact"/>
        <w:rPr>
          <w:sz w:val="24"/>
          <w:szCs w:val="24"/>
          <w:color w:val="auto"/>
        </w:rPr>
      </w:pPr>
    </w:p>
    <w:p>
      <w:pPr>
        <w:ind w:left="920" w:hanging="813"/>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360" w:lineRule="exact"/>
        <w:rPr>
          <w:rFonts w:ascii="MS PGothic" w:cs="MS PGothic" w:eastAsia="MS PGothic" w:hAnsi="MS PGothic"/>
          <w:sz w:val="18"/>
          <w:szCs w:val="18"/>
          <w:color w:val="auto"/>
        </w:rPr>
      </w:pPr>
    </w:p>
    <w:p>
      <w:pPr>
        <w:ind w:left="440" w:hanging="33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346" w:lineRule="exact"/>
        <w:rPr>
          <w:rFonts w:ascii="MS PGothic" w:cs="MS PGothic" w:eastAsia="MS PGothic" w:hAnsi="MS PGothic"/>
          <w:sz w:val="18"/>
          <w:szCs w:val="18"/>
          <w:color w:val="auto"/>
        </w:rPr>
      </w:pPr>
    </w:p>
    <w:p>
      <w:pPr>
        <w:ind w:left="980" w:hanging="87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360" w:lineRule="exact"/>
        <w:rPr>
          <w:sz w:val="24"/>
          <w:szCs w:val="24"/>
          <w:color w:val="auto"/>
        </w:rPr>
      </w:pPr>
    </w:p>
    <w:p>
      <w:pPr>
        <w:ind w:left="980" w:hanging="873"/>
        <w:spacing w:after="0"/>
        <w:tabs>
          <w:tab w:leader="none" w:pos="9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360" w:lineRule="exact"/>
        <w:rPr>
          <w:sz w:val="24"/>
          <w:szCs w:val="24"/>
          <w:color w:val="auto"/>
        </w:rPr>
      </w:pPr>
    </w:p>
    <w:p>
      <w:pPr>
        <w:ind w:left="720" w:hanging="613"/>
        <w:spacing w:after="0"/>
        <w:tabs>
          <w:tab w:leader="none" w:pos="7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32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270" w:lineRule="exact"/>
        <w:rPr>
          <w:sz w:val="24"/>
          <w:szCs w:val="24"/>
          <w:color w:val="auto"/>
        </w:rPr>
      </w:pPr>
    </w:p>
    <w:p>
      <w:pPr>
        <w:ind w:left="680" w:hanging="573"/>
        <w:spacing w:after="0"/>
        <w:tabs>
          <w:tab w:leader="none" w:pos="6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347" w:lineRule="exact"/>
        <w:rPr>
          <w:sz w:val="24"/>
          <w:szCs w:val="24"/>
          <w:color w:val="auto"/>
        </w:rPr>
      </w:pPr>
    </w:p>
    <w:p>
      <w:pPr>
        <w:ind w:left="640" w:hanging="533"/>
        <w:spacing w:after="0"/>
        <w:tabs>
          <w:tab w:leader="none" w:pos="6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60" w:lineRule="exact"/>
        <w:rPr>
          <w:rFonts w:ascii="MS PGothic" w:cs="MS PGothic" w:eastAsia="MS PGothic" w:hAnsi="MS PGothic"/>
          <w:sz w:val="18"/>
          <w:szCs w:val="18"/>
          <w:color w:val="auto"/>
        </w:rPr>
      </w:pPr>
    </w:p>
    <w:p>
      <w:pPr>
        <w:ind w:left="380" w:hanging="273"/>
        <w:spacing w:after="0"/>
        <w:tabs>
          <w:tab w:leader="none" w:pos="3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1239520</wp:posOffset>
            </wp:positionH>
            <wp:positionV relativeFrom="paragraph">
              <wp:posOffset>420370</wp:posOffset>
            </wp:positionV>
            <wp:extent cx="4663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445770</wp:posOffset>
            </wp:positionV>
            <wp:extent cx="466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jc w:val="center"/>
        <w:spacing w:after="0"/>
        <w:rPr>
          <w:sz w:val="20"/>
          <w:szCs w:val="20"/>
          <w:color w:val="auto"/>
        </w:rPr>
      </w:pPr>
      <w:r>
        <w:rPr>
          <w:rFonts w:ascii="Times New Roman" w:cs="Times New Roman" w:eastAsia="Times New Roman" w:hAnsi="Times New Roman"/>
          <w:sz w:val="22"/>
          <w:szCs w:val="22"/>
          <w:b w:val="1"/>
          <w:bCs w:val="1"/>
          <w:color w:val="auto"/>
        </w:rPr>
        <w:t>June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64770</wp:posOffset>
            </wp:positionV>
            <wp:extent cx="2511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2"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3700" w:type="dxa"/>
            <w:vAlign w:val="bottom"/>
          </w:tcPr>
          <w:p>
            <w:pPr>
              <w:jc w:val="center"/>
              <w:ind w:right="19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920" w:type="dxa"/>
            <w:vAlign w:val="bottom"/>
          </w:tcPr>
          <w:p>
            <w:pPr>
              <w:jc w:val="center"/>
              <w:ind w:left="1721"/>
              <w:spacing w:after="0"/>
              <w:rPr>
                <w:sz w:val="20"/>
                <w:szCs w:val="20"/>
                <w:color w:val="auto"/>
              </w:rPr>
            </w:pPr>
            <w:r>
              <w:rPr>
                <w:rFonts w:ascii="Times New Roman" w:cs="Times New Roman" w:eastAsia="Times New Roman" w:hAnsi="Times New Roman"/>
                <w:sz w:val="18"/>
                <w:szCs w:val="18"/>
                <w:b w:val="1"/>
                <w:bCs w:val="1"/>
                <w:color w:val="auto"/>
              </w:rPr>
              <w:t>98-1550750</w:t>
            </w:r>
          </w:p>
        </w:tc>
        <w:tc>
          <w:tcPr>
            <w:tcW w:w="0" w:type="dxa"/>
            <w:vAlign w:val="bottom"/>
          </w:tcPr>
          <w:p>
            <w:pPr>
              <w:spacing w:after="0"/>
              <w:rPr>
                <w:sz w:val="1"/>
                <w:szCs w:val="1"/>
                <w:color w:val="auto"/>
              </w:rPr>
            </w:pPr>
          </w:p>
        </w:tc>
      </w:tr>
      <w:tr>
        <w:trPr>
          <w:trHeight w:val="162"/>
        </w:trPr>
        <w:tc>
          <w:tcPr>
            <w:tcW w:w="3700" w:type="dxa"/>
            <w:vAlign w:val="bottom"/>
          </w:tcPr>
          <w:p>
            <w:pPr>
              <w:jc w:val="center"/>
              <w:ind w:right="197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920" w:type="dxa"/>
            <w:vAlign w:val="bottom"/>
          </w:tcPr>
          <w:p>
            <w:pPr>
              <w:jc w:val="center"/>
              <w:ind w:left="172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206"/>
        </w:trPr>
        <w:tc>
          <w:tcPr>
            <w:tcW w:w="3700" w:type="dxa"/>
            <w:vAlign w:val="bottom"/>
          </w:tcPr>
          <w:p>
            <w:pPr>
              <w:jc w:val="center"/>
              <w:ind w:right="1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20" w:type="dxa"/>
            <w:vAlign w:val="bottom"/>
          </w:tcPr>
          <w:p>
            <w:pPr>
              <w:jc w:val="center"/>
              <w:ind w:left="172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52"/>
        </w:trPr>
        <w:tc>
          <w:tcPr>
            <w:tcW w:w="37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400" w:type="dxa"/>
            <w:vAlign w:val="bottom"/>
          </w:tcPr>
          <w:p>
            <w:pPr>
              <w:spacing w:after="0"/>
              <w:rPr>
                <w:sz w:val="24"/>
                <w:szCs w:val="24"/>
                <w:color w:val="auto"/>
              </w:rPr>
            </w:pPr>
          </w:p>
        </w:tc>
        <w:tc>
          <w:tcPr>
            <w:tcW w:w="2920" w:type="dxa"/>
            <w:vAlign w:val="bottom"/>
            <w:vMerge w:val="restart"/>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30009</w:t>
            </w:r>
          </w:p>
        </w:tc>
        <w:tc>
          <w:tcPr>
            <w:tcW w:w="0" w:type="dxa"/>
            <w:vAlign w:val="bottom"/>
          </w:tcPr>
          <w:p>
            <w:pPr>
              <w:spacing w:after="0"/>
              <w:rPr>
                <w:sz w:val="1"/>
                <w:szCs w:val="1"/>
                <w:color w:val="auto"/>
              </w:rPr>
            </w:pPr>
          </w:p>
        </w:tc>
      </w:tr>
      <w:tr>
        <w:trPr>
          <w:trHeight w:val="130"/>
        </w:trPr>
        <w:tc>
          <w:tcPr>
            <w:tcW w:w="3700" w:type="dxa"/>
            <w:vAlign w:val="bottom"/>
            <w:vMerge w:val="restart"/>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40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700" w:type="dxa"/>
            <w:vAlign w:val="bottom"/>
            <w:vMerge w:val="continue"/>
          </w:tcPr>
          <w:p>
            <w:pPr>
              <w:spacing w:after="0"/>
              <w:rPr>
                <w:sz w:val="9"/>
                <w:szCs w:val="9"/>
                <w:color w:val="auto"/>
              </w:rPr>
            </w:pPr>
          </w:p>
        </w:tc>
        <w:tc>
          <w:tcPr>
            <w:tcW w:w="24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37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0" w:type="dxa"/>
            <w:vAlign w:val="bottom"/>
          </w:tcPr>
          <w:p>
            <w:pPr>
              <w:spacing w:after="0"/>
              <w:rPr>
                <w:sz w:val="17"/>
                <w:szCs w:val="17"/>
                <w:color w:val="auto"/>
              </w:rPr>
            </w:pPr>
          </w:p>
        </w:tc>
        <w:tc>
          <w:tcPr>
            <w:tcW w:w="292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191135</wp:posOffset>
            </wp:positionV>
            <wp:extent cx="25114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0"/>
          <w:szCs w:val="20"/>
          <w:color w:val="auto"/>
        </w:rPr>
      </w:pPr>
    </w:p>
    <w:p>
      <w:pPr>
        <w:ind w:left="320" w:hanging="245"/>
        <w:spacing w:after="0"/>
        <w:tabs>
          <w:tab w:leader="none" w:pos="3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0"/>
          <w:szCs w:val="20"/>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of 2025 Annual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10, 2025, Bakkt Holdings, Inc. (the “Company”) called to order its 2025 Annual Meeting of Stockholders (the “2025 Annual Meeting”). At the 2025 Annual Meeting, there were present or represented by proxy a sufficient number of shares representing the Company’s common stock to constitute a quorum. The Chairman of the meeting adjourned the 2025 Annual Meeting without opening the polls on the matters that were scheduled to be submitted to a vote of the Company’s stockholders at the 2025 Annual Meeting.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2025 Annual Meeting was adjourned to allow stockholders additional time to consider the supplements to the Company’s Definitive Proxy Statement, dated April 28, 2025 (as supplemented, the “Proxy Statement”), with respect to updates to the Company’s investment policy to enable it to allocate capital into Bitcoin and other digital assets as part of its broader treasury and corporate strategy, as well as related matters, filed on a Current Report on Form 8-K and as additional solicitation material with the Securities and Exchange Commission (“SEC”) on June 10, 2025.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2025 Annual Meeting is adjourned until June 17, 2025 at 10:00 a.m. Eastern Time. At that time, the 2025 Annual Meeting will be reconvened to vote on the proposals described in the Proxy Statement.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2025 Annual Meeting will still be a completely virtual meeting. Stockholders will be able to attend, vote at, and submit questions during the reconvened 2025 Annual Meeting on June 17, 2025 using the same process and access information that they used in connection with the originally scheduled 2025 Annual Meeting, the details of which are set forth in the Proxy Statement. To be more specific, stockholders will be able to attend, vote at and submit questions during the reconvened 2025 Annual Meeting on June 17, 2025 by visiting www.virtualshareholdermeeting.com/BKKT2025 and entering the control number included in their notice of internet availability of proxy materials, on their proxy card or in the instructions that accompanied their proxy materials. The website address above shall not be deemed to be incorporated by reference herein.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intend to change the record date for the 2025 Annual Meeting. Accordingly, only stockholders of record at the close of business on April 14, 2025 will be entitled to vote at the reconvened 2025 Annual Meeting.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Until the 2025 Annual Meeting is reconvened on June 17, 2025, the Company will continue to solicit proxies from its stockholders with respect to the proposals set forth in the Proxy Statement.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Stockholders of the Company who have previously submitted their proxy or otherwise voted and who do not want to change their vote do not need to take any action.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changes have been made in the proposals to be voted on by the stockholders at the 2025 Annual Meeting.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This Current Report may be deemed to be solicitation material in respect of the solicitation of proxies from stockholders for the 2025 Annual Meeting. </w:t>
      </w:r>
      <w:r>
        <w:rPr>
          <w:rFonts w:ascii="Times New Roman" w:cs="Times New Roman" w:eastAsia="Times New Roman" w:hAnsi="Times New Roman"/>
          <w:sz w:val="18"/>
          <w:szCs w:val="18"/>
          <w:b w:val="1"/>
          <w:bCs w:val="1"/>
          <w:color w:val="auto"/>
        </w:rPr>
        <w:t>Before making any voting decision, the Company strongly encourages all of its stockholders to read the Proxy Statement (including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amendments or supplements thereto) and other proxy materials relating to the 2025 Annual Meeting, including this Current Report, which are available free of charge on the SEC’s website at www.sec.gov.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U.S. Securities Act of 1933, as amended, and Section 21E of the U.S. Securities and Exchange Act of 1934, as amended.</w:t>
      </w:r>
    </w:p>
    <w:p>
      <w:pPr>
        <w:sectPr>
          <w:pgSz w:w="11900" w:h="16838" w:orient="portrait"/>
          <w:cols w:equalWidth="0" w:num="1">
            <w:col w:w="11240"/>
          </w:cols>
          <w:pgMar w:left="320" w:top="1413" w:right="339" w:bottom="1440" w:gutter="0" w:footer="0" w:header="0"/>
        </w:sectPr>
      </w:pPr>
    </w:p>
    <w:bookmarkStart w:id="3" w:name="page4"/>
    <w:bookmarkEnd w:id="3"/>
    <w:p>
      <w:pPr>
        <w:jc w:val="both"/>
        <w:spacing w:after="0" w:line="255" w:lineRule="auto"/>
        <w:rPr>
          <w:sz w:val="20"/>
          <w:szCs w:val="20"/>
          <w:color w:val="auto"/>
        </w:rPr>
      </w:pPr>
      <w:r>
        <w:rPr>
          <w:rFonts w:ascii="Times New Roman" w:cs="Times New Roman" w:eastAsia="Times New Roman" w:hAnsi="Times New Roman"/>
          <w:sz w:val="18"/>
          <w:szCs w:val="18"/>
          <w:color w:val="auto"/>
        </w:rPr>
        <w:t>Such statements include, but are not limited to, statements regarding the Company’s plans with respect to the 2025 Annual Meeting.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Actual results and the timing of events may differ materially from the results anticipated in such forward-looking statements as a result of the following factors, among others: the Company’s ability to continue as a going concern; the Company’s ability to grow and manage growth profitably; the possibility that the Company may be unable to obtain the applicable regulatory approvals to execute on the cooperation agreement with Distributed Technologies Research Global Ltd. (“DTR”); finalizing the proposed commercial agreement with DTR, including whether such agreement will be executed on terms favorable to the Company or if at all, or be completed on the expected timeline, and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the treasury strategy;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as amended; competition by other Bitcoin treasury companies and the availability of spot-traded products for Bitcoin; enhanced regulatory oversight as a result of the Company’s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treasury strategy; the Company’s future capital requirements and sources and uses of cash, including funds to satisfy its liquidity needs and continued access to the line of credit extended by Intercontinental Holdings, Inc.;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7" w:right="3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18"/>
          <w:szCs w:val="18"/>
          <w:color w:val="auto"/>
        </w:rPr>
        <w:t>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ability to successfully complete a strategic transaction of the Loyalty business;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most recent quarterly report on Form 10-Q for the quarter ended March 31, 2025, and the risks regarding the Company’s adoption of its updated investment policy set forth in Exhibit 99.1 to the Current Report on Form 8-K filed with the SEC on June 10, 2025.</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such forward-looking statements. Such forward-looking statements relate only to events as of the date on which such statements are made and are based on information available to us as of the date of this Current Report.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June 10, 2025</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-7620</wp:posOffset>
            </wp:positionV>
            <wp:extent cx="10915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1565"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x"/>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2025-06-11T05:19:37Z</dcterms:created>
  <dcterms:modified xsi:type="dcterms:W3CDTF">2025-06-11T05:19:37Z</dcterms:modified>
</cp:coreProperties>
</file>