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0"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60"/>
        <w:spacing w:after="0" w:line="25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6"/>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5292090</wp:posOffset>
            </wp:positionH>
            <wp:positionV relativeFrom="paragraph">
              <wp:posOffset>-597535</wp:posOffset>
            </wp:positionV>
            <wp:extent cx="8255" cy="5981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598170"/>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-605790</wp:posOffset>
            </wp:positionV>
            <wp:extent cx="8255" cy="6064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06425"/>
                    </a:xfrm>
                    <a:prstGeom prst="rect">
                      <a:avLst/>
                    </a:prstGeom>
                    <a:noFill/>
                  </pic:spPr>
                </pic:pic>
              </a:graphicData>
            </a:graphic>
          </wp:anchor>
        </w:drawing>
        <w:drawing>
          <wp:anchor simplePos="0" relativeHeight="251657728" behindDoc="1" locked="0" layoutInCell="0" allowOverlap="1">
            <wp:simplePos x="0" y="0"/>
            <wp:positionH relativeFrom="column">
              <wp:posOffset>4006850</wp:posOffset>
            </wp:positionH>
            <wp:positionV relativeFrom="paragraph">
              <wp:posOffset>-581660</wp:posOffset>
            </wp:positionV>
            <wp:extent cx="1269365" cy="5581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5816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-1636395</wp:posOffset>
            </wp:positionH>
            <wp:positionV relativeFrom="paragraph">
              <wp:posOffset>34290</wp:posOffset>
            </wp:positionV>
            <wp:extent cx="6969760" cy="18675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9760" cy="186753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line="253" w:lineRule="auto"/>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VPC Impact Acquisition Holdings Sponsor,</w:t>
        </w:r>
      </w:hyperlink>
      <w:r>
        <w:rPr>
          <w:rFonts w:ascii="Times New Roman" w:cs="Times New Roman" w:eastAsia="Times New Roman" w:hAnsi="Times New Roman"/>
          <w:sz w:val="20"/>
          <w:szCs w:val="20"/>
          <w:u w:val="single" w:color="auto"/>
          <w:color w:val="0000EE"/>
        </w:rPr>
        <w:t xml:space="preserve"> </w:t>
      </w:r>
      <w:hyperlink r:id="rId13">
        <w:r>
          <w:rPr>
            <w:rFonts w:ascii="Times New Roman" w:cs="Times New Roman" w:eastAsia="Times New Roman" w:hAnsi="Times New Roman"/>
            <w:sz w:val="20"/>
            <w:szCs w:val="20"/>
            <w:u w:val="single" w:color="auto"/>
            <w:color w:val="0000EE"/>
          </w:rPr>
          <w:t>LLC</w:t>
        </w:r>
      </w:hyperlink>
    </w:p>
    <w:p>
      <w:pPr>
        <w:spacing w:after="0" w:line="266"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0"/>
          <w:szCs w:val="20"/>
          <w:color w:val="auto"/>
        </w:rPr>
      </w:pPr>
    </w:p>
    <w:p>
      <w:pPr>
        <w:ind w:left="120" w:right="80"/>
        <w:spacing w:after="0" w:line="373" w:lineRule="auto"/>
        <w:rPr>
          <w:sz w:val="20"/>
          <w:szCs w:val="20"/>
          <w:color w:val="auto"/>
        </w:rPr>
      </w:pPr>
      <w:r>
        <w:rPr>
          <w:rFonts w:ascii="Times New Roman" w:cs="Times New Roman" w:eastAsia="Times New Roman" w:hAnsi="Times New Roman"/>
          <w:sz w:val="16"/>
          <w:szCs w:val="16"/>
          <w:color w:val="0000FF"/>
        </w:rPr>
        <w:t>C/O VICTORY PARK CAPITAL ADVISORS, LLC 150 NORTH RIVERSIDE PLAZA, SUITE 5200</w:t>
      </w:r>
    </w:p>
    <w:p>
      <w:pPr>
        <w:spacing w:after="0" w:line="150"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0"/>
          <w:szCs w:val="20"/>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CHICAGO</w:t>
      </w:r>
      <w:r>
        <w:rPr>
          <w:sz w:val="20"/>
          <w:szCs w:val="20"/>
          <w:color w:val="auto"/>
        </w:rPr>
        <w:tab/>
      </w:r>
      <w:r>
        <w:rPr>
          <w:rFonts w:ascii="Times New Roman" w:cs="Times New Roman" w:eastAsia="Times New Roman" w:hAnsi="Times New Roman"/>
          <w:sz w:val="17"/>
          <w:szCs w:val="17"/>
          <w:color w:val="0000FF"/>
        </w:rPr>
        <w:t>IL</w:t>
      </w:r>
      <w:r>
        <w:rPr>
          <w:sz w:val="20"/>
          <w:szCs w:val="20"/>
          <w:color w:val="auto"/>
        </w:rPr>
        <w:tab/>
      </w:r>
      <w:r>
        <w:rPr>
          <w:rFonts w:ascii="Times New Roman" w:cs="Times New Roman" w:eastAsia="Times New Roman" w:hAnsi="Times New Roman"/>
          <w:sz w:val="16"/>
          <w:szCs w:val="16"/>
          <w:color w:val="0000FF"/>
        </w:rPr>
        <w:t>60606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2"/>
          </w:tcPr>
          <w:p>
            <w:pPr>
              <w:ind w:left="80"/>
              <w:spacing w:after="0" w:line="140"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u w:val="single" w:color="auto"/>
                  <w:color w:val="0000EE"/>
                </w:rPr>
                <w:t>VPC Impact Acquisition Holdings</w:t>
              </w:r>
              <w:r>
                <w:rPr>
                  <w:rFonts w:ascii="Times New Roman" w:cs="Times New Roman" w:eastAsia="Times New Roman" w:hAnsi="Times New Roman"/>
                  <w:sz w:val="16"/>
                  <w:szCs w:val="16"/>
                  <w:color w:val="0000EE"/>
                </w:rPr>
                <w:t xml:space="preserve">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VIH</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200" w:type="dxa"/>
            <w:vAlign w:val="bottom"/>
          </w:tcPr>
          <w:p>
            <w:pPr>
              <w:spacing w:after="0"/>
              <w:rPr>
                <w:sz w:val="19"/>
                <w:szCs w:val="19"/>
                <w:color w:val="auto"/>
              </w:rPr>
            </w:pPr>
          </w:p>
        </w:tc>
        <w:tc>
          <w:tcPr>
            <w:tcW w:w="3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85"/>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4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2"/>
                <w:szCs w:val="12"/>
                <w:color w:val="auto"/>
              </w:rPr>
            </w:pPr>
          </w:p>
        </w:tc>
        <w:tc>
          <w:tcPr>
            <w:tcW w:w="1480" w:type="dxa"/>
            <w:vAlign w:val="bottom"/>
          </w:tcPr>
          <w:p>
            <w:pPr>
              <w:ind w:left="400"/>
              <w:spacing w:after="0" w:line="146" w:lineRule="exact"/>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line="146"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3"/>
        </w:trPr>
        <w:tc>
          <w:tcPr>
            <w:tcW w:w="200" w:type="dxa"/>
            <w:vAlign w:val="bottom"/>
            <w:vMerge w:val="continue"/>
          </w:tcPr>
          <w:p>
            <w:pPr>
              <w:spacing w:after="0"/>
              <w:rPr>
                <w:sz w:val="2"/>
                <w:szCs w:val="2"/>
                <w:color w:val="auto"/>
              </w:rPr>
            </w:pPr>
          </w:p>
        </w:tc>
        <w:tc>
          <w:tcPr>
            <w:tcW w:w="3640" w:type="dxa"/>
            <w:vAlign w:val="bottom"/>
            <w:vMerge w:val="continue"/>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8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10/01/2020</w:t>
            </w: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7"/>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3" w:lineRule="exact"/>
        <w:rPr>
          <w:sz w:val="20"/>
          <w:szCs w:val="20"/>
          <w:color w:val="auto"/>
        </w:rPr>
      </w:pPr>
    </w:p>
    <w:tbl>
      <w:tblPr>
        <w:tblLayout w:type="fixed"/>
        <w:tblInd w:w="4100" w:type="dxa"/>
        <w:tblCellMar>
          <w:top w:w="0" w:type="dxa"/>
          <w:left w:w="0" w:type="dxa"/>
          <w:bottom w:w="0" w:type="dxa"/>
          <w:right w:w="0" w:type="dxa"/>
        </w:tblCellMar>
      </w:tblPr>
      <w:tr>
        <w:trPr>
          <w:trHeight w:val="171"/>
        </w:trPr>
        <w:tc>
          <w:tcPr>
            <w:tcW w:w="2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0"/>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8"/>
        </w:trPr>
        <w:tc>
          <w:tcPr>
            <w:tcW w:w="240" w:type="dxa"/>
            <w:vAlign w:val="bottom"/>
            <w:vMerge w:val="continue"/>
          </w:tcPr>
          <w:p>
            <w:pPr>
              <w:spacing w:after="0"/>
              <w:rPr>
                <w:sz w:val="10"/>
                <w:szCs w:val="10"/>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3700" w:space="140"/>
            <w:col w:w="7240"/>
          </w:cols>
          <w:pgMar w:left="460" w:top="216" w:right="359" w:bottom="0" w:gutter="0" w:footer="0" w:header="0"/>
          <w:type w:val="continuous"/>
        </w:sectPr>
      </w:pPr>
    </w:p>
    <w:p>
      <w:pPr>
        <w:spacing w:after="0" w:line="62"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77470</wp:posOffset>
            </wp:positionV>
            <wp:extent cx="6969760" cy="8648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9760" cy="864870"/>
                    </a:xfrm>
                    <a:prstGeom prst="rect">
                      <a:avLst/>
                    </a:prstGeom>
                    <a:noFill/>
                  </pic:spPr>
                </pic:pic>
              </a:graphicData>
            </a:graphic>
          </wp:anchor>
        </w:drawing>
      </w:r>
    </w:p>
    <w:p>
      <w:pPr>
        <w:spacing w:after="0" w:line="159"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820" w:type="dxa"/>
            <w:vAlign w:val="bottom"/>
          </w:tcPr>
          <w:p>
            <w:pPr>
              <w:ind w:left="820"/>
              <w:spacing w:after="0" w:line="122" w:lineRule="exact"/>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line="122"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2" w:lineRule="exact"/>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line="122" w:lineRule="exact"/>
              <w:rPr>
                <w:sz w:val="20"/>
                <w:szCs w:val="20"/>
                <w:color w:val="auto"/>
              </w:rPr>
            </w:pPr>
            <w:r>
              <w:rPr>
                <w:rFonts w:ascii="Arial" w:cs="Arial" w:eastAsia="Arial" w:hAnsi="Arial"/>
                <w:sz w:val="11"/>
                <w:szCs w:val="11"/>
                <w:b w:val="1"/>
                <w:bCs w:val="1"/>
                <w:color w:val="auto"/>
              </w:rPr>
              <w:t>Indirect</w:t>
            </w: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50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80" w:type="dxa"/>
            <w:vAlign w:val="bottom"/>
          </w:tcPr>
          <w:p>
            <w:pPr>
              <w:spacing w:after="0"/>
              <w:rPr>
                <w:sz w:val="2"/>
                <w:szCs w:val="2"/>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tcPr>
          <w:p>
            <w:pPr>
              <w:spacing w:after="0"/>
              <w:rPr>
                <w:sz w:val="2"/>
                <w:szCs w:val="2"/>
                <w:color w:val="auto"/>
              </w:rPr>
            </w:pPr>
          </w:p>
        </w:tc>
        <w:tc>
          <w:tcPr>
            <w:tcW w:w="1100" w:type="dxa"/>
            <w:vAlign w:val="bottom"/>
            <w:vMerge w:val="continue"/>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50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50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0"/>
        </w:trPr>
        <w:tc>
          <w:tcPr>
            <w:tcW w:w="20" w:type="dxa"/>
            <w:vAlign w:val="bottom"/>
            <w:tcBorders>
              <w:bottom w:val="single" w:sz="8" w:color="2C2C2C"/>
            </w:tcBorders>
          </w:tcPr>
          <w:p>
            <w:pPr>
              <w:spacing w:after="0"/>
              <w:rPr>
                <w:sz w:val="5"/>
                <w:szCs w:val="5"/>
                <w:color w:val="auto"/>
              </w:rPr>
            </w:pPr>
          </w:p>
        </w:tc>
        <w:tc>
          <w:tcPr>
            <w:tcW w:w="2500" w:type="dxa"/>
            <w:vAlign w:val="bottom"/>
            <w:tcBorders>
              <w:bottom w:val="single" w:sz="8" w:color="2C2C2C"/>
            </w:tcBorders>
          </w:tcPr>
          <w:p>
            <w:pPr>
              <w:spacing w:after="0"/>
              <w:rPr>
                <w:sz w:val="5"/>
                <w:szCs w:val="5"/>
                <w:color w:val="auto"/>
              </w:rPr>
            </w:pPr>
          </w:p>
        </w:tc>
        <w:tc>
          <w:tcPr>
            <w:tcW w:w="182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00" w:type="dxa"/>
            <w:vAlign w:val="bottom"/>
            <w:tcBorders>
              <w:top w:val="single" w:sz="8" w:color="808080"/>
            </w:tcBorders>
            <w:shd w:val="clear" w:color="auto" w:fill="2C2C2C"/>
          </w:tcPr>
          <w:p>
            <w:pPr>
              <w:spacing w:after="0" w:line="20" w:lineRule="exact"/>
              <w:rPr>
                <w:sz w:val="1"/>
                <w:szCs w:val="1"/>
                <w:color w:val="auto"/>
              </w:rPr>
            </w:pPr>
          </w:p>
        </w:tc>
        <w:tc>
          <w:tcPr>
            <w:tcW w:w="182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6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0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wp:posOffset>
            </wp:positionV>
            <wp:extent cx="7034530" cy="17386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4530" cy="1738630"/>
                    </a:xfrm>
                    <a:prstGeom prst="rect">
                      <a:avLst/>
                    </a:prstGeom>
                    <a:noFill/>
                  </pic:spPr>
                </pic:pic>
              </a:graphicData>
            </a:graphic>
          </wp:anchor>
        </w:drawing>
      </w:r>
    </w:p>
    <w:p>
      <w:pPr>
        <w:spacing w:after="0" w:line="1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35560</wp:posOffset>
            </wp:positionV>
            <wp:extent cx="7018655" cy="10509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018655" cy="1050925"/>
                    </a:xfrm>
                    <a:prstGeom prst="rect">
                      <a:avLst/>
                    </a:prstGeom>
                    <a:noFill/>
                  </pic:spPr>
                </pic:pic>
              </a:graphicData>
            </a:graphic>
          </wp:anchor>
        </w:drawing>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4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3A. Deemed</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Transaction</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4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3"/>
          </w:tcPr>
          <w:p>
            <w:pPr>
              <w:ind w:left="20"/>
              <w:spacing w:after="0"/>
              <w:rPr>
                <w:sz w:val="20"/>
                <w:szCs w:val="20"/>
                <w:color w:val="auto"/>
              </w:rPr>
            </w:pPr>
            <w:r>
              <w:rPr>
                <w:rFonts w:ascii="Arial" w:cs="Arial" w:eastAsia="Arial" w:hAnsi="Arial"/>
                <w:sz w:val="11"/>
                <w:szCs w:val="11"/>
                <w:b w:val="1"/>
                <w:bCs w:val="1"/>
                <w:color w:val="auto"/>
              </w:rPr>
              <w:t>Code (Instr.</w:t>
            </w: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2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700" w:type="dxa"/>
            <w:vAlign w:val="bottom"/>
          </w:tcPr>
          <w:p>
            <w:pPr>
              <w:spacing w:after="0"/>
              <w:rPr>
                <w:sz w:val="2"/>
                <w:szCs w:val="2"/>
                <w:color w:val="auto"/>
              </w:rPr>
            </w:pPr>
          </w:p>
        </w:tc>
        <w:tc>
          <w:tcPr>
            <w:tcW w:w="680" w:type="dxa"/>
            <w:vAlign w:val="bottom"/>
          </w:tcPr>
          <w:p>
            <w:pPr>
              <w:spacing w:after="0"/>
              <w:rPr>
                <w:sz w:val="2"/>
                <w:szCs w:val="2"/>
                <w:color w:val="auto"/>
              </w:rPr>
            </w:pPr>
          </w:p>
        </w:tc>
        <w:tc>
          <w:tcPr>
            <w:tcW w:w="6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2"/>
                <w:szCs w:val="2"/>
                <w:color w:val="auto"/>
              </w:rPr>
            </w:pPr>
          </w:p>
        </w:tc>
        <w:tc>
          <w:tcPr>
            <w:tcW w:w="920" w:type="dxa"/>
            <w:vAlign w:val="bottom"/>
            <w:vMerge w:val="continue"/>
          </w:tcPr>
          <w:p>
            <w:pPr>
              <w:spacing w:after="0"/>
              <w:rPr>
                <w:sz w:val="2"/>
                <w:szCs w:val="2"/>
                <w:color w:val="auto"/>
              </w:rPr>
            </w:pPr>
          </w:p>
        </w:tc>
        <w:tc>
          <w:tcPr>
            <w:tcW w:w="7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3"/>
            <w:vMerge w:val="restart"/>
          </w:tcPr>
          <w:p>
            <w:pPr>
              <w:ind w:left="20"/>
              <w:spacing w:after="0"/>
              <w:rPr>
                <w:sz w:val="20"/>
                <w:szCs w:val="20"/>
                <w:color w:val="auto"/>
              </w:rPr>
            </w:pPr>
            <w:r>
              <w:rPr>
                <w:rFonts w:ascii="Arial" w:cs="Arial" w:eastAsia="Arial" w:hAnsi="Arial"/>
                <w:sz w:val="11"/>
                <w:szCs w:val="11"/>
                <w:b w:val="1"/>
                <w:bCs w:val="1"/>
                <w:color w:val="auto"/>
              </w:rPr>
              <w:t>Code  V</w:t>
            </w:r>
          </w:p>
        </w:tc>
        <w:tc>
          <w:tcPr>
            <w:tcW w:w="8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  (D)</w:t>
            </w:r>
          </w:p>
        </w:tc>
        <w:tc>
          <w:tcPr>
            <w:tcW w:w="780" w:type="dxa"/>
            <w:vAlign w:val="bottom"/>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3"/>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vMerge w:val="continue"/>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Class B</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3"/>
            <w:vMerge w:val="restart"/>
          </w:tcPr>
          <w:p>
            <w:pPr>
              <w:ind w:left="80"/>
              <w:spacing w:after="0"/>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(1)</w:t>
            </w:r>
          </w:p>
        </w:tc>
        <w:tc>
          <w:tcPr>
            <w:tcW w:w="86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vMerge w:val="restart"/>
          </w:tcPr>
          <w:p>
            <w:pPr>
              <w:jc w:val="right"/>
              <w:ind w:right="224"/>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565,700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vMerge w:val="restart"/>
          </w:tcPr>
          <w:p>
            <w:pPr>
              <w:ind w:left="260"/>
              <w:spacing w:after="0"/>
              <w:rPr>
                <w:sz w:val="20"/>
                <w:szCs w:val="20"/>
                <w:color w:val="auto"/>
              </w:rPr>
            </w:pPr>
            <w:r>
              <w:rPr>
                <w:rFonts w:ascii="Times New Roman" w:cs="Times New Roman" w:eastAsia="Times New Roman" w:hAnsi="Times New Roman"/>
                <w:sz w:val="25"/>
                <w:szCs w:val="25"/>
                <w:color w:val="0000FF"/>
                <w:vertAlign w:val="subscript"/>
              </w:rPr>
              <w:t>D</w:t>
            </w:r>
            <w:r>
              <w:rPr>
                <w:rFonts w:ascii="Times New Roman" w:cs="Times New Roman" w:eastAsia="Times New Roman" w:hAnsi="Times New Roman"/>
                <w:sz w:val="11"/>
                <w:szCs w:val="11"/>
                <w:color w:val="008000"/>
              </w:rPr>
              <w:t>(3)</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780" w:type="dxa"/>
            <w:vAlign w:val="bottom"/>
            <w:vMerge w:val="continue"/>
          </w:tcPr>
          <w:p>
            <w:pPr>
              <w:spacing w:after="0"/>
              <w:rPr>
                <w:sz w:val="12"/>
                <w:szCs w:val="12"/>
                <w:color w:val="auto"/>
              </w:rPr>
            </w:pPr>
          </w:p>
        </w:tc>
        <w:tc>
          <w:tcPr>
            <w:tcW w:w="10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10/01/2020</w:t>
            </w:r>
          </w:p>
        </w:tc>
        <w:tc>
          <w:tcPr>
            <w:tcW w:w="10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86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565,700</w:t>
            </w:r>
          </w:p>
        </w:tc>
        <w:tc>
          <w:tcPr>
            <w:tcW w:w="780" w:type="dxa"/>
            <w:vAlign w:val="bottom"/>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8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ind w:left="200"/>
              <w:spacing w:after="0" w:line="141" w:lineRule="exact"/>
              <w:rPr>
                <w:sz w:val="20"/>
                <w:szCs w:val="20"/>
                <w:color w:val="auto"/>
              </w:rPr>
            </w:pPr>
            <w:r>
              <w:rPr>
                <w:rFonts w:ascii="Times New Roman" w:cs="Times New Roman" w:eastAsia="Times New Roman" w:hAnsi="Times New Roman"/>
                <w:sz w:val="13"/>
                <w:szCs w:val="13"/>
                <w:color w:val="0000FF"/>
              </w:rPr>
              <w:t>5,124,300</w:t>
            </w:r>
          </w:p>
        </w:tc>
        <w:tc>
          <w:tcPr>
            <w:tcW w:w="72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60" w:type="dxa"/>
            <w:vAlign w:val="bottom"/>
            <w:tcBorders>
              <w:bottom w:val="single" w:sz="8" w:color="2C2C2C"/>
            </w:tcBorders>
            <w:gridSpan w:val="3"/>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40" w:type="dxa"/>
            <w:vAlign w:val="bottom"/>
            <w:tcBorders>
              <w:top w:val="single" w:sz="8" w:color="2C2C2C"/>
            </w:tcBorders>
            <w:gridSpan w:val="4"/>
          </w:tcPr>
          <w:p>
            <w:pPr>
              <w:ind w:left="60"/>
              <w:spacing w:after="0" w:line="228"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280" w:type="dxa"/>
            <w:vAlign w:val="bottom"/>
            <w:gridSpan w:val="8"/>
          </w:tcPr>
          <w:p>
            <w:pPr>
              <w:ind w:left="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VPC Impact Acquisition Holdings Sponsor, LLC</w:t>
              </w:r>
            </w:hyperlink>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6"/>
              </w:rPr>
              <w:t>C/O VICTORY PARK CAPITAL ADVISORS, LLC</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150 NORTH RIVERSIDE PLAZA, SUITE 5200</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60606</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460" w:type="dxa"/>
            <w:vAlign w:val="bottom"/>
            <w:tcBorders>
              <w:bottom w:val="single" w:sz="8" w:color="2C2C2C"/>
            </w:tcBorders>
            <w:gridSpan w:val="3"/>
          </w:tcPr>
          <w:p>
            <w:pPr>
              <w:spacing w:after="0"/>
              <w:rPr>
                <w:sz w:val="6"/>
                <w:szCs w:val="6"/>
                <w:color w:val="auto"/>
              </w:rPr>
            </w:pPr>
          </w:p>
        </w:tc>
        <w:tc>
          <w:tcPr>
            <w:tcW w:w="10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2"/>
          </w:tcPr>
          <w:p>
            <w:pPr>
              <w:ind w:left="20"/>
              <w:spacing w:after="0"/>
              <w:rPr>
                <w:rFonts w:ascii="Times New Roman" w:cs="Times New Roman" w:eastAsia="Times New Roman" w:hAnsi="Times New Roman"/>
                <w:sz w:val="20"/>
                <w:szCs w:val="20"/>
                <w:u w:val="single" w:color="auto"/>
                <w:color w:val="0000EE"/>
              </w:rPr>
            </w:pPr>
            <w:hyperlink r:id="rId18">
              <w:r>
                <w:rPr>
                  <w:rFonts w:ascii="Times New Roman" w:cs="Times New Roman" w:eastAsia="Times New Roman" w:hAnsi="Times New Roman"/>
                  <w:sz w:val="20"/>
                  <w:szCs w:val="20"/>
                  <w:u w:val="single" w:color="auto"/>
                  <w:color w:val="0000EE"/>
                </w:rPr>
                <w:t>Levy Richard N</w:t>
              </w:r>
            </w:hyperlink>
          </w:p>
        </w:tc>
        <w:tc>
          <w:tcPr>
            <w:tcW w:w="10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gridSpan w:val="2"/>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(Last)</w:t>
            </w:r>
          </w:p>
        </w:tc>
        <w:tc>
          <w:tcPr>
            <w:tcW w:w="78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gridSpan w:val="2"/>
          </w:tcPr>
          <w:p>
            <w:pPr>
              <w:ind w:left="36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6"/>
              </w:rPr>
              <w:t>C/O VICTORY PARK CAPITAL ADVISORS, LLC</w:t>
            </w:r>
          </w:p>
        </w:tc>
        <w:tc>
          <w:tcPr>
            <w:tcW w:w="6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54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rPr>
              <w:t>150 NORTH RIVERSIDE PLAZA, SUITE 5200</w:t>
            </w: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CHICAGO</w:t>
            </w:r>
          </w:p>
        </w:tc>
        <w:tc>
          <w:tcPr>
            <w:tcW w:w="10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IL</w:t>
            </w:r>
          </w:p>
        </w:tc>
        <w:tc>
          <w:tcPr>
            <w:tcW w:w="10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60606</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gridSpan w:val="2"/>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780" w:type="dxa"/>
            <w:vAlign w:val="bottom"/>
          </w:tcPr>
          <w:p>
            <w:pPr>
              <w:spacing w:after="0"/>
              <w:rPr>
                <w:sz w:val="24"/>
                <w:szCs w:val="24"/>
                <w:color w:val="auto"/>
              </w:rPr>
            </w:pPr>
          </w:p>
        </w:tc>
        <w:tc>
          <w:tcPr>
            <w:tcW w:w="1080" w:type="dxa"/>
            <w:vAlign w:val="bottom"/>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gridSpan w:val="2"/>
          </w:tcPr>
          <w:p>
            <w:pPr>
              <w:ind w:left="36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-3719830</wp:posOffset>
            </wp:positionV>
            <wp:extent cx="7026275" cy="37839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7026275" cy="3783965"/>
                    </a:xfrm>
                    <a:prstGeom prst="rect">
                      <a:avLst/>
                    </a:prstGeom>
                    <a:noFill/>
                  </pic:spPr>
                </pic:pic>
              </a:graphicData>
            </a:graphic>
          </wp:anchor>
        </w:drawing>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7" w:lineRule="exact"/>
        <w:rPr>
          <w:sz w:val="20"/>
          <w:szCs w:val="20"/>
          <w:color w:val="auto"/>
        </w:rPr>
      </w:pPr>
    </w:p>
    <w:p>
      <w:pPr>
        <w:ind w:left="40" w:right="18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October 1, 2020, VPC Impact Acquisition Holdings Sponsor, LLC forfeited at no cost 565,700 shares of Class B common stock of the Issuer in connection with the election by the underwriters of the Issuer's initial public offering of units to exercise an option granted to them to cover over-allotments in part and not in full.</w:t>
      </w:r>
    </w:p>
    <w:p>
      <w:pPr>
        <w:spacing w:after="0" w:line="19" w:lineRule="exact"/>
        <w:rPr>
          <w:rFonts w:ascii="Times New Roman" w:cs="Times New Roman" w:eastAsia="Times New Roman" w:hAnsi="Times New Roman"/>
          <w:sz w:val="13"/>
          <w:szCs w:val="13"/>
          <w:color w:val="008000"/>
        </w:rPr>
      </w:pPr>
    </w:p>
    <w:p>
      <w:pPr>
        <w:ind w:left="40" w:right="160"/>
        <w:spacing w:after="0" w:line="250"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of Class B common stock are convertible for shares of the Issuer's Class A common stock as described under the heading "Description of Securities" in the Issuer's Registration Statement on Form S-1 (File No. 333- 248619) (the "Registration Statement") and have no expiration date.</w:t>
      </w:r>
    </w:p>
    <w:p>
      <w:pPr>
        <w:spacing w:after="0" w:line="19"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is the record holder of the securities reported herein. Richard N. Levy, as Chief Executive Officer and Founder of Victory Park Capital Advisors, LLC, has voting and investment discretion with respect to the securities held of record by VPC Impact Acquisition Holdings Sponsor, LLC. Mr. Levy disclaims any beneficial ownership of the securities held by VPC Impact Acquisition Holdings Sponsor, LLC other than to the extent of any pecuniary interest he may have therein, directly or indirectly.</w:t>
      </w:r>
    </w:p>
    <w:p>
      <w:pPr>
        <w:spacing w:after="0" w:line="20"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1080"/>
          </w:cols>
          <w:pgMar w:left="460" w:top="216" w:right="359" w:bottom="0" w:gutter="0" w:footer="0" w:header="0"/>
          <w:type w:val="continuous"/>
        </w:sectPr>
      </w:pPr>
    </w:p>
    <w:p>
      <w:pPr>
        <w:spacing w:after="0" w:line="67"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Roxane Picard, Attorney-in-  10/01/2020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-3175</wp:posOffset>
            </wp:positionV>
            <wp:extent cx="187769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spacing w:after="0" w:line="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4189730</wp:posOffset>
            </wp:positionH>
            <wp:positionV relativeFrom="paragraph">
              <wp:posOffset>-17780</wp:posOffset>
            </wp:positionV>
            <wp:extent cx="8788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878840" cy="8255"/>
                    </a:xfrm>
                    <a:prstGeom prst="rect">
                      <a:avLst/>
                    </a:prstGeom>
                    <a:noFill/>
                  </pic:spPr>
                </pic:pic>
              </a:graphicData>
            </a:graphic>
          </wp:anchor>
        </w:drawing>
      </w:r>
    </w:p>
    <w:p>
      <w:pPr>
        <w:sectPr>
          <w:pgSz w:w="11900" w:h="16838" w:orient="portrait"/>
          <w:cols w:equalWidth="0" w:num="1">
            <w:col w:w="11080"/>
          </w:cols>
          <w:pgMar w:left="460" w:top="216" w:right="359" w:bottom="0" w:gutter="0" w:footer="0" w:header="0"/>
          <w:type w:val="continuous"/>
        </w:sectPr>
      </w:pPr>
    </w:p>
    <w:bookmarkStart w:id="1" w:name="page2"/>
    <w:bookmarkEnd w:id="1"/>
    <w:p>
      <w:pPr>
        <w:ind w:left="656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2954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12954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987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198755" cy="8255"/>
                    </a:xfrm>
                    <a:prstGeom prst="rect">
                      <a:avLst/>
                    </a:prstGeom>
                    <a:noFill/>
                  </pic:spPr>
                </pic:pic>
              </a:graphicData>
            </a:graphic>
          </wp:anchor>
        </w:drawing>
      </w:r>
    </w:p>
    <w:p>
      <w:pPr>
        <w:ind w:left="6560"/>
        <w:spacing w:after="0" w:line="181" w:lineRule="auto"/>
        <w:rPr>
          <w:sz w:val="20"/>
          <w:szCs w:val="20"/>
          <w:color w:val="auto"/>
        </w:rPr>
      </w:pPr>
      <w:r>
        <w:rPr>
          <w:rFonts w:ascii="Times New Roman" w:cs="Times New Roman" w:eastAsia="Times New Roman" w:hAnsi="Times New Roman"/>
          <w:sz w:val="16"/>
          <w:szCs w:val="16"/>
          <w:color w:val="0000FF"/>
        </w:rPr>
        <w:t xml:space="preserve">/s/ Roxane Picard, Attorney-in-  </w:t>
      </w:r>
      <w:r>
        <w:rPr>
          <w:rFonts w:ascii="Times New Roman" w:cs="Times New Roman" w:eastAsia="Times New Roman" w:hAnsi="Times New Roman"/>
          <w:sz w:val="31"/>
          <w:szCs w:val="31"/>
          <w:color w:val="0000FF"/>
          <w:vertAlign w:val="subscript"/>
        </w:rPr>
        <w:t>10/01/2020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-26670</wp:posOffset>
            </wp:positionV>
            <wp:extent cx="1319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-21590</wp:posOffset>
            </wp:positionV>
            <wp:extent cx="1059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5">
                      <a:extLst>
                        <a:ext uri="{28A0092B-C50C-407E-A947-70E740481C1C}"/>
                      </a:extLst>
                    </a:blip>
                    <a:srcRect/>
                    <a:stretch>
                      <a:fillRect/>
                    </a:stretch>
                  </pic:blipFill>
                  <pic:spPr bwMode="auto">
                    <a:xfrm>
                      <a:off x="0" y="0"/>
                      <a:ext cx="1059180" cy="8255"/>
                    </a:xfrm>
                    <a:prstGeom prst="rect">
                      <a:avLst/>
                    </a:prstGeom>
                    <a:noFill/>
                  </pic:spPr>
                </pic:pic>
              </a:graphicData>
            </a:graphic>
          </wp:anchor>
        </w:drawing>
        <w:drawing>
          <wp:anchor simplePos="0" relativeHeight="251657728" behindDoc="1" locked="0" layoutInCell="0" allowOverlap="1">
            <wp:simplePos x="0" y="0"/>
            <wp:positionH relativeFrom="column">
              <wp:posOffset>5563235</wp:posOffset>
            </wp:positionH>
            <wp:positionV relativeFrom="paragraph">
              <wp:posOffset>-86360</wp:posOffset>
            </wp:positionV>
            <wp:extent cx="47879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478790" cy="8255"/>
                    </a:xfrm>
                    <a:prstGeom prst="rect">
                      <a:avLst/>
                    </a:prstGeom>
                    <a:noFill/>
                  </pic:spPr>
                </pic:pic>
              </a:graphicData>
            </a:graphic>
          </wp:anchor>
        </w:drawing>
      </w:r>
    </w:p>
    <w:p>
      <w:pPr>
        <w:spacing w:after="0" w:line="1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2619"/>
        <w:spacing w:after="0" w:line="330"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9959"/>
          </w:cols>
          <w:pgMar w:left="500" w:top="127" w:right="1440" w:bottom="1440" w:gutter="0" w:footer="0" w:header="0"/>
        </w:sectPr>
      </w:pPr>
    </w:p>
    <w:bookmarkStart w:id="2" w:name="page3"/>
    <w:bookmarkEnd w:id="2"/>
    <w:p>
      <w:pPr>
        <w:jc w:val="right"/>
        <w:ind w:right="2359"/>
        <w:spacing w:after="0"/>
        <w:rPr>
          <w:sz w:val="20"/>
          <w:szCs w:val="20"/>
          <w:color w:val="auto"/>
        </w:rPr>
      </w:pPr>
      <w:r>
        <w:rPr>
          <w:rFonts w:ascii="Courier New" w:cs="Courier New" w:eastAsia="Courier New" w:hAnsi="Courier New"/>
          <w:sz w:val="17"/>
          <w:szCs w:val="17"/>
          <w:color w:val="auto"/>
        </w:rPr>
        <w:t>Exhibit 99.1</w:t>
      </w:r>
    </w:p>
    <w:p>
      <w:pPr>
        <w:spacing w:after="0" w:line="189" w:lineRule="exact"/>
        <w:rPr>
          <w:sz w:val="20"/>
          <w:szCs w:val="20"/>
          <w:color w:val="auto"/>
        </w:rPr>
      </w:pPr>
    </w:p>
    <w:p>
      <w:pPr>
        <w:ind w:left="1880"/>
        <w:spacing w:after="0"/>
        <w:rPr>
          <w:sz w:val="20"/>
          <w:szCs w:val="20"/>
          <w:color w:val="auto"/>
        </w:rPr>
      </w:pPr>
      <w:r>
        <w:rPr>
          <w:rFonts w:ascii="Courier New" w:cs="Courier New" w:eastAsia="Courier New" w:hAnsi="Courier New"/>
          <w:sz w:val="17"/>
          <w:szCs w:val="17"/>
          <w:color w:val="auto"/>
        </w:rPr>
        <w:t>Joint Filer Information</w:t>
      </w:r>
    </w:p>
    <w:p>
      <w:pPr>
        <w:sectPr>
          <w:pgSz w:w="11900" w:h="16838" w:orient="portrait"/>
          <w:cols w:equalWidth="0" w:num="1">
            <w:col w:w="9999"/>
          </w:cols>
          <w:pgMar w:left="460" w:top="112" w:right="1440" w:bottom="1440" w:gutter="0" w:footer="0" w:header="0"/>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92" w:lineRule="exact"/>
        <w:rPr>
          <w:sz w:val="20"/>
          <w:szCs w:val="20"/>
          <w:color w:val="auto"/>
        </w:rPr>
      </w:pPr>
    </w:p>
    <w:p>
      <w:pPr>
        <w:ind w:right="1600"/>
        <w:spacing w:after="0" w:line="379"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of Joint Filer:</w:t>
      </w:r>
    </w:p>
    <w:p>
      <w:pPr>
        <w:spacing w:after="0" w:line="38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Relationship of Joint Filer to Issuer:</w:t>
      </w:r>
    </w:p>
    <w:p>
      <w:pPr>
        <w:spacing w:after="0" w:line="392" w:lineRule="exact"/>
        <w:rPr>
          <w:sz w:val="20"/>
          <w:szCs w:val="20"/>
          <w:color w:val="auto"/>
        </w:rPr>
      </w:pPr>
    </w:p>
    <w:p>
      <w:pPr>
        <w:ind w:right="1600"/>
        <w:spacing w:after="0" w:line="383" w:lineRule="auto"/>
        <w:rPr>
          <w:sz w:val="20"/>
          <w:szCs w:val="20"/>
          <w:color w:val="auto"/>
        </w:rPr>
      </w:pPr>
      <w:r>
        <w:rPr>
          <w:rFonts w:ascii="Courier New" w:cs="Courier New" w:eastAsia="Courier New" w:hAnsi="Courier New"/>
          <w:sz w:val="16"/>
          <w:szCs w:val="16"/>
          <w:color w:val="auto"/>
        </w:rPr>
        <w:t>Issuer Name and Ticker or Trading Symbol:</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Date of Event Requiring Statement:</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(Month/Day/Year):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VPC Impact Acquisition Holdings</w:t>
      </w:r>
    </w:p>
    <w:p>
      <w:pPr>
        <w:spacing w:after="0" w:line="2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Sponsor, LLC</w:t>
      </w:r>
    </w:p>
    <w:p>
      <w:pPr>
        <w:spacing w:after="0" w:line="350" w:lineRule="exact"/>
        <w:rPr>
          <w:sz w:val="20"/>
          <w:szCs w:val="20"/>
          <w:color w:val="auto"/>
        </w:rPr>
      </w:pPr>
    </w:p>
    <w:p>
      <w:pPr>
        <w:jc w:val="both"/>
        <w:ind w:right="2159"/>
        <w:spacing w:after="0" w:line="292"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 Director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VPC Impact Acquisition Holdings [VIH]</w:t>
      </w:r>
    </w:p>
    <w:p>
      <w:pPr>
        <w:spacing w:after="0" w:line="3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10/01/2020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Richard N. Levy</w:t>
      </w:r>
    </w:p>
    <w:p>
      <w:pPr>
        <w:spacing w:after="0" w:line="380" w:lineRule="exact"/>
        <w:rPr>
          <w:sz w:val="20"/>
          <w:szCs w:val="20"/>
          <w:color w:val="auto"/>
        </w:rPr>
      </w:pPr>
    </w:p>
    <w:p>
      <w:pPr>
        <w:jc w:val="both"/>
        <w:ind w:right="2159"/>
        <w:spacing w:after="0" w:line="292" w:lineRule="auto"/>
        <w:rPr>
          <w:sz w:val="20"/>
          <w:szCs w:val="20"/>
          <w:color w:val="auto"/>
        </w:rPr>
      </w:pPr>
      <w:r>
        <w:rPr>
          <w:rFonts w:ascii="Courier New" w:cs="Courier New" w:eastAsia="Courier New" w:hAnsi="Courier New"/>
          <w:sz w:val="17"/>
          <w:szCs w:val="17"/>
          <w:color w:val="auto"/>
        </w:rPr>
        <w:t>c/o Victory Park Capital Advisors, LLC 150 North Riverside Plaza, Suite 5200 Chicago, Illinois 60606</w:t>
      </w:r>
    </w:p>
    <w:p>
      <w:pPr>
        <w:spacing w:after="0" w:line="25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 Owner</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VPC Impact Acquisition Holdings [VIH]</w:t>
      </w: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10/01/2020</w:t>
      </w:r>
    </w:p>
    <w:sectPr>
      <w:pgSz w:w="11900" w:h="16838" w:orient="portrait"/>
      <w:cols w:equalWidth="0" w:num="2">
        <w:col w:w="3780" w:space="300"/>
        <w:col w:w="5919"/>
      </w:cols>
      <w:pgMar w:left="460" w:top="11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13" Type="http://schemas.openxmlformats.org/officeDocument/2006/relationships/hyperlink" Target="http://www.sec.gov/cgi-bin/browse-edgar?action=getcompany&amp;CIK=0001825041" TargetMode="External"/><Relationship Id="rId14" Type="http://schemas.openxmlformats.org/officeDocument/2006/relationships/hyperlink" Target="http://www.sec.gov/cgi-bin/browse-edgar?action=getcompany&amp;CIK=0001820302" TargetMode="External"/><Relationship Id="rId18"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2020-10-01T16:24:42Z</dcterms:created>
  <dcterms:modified xsi:type="dcterms:W3CDTF">2020-10-01T16:24:42Z</dcterms:modified>
</cp:coreProperties>
</file>