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430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430260"/>
                    </a:xfrm>
                    <a:prstGeom prst="rect">
                      <a:avLst/>
                    </a:prstGeom>
                    <a:noFill/>
                  </pic:spPr>
                </pic:pic>
              </a:graphicData>
            </a:graphic>
          </wp:anchor>
        </w:drawing>
      </w:r>
    </w:p>
    <w:p>
      <w:pPr>
        <w:sectPr>
          <w:pgSz w:w="11900" w:h="16871"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2"/>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20" w:type="dxa"/>
            <w:vAlign w:val="bottom"/>
          </w:tcPr>
          <w:p>
            <w:pPr>
              <w:jc w:val="right"/>
              <w:ind w:right="144"/>
              <w:spacing w:after="0"/>
              <w:rPr>
                <w:sz w:val="20"/>
                <w:szCs w:val="20"/>
                <w:color w:val="auto"/>
              </w:rPr>
            </w:pPr>
            <w:r>
              <w:rPr>
                <w:rFonts w:ascii="Arial" w:cs="Arial" w:eastAsia="Arial" w:hAnsi="Arial"/>
                <w:sz w:val="7"/>
                <w:szCs w:val="7"/>
                <w:color w:val="auto"/>
                <w:w w:val="71"/>
              </w:rPr>
              <w:t>*</w:t>
            </w:r>
          </w:p>
        </w:tc>
        <w:tc>
          <w:tcPr>
            <w:tcW w:w="60" w:type="dxa"/>
            <w:vAlign w:val="bottom"/>
          </w:tcPr>
          <w:p>
            <w:pPr>
              <w:spacing w:after="0"/>
              <w:rPr>
                <w:sz w:val="14"/>
                <w:szCs w:val="14"/>
                <w:color w:val="auto"/>
              </w:rPr>
            </w:pP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060" w:type="dxa"/>
            <w:vAlign w:val="bottom"/>
            <w:gridSpan w:val="3"/>
            <w:vMerge w:val="restart"/>
          </w:tcPr>
          <w:p>
            <w:pPr>
              <w:spacing w:after="0" w:line="256" w:lineRule="exact"/>
              <w:rPr>
                <w:rFonts w:ascii="Arial" w:cs="Arial" w:eastAsia="Arial" w:hAnsi="Arial"/>
                <w:sz w:val="24"/>
                <w:szCs w:val="24"/>
                <w:color w:val="0000EE"/>
                <w:w w:val="92"/>
              </w:rPr>
            </w:pPr>
            <w:hyperlink r:id="rId10">
              <w:r>
                <w:rPr>
                  <w:rFonts w:ascii="Arial" w:cs="Arial" w:eastAsia="Arial" w:hAnsi="Arial"/>
                  <w:sz w:val="24"/>
                  <w:szCs w:val="24"/>
                  <w:color w:val="0000EE"/>
                  <w:w w:val="92"/>
                </w:rPr>
                <w:t>Intercontinental Exchange, Inc.</w:t>
              </w:r>
            </w:hyperlink>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60" w:type="dxa"/>
            <w:vAlign w:val="bottom"/>
            <w:gridSpan w:val="3"/>
            <w:vMerge w:val="continue"/>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780" w:type="dxa"/>
            <w:vAlign w:val="bottom"/>
            <w:tcBorders>
              <w:top w:val="single" w:sz="8" w:color="0000EE"/>
              <w:bottom w:val="single" w:sz="8" w:color="9A9A9A"/>
            </w:tcBorders>
          </w:tcPr>
          <w:p>
            <w:pPr>
              <w:spacing w:after="0"/>
              <w:rPr>
                <w:sz w:val="17"/>
                <w:szCs w:val="17"/>
                <w:color w:val="auto"/>
              </w:rPr>
            </w:pPr>
          </w:p>
        </w:tc>
        <w:tc>
          <w:tcPr>
            <w:tcW w:w="22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Bakkt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BKKT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71"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17"/>
        <w:spacing w:after="0" w:line="269" w:lineRule="auto"/>
        <w:rPr>
          <w:sz w:val="20"/>
          <w:szCs w:val="20"/>
          <w:color w:val="auto"/>
        </w:rPr>
      </w:pPr>
      <w:r>
        <w:rPr>
          <w:rFonts w:ascii="Arial" w:cs="Arial" w:eastAsia="Arial" w:hAnsi="Arial"/>
          <w:sz w:val="20"/>
          <w:szCs w:val="20"/>
          <w:color w:val="0000FF"/>
        </w:rPr>
        <w:t>5660 NEW NORTHSIDE DRIVE, THIRD FLOOR</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5"/>
                <w:szCs w:val="15"/>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ATLANTA  GA</w:t>
            </w:r>
          </w:p>
        </w:tc>
        <w:tc>
          <w:tcPr>
            <w:tcW w:w="860" w:type="dxa"/>
            <w:vAlign w:val="bottom"/>
          </w:tcPr>
          <w:p>
            <w:pPr>
              <w:jc w:val="right"/>
              <w:spacing w:after="0"/>
              <w:rPr>
                <w:sz w:val="20"/>
                <w:szCs w:val="20"/>
                <w:color w:val="auto"/>
              </w:rPr>
            </w:pPr>
            <w:r>
              <w:rPr>
                <w:rFonts w:ascii="Arial" w:cs="Arial" w:eastAsia="Arial" w:hAnsi="Arial"/>
                <w:sz w:val="20"/>
                <w:szCs w:val="20"/>
                <w:color w:val="0000FF"/>
              </w:rPr>
              <w:t>30328</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0" w:lineRule="exact"/>
        <w:rPr>
          <w:sz w:val="24"/>
          <w:szCs w:val="24"/>
          <w:color w:val="auto"/>
        </w:rPr>
      </w:pPr>
    </w:p>
    <w:p>
      <w:pPr>
        <w:sectPr>
          <w:pgSz w:w="11900" w:h="16871" w:orient="portrait"/>
          <w:cols w:equalWidth="0" w:num="3">
            <w:col w:w="4277" w:space="720"/>
            <w:col w:w="3003" w:space="269"/>
            <w:col w:w="2671"/>
          </w:cols>
          <w:pgMar w:left="480" w:top="236" w:right="479" w:bottom="0" w:gutter="0" w:footer="0" w:header="0"/>
          <w:type w:val="continuous"/>
        </w:sectPr>
      </w:pPr>
    </w:p>
    <w:p>
      <w:pPr>
        <w:spacing w:after="0" w:line="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Class A Common Stock</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ind w:left="780"/>
              <w:spacing w:after="0"/>
              <w:rPr>
                <w:sz w:val="20"/>
                <w:szCs w:val="20"/>
                <w:color w:val="auto"/>
              </w:rPr>
            </w:pPr>
            <w:r>
              <w:rPr>
                <w:rFonts w:ascii="Arial" w:cs="Arial" w:eastAsia="Arial" w:hAnsi="Arial"/>
                <w:sz w:val="20"/>
                <w:szCs w:val="20"/>
                <w:color w:val="0000FF"/>
              </w:rPr>
              <w:t>4,714,336</w:t>
            </w:r>
          </w:p>
        </w:tc>
        <w:tc>
          <w:tcPr>
            <w:tcW w:w="1180" w:type="dxa"/>
            <w:vAlign w:val="bottom"/>
            <w:tcBorders>
              <w:bottom w:val="single" w:sz="8" w:color="2C2C2C"/>
            </w:tcBorders>
          </w:tcPr>
          <w:p>
            <w:pPr>
              <w:ind w:left="1060"/>
              <w:spacing w:after="0"/>
              <w:rPr>
                <w:sz w:val="20"/>
                <w:szCs w:val="20"/>
                <w:color w:val="auto"/>
              </w:rPr>
            </w:pPr>
            <w:r>
              <w:rPr>
                <w:rFonts w:ascii="Arial" w:cs="Arial" w:eastAsia="Arial" w:hAnsi="Arial"/>
                <w:sz w:val="20"/>
                <w:szCs w:val="20"/>
                <w:color w:val="0000FF"/>
              </w:rPr>
              <w:t>I</w:t>
            </w:r>
          </w:p>
        </w:tc>
        <w:tc>
          <w:tcPr>
            <w:tcW w:w="1920" w:type="dxa"/>
            <w:vAlign w:val="bottom"/>
            <w:tcBorders>
              <w:bottom w:val="single" w:sz="8" w:color="2C2C2C"/>
            </w:tcBorders>
            <w:gridSpan w:val="2"/>
          </w:tcPr>
          <w:p>
            <w:pPr>
              <w:ind w:left="580"/>
              <w:spacing w:after="0"/>
              <w:rPr>
                <w:sz w:val="20"/>
                <w:szCs w:val="20"/>
                <w:color w:val="auto"/>
              </w:rPr>
            </w:pPr>
            <w:r>
              <w:rPr>
                <w:rFonts w:ascii="Arial" w:cs="Arial" w:eastAsia="Arial" w:hAnsi="Arial"/>
                <w:sz w:val="20"/>
                <w:szCs w:val="20"/>
                <w:color w:val="0000FF"/>
                <w:w w:val="93"/>
              </w:rPr>
              <w:t>See Footnote</w:t>
            </w:r>
            <w:r>
              <w:rPr>
                <w:rFonts w:ascii="Arial" w:cs="Arial" w:eastAsia="Arial" w:hAnsi="Arial"/>
                <w:sz w:val="25"/>
                <w:szCs w:val="25"/>
                <w:color w:val="008000"/>
                <w:w w:val="93"/>
                <w:vertAlign w:val="superscript"/>
              </w:rPr>
              <w:t>(4)</w:t>
            </w:r>
          </w:p>
        </w:tc>
        <w:tc>
          <w:tcPr>
            <w:tcW w:w="1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14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8"/>
          </w:tcPr>
          <w:p>
            <w:pPr>
              <w:jc w:val="center"/>
              <w:ind w:right="684"/>
              <w:spacing w:after="0"/>
              <w:rPr>
                <w:sz w:val="20"/>
                <w:szCs w:val="20"/>
                <w:color w:val="auto"/>
              </w:rPr>
            </w:pPr>
            <w:r>
              <w:rPr>
                <w:rFonts w:ascii="Arial" w:cs="Arial" w:eastAsia="Arial" w:hAnsi="Arial"/>
                <w:sz w:val="20"/>
                <w:szCs w:val="20"/>
                <w:b w:val="1"/>
                <w:bCs w:val="1"/>
                <w:color w:val="auto"/>
                <w:w w:val="96"/>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880" w:type="dxa"/>
            <w:vAlign w:val="bottom"/>
            <w:gridSpan w:val="10"/>
          </w:tcPr>
          <w:p>
            <w:pPr>
              <w:jc w:val="center"/>
              <w:ind w:right="224"/>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9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6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40" w:type="dxa"/>
            <w:vAlign w:val="bottom"/>
          </w:tcPr>
          <w:p>
            <w:pPr>
              <w:spacing w:after="0"/>
              <w:rPr>
                <w:sz w:val="17"/>
                <w:szCs w:val="17"/>
                <w:color w:val="auto"/>
              </w:rPr>
            </w:pPr>
          </w:p>
        </w:tc>
        <w:tc>
          <w:tcPr>
            <w:tcW w:w="1880" w:type="dxa"/>
            <w:vAlign w:val="bottom"/>
            <w:gridSpan w:val="6"/>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1260" w:type="dxa"/>
            <w:vAlign w:val="bottom"/>
            <w:gridSpan w:val="4"/>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1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18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18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4"/>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180" w:type="dxa"/>
            <w:vAlign w:val="bottom"/>
          </w:tcPr>
          <w:p>
            <w:pPr>
              <w:ind w:left="12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660" w:type="dxa"/>
            <w:vAlign w:val="bottom"/>
            <w:gridSpan w:val="4"/>
            <w:vMerge w:val="restart"/>
          </w:tcPr>
          <w:p>
            <w:pPr>
              <w:ind w:left="80"/>
              <w:spacing w:after="0"/>
              <w:rPr>
                <w:sz w:val="20"/>
                <w:szCs w:val="20"/>
                <w:color w:val="auto"/>
              </w:rPr>
            </w:pPr>
            <w:r>
              <w:rPr>
                <w:rFonts w:ascii="Arial" w:cs="Arial" w:eastAsia="Arial" w:hAnsi="Arial"/>
                <w:sz w:val="20"/>
                <w:szCs w:val="20"/>
                <w:color w:val="0000FF"/>
              </w:rPr>
              <w:t>Bakkt Opco Units</w:t>
            </w:r>
            <w:r>
              <w:rPr>
                <w:rFonts w:ascii="Arial" w:cs="Arial" w:eastAsia="Arial" w:hAnsi="Arial"/>
                <w:sz w:val="25"/>
                <w:szCs w:val="25"/>
                <w:color w:val="008000"/>
                <w:vertAlign w:val="superscript"/>
              </w:rPr>
              <w:t>(1)(2)</w:t>
            </w:r>
          </w:p>
        </w:tc>
        <w:tc>
          <w:tcPr>
            <w:tcW w:w="1120" w:type="dxa"/>
            <w:vAlign w:val="bottom"/>
            <w:gridSpan w:val="3"/>
            <w:vMerge w:val="restart"/>
          </w:tcPr>
          <w:p>
            <w:pPr>
              <w:jc w:val="right"/>
              <w:ind w:right="322"/>
              <w:spacing w:after="0"/>
              <w:rPr>
                <w:sz w:val="20"/>
                <w:szCs w:val="20"/>
                <w:color w:val="auto"/>
              </w:rPr>
            </w:pPr>
            <w:r>
              <w:rPr>
                <w:rFonts w:ascii="Arial" w:cs="Arial" w:eastAsia="Arial" w:hAnsi="Arial"/>
                <w:sz w:val="13"/>
                <w:szCs w:val="13"/>
                <w:color w:val="008000"/>
              </w:rPr>
              <w:t>(3)</w:t>
            </w:r>
          </w:p>
        </w:tc>
        <w:tc>
          <w:tcPr>
            <w:tcW w:w="560" w:type="dxa"/>
            <w:vAlign w:val="bottom"/>
            <w:gridSpan w:val="3"/>
            <w:vMerge w:val="restart"/>
          </w:tcPr>
          <w:p>
            <w:pPr>
              <w:jc w:val="right"/>
              <w:ind w:right="40"/>
              <w:spacing w:after="0"/>
              <w:rPr>
                <w:sz w:val="20"/>
                <w:szCs w:val="20"/>
                <w:color w:val="auto"/>
              </w:rPr>
            </w:pPr>
            <w:r>
              <w:rPr>
                <w:rFonts w:ascii="Arial" w:cs="Arial" w:eastAsia="Arial" w:hAnsi="Arial"/>
                <w:sz w:val="13"/>
                <w:szCs w:val="13"/>
                <w:color w:val="008000"/>
              </w:rPr>
              <w:t>(3)</w:t>
            </w:r>
          </w:p>
        </w:tc>
        <w:tc>
          <w:tcPr>
            <w:tcW w:w="340" w:type="dxa"/>
            <w:vAlign w:val="bottom"/>
          </w:tcPr>
          <w:p>
            <w:pPr>
              <w:spacing w:after="0"/>
              <w:rPr>
                <w:sz w:val="24"/>
                <w:szCs w:val="24"/>
                <w:color w:val="auto"/>
              </w:rPr>
            </w:pPr>
          </w:p>
        </w:tc>
        <w:tc>
          <w:tcPr>
            <w:tcW w:w="1700" w:type="dxa"/>
            <w:vAlign w:val="bottom"/>
          </w:tcPr>
          <w:p>
            <w:pPr>
              <w:ind w:left="180"/>
              <w:spacing w:after="0"/>
              <w:rPr>
                <w:sz w:val="20"/>
                <w:szCs w:val="20"/>
                <w:color w:val="auto"/>
              </w:rPr>
            </w:pPr>
            <w:r>
              <w:rPr>
                <w:rFonts w:ascii="Arial" w:cs="Arial" w:eastAsia="Arial" w:hAnsi="Arial"/>
                <w:sz w:val="20"/>
                <w:szCs w:val="20"/>
                <w:color w:val="0000FF"/>
                <w:w w:val="96"/>
              </w:rPr>
              <w:t>Class A Common</w:t>
            </w:r>
          </w:p>
        </w:tc>
        <w:tc>
          <w:tcPr>
            <w:tcW w:w="1180" w:type="dxa"/>
            <w:vAlign w:val="bottom"/>
            <w:vMerge w:val="restart"/>
          </w:tcPr>
          <w:p>
            <w:pPr>
              <w:ind w:left="120"/>
              <w:spacing w:after="0"/>
              <w:rPr>
                <w:sz w:val="20"/>
                <w:szCs w:val="20"/>
                <w:color w:val="auto"/>
              </w:rPr>
            </w:pPr>
            <w:r>
              <w:rPr>
                <w:rFonts w:ascii="Arial" w:cs="Arial" w:eastAsia="Arial" w:hAnsi="Arial"/>
                <w:sz w:val="20"/>
                <w:szCs w:val="20"/>
                <w:color w:val="0000FF"/>
                <w:w w:val="93"/>
              </w:rPr>
              <w:t>170,079,462</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(3)</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gridSpan w:val="2"/>
            <w:vMerge w:val="restart"/>
          </w:tcPr>
          <w:p>
            <w:pPr>
              <w:ind w:left="80"/>
              <w:spacing w:after="0"/>
              <w:rPr>
                <w:sz w:val="20"/>
                <w:szCs w:val="20"/>
                <w:color w:val="auto"/>
              </w:rPr>
            </w:pPr>
            <w:r>
              <w:rPr>
                <w:rFonts w:ascii="Arial" w:cs="Arial" w:eastAsia="Arial" w:hAnsi="Arial"/>
                <w:sz w:val="20"/>
                <w:szCs w:val="20"/>
                <w:color w:val="0000FF"/>
                <w:w w:val="95"/>
              </w:rPr>
              <w:t>See Footnote</w:t>
            </w:r>
            <w:r>
              <w:rPr>
                <w:rFonts w:ascii="Arial" w:cs="Arial" w:eastAsia="Arial" w:hAnsi="Arial"/>
                <w:sz w:val="25"/>
                <w:szCs w:val="25"/>
                <w:color w:val="008000"/>
                <w:w w:val="95"/>
                <w:vertAlign w:val="superscript"/>
              </w:rPr>
              <w:t>(4)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60" w:type="dxa"/>
            <w:vAlign w:val="bottom"/>
            <w:gridSpan w:val="4"/>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vMerge w:val="restart"/>
          </w:tcPr>
          <w:p>
            <w:pPr>
              <w:ind w:left="660"/>
              <w:spacing w:after="0"/>
              <w:rPr>
                <w:sz w:val="20"/>
                <w:szCs w:val="20"/>
                <w:color w:val="auto"/>
              </w:rPr>
            </w:pPr>
            <w:r>
              <w:rPr>
                <w:rFonts w:ascii="Arial" w:cs="Arial" w:eastAsia="Arial" w:hAnsi="Arial"/>
                <w:sz w:val="20"/>
                <w:szCs w:val="20"/>
                <w:color w:val="0000FF"/>
              </w:rPr>
              <w:t>Stock</w:t>
            </w:r>
          </w:p>
        </w:tc>
        <w:tc>
          <w:tcPr>
            <w:tcW w:w="11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680" w:type="dxa"/>
            <w:vAlign w:val="bottom"/>
            <w:tcBorders>
              <w:bottom w:val="single" w:sz="8" w:color="2C2C2C"/>
            </w:tcBorders>
            <w:gridSpan w:val="3"/>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780" w:type="dxa"/>
            <w:vAlign w:val="bottom"/>
            <w:tcBorders>
              <w:top w:val="single" w:sz="8" w:color="2C2C2C"/>
            </w:tcBorders>
            <w:gridSpan w:val="7"/>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80" w:type="dxa"/>
            <w:vAlign w:val="bottom"/>
            <w:tcBorders>
              <w:top w:val="single" w:sz="8" w:color="2C2C2C"/>
            </w:tcBorders>
          </w:tcPr>
          <w:p>
            <w:pPr>
              <w:spacing w:after="0"/>
              <w:rPr>
                <w:sz w:val="24"/>
                <w:szCs w:val="24"/>
                <w:color w:val="auto"/>
              </w:rPr>
            </w:pPr>
          </w:p>
        </w:tc>
        <w:tc>
          <w:tcPr>
            <w:tcW w:w="16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5"/>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Intercontinental Exchange, Inc.</w:t>
              </w:r>
            </w:hyperlink>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20" w:type="dxa"/>
            <w:vAlign w:val="bottom"/>
            <w:tcBorders>
              <w:top w:val="single" w:sz="8" w:color="0000EE"/>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40" w:type="dxa"/>
            <w:vAlign w:val="bottom"/>
            <w:tcBorders>
              <w:top w:val="single" w:sz="8" w:color="0000EE"/>
              <w:bottom w:val="single" w:sz="8" w:color="9A9A9A"/>
            </w:tcBorders>
          </w:tcPr>
          <w:p>
            <w:pPr>
              <w:spacing w:after="0"/>
              <w:rPr>
                <w:sz w:val="17"/>
                <w:szCs w:val="17"/>
                <w:color w:val="auto"/>
              </w:rPr>
            </w:pPr>
          </w:p>
        </w:tc>
        <w:tc>
          <w:tcPr>
            <w:tcW w:w="320" w:type="dxa"/>
            <w:vAlign w:val="bottom"/>
            <w:tcBorders>
              <w:top w:val="single" w:sz="8" w:color="0000EE"/>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tcPr>
          <w:p>
            <w:pPr>
              <w:ind w:left="260"/>
              <w:spacing w:after="0"/>
              <w:rPr>
                <w:sz w:val="20"/>
                <w:szCs w:val="20"/>
                <w:color w:val="auto"/>
              </w:rPr>
            </w:pPr>
            <w:r>
              <w:rPr>
                <w:rFonts w:ascii="Arial" w:cs="Arial" w:eastAsia="Arial" w:hAnsi="Arial"/>
                <w:sz w:val="15"/>
                <w:szCs w:val="15"/>
                <w:color w:val="auto"/>
              </w:rPr>
              <w:t>(First)</w:t>
            </w:r>
          </w:p>
        </w:tc>
        <w:tc>
          <w:tcPr>
            <w:tcW w:w="140" w:type="dxa"/>
            <w:vAlign w:val="bottom"/>
          </w:tcPr>
          <w:p>
            <w:pPr>
              <w:spacing w:after="0"/>
              <w:rPr>
                <w:sz w:val="24"/>
                <w:szCs w:val="24"/>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9"/>
          </w:tcPr>
          <w:p>
            <w:pPr>
              <w:spacing w:after="0"/>
              <w:rPr>
                <w:sz w:val="20"/>
                <w:szCs w:val="20"/>
                <w:color w:val="auto"/>
              </w:rPr>
            </w:pPr>
            <w:r>
              <w:rPr>
                <w:rFonts w:ascii="Arial" w:cs="Arial" w:eastAsia="Arial" w:hAnsi="Arial"/>
                <w:sz w:val="20"/>
                <w:szCs w:val="20"/>
                <w:color w:val="0000FF"/>
              </w:rPr>
              <w:t>5660 NEW NORTHSIDE DRIVE, THIRD FLOOR</w:t>
            </w: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142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66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2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tcPr>
          <w:p>
            <w:pPr>
              <w:spacing w:after="0"/>
              <w:rPr>
                <w:sz w:val="20"/>
                <w:szCs w:val="20"/>
                <w:color w:val="auto"/>
              </w:rPr>
            </w:pPr>
            <w:r>
              <w:rPr>
                <w:rFonts w:ascii="Arial" w:cs="Arial" w:eastAsia="Arial" w:hAnsi="Arial"/>
                <w:sz w:val="20"/>
                <w:szCs w:val="20"/>
                <w:color w:val="0000FF"/>
              </w:rPr>
              <w:t>ATLANTA</w:t>
            </w:r>
          </w:p>
        </w:tc>
        <w:tc>
          <w:tcPr>
            <w:tcW w:w="1420" w:type="dxa"/>
            <w:vAlign w:val="bottom"/>
          </w:tcPr>
          <w:p>
            <w:pPr>
              <w:ind w:left="260"/>
              <w:spacing w:after="0"/>
              <w:rPr>
                <w:sz w:val="20"/>
                <w:szCs w:val="20"/>
                <w:color w:val="auto"/>
              </w:rPr>
            </w:pPr>
            <w:r>
              <w:rPr>
                <w:rFonts w:ascii="Arial" w:cs="Arial" w:eastAsia="Arial" w:hAnsi="Arial"/>
                <w:sz w:val="20"/>
                <w:szCs w:val="20"/>
                <w:color w:val="0000FF"/>
              </w:rPr>
              <w:t>GA</w:t>
            </w:r>
          </w:p>
        </w:tc>
        <w:tc>
          <w:tcPr>
            <w:tcW w:w="1120" w:type="dxa"/>
            <w:vAlign w:val="bottom"/>
            <w:gridSpan w:val="3"/>
          </w:tcPr>
          <w:p>
            <w:pPr>
              <w:jc w:val="right"/>
              <w:ind w:right="322"/>
              <w:spacing w:after="0"/>
              <w:rPr>
                <w:sz w:val="20"/>
                <w:szCs w:val="20"/>
                <w:color w:val="auto"/>
              </w:rPr>
            </w:pPr>
            <w:r>
              <w:rPr>
                <w:rFonts w:ascii="Arial" w:cs="Arial" w:eastAsia="Arial" w:hAnsi="Arial"/>
                <w:sz w:val="20"/>
                <w:szCs w:val="20"/>
                <w:color w:val="0000FF"/>
              </w:rPr>
              <w:t>30328</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tcPr>
          <w:p>
            <w:pPr>
              <w:ind w:left="260"/>
              <w:spacing w:after="0"/>
              <w:rPr>
                <w:sz w:val="20"/>
                <w:szCs w:val="20"/>
                <w:color w:val="auto"/>
              </w:rPr>
            </w:pPr>
            <w:r>
              <w:rPr>
                <w:rFonts w:ascii="Arial" w:cs="Arial" w:eastAsia="Arial" w:hAnsi="Arial"/>
                <w:sz w:val="15"/>
                <w:szCs w:val="15"/>
                <w:color w:val="auto"/>
              </w:rPr>
              <w:t>(State)</w:t>
            </w:r>
          </w:p>
        </w:tc>
        <w:tc>
          <w:tcPr>
            <w:tcW w:w="140" w:type="dxa"/>
            <w:vAlign w:val="bottom"/>
          </w:tcPr>
          <w:p>
            <w:pPr>
              <w:spacing w:after="0"/>
              <w:rPr>
                <w:sz w:val="24"/>
                <w:szCs w:val="24"/>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color w:val="auto"/>
              </w:rPr>
              <w:t>(Zip)</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78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60" w:type="dxa"/>
            <w:vAlign w:val="bottom"/>
            <w:gridSpan w:val="9"/>
          </w:tcPr>
          <w:p>
            <w:pPr>
              <w:spacing w:after="0" w:line="249" w:lineRule="exact"/>
              <w:rPr>
                <w:rFonts w:ascii="Arial" w:cs="Arial" w:eastAsia="Arial" w:hAnsi="Arial"/>
                <w:sz w:val="24"/>
                <w:szCs w:val="24"/>
                <w:color w:val="0000EE"/>
              </w:rPr>
            </w:pPr>
            <w:hyperlink r:id="rId12">
              <w:r>
                <w:rPr>
                  <w:rFonts w:ascii="Arial" w:cs="Arial" w:eastAsia="Arial" w:hAnsi="Arial"/>
                  <w:sz w:val="24"/>
                  <w:szCs w:val="24"/>
                  <w:color w:val="0000EE"/>
                </w:rPr>
                <w:t>Intercontinental Exchange Holdings, Inc.</w:t>
              </w:r>
            </w:hyperlink>
          </w:p>
        </w:tc>
        <w:tc>
          <w:tcPr>
            <w:tcW w:w="1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20" w:type="dxa"/>
            <w:vAlign w:val="bottom"/>
            <w:tcBorders>
              <w:top w:val="single" w:sz="8" w:color="0000EE"/>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40" w:type="dxa"/>
            <w:vAlign w:val="bottom"/>
            <w:tcBorders>
              <w:top w:val="single" w:sz="8" w:color="0000EE"/>
              <w:bottom w:val="single" w:sz="8" w:color="9A9A9A"/>
            </w:tcBorders>
          </w:tcPr>
          <w:p>
            <w:pPr>
              <w:spacing w:after="0"/>
              <w:rPr>
                <w:sz w:val="17"/>
                <w:szCs w:val="17"/>
                <w:color w:val="auto"/>
              </w:rPr>
            </w:pPr>
          </w:p>
        </w:tc>
        <w:tc>
          <w:tcPr>
            <w:tcW w:w="320" w:type="dxa"/>
            <w:vAlign w:val="bottom"/>
            <w:tcBorders>
              <w:top w:val="single" w:sz="8" w:color="0000EE"/>
              <w:bottom w:val="single" w:sz="8" w:color="9A9A9A"/>
            </w:tcBorders>
          </w:tcPr>
          <w:p>
            <w:pPr>
              <w:spacing w:after="0"/>
              <w:rPr>
                <w:sz w:val="17"/>
                <w:szCs w:val="17"/>
                <w:color w:val="auto"/>
              </w:rPr>
            </w:pPr>
          </w:p>
        </w:tc>
        <w:tc>
          <w:tcPr>
            <w:tcW w:w="660" w:type="dxa"/>
            <w:vAlign w:val="bottom"/>
            <w:tcBorders>
              <w:top w:val="single" w:sz="8" w:color="0000EE"/>
              <w:bottom w:val="single" w:sz="8" w:color="9A9A9A"/>
            </w:tcBorders>
          </w:tcPr>
          <w:p>
            <w:pPr>
              <w:spacing w:after="0"/>
              <w:rPr>
                <w:sz w:val="17"/>
                <w:szCs w:val="17"/>
                <w:color w:val="auto"/>
              </w:rPr>
            </w:pPr>
          </w:p>
        </w:tc>
        <w:tc>
          <w:tcPr>
            <w:tcW w:w="280" w:type="dxa"/>
            <w:vAlign w:val="bottom"/>
            <w:tcBorders>
              <w:top w:val="single" w:sz="8" w:color="0000EE"/>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tcPr>
          <w:p>
            <w:pPr>
              <w:ind w:left="260"/>
              <w:spacing w:after="0"/>
              <w:rPr>
                <w:sz w:val="20"/>
                <w:szCs w:val="20"/>
                <w:color w:val="auto"/>
              </w:rPr>
            </w:pPr>
            <w:r>
              <w:rPr>
                <w:rFonts w:ascii="Arial" w:cs="Arial" w:eastAsia="Arial" w:hAnsi="Arial"/>
                <w:sz w:val="15"/>
                <w:szCs w:val="15"/>
                <w:color w:val="auto"/>
              </w:rPr>
              <w:t>(First)</w:t>
            </w:r>
          </w:p>
        </w:tc>
        <w:tc>
          <w:tcPr>
            <w:tcW w:w="140" w:type="dxa"/>
            <w:vAlign w:val="bottom"/>
          </w:tcPr>
          <w:p>
            <w:pPr>
              <w:spacing w:after="0"/>
              <w:rPr>
                <w:sz w:val="24"/>
                <w:szCs w:val="24"/>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9"/>
          </w:tcPr>
          <w:p>
            <w:pPr>
              <w:spacing w:after="0"/>
              <w:rPr>
                <w:sz w:val="20"/>
                <w:szCs w:val="20"/>
                <w:color w:val="auto"/>
              </w:rPr>
            </w:pPr>
            <w:r>
              <w:rPr>
                <w:rFonts w:ascii="Arial" w:cs="Arial" w:eastAsia="Arial" w:hAnsi="Arial"/>
                <w:sz w:val="20"/>
                <w:szCs w:val="20"/>
                <w:color w:val="0000FF"/>
              </w:rPr>
              <w:t>5660 NEW NORTHSIDE DRIVE, THIRD FLOOR</w:t>
            </w: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142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66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2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tcPr>
          <w:p>
            <w:pPr>
              <w:spacing w:after="0"/>
              <w:rPr>
                <w:sz w:val="20"/>
                <w:szCs w:val="20"/>
                <w:color w:val="auto"/>
              </w:rPr>
            </w:pPr>
            <w:r>
              <w:rPr>
                <w:rFonts w:ascii="Arial" w:cs="Arial" w:eastAsia="Arial" w:hAnsi="Arial"/>
                <w:sz w:val="20"/>
                <w:szCs w:val="20"/>
                <w:color w:val="0000FF"/>
              </w:rPr>
              <w:t>ATLANTA</w:t>
            </w:r>
          </w:p>
        </w:tc>
        <w:tc>
          <w:tcPr>
            <w:tcW w:w="1420" w:type="dxa"/>
            <w:vAlign w:val="bottom"/>
          </w:tcPr>
          <w:p>
            <w:pPr>
              <w:ind w:left="260"/>
              <w:spacing w:after="0"/>
              <w:rPr>
                <w:sz w:val="20"/>
                <w:szCs w:val="20"/>
                <w:color w:val="auto"/>
              </w:rPr>
            </w:pPr>
            <w:r>
              <w:rPr>
                <w:rFonts w:ascii="Arial" w:cs="Arial" w:eastAsia="Arial" w:hAnsi="Arial"/>
                <w:sz w:val="20"/>
                <w:szCs w:val="20"/>
                <w:color w:val="0000FF"/>
              </w:rPr>
              <w:t>GA</w:t>
            </w:r>
          </w:p>
        </w:tc>
        <w:tc>
          <w:tcPr>
            <w:tcW w:w="1120" w:type="dxa"/>
            <w:vAlign w:val="bottom"/>
            <w:gridSpan w:val="3"/>
          </w:tcPr>
          <w:p>
            <w:pPr>
              <w:jc w:val="right"/>
              <w:ind w:right="322"/>
              <w:spacing w:after="0"/>
              <w:rPr>
                <w:sz w:val="20"/>
                <w:szCs w:val="20"/>
                <w:color w:val="auto"/>
              </w:rPr>
            </w:pPr>
            <w:r>
              <w:rPr>
                <w:rFonts w:ascii="Arial" w:cs="Arial" w:eastAsia="Arial" w:hAnsi="Arial"/>
                <w:sz w:val="20"/>
                <w:szCs w:val="20"/>
                <w:color w:val="0000FF"/>
              </w:rPr>
              <w:t>30328</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5"/>
                <w:szCs w:val="15"/>
                <w:color w:val="auto"/>
              </w:rPr>
              <w:t>(City)</w:t>
            </w:r>
          </w:p>
        </w:tc>
        <w:tc>
          <w:tcPr>
            <w:tcW w:w="1420" w:type="dxa"/>
            <w:vAlign w:val="bottom"/>
          </w:tcPr>
          <w:p>
            <w:pPr>
              <w:ind w:left="260"/>
              <w:spacing w:after="0"/>
              <w:rPr>
                <w:sz w:val="20"/>
                <w:szCs w:val="20"/>
                <w:color w:val="auto"/>
              </w:rPr>
            </w:pPr>
            <w:r>
              <w:rPr>
                <w:rFonts w:ascii="Arial" w:cs="Arial" w:eastAsia="Arial" w:hAnsi="Arial"/>
                <w:sz w:val="15"/>
                <w:szCs w:val="15"/>
                <w:color w:val="auto"/>
              </w:rPr>
              <w:t>(State)</w:t>
            </w:r>
          </w:p>
        </w:tc>
        <w:tc>
          <w:tcPr>
            <w:tcW w:w="140" w:type="dxa"/>
            <w:vAlign w:val="bottom"/>
          </w:tcPr>
          <w:p>
            <w:pPr>
              <w:spacing w:after="0"/>
              <w:rPr>
                <w:sz w:val="24"/>
                <w:szCs w:val="24"/>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color w:val="auto"/>
              </w:rPr>
              <w:t>(Zip)</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jc w:val="both"/>
        <w:ind w:left="40" w:right="160" w:firstLine="5"/>
        <w:spacing w:after="0" w:line="329"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Acquired pursuant to the terms of the Agreement and Plan of Merger, dated as of January 11, 2021 (as amended, the "Merger Agreement"), by and among Bakkt Holdings, Inc. (the "Issuer"), Pylon Merger Company LLC ("Merger Sub"), and Bakkt Opco Holdings, LLC ("Bakkt Opco"), pursuant to which Merger Sub merged (the "Merger") with and into</w:t>
      </w:r>
    </w:p>
    <w:p>
      <w:pPr>
        <w:sectPr>
          <w:pgSz w:w="11900" w:h="16871" w:orient="portrait"/>
          <w:cols w:equalWidth="0" w:num="1">
            <w:col w:w="10940"/>
          </w:cols>
          <w:pgMar w:left="480" w:top="236" w:right="479" w:bottom="0" w:gutter="0" w:footer="0" w:header="0"/>
          <w:type w:val="continuous"/>
        </w:sectPr>
      </w:pPr>
    </w:p>
    <w:bookmarkStart w:id="1" w:name="page2"/>
    <w:bookmarkEnd w:id="1"/>
    <w:p>
      <w:pPr>
        <w:ind w:right="80"/>
        <w:spacing w:after="0" w:line="267" w:lineRule="auto"/>
        <w:rPr>
          <w:sz w:val="20"/>
          <w:szCs w:val="20"/>
          <w:color w:val="auto"/>
        </w:rPr>
      </w:pPr>
      <w:r>
        <w:rPr>
          <w:rFonts w:ascii="Arial" w:cs="Arial" w:eastAsia="Arial" w:hAnsi="Arial"/>
          <w:sz w:val="14"/>
          <w:szCs w:val="14"/>
          <w:color w:val="008000"/>
        </w:rPr>
        <w:t>Bakkt Opco with Bakkt Opco continuing as the surviving entity and a subsidiary of the Issuer. Pursuant to the terms of the Merger Agreement, the owners of Bakkt Opco common units as of immediately prior to the closing of the Merger (the "Closing") received at the Closing, as consideration for the Merger, paired interests ("Paired Interests"), each consisting of one unit of Bakkt Opco (a "Bakkt Opco Unit") and one share of Class V common stock of the Issuer ("Class V Common Stock").</w:t>
      </w:r>
    </w:p>
    <w:p>
      <w:pPr>
        <w:spacing w:after="0" w:line="18" w:lineRule="exact"/>
        <w:rPr>
          <w:sz w:val="20"/>
          <w:szCs w:val="20"/>
          <w:color w:val="auto"/>
        </w:rPr>
      </w:pPr>
    </w:p>
    <w:p>
      <w:pPr>
        <w:ind w:right="80" w:firstLine="5"/>
        <w:spacing w:after="0" w:line="260" w:lineRule="auto"/>
        <w:tabs>
          <w:tab w:leader="none" w:pos="15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(Continued from footnote 1) The Bakkt Opco Units represent non-voting limited liability company interests of Bakkt Opco. The shares of Class V Common Stock are non-economic, voting shares of the Issuer, which entitle the holder thereof (subject to limitations imposed by a voting agreement) to one vote for each share of Class V Common Stock held of record by such holder on all matters on which holders of Class V Common Stock as a separate class are entitled to vote, and, together with holders of the Class A common stock of the Issuer ("Class A Common Stock") as a single class on all matters submitted to a vote of the Issuer's stockholders having voting rights generally.</w:t>
      </w:r>
    </w:p>
    <w:p>
      <w:pPr>
        <w:spacing w:after="0" w:line="22" w:lineRule="exact"/>
        <w:rPr>
          <w:rFonts w:ascii="Arial" w:cs="Arial" w:eastAsia="Arial" w:hAnsi="Arial"/>
          <w:sz w:val="14"/>
          <w:szCs w:val="14"/>
          <w:color w:val="008000"/>
        </w:rPr>
      </w:pPr>
    </w:p>
    <w:p>
      <w:pPr>
        <w:jc w:val="both"/>
        <w:ind w:right="60" w:firstLine="5"/>
        <w:spacing w:after="0" w:line="241"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Pursuant to the terms of an exchange agreement (the "Exchange Agreement"), beginning on the six-month anniversary of the Closing, holders of Paired Interests may exchange such Paired Interests for shares of Class A Common Stock on a one-for-one basis (subject to adjustment as set forth in the Exchange Agreement) or, at the Issuer's option, for cash. These exchange rights do not expire.</w:t>
      </w:r>
    </w:p>
    <w:p>
      <w:pPr>
        <w:spacing w:after="0" w:line="35" w:lineRule="exact"/>
        <w:rPr>
          <w:rFonts w:ascii="Arial" w:cs="Arial" w:eastAsia="Arial" w:hAnsi="Arial"/>
          <w:sz w:val="15"/>
          <w:szCs w:val="15"/>
          <w:color w:val="008000"/>
        </w:rPr>
      </w:pPr>
    </w:p>
    <w:p>
      <w:pPr>
        <w:ind w:right="100" w:firstLine="5"/>
        <w:spacing w:after="0" w:line="253"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Intercontinental Exchange Holdings, Inc. is the direct holder of the securities reflected in this Form 3. Intercontinental Exchange Holdings, Inc. is a wholly owned subsidiary of Intercontinental Exchange, Inc.</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156"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Intercontinental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3347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1334770" cy="9525"/>
                    </a:xfrm>
                    <a:prstGeom prst="rect">
                      <a:avLst/>
                    </a:prstGeom>
                    <a:noFill/>
                  </pic:spPr>
                </pic:pic>
              </a:graphicData>
            </a:graphic>
          </wp:anchor>
        </w:drawing>
      </w:r>
    </w:p>
    <w:p>
      <w:pPr>
        <w:ind w:left="6540"/>
        <w:spacing w:after="0" w:line="213" w:lineRule="auto"/>
        <w:tabs>
          <w:tab w:leader="none" w:pos="8700" w:val="left"/>
        </w:tabs>
        <w:rPr>
          <w:sz w:val="20"/>
          <w:szCs w:val="20"/>
          <w:color w:val="auto"/>
        </w:rPr>
      </w:pPr>
      <w:r>
        <w:rPr>
          <w:rFonts w:ascii="Arial" w:cs="Arial" w:eastAsia="Arial" w:hAnsi="Arial"/>
          <w:sz w:val="20"/>
          <w:szCs w:val="20"/>
          <w:color w:val="0000FF"/>
        </w:rPr>
        <w:t>Inc., By: /s/ Andrew</w:t>
      </w:r>
      <w:r>
        <w:rPr>
          <w:sz w:val="20"/>
          <w:szCs w:val="20"/>
          <w:color w:val="auto"/>
        </w:rPr>
        <w:tab/>
      </w:r>
      <w:r>
        <w:rPr>
          <w:rFonts w:ascii="Arial" w:cs="Arial" w:eastAsia="Arial" w:hAnsi="Arial"/>
          <w:sz w:val="26"/>
          <w:szCs w:val="26"/>
          <w:color w:val="0000FF"/>
          <w:vertAlign w:val="subscript"/>
        </w:rPr>
        <w:t>10/15/2021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-31115</wp:posOffset>
            </wp:positionV>
            <wp:extent cx="100774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100774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Surdykowski,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-25400</wp:posOffset>
            </wp:positionV>
            <wp:extent cx="110807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108075" cy="9525"/>
                    </a:xfrm>
                    <a:prstGeom prst="rect">
                      <a:avLst/>
                    </a:prstGeom>
                    <a:noFill/>
                  </pic:spPr>
                </pic:pic>
              </a:graphicData>
            </a:graphic>
          </wp:anchor>
        </w:drawing>
        <w:drawing>
          <wp:anchor simplePos="0" relativeHeight="251657728" behindDoc="1" locked="0" layoutInCell="0" allowOverlap="1">
            <wp:simplePos x="0" y="0"/>
            <wp:positionH relativeFrom="column">
              <wp:posOffset>5539740</wp:posOffset>
            </wp:positionH>
            <wp:positionV relativeFrom="paragraph">
              <wp:posOffset>-101600</wp:posOffset>
            </wp:positionV>
            <wp:extent cx="56451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0576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40576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Intercontinental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30365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03655" cy="9525"/>
                    </a:xfrm>
                    <a:prstGeom prst="rect">
                      <a:avLst/>
                    </a:prstGeom>
                    <a:noFill/>
                  </pic:spPr>
                </pic:pic>
              </a:graphicData>
            </a:graphic>
          </wp:anchor>
        </w:drawing>
      </w:r>
    </w:p>
    <w:p>
      <w:pPr>
        <w:ind w:left="6540"/>
        <w:spacing w:after="0" w:line="213" w:lineRule="auto"/>
        <w:tabs>
          <w:tab w:leader="none" w:pos="8700" w:val="left"/>
        </w:tabs>
        <w:rPr>
          <w:sz w:val="20"/>
          <w:szCs w:val="20"/>
          <w:color w:val="auto"/>
        </w:rPr>
      </w:pPr>
      <w:r>
        <w:rPr>
          <w:rFonts w:ascii="Arial" w:cs="Arial" w:eastAsia="Arial" w:hAnsi="Arial"/>
          <w:sz w:val="20"/>
          <w:szCs w:val="20"/>
          <w:color w:val="0000FF"/>
        </w:rPr>
        <w:t>Holdings, Inc., By: /s/</w:t>
      </w:r>
      <w:r>
        <w:rPr>
          <w:sz w:val="20"/>
          <w:szCs w:val="20"/>
          <w:color w:val="auto"/>
        </w:rPr>
        <w:tab/>
      </w:r>
      <w:r>
        <w:rPr>
          <w:rFonts w:ascii="Arial" w:cs="Arial" w:eastAsia="Arial" w:hAnsi="Arial"/>
          <w:sz w:val="26"/>
          <w:szCs w:val="26"/>
          <w:color w:val="0000FF"/>
          <w:vertAlign w:val="subscript"/>
        </w:rPr>
        <w:t>10/15/2021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-31115</wp:posOffset>
            </wp:positionV>
            <wp:extent cx="109410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0941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Andrew Surdykowski,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-25400</wp:posOffset>
            </wp:positionV>
            <wp:extent cx="111506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115060" cy="9525"/>
                    </a:xfrm>
                    <a:prstGeom prst="rect">
                      <a:avLst/>
                    </a:prstGeom>
                    <a:noFill/>
                  </pic:spPr>
                </pic:pic>
              </a:graphicData>
            </a:graphic>
          </wp:anchor>
        </w:drawing>
        <w:drawing>
          <wp:anchor simplePos="0" relativeHeight="251657728" behindDoc="1" locked="0" layoutInCell="0" allowOverlap="1">
            <wp:simplePos x="0" y="0"/>
            <wp:positionH relativeFrom="column">
              <wp:posOffset>5539740</wp:posOffset>
            </wp:positionH>
            <wp:positionV relativeFrom="paragraph">
              <wp:posOffset>-101600</wp:posOffset>
            </wp:positionV>
            <wp:extent cx="56451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2931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829310" cy="952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0" Type="http://schemas.openxmlformats.org/officeDocument/2006/relationships/hyperlink" Target="http://www.sec.gov/cgi-bin/browse-edgar?action=getcompany&amp;CIK=0001571949" TargetMode="External"/><Relationship Id="rId11" Type="http://schemas.openxmlformats.org/officeDocument/2006/relationships/hyperlink" Target="http://www.sec.gov/cgi-bin/browse-edgar?action=getcompany&amp;CIK=0001820302" TargetMode="External"/><Relationship Id="rId12" Type="http://schemas.openxmlformats.org/officeDocument/2006/relationships/hyperlink" Target="http://www.sec.gov/cgi-bin/browse-edgar?action=getcompany&amp;CIK=00011747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2021-10-15T16:13:55Z</dcterms:created>
  <dcterms:modified xsi:type="dcterms:W3CDTF">2021-10-15T16:13:55Z</dcterms:modified>
</cp:coreProperties>
</file>