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83820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jc w:val="center"/>
        <w:spacing w:after="0"/>
        <w:rPr>
          <w:sz w:val="20"/>
          <w:szCs w:val="20"/>
          <w:color w:val="auto"/>
        </w:rPr>
      </w:pPr>
      <w:r>
        <w:rPr>
          <w:rFonts w:ascii="Arial" w:cs="Arial" w:eastAsia="Arial" w:hAnsi="Arial"/>
          <w:sz w:val="22"/>
          <w:szCs w:val="22"/>
          <w:b w:val="1"/>
          <w:bCs w:val="1"/>
          <w:color w:val="auto"/>
        </w:rPr>
        <w:t>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Bakkt Holdings,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55880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12"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3700" w:type="dxa"/>
            <w:vAlign w:val="bottom"/>
          </w:tcPr>
          <w:p>
            <w:pPr>
              <w:jc w:val="center"/>
              <w:ind w:right="197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560"/>
              <w:spacing w:after="0"/>
              <w:rPr>
                <w:sz w:val="20"/>
                <w:szCs w:val="20"/>
                <w:color w:val="auto"/>
              </w:rPr>
            </w:pPr>
            <w:r>
              <w:rPr>
                <w:rFonts w:ascii="Arial" w:cs="Arial" w:eastAsia="Arial" w:hAnsi="Arial"/>
                <w:sz w:val="18"/>
                <w:szCs w:val="18"/>
                <w:b w:val="1"/>
                <w:bCs w:val="1"/>
                <w:color w:val="auto"/>
              </w:rPr>
              <w:t>001-39544</w:t>
            </w:r>
          </w:p>
        </w:tc>
        <w:tc>
          <w:tcPr>
            <w:tcW w:w="2920" w:type="dxa"/>
            <w:vAlign w:val="bottom"/>
          </w:tcPr>
          <w:p>
            <w:pPr>
              <w:jc w:val="center"/>
              <w:ind w:left="1701"/>
              <w:spacing w:after="0"/>
              <w:rPr>
                <w:sz w:val="20"/>
                <w:szCs w:val="20"/>
                <w:color w:val="auto"/>
              </w:rPr>
            </w:pPr>
            <w:r>
              <w:rPr>
                <w:rFonts w:ascii="Arial" w:cs="Arial" w:eastAsia="Arial" w:hAnsi="Arial"/>
                <w:sz w:val="18"/>
                <w:szCs w:val="18"/>
                <w:b w:val="1"/>
                <w:bCs w:val="1"/>
                <w:color w:val="auto"/>
                <w:w w:val="89"/>
              </w:rPr>
              <w:t>98-1550750</w:t>
            </w:r>
          </w:p>
        </w:tc>
        <w:tc>
          <w:tcPr>
            <w:tcW w:w="0" w:type="dxa"/>
            <w:vAlign w:val="bottom"/>
          </w:tcPr>
          <w:p>
            <w:pPr>
              <w:spacing w:after="0"/>
              <w:rPr>
                <w:sz w:val="1"/>
                <w:szCs w:val="1"/>
                <w:color w:val="auto"/>
              </w:rPr>
            </w:pPr>
          </w:p>
        </w:tc>
      </w:tr>
      <w:tr>
        <w:trPr>
          <w:trHeight w:val="162"/>
        </w:trPr>
        <w:tc>
          <w:tcPr>
            <w:tcW w:w="3700" w:type="dxa"/>
            <w:vAlign w:val="bottom"/>
          </w:tcPr>
          <w:p>
            <w:pPr>
              <w:jc w:val="center"/>
              <w:ind w:right="1979"/>
              <w:spacing w:after="0"/>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540"/>
              <w:spacing w:after="0"/>
              <w:rPr>
                <w:sz w:val="20"/>
                <w:szCs w:val="20"/>
                <w:color w:val="auto"/>
              </w:rPr>
            </w:pPr>
            <w:r>
              <w:rPr>
                <w:rFonts w:ascii="Arial" w:cs="Arial" w:eastAsia="Arial" w:hAnsi="Arial"/>
                <w:sz w:val="14"/>
                <w:szCs w:val="14"/>
                <w:b w:val="1"/>
                <w:bCs w:val="1"/>
                <w:color w:val="auto"/>
              </w:rPr>
              <w:t>(Commission</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204"/>
        </w:trPr>
        <w:tc>
          <w:tcPr>
            <w:tcW w:w="3700" w:type="dxa"/>
            <w:vAlign w:val="bottom"/>
          </w:tcPr>
          <w:p>
            <w:pPr>
              <w:jc w:val="center"/>
              <w:ind w:right="1979"/>
              <w:spacing w:after="0"/>
              <w:rPr>
                <w:sz w:val="20"/>
                <w:szCs w:val="20"/>
                <w:color w:val="auto"/>
              </w:rPr>
            </w:pPr>
            <w:r>
              <w:rPr>
                <w:rFonts w:ascii="Arial" w:cs="Arial" w:eastAsia="Arial" w:hAnsi="Arial"/>
                <w:sz w:val="14"/>
                <w:szCs w:val="14"/>
                <w:b w:val="1"/>
                <w:bCs w:val="1"/>
                <w:color w:val="auto"/>
                <w:w w:val="92"/>
              </w:rPr>
              <w:t>of incorporation)</w:t>
            </w:r>
          </w:p>
        </w:tc>
        <w:tc>
          <w:tcPr>
            <w:tcW w:w="242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9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58"/>
        </w:trPr>
        <w:tc>
          <w:tcPr>
            <w:tcW w:w="370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10000 Avalon Boulevard, Suite 1000,</w:t>
            </w:r>
          </w:p>
        </w:tc>
        <w:tc>
          <w:tcPr>
            <w:tcW w:w="2420" w:type="dxa"/>
            <w:vAlign w:val="bottom"/>
          </w:tcPr>
          <w:p>
            <w:pPr>
              <w:spacing w:after="0"/>
              <w:rPr>
                <w:sz w:val="24"/>
                <w:szCs w:val="24"/>
                <w:color w:val="auto"/>
              </w:rPr>
            </w:pPr>
          </w:p>
        </w:tc>
        <w:tc>
          <w:tcPr>
            <w:tcW w:w="2920" w:type="dxa"/>
            <w:vAlign w:val="bottom"/>
            <w:vMerge w:val="restart"/>
          </w:tcPr>
          <w:p>
            <w:pPr>
              <w:jc w:val="right"/>
              <w:ind w:right="1221"/>
              <w:spacing w:after="0"/>
              <w:rPr>
                <w:sz w:val="20"/>
                <w:szCs w:val="20"/>
                <w:color w:val="auto"/>
              </w:rPr>
            </w:pPr>
            <w:r>
              <w:rPr>
                <w:rFonts w:ascii="Arial" w:cs="Arial" w:eastAsia="Arial" w:hAnsi="Arial"/>
                <w:sz w:val="18"/>
                <w:szCs w:val="18"/>
                <w:b w:val="1"/>
                <w:bCs w:val="1"/>
                <w:color w:val="auto"/>
              </w:rPr>
              <w:t>30009</w:t>
            </w:r>
          </w:p>
        </w:tc>
        <w:tc>
          <w:tcPr>
            <w:tcW w:w="0" w:type="dxa"/>
            <w:vAlign w:val="bottom"/>
          </w:tcPr>
          <w:p>
            <w:pPr>
              <w:spacing w:after="0"/>
              <w:rPr>
                <w:sz w:val="1"/>
                <w:szCs w:val="1"/>
                <w:color w:val="auto"/>
              </w:rPr>
            </w:pPr>
          </w:p>
        </w:tc>
      </w:tr>
      <w:tr>
        <w:trPr>
          <w:trHeight w:val="140"/>
        </w:trPr>
        <w:tc>
          <w:tcPr>
            <w:tcW w:w="3700" w:type="dxa"/>
            <w:vAlign w:val="bottom"/>
            <w:vMerge w:val="restart"/>
          </w:tcPr>
          <w:p>
            <w:pPr>
              <w:jc w:val="center"/>
              <w:ind w:right="79"/>
              <w:spacing w:after="0"/>
              <w:rPr>
                <w:sz w:val="20"/>
                <w:szCs w:val="20"/>
                <w:color w:val="auto"/>
              </w:rPr>
            </w:pPr>
            <w:r>
              <w:rPr>
                <w:rFonts w:ascii="Arial" w:cs="Arial" w:eastAsia="Arial" w:hAnsi="Arial"/>
                <w:sz w:val="18"/>
                <w:szCs w:val="18"/>
                <w:b w:val="1"/>
                <w:bCs w:val="1"/>
                <w:color w:val="auto"/>
                <w:w w:val="92"/>
              </w:rPr>
              <w:t>Alpharetta, Georgia</w:t>
            </w:r>
          </w:p>
        </w:tc>
        <w:tc>
          <w:tcPr>
            <w:tcW w:w="24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70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8"/>
                <w:szCs w:val="18"/>
                <w:color w:val="auto"/>
              </w:rPr>
            </w:pPr>
          </w:p>
        </w:tc>
        <w:tc>
          <w:tcPr>
            <w:tcW w:w="292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188595</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20" w:right="680"/>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60" w:hanging="270"/>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552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260" w:type="dxa"/>
            <w:vAlign w:val="bottom"/>
          </w:tcPr>
          <w:p>
            <w:pPr>
              <w:jc w:val="center"/>
              <w:ind w:left="36"/>
              <w:spacing w:after="0"/>
              <w:rPr>
                <w:sz w:val="20"/>
                <w:szCs w:val="20"/>
                <w:color w:val="auto"/>
              </w:rPr>
            </w:pPr>
            <w:r>
              <w:rPr>
                <w:rFonts w:ascii="Arial" w:cs="Arial" w:eastAsia="Arial" w:hAnsi="Arial"/>
                <w:sz w:val="14"/>
                <w:szCs w:val="14"/>
                <w:b w:val="1"/>
                <w:bCs w:val="1"/>
                <w:color w:val="auto"/>
                <w:w w:val="92"/>
              </w:rPr>
              <w:t>Trading Symbol(s)</w:t>
            </w:r>
          </w:p>
        </w:tc>
        <w:tc>
          <w:tcPr>
            <w:tcW w:w="346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62"/>
        </w:trPr>
        <w:tc>
          <w:tcPr>
            <w:tcW w:w="5520" w:type="dxa"/>
            <w:vAlign w:val="bottom"/>
            <w:tcBorders>
              <w:bottom w:val="single" w:sz="8" w:color="auto"/>
            </w:tcBorders>
            <w:vMerge w:val="continue"/>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5520" w:type="dxa"/>
            <w:vAlign w:val="bottom"/>
          </w:tcPr>
          <w:p>
            <w:pPr>
              <w:jc w:val="center"/>
              <w:ind w:left="156"/>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260" w:type="dxa"/>
            <w:vAlign w:val="bottom"/>
          </w:tcPr>
          <w:p>
            <w:pPr>
              <w:jc w:val="center"/>
              <w:ind w:left="56"/>
              <w:spacing w:after="0"/>
              <w:rPr>
                <w:sz w:val="20"/>
                <w:szCs w:val="20"/>
                <w:color w:val="auto"/>
              </w:rPr>
            </w:pPr>
            <w:r>
              <w:rPr>
                <w:rFonts w:ascii="Arial" w:cs="Arial" w:eastAsia="Arial" w:hAnsi="Arial"/>
                <w:sz w:val="18"/>
                <w:szCs w:val="18"/>
                <w:b w:val="1"/>
                <w:bCs w:val="1"/>
                <w:color w:val="auto"/>
              </w:rPr>
              <w:t>BKKT</w:t>
            </w:r>
          </w:p>
        </w:tc>
        <w:tc>
          <w:tcPr>
            <w:tcW w:w="34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Arial" w:cs="Arial" w:eastAsia="Arial" w:hAnsi="Arial"/>
                <w:sz w:val="18"/>
                <w:szCs w:val="18"/>
                <w:b w:val="1"/>
                <w:bCs w:val="1"/>
                <w:color w:val="auto"/>
                <w:w w:val="89"/>
              </w:rPr>
              <w:t>Warrants to purchase Class A Common Stock</w:t>
            </w:r>
          </w:p>
        </w:tc>
        <w:tc>
          <w:tcPr>
            <w:tcW w:w="2260" w:type="dxa"/>
            <w:vAlign w:val="bottom"/>
          </w:tcPr>
          <w:p>
            <w:pPr>
              <w:jc w:val="center"/>
              <w:ind w:left="56"/>
              <w:spacing w:after="0"/>
              <w:rPr>
                <w:sz w:val="20"/>
                <w:szCs w:val="20"/>
                <w:color w:val="auto"/>
              </w:rPr>
            </w:pPr>
            <w:r>
              <w:rPr>
                <w:rFonts w:ascii="Arial" w:cs="Arial" w:eastAsia="Arial" w:hAnsi="Arial"/>
                <w:sz w:val="18"/>
                <w:szCs w:val="18"/>
                <w:b w:val="1"/>
                <w:bCs w:val="1"/>
                <w:color w:val="auto"/>
                <w:w w:val="99"/>
              </w:rPr>
              <w:t>BKKT WS</w:t>
            </w:r>
          </w:p>
        </w:tc>
        <w:tc>
          <w:tcPr>
            <w:tcW w:w="34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6"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1169670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50800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On May 11, 2023, Bakkt Holdings, Inc. (the “Company”) issued a press release regarding the Company’s results for the quarter ended March 31, 2023. A copy of the press release is attached hereto as Exhibit 99.1 and incorporated herein by reference.</w:t>
      </w:r>
    </w:p>
    <w:p>
      <w:pPr>
        <w:spacing w:after="0" w:line="19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Exhibit No.</w:t>
            </w:r>
          </w:p>
        </w:tc>
        <w:tc>
          <w:tcPr>
            <w:tcW w:w="8980" w:type="dxa"/>
            <w:vAlign w:val="bottom"/>
            <w:tcBorders>
              <w:bottom w:val="single" w:sz="8" w:color="auto"/>
            </w:tcBorders>
            <w:gridSpan w:val="2"/>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260" w:type="dxa"/>
            <w:vAlign w:val="bottom"/>
            <w:gridSpan w:val="2"/>
          </w:tcPr>
          <w:p>
            <w:pPr>
              <w:jc w:val="right"/>
              <w:ind w:right="810"/>
              <w:spacing w:after="0" w:line="169" w:lineRule="exact"/>
              <w:rPr>
                <w:sz w:val="20"/>
                <w:szCs w:val="20"/>
                <w:color w:val="auto"/>
              </w:rPr>
            </w:pPr>
            <w:r>
              <w:rPr>
                <w:rFonts w:ascii="Arial" w:cs="Arial" w:eastAsia="Arial" w:hAnsi="Arial"/>
                <w:sz w:val="18"/>
                <w:szCs w:val="18"/>
                <w:color w:val="auto"/>
              </w:rPr>
              <w:t>99.1</w:t>
            </w:r>
          </w:p>
        </w:tc>
        <w:tc>
          <w:tcPr>
            <w:tcW w:w="44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9"/>
              </w:rPr>
              <w:t>Press release issued by Bakkt Holdings, Inc. on May 11, 2023</w:t>
            </w:r>
          </w:p>
        </w:tc>
        <w:tc>
          <w:tcPr>
            <w:tcW w:w="4520" w:type="dxa"/>
            <w:vAlign w:val="bottom"/>
          </w:tcPr>
          <w:p>
            <w:pPr>
              <w:spacing w:after="0"/>
              <w:rPr>
                <w:sz w:val="15"/>
                <w:szCs w:val="15"/>
                <w:color w:val="auto"/>
              </w:rPr>
            </w:pPr>
          </w:p>
        </w:tc>
      </w:tr>
      <w:tr>
        <w:trPr>
          <w:trHeight w:val="277"/>
        </w:trPr>
        <w:tc>
          <w:tcPr>
            <w:tcW w:w="2260" w:type="dxa"/>
            <w:vAlign w:val="bottom"/>
            <w:gridSpan w:val="2"/>
          </w:tcPr>
          <w:p>
            <w:pPr>
              <w:jc w:val="right"/>
              <w:ind w:right="830"/>
              <w:spacing w:after="0"/>
              <w:rPr>
                <w:sz w:val="20"/>
                <w:szCs w:val="20"/>
                <w:color w:val="auto"/>
              </w:rPr>
            </w:pPr>
            <w:r>
              <w:rPr>
                <w:rFonts w:ascii="Arial" w:cs="Arial" w:eastAsia="Arial" w:hAnsi="Arial"/>
                <w:sz w:val="18"/>
                <w:szCs w:val="18"/>
                <w:color w:val="auto"/>
              </w:rPr>
              <w:t>104</w:t>
            </w:r>
          </w:p>
        </w:tc>
        <w:tc>
          <w:tcPr>
            <w:tcW w:w="8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05"/>
        </w:trPr>
        <w:tc>
          <w:tcPr>
            <w:tcW w:w="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2023</w:t>
      </w:r>
    </w:p>
    <w:p>
      <w:pPr>
        <w:spacing w:after="0" w:line="262"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BAKKT HOLDINGS, INC.</w:t>
      </w:r>
    </w:p>
    <w:p>
      <w:pPr>
        <w:spacing w:after="0" w:line="270" w:lineRule="exact"/>
        <w:rPr>
          <w:sz w:val="20"/>
          <w:szCs w:val="20"/>
          <w:color w:val="auto"/>
        </w:rPr>
      </w:pPr>
    </w:p>
    <w:p>
      <w:pPr>
        <w:ind w:left="5800"/>
        <w:spacing w:after="0"/>
        <w:tabs>
          <w:tab w:leader="none" w:pos="6220" w:val="left"/>
        </w:tabs>
        <w:rPr>
          <w:sz w:val="20"/>
          <w:szCs w:val="20"/>
          <w:color w:val="auto"/>
        </w:rPr>
      </w:pPr>
      <w:r>
        <w:rPr>
          <w:rFonts w:ascii="Arial" w:cs="Arial" w:eastAsia="Arial" w:hAnsi="Arial"/>
          <w:sz w:val="18"/>
          <w:szCs w:val="18"/>
          <w:color w:val="auto"/>
        </w:rPr>
        <w:t>By:</w:t>
        <w:tab/>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14605</wp:posOffset>
            </wp:positionV>
            <wp:extent cx="3360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D’Annunzio</w:t>
      </w:r>
    </w:p>
    <w:p>
      <w:pPr>
        <w:spacing w:after="0" w:line="36" w:lineRule="exact"/>
        <w:rPr>
          <w:sz w:val="20"/>
          <w:szCs w:val="20"/>
          <w:color w:val="auto"/>
        </w:rPr>
      </w:pPr>
    </w:p>
    <w:p>
      <w:pPr>
        <w:ind w:left="6240"/>
        <w:spacing w:after="0"/>
        <w:tabs>
          <w:tab w:leader="none" w:pos="7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General Counsel and Secretary</w:t>
      </w:r>
    </w:p>
    <w:p>
      <w:pPr>
        <w:sectPr>
          <w:pgSz w:w="11900" w:h="16838" w:orient="portrait"/>
          <w:cols w:equalWidth="0" w:num="1">
            <w:col w:w="11240"/>
          </w:cols>
          <w:pgMar w:left="320" w:top="14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29845</wp:posOffset>
            </wp:positionV>
            <wp:extent cx="109728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Bakkt Reports First Quarter 2023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Quarterly net revenues of $13.0 million, increased 4% year-over-year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Operatng expenses of $58.4 million, declined 4% year-over-year; includes $4.3 million of restructuring expenses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Acquisiton of Apex Crypto closed on April 1, 2023, bringing ~5.8 million crypto-enabled accounts to the Bakkt platorm</w:t>
      </w:r>
    </w:p>
    <w:p>
      <w:pPr>
        <w:spacing w:after="0" w:line="162" w:lineRule="exact"/>
        <w:rPr>
          <w:sz w:val="20"/>
          <w:szCs w:val="20"/>
          <w:color w:val="auto"/>
        </w:rPr>
      </w:pPr>
    </w:p>
    <w:p>
      <w:pPr>
        <w:jc w:val="center"/>
        <w:spacing w:after="0" w:line="289" w:lineRule="auto"/>
        <w:rPr>
          <w:sz w:val="20"/>
          <w:szCs w:val="20"/>
          <w:color w:val="auto"/>
        </w:rPr>
      </w:pPr>
      <w:r>
        <w:rPr>
          <w:rFonts w:ascii="Arial" w:cs="Arial" w:eastAsia="Arial" w:hAnsi="Arial"/>
          <w:sz w:val="20"/>
          <w:szCs w:val="20"/>
          <w:i w:val="1"/>
          <w:iCs w:val="1"/>
          <w:color w:val="auto"/>
        </w:rPr>
        <w:t>Outlook for Apex Crypto includes full year 2023 gross revenue of ~$1,874 million - $2,384 million and crypto costs and executon, clearing and brokerage fees of ~$1,868 million – $2,376 million</w:t>
      </w:r>
    </w:p>
    <w:p>
      <w:pPr>
        <w:spacing w:after="0" w:line="337" w:lineRule="exact"/>
        <w:rPr>
          <w:sz w:val="20"/>
          <w:szCs w:val="20"/>
          <w:color w:val="auto"/>
        </w:rPr>
      </w:pPr>
    </w:p>
    <w:p>
      <w:pPr>
        <w:ind w:right="520"/>
        <w:spacing w:after="0" w:line="274" w:lineRule="auto"/>
        <w:rPr>
          <w:sz w:val="20"/>
          <w:szCs w:val="20"/>
          <w:color w:val="auto"/>
        </w:rPr>
      </w:pPr>
      <w:r>
        <w:rPr>
          <w:rFonts w:ascii="Arial" w:cs="Arial" w:eastAsia="Arial" w:hAnsi="Arial"/>
          <w:sz w:val="20"/>
          <w:szCs w:val="20"/>
          <w:b w:val="1"/>
          <w:bCs w:val="1"/>
          <w:color w:val="auto"/>
        </w:rPr>
        <w:t xml:space="preserve">ALPHARETTA, GA – May 11, 2023 </w:t>
      </w:r>
      <w:r>
        <w:rPr>
          <w:rFonts w:ascii="Arial" w:cs="Arial" w:eastAsia="Arial" w:hAnsi="Arial"/>
          <w:sz w:val="20"/>
          <w:szCs w:val="20"/>
          <w:color w:val="auto"/>
        </w:rPr>
        <w:t>– Bakkt Holdings, Inc. (“Bakkt”) (NYSE: BKKT) announced its fnancial and operatonal results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ended March 31, 2023.</w:t>
      </w:r>
    </w:p>
    <w:p>
      <w:pPr>
        <w:spacing w:after="0" w:line="204"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auto"/>
        </w:rPr>
        <w:t>“We are proud of our accomplishments in the frst quarter and thrilled about the recent close of our acquisiton of Apex Crypto,” said Gavin Michael, President and CEO of Bakkt. “Our secure qualifed custodian combined with Apex Crypto’s advanced trading capabilites positons us to be the crypto infrastructure provider of choice. We are excited to bring our unique, highly regulated, best-in-class crypto platorm to our new fntech, existng and prospectve clients to explore opportunites to deepen relatonships. We will contnue our disciplined approach to managing expenses, which enabled us to deliver improved operatng margins in the frst quarter of 2023. We believe we are well-positoned to beneft from improving crypto market conditons.”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Strategic Highlights</w:t>
      </w:r>
    </w:p>
    <w:p>
      <w:pPr>
        <w:spacing w:after="0" w:line="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b w:val="1"/>
          <w:bCs w:val="1"/>
          <w:color w:val="auto"/>
        </w:rPr>
        <w:t xml:space="preserve">Acquisiton of Apex Crypto – </w:t>
      </w:r>
      <w:r>
        <w:rPr>
          <w:rFonts w:ascii="Arial" w:cs="Arial" w:eastAsia="Arial" w:hAnsi="Arial"/>
          <w:sz w:val="20"/>
          <w:szCs w:val="20"/>
          <w:color w:val="auto"/>
        </w:rPr>
        <w:t>We closed the acquisiton of Apex Crypto on April 1, 2023. This transformatonal deal combines Bakkt’s</w:t>
      </w:r>
      <w:r>
        <w:rPr>
          <w:rFonts w:ascii="Arial" w:cs="Arial" w:eastAsia="Arial" w:hAnsi="Arial"/>
          <w:sz w:val="20"/>
          <w:szCs w:val="20"/>
          <w:b w:val="1"/>
          <w:bCs w:val="1"/>
          <w:color w:val="auto"/>
        </w:rPr>
        <w:t xml:space="preserve"> </w:t>
      </w:r>
      <w:r>
        <w:rPr>
          <w:rFonts w:ascii="Arial" w:cs="Arial" w:eastAsia="Arial" w:hAnsi="Arial"/>
          <w:sz w:val="20"/>
          <w:szCs w:val="20"/>
          <w:color w:val="auto"/>
        </w:rPr>
        <w:t>premier custody solutons with Apex Crypto’s advanced trading capabilites, positoning us as the crypto infrastructure provider of choice and bolsters our path to proftability. The transacton strengthens our crypto product ofering with enhanced features such as deeper liquidity, coin transfers and advanced order capabilites, which are available to our clients today. Our acquisiton provides access to new client vertcals in high growth sectors with leading fntech partners including Webull, Stash, M1 Finance and Public. We are focused on integratng Apex Crypto in an expeditous manner and expanding into new capabilites and internatonal markets by leveraging Apex Crypto’s existng client base.</w:t>
      </w: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Bakkt First Quarter Financial Highlights (unaudited; does not include Apex Crypto)</w:t>
      </w:r>
    </w:p>
    <w:p>
      <w:pPr>
        <w:sectPr>
          <w:pgSz w:w="11900" w:h="16838" w:orient="portrait"/>
          <w:cols w:equalWidth="0" w:num="1">
            <w:col w:w="11240"/>
          </w:cols>
          <w:pgMar w:left="320" w:top="111" w:right="339" w:bottom="1440" w:gutter="0" w:footer="0" w:header="0"/>
        </w:sect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$mm’s</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revenues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Operatng expenses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Operatng loss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loss</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5"/>
          <w:szCs w:val="15"/>
          <w:color w:val="auto"/>
        </w:rPr>
        <w:t>Adjusted EBITDA loss (non-GAAP)</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FFFFFF"/>
              </w:rPr>
              <w:t>Increase/</w:t>
            </w:r>
          </w:p>
        </w:tc>
      </w:tr>
      <w:tr>
        <w:trPr>
          <w:trHeight w:val="231"/>
        </w:trPr>
        <w:tc>
          <w:tcPr>
            <w:tcW w:w="2160" w:type="dxa"/>
            <w:vAlign w:val="bottom"/>
          </w:tcPr>
          <w:p>
            <w:pPr>
              <w:jc w:val="right"/>
              <w:ind w:right="490"/>
              <w:spacing w:after="0"/>
              <w:rPr>
                <w:sz w:val="20"/>
                <w:szCs w:val="20"/>
                <w:color w:val="auto"/>
              </w:rPr>
            </w:pPr>
            <w:r>
              <w:rPr>
                <w:rFonts w:ascii="Arial" w:cs="Arial" w:eastAsia="Arial" w:hAnsi="Arial"/>
                <w:sz w:val="18"/>
                <w:szCs w:val="18"/>
                <w:b w:val="1"/>
                <w:bCs w:val="1"/>
                <w:color w:val="FFFFFF"/>
              </w:rPr>
              <w:t>1Q23</w:t>
            </w:r>
          </w:p>
        </w:tc>
        <w:tc>
          <w:tcPr>
            <w:tcW w:w="1840" w:type="dxa"/>
            <w:vAlign w:val="bottom"/>
          </w:tcPr>
          <w:p>
            <w:pPr>
              <w:jc w:val="right"/>
              <w:ind w:right="670"/>
              <w:spacing w:after="0"/>
              <w:rPr>
                <w:sz w:val="20"/>
                <w:szCs w:val="20"/>
                <w:color w:val="auto"/>
              </w:rPr>
            </w:pPr>
            <w:r>
              <w:rPr>
                <w:rFonts w:ascii="Arial" w:cs="Arial" w:eastAsia="Arial" w:hAnsi="Arial"/>
                <w:sz w:val="18"/>
                <w:szCs w:val="18"/>
                <w:b w:val="1"/>
                <w:bCs w:val="1"/>
                <w:color w:val="FFFFFF"/>
              </w:rPr>
              <w:t>1Q22</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FFFFFF"/>
              </w:rPr>
              <w:t>(decrease)</w:t>
            </w:r>
          </w:p>
        </w:tc>
      </w:tr>
      <w:tr>
        <w:trPr>
          <w:trHeight w:val="268"/>
        </w:trPr>
        <w:tc>
          <w:tcPr>
            <w:tcW w:w="2160" w:type="dxa"/>
            <w:vAlign w:val="bottom"/>
          </w:tcPr>
          <w:p>
            <w:pPr>
              <w:jc w:val="right"/>
              <w:ind w:right="490"/>
              <w:spacing w:after="0"/>
              <w:rPr>
                <w:sz w:val="20"/>
                <w:szCs w:val="20"/>
                <w:color w:val="auto"/>
              </w:rPr>
            </w:pPr>
            <w:r>
              <w:rPr>
                <w:rFonts w:ascii="Arial" w:cs="Arial" w:eastAsia="Arial" w:hAnsi="Arial"/>
                <w:sz w:val="18"/>
                <w:szCs w:val="18"/>
                <w:color w:val="auto"/>
              </w:rPr>
              <w:t>$13.0</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$12.5</w:t>
            </w: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84"/>
        </w:trPr>
        <w:tc>
          <w:tcPr>
            <w:tcW w:w="2160" w:type="dxa"/>
            <w:vAlign w:val="bottom"/>
          </w:tcPr>
          <w:p>
            <w:pPr>
              <w:jc w:val="right"/>
              <w:ind w:right="490"/>
              <w:spacing w:after="0"/>
              <w:rPr>
                <w:sz w:val="20"/>
                <w:szCs w:val="20"/>
                <w:color w:val="auto"/>
              </w:rPr>
            </w:pPr>
            <w:r>
              <w:rPr>
                <w:rFonts w:ascii="Arial" w:cs="Arial" w:eastAsia="Arial" w:hAnsi="Arial"/>
                <w:sz w:val="18"/>
                <w:szCs w:val="18"/>
                <w:color w:val="auto"/>
              </w:rPr>
              <w:t>58.4</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61.0</w:t>
            </w: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2"/>
        </w:trPr>
        <w:tc>
          <w:tcPr>
            <w:tcW w:w="216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20"/>
        </w:trPr>
        <w:tc>
          <w:tcPr>
            <w:tcW w:w="2160" w:type="dxa"/>
            <w:vAlign w:val="bottom"/>
          </w:tcPr>
          <w:p>
            <w:pPr>
              <w:jc w:val="right"/>
              <w:ind w:right="490"/>
              <w:spacing w:after="0"/>
              <w:rPr>
                <w:sz w:val="20"/>
                <w:szCs w:val="20"/>
                <w:color w:val="auto"/>
              </w:rPr>
            </w:pPr>
            <w:r>
              <w:rPr>
                <w:rFonts w:ascii="Arial" w:cs="Arial" w:eastAsia="Arial" w:hAnsi="Arial"/>
                <w:sz w:val="18"/>
                <w:szCs w:val="18"/>
                <w:color w:val="auto"/>
              </w:rPr>
              <w:t>(45.4)</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(48.5)</w:t>
            </w:r>
          </w:p>
        </w:tc>
        <w:tc>
          <w:tcPr>
            <w:tcW w:w="1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5"/>
        </w:trPr>
        <w:tc>
          <w:tcPr>
            <w:tcW w:w="2160" w:type="dxa"/>
            <w:vAlign w:val="bottom"/>
          </w:tcPr>
          <w:p>
            <w:pPr>
              <w:jc w:val="right"/>
              <w:ind w:right="490"/>
              <w:spacing w:after="0"/>
              <w:rPr>
                <w:sz w:val="20"/>
                <w:szCs w:val="20"/>
                <w:color w:val="auto"/>
              </w:rPr>
            </w:pPr>
            <w:r>
              <w:rPr>
                <w:rFonts w:ascii="Arial" w:cs="Arial" w:eastAsia="Arial" w:hAnsi="Arial"/>
                <w:sz w:val="18"/>
                <w:szCs w:val="18"/>
                <w:color w:val="auto"/>
              </w:rPr>
              <w:t>(44.9)</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(43.3)</w:t>
            </w:r>
          </w:p>
        </w:tc>
        <w:tc>
          <w:tcPr>
            <w:tcW w:w="160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83"/>
        </w:trPr>
        <w:tc>
          <w:tcPr>
            <w:tcW w:w="2160" w:type="dxa"/>
            <w:vAlign w:val="bottom"/>
          </w:tcPr>
          <w:p>
            <w:pPr>
              <w:jc w:val="right"/>
              <w:ind w:right="490"/>
              <w:spacing w:after="0"/>
              <w:rPr>
                <w:sz w:val="20"/>
                <w:szCs w:val="20"/>
                <w:color w:val="auto"/>
              </w:rPr>
            </w:pPr>
            <w:r>
              <w:rPr>
                <w:rFonts w:ascii="Arial" w:cs="Arial" w:eastAsia="Arial" w:hAnsi="Arial"/>
                <w:sz w:val="18"/>
                <w:szCs w:val="18"/>
                <w:color w:val="auto"/>
              </w:rPr>
              <w:t>$(28.9)</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$(28.9)</w:t>
            </w: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-1177290</wp:posOffset>
            </wp:positionV>
            <wp:extent cx="5974715"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31750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39370</wp:posOffset>
            </wp:positionV>
            <wp:extent cx="59747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742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1" w:right="339" w:bottom="1440" w:gutter="0" w:footer="0" w:header="0"/>
          <w:type w:val="continuous"/>
        </w:sectPr>
      </w:pPr>
    </w:p>
    <w:bookmarkStart w:id="4" w:name="page5"/>
    <w:bookmarkEnd w:id="4"/>
    <w:p>
      <w:pPr>
        <w:ind w:left="660" w:right="660" w:hanging="328"/>
        <w:spacing w:after="0" w:line="274"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t>Transactng accounts of approximately 690,000 increased 2% year-over-year. Digital asset conversion volume of $193 million increased 6% year-over-year, due to loyalty redempton from increased air travel actvity.</w:t>
      </w:r>
    </w:p>
    <w:p>
      <w:pPr>
        <w:spacing w:after="0" w:line="1" w:lineRule="exact"/>
        <w:rPr>
          <w:rFonts w:ascii="Arial" w:cs="Arial" w:eastAsia="Arial" w:hAnsi="Arial"/>
          <w:sz w:val="20"/>
          <w:szCs w:val="20"/>
          <w:color w:val="auto"/>
        </w:rPr>
      </w:pPr>
    </w:p>
    <w:p>
      <w:pPr>
        <w:ind w:left="660" w:right="560" w:hanging="328"/>
        <w:spacing w:after="0" w:line="274"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revenues of $13.0 million increased 4% year-over-year, driven by higher transacton revenue from the loyalty redempton business.</w:t>
      </w:r>
    </w:p>
    <w:p>
      <w:pPr>
        <w:spacing w:after="0" w:line="1" w:lineRule="exact"/>
        <w:rPr>
          <w:rFonts w:ascii="Arial" w:cs="Arial" w:eastAsia="Arial" w:hAnsi="Arial"/>
          <w:sz w:val="20"/>
          <w:szCs w:val="20"/>
          <w:color w:val="auto"/>
        </w:rPr>
      </w:pPr>
    </w:p>
    <w:p>
      <w:pPr>
        <w:ind w:left="660" w:right="20" w:hanging="328"/>
        <w:spacing w:after="0" w:line="267"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operatng expenses of $58.4 million decreased 4% year-over-year. Total operatng expenses for the three months ended March 31, 2023 include restructuring costs of $4.3 million.</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loss of $(44.9) million increased 4% year-over-year.</w:t>
      </w:r>
    </w:p>
    <w:p>
      <w:pPr>
        <w:spacing w:after="0" w:line="53" w:lineRule="exact"/>
        <w:rPr>
          <w:rFonts w:ascii="Arial" w:cs="Arial" w:eastAsia="Arial" w:hAnsi="Arial"/>
          <w:sz w:val="20"/>
          <w:szCs w:val="20"/>
          <w:color w:val="auto"/>
        </w:rPr>
      </w:pPr>
    </w:p>
    <w:p>
      <w:pPr>
        <w:ind w:left="660" w:hanging="328"/>
        <w:spacing w:after="0" w:line="274"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loss (non-GAAP) of $(28.9) million was fat year-over-year as higher non-share-based and unit-based compensaton costs were ofset by lower marketng costs and professional service fees.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Apex Crypto Full Year 2023 Outlook</w:t>
      </w:r>
    </w:p>
    <w:p>
      <w:pPr>
        <w:spacing w:after="0" w:line="4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Apex Crypto acquisiton closed on April 1, 2023.</w:t>
      </w:r>
    </w:p>
    <w:p>
      <w:pPr>
        <w:spacing w:after="0" w:line="53"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year 2023 gross revenue expected to be ~$1,874 million - $2,384 million.</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 year 2023 outlook for crypto costs and executon, clearing and brokerage fees of ~$1,868 million – $2,376 million.</w:t>
      </w:r>
    </w:p>
    <w:p>
      <w:pPr>
        <w:spacing w:after="0" w:line="40"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Financial results for remainder of 2023 expected to be approximately free cash fow breakeven, excluding deal costs.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Informaton</w:t>
      </w:r>
    </w:p>
    <w:p>
      <w:pPr>
        <w:spacing w:after="0" w:line="162"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 xml:space="preserve">Bakkt will host a conference call at 9:00 AM ET, May 11, 2023. The live webcast of Bakkt’s earnings conference call can be accessed at </w:t>
      </w:r>
      <w:r>
        <w:rPr>
          <w:rFonts w:ascii="Arial" w:cs="Arial" w:eastAsia="Arial" w:hAnsi="Arial"/>
          <w:sz w:val="19"/>
          <w:szCs w:val="19"/>
          <w:u w:val="single" w:color="auto"/>
          <w:color w:val="0563C1"/>
        </w:rPr>
        <w:t>htps://investors.bakkt.com</w:t>
      </w:r>
      <w:r>
        <w:rPr>
          <w:rFonts w:ascii="Arial" w:cs="Arial" w:eastAsia="Arial" w:hAnsi="Arial"/>
          <w:sz w:val="19"/>
          <w:szCs w:val="19"/>
          <w:color w:val="000000"/>
        </w:rPr>
        <w:t>, along with the earnings press release and accompanying slide presentaton. Investors and analysts interested</w:t>
      </w:r>
      <w:r>
        <w:rPr>
          <w:rFonts w:ascii="Arial" w:cs="Arial" w:eastAsia="Arial" w:hAnsi="Arial"/>
          <w:sz w:val="19"/>
          <w:szCs w:val="19"/>
          <w:color w:val="0563C1"/>
        </w:rPr>
        <w:t xml:space="preserve"> </w:t>
      </w:r>
      <w:r>
        <w:rPr>
          <w:rFonts w:ascii="Arial" w:cs="Arial" w:eastAsia="Arial" w:hAnsi="Arial"/>
          <w:sz w:val="19"/>
          <w:szCs w:val="19"/>
          <w:color w:val="000000"/>
        </w:rPr>
        <w:t>in partcipatng in the call are invited to dial (833) 470-1428 or (404) 975-4839, and reference partcipant access code 853207 approximately ten minutes prior to the start of the call. A replay will be available promptly afer the call and can be accessed by dialing (866) 813-9403 and entering the access code 608202. The replay will be available through June 10, 2023.</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Bakkt</w:t>
      </w:r>
    </w:p>
    <w:p>
      <w:pPr>
        <w:spacing w:after="0" w:line="16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Founded in 2018, Bakkt builds technology that connects commerce. Our vision is to connect the digital economy by ofering one platorm for cryptocurrency, loyalty, and commerce. We enable our partners and clients to deliver new opportunites to their customers through SaaS and API solutons that unlock crypto and drive loyalty, powering engagement and performance. Bakkt is headquartered in Alphareta, GA. For more informaton, visit: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5B9BD5"/>
        </w:rPr>
        <w:t xml:space="preserve">htps://www.bakkt.com/ </w:t>
      </w:r>
      <w:r>
        <w:rPr>
          <w:rFonts w:ascii="Arial" w:cs="Arial" w:eastAsia="Arial" w:hAnsi="Arial"/>
          <w:sz w:val="20"/>
          <w:szCs w:val="20"/>
          <w:color w:val="000000"/>
        </w:rPr>
        <w:t>| Twiter @Bakkt | LinkedIn</w:t>
      </w:r>
      <w:r>
        <w:rPr>
          <w:rFonts w:ascii="Arial" w:cs="Arial" w:eastAsia="Arial" w:hAnsi="Arial"/>
          <w:sz w:val="20"/>
          <w:szCs w:val="20"/>
          <w:color w:val="5B9BD5"/>
        </w:rPr>
        <w:t xml:space="preserve"> htps://www.linkedin.com/company/bakkt/.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Bakkt-E</w:t>
      </w:r>
    </w:p>
    <w:p>
      <w:pPr>
        <w:spacing w:after="0" w:line="236" w:lineRule="auto"/>
        <w:rPr>
          <w:sz w:val="20"/>
          <w:szCs w:val="20"/>
          <w:color w:val="auto"/>
        </w:rPr>
      </w:pPr>
      <w:r>
        <w:rPr>
          <w:rFonts w:ascii="Arial" w:cs="Arial" w:eastAsia="Arial" w:hAnsi="Arial"/>
          <w:sz w:val="16"/>
          <w:szCs w:val="16"/>
          <w:i w:val="1"/>
          <w:iCs w:val="1"/>
          <w:color w:val="auto"/>
        </w:rPr>
        <w:t>Source: Bakkt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0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39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t>Contacts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Ann DeVries, Head of Investor Relatons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Ann.DeVries@bakkt.com</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Lauren Post, Head of Communicatons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Lauren.Post@bakkt.com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162"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This press release contains “forward-looking statements” within the meaning of Secton 27A of the Securites Act of 1933, as amended, and Secton 21E of the Securites Exchange Act of 1934, as amended. Such statements include, but are not limited to, statements regarding the impacts from the Apex Crypto acquisiton, Bakkt’s guidance regarding Apex Crypto’s full year 2023 results, and Bakkt’s guidance, plans, objectves, expectatons and intentons with respect to future operatons, products, services, among others. Forward-looking statements can be identfed by words such as “will,” “likely,” “expect,” “contnue,” “antcipate,” “estmate,” “believe,” “intend,” “plan,” “projecton,” “outlook,” “grow,” “progress,” “potental” or words of similar meaning. Such forward-looking statements are based upon the current beliefs and expectatons of Bakkt’s management and are inherently subject to signifcant business, economic and compettve uncertaintes and contngencies, many of which are difcult to predict and beyond Bakkt’s control. Actual results and the tming of events may difer materially from the results antcipated in such forward-looking statements as a result of the following factors, among others: Bakkt’s ability to grow and manage growth proftably; changes in Bakkt’s business strategy; changes in the market in which Bakkt competes, including with respect to its compettve landscape, technology evoluton or changes in applicable laws or regulatons; changes in the markets that Bakkt targets; disruptons in the crypto market that subject Bakkt to additonal risks, including the risk that banks may not provide banking services to Bakkt; the possibility that Bakkt may be adversely afected by other economic, business, and/or compettve factors; the inability to launch new services and products or to proftably expand into new markets and services; the inability to execute Bakkt’s growth strategies, including identfying and executng acquisitons and Bakkt’s initatves to add new clients; Bakkt’s ability to successfully integrate the Apex Crypto business and employees and to achieve the expected benefts from the acquisiton; Bakkt’s failure to comply with extensive government regulaton, oversight, licensure and appraisals; uncertain regulatory regime governing blockchain technologies and crypto; the inability to develop and maintain efectve internal controls and procedures; the exposure to any liability, protracted and costly litgaton or reputatonal damage relatng to Bakkt’s data security; the impact of any goodwill or other intangible assets impairments on Bakkt’s operatng results; the impact of any pandemics or other public health emergencies; Bakkt’s inability to maintain the listng of its securites on the New York Stock Exchange; and other risks and uncertaintes indicated in Bakkt’s flings with the Securites and Exchange Commission. You are cautoned not to place undue reliance on such forward-looking statements. Such forward-looking statements relate only to events as of the date on which such statements are made and are based on informaton available to us as of the date of this press release. Unless otherwise required by law, we undertake no obligaton to update any forward-looking statements made in this press release to refect events or circumstances afer the date of this press release or to refect new informaton or the occurrence of unantcipated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249"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39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t>Defnitons</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Digital asset conversion volume:</w:t>
      </w:r>
      <w:r>
        <w:rPr>
          <w:rFonts w:ascii="Arial" w:cs="Arial" w:eastAsia="Arial" w:hAnsi="Arial"/>
          <w:sz w:val="19"/>
          <w:szCs w:val="19"/>
          <w:color w:val="auto"/>
        </w:rPr>
        <w:t xml:space="preserve"> Dollar value of transacton volume across loyalty redempton, crypto buy/sell and gif card purchases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Transactng accounts:</w:t>
      </w:r>
      <w:r>
        <w:rPr>
          <w:rFonts w:ascii="Arial" w:cs="Arial" w:eastAsia="Arial" w:hAnsi="Arial"/>
          <w:sz w:val="20"/>
          <w:szCs w:val="20"/>
          <w:color w:val="auto"/>
        </w:rPr>
        <w:t xml:space="preserve"> Unique accounts that perform transactons on the Bakkt platorm each month</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Adjusted EBITDA is a non-GAAP fnancial measure, which we defne as earnings before interest, income taxes, depreciaton, amortzaton, acquisiton-related expenses, share-based and unit-based compensaton expense, goodwill and intangible assets impairments, restructuring charges, changes in the fair value of our warrant liability and certain other non-cash and/or non-recurring items that do not contribute directly to our evaluaton of operatng results and are not components of our core business operatons. Adjusted EBITDA provides management with an understanding of earnings before the impact of investng and fnancing transactons and income taxes, and the efects of aforementoned items that do not refect the ordinary earnings of our operatons. This measure may be useful to an investor in evaluatng our performance. Adjusted EBITDA is not a measure of our fnancial performance under GAAP and should not be considered as an alternatve to net income (loss) or other performance measures derived in accordance with GAAP. Our defniton of Adjusted EBITDA may not be comparable to similarly ted measures used by other companies.</w:t>
      </w:r>
    </w:p>
    <w:p>
      <w:pPr>
        <w:spacing w:after="0" w:line="109" w:lineRule="exact"/>
        <w:rPr>
          <w:sz w:val="20"/>
          <w:szCs w:val="20"/>
          <w:color w:val="auto"/>
        </w:rPr>
      </w:pPr>
    </w:p>
    <w:p>
      <w:pPr>
        <w:ind w:right="60"/>
        <w:spacing w:after="0" w:line="265" w:lineRule="auto"/>
        <w:rPr>
          <w:sz w:val="20"/>
          <w:szCs w:val="20"/>
          <w:color w:val="auto"/>
        </w:rPr>
      </w:pPr>
      <w:r>
        <w:rPr>
          <w:rFonts w:ascii="Arial" w:cs="Arial" w:eastAsia="Arial" w:hAnsi="Arial"/>
          <w:sz w:val="20"/>
          <w:szCs w:val="20"/>
          <w:color w:val="auto"/>
        </w:rPr>
        <w:t>Non-GAAP fnancial measures like Adjusted EBITDA have limitatons, should be considered as supplemental in nature and are not meant as a substtute for the related fnancial informaton prepared in accordance with GAAP. The non-GAAP fnancial measures should be considered alongside other fnancial performance measures, including net loss and our other fnancial results presented in accordance with GAAP.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Reconciliaton of GAAP Net Loss to Non-GAAP Adjusted EBITDA Loss ($ 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6720" w:type="dxa"/>
            <w:vAlign w:val="bottom"/>
            <w:tcBorders>
              <w:bottom w:val="single" w:sz="8" w:color="auto"/>
            </w:tcBorders>
            <w:shd w:val="clear" w:color="auto" w:fill="000000"/>
          </w:tcPr>
          <w:p>
            <w:pPr>
              <w:spacing w:after="0"/>
              <w:rPr>
                <w:sz w:val="24"/>
                <w:szCs w:val="24"/>
                <w:color w:val="auto"/>
              </w:rPr>
            </w:pPr>
          </w:p>
        </w:tc>
        <w:tc>
          <w:tcPr>
            <w:tcW w:w="3100" w:type="dxa"/>
            <w:vAlign w:val="bottom"/>
            <w:tcBorders>
              <w:bottom w:val="single" w:sz="8" w:color="auto"/>
            </w:tcBorders>
            <w:shd w:val="clear" w:color="auto" w:fill="000000"/>
          </w:tcPr>
          <w:p>
            <w:pPr>
              <w:jc w:val="right"/>
              <w:ind w:right="775"/>
              <w:spacing w:after="0"/>
              <w:rPr>
                <w:sz w:val="20"/>
                <w:szCs w:val="20"/>
                <w:color w:val="auto"/>
              </w:rPr>
            </w:pPr>
            <w:r>
              <w:rPr>
                <w:rFonts w:ascii="Arial" w:cs="Arial" w:eastAsia="Arial" w:hAnsi="Arial"/>
                <w:sz w:val="17"/>
                <w:szCs w:val="17"/>
                <w:b w:val="1"/>
                <w:bCs w:val="1"/>
                <w:color w:val="FFFFFF"/>
              </w:rPr>
              <w:t>1Q23</w:t>
            </w:r>
          </w:p>
        </w:tc>
        <w:tc>
          <w:tcPr>
            <w:tcW w:w="142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7"/>
                <w:szCs w:val="17"/>
                <w:b w:val="1"/>
                <w:bCs w:val="1"/>
                <w:color w:val="FFFFFF"/>
              </w:rPr>
              <w:t>1Q22</w:t>
            </w:r>
          </w:p>
        </w:tc>
        <w:tc>
          <w:tcPr>
            <w:tcW w:w="0" w:type="dxa"/>
            <w:vAlign w:val="bottom"/>
          </w:tcPr>
          <w:p>
            <w:pPr>
              <w:spacing w:after="0"/>
              <w:rPr>
                <w:sz w:val="1"/>
                <w:szCs w:val="1"/>
                <w:color w:val="auto"/>
              </w:rPr>
            </w:pPr>
          </w:p>
        </w:tc>
      </w:tr>
      <w:tr>
        <w:trPr>
          <w:trHeight w:val="214"/>
        </w:trPr>
        <w:tc>
          <w:tcPr>
            <w:tcW w:w="6720" w:type="dxa"/>
            <w:vAlign w:val="bottom"/>
          </w:tcPr>
          <w:p>
            <w:pPr>
              <w:ind w:left="80"/>
              <w:spacing w:after="0"/>
              <w:rPr>
                <w:sz w:val="20"/>
                <w:szCs w:val="20"/>
                <w:color w:val="auto"/>
              </w:rPr>
            </w:pPr>
            <w:r>
              <w:rPr>
                <w:rFonts w:ascii="Arial" w:cs="Arial" w:eastAsia="Arial" w:hAnsi="Arial"/>
                <w:sz w:val="17"/>
                <w:szCs w:val="17"/>
                <w:color w:val="auto"/>
              </w:rPr>
              <w:t>Net loss</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$(44.9)</w:t>
            </w:r>
          </w:p>
        </w:tc>
        <w:tc>
          <w:tcPr>
            <w:tcW w:w="1420" w:type="dxa"/>
            <w:vAlign w:val="bottom"/>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60"/>
        </w:trPr>
        <w:tc>
          <w:tcPr>
            <w:tcW w:w="6720" w:type="dxa"/>
            <w:vAlign w:val="bottom"/>
          </w:tcPr>
          <w:p>
            <w:pPr>
              <w:ind w:left="180"/>
              <w:spacing w:after="0"/>
              <w:rPr>
                <w:sz w:val="20"/>
                <w:szCs w:val="20"/>
                <w:color w:val="auto"/>
              </w:rPr>
            </w:pPr>
            <w:r>
              <w:rPr>
                <w:rFonts w:ascii="Arial" w:cs="Arial" w:eastAsia="Arial" w:hAnsi="Arial"/>
                <w:sz w:val="17"/>
                <w:szCs w:val="17"/>
                <w:color w:val="auto"/>
              </w:rPr>
              <w:t>Depreciaton and amortzaton</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3.1</w:t>
            </w:r>
          </w:p>
        </w:tc>
        <w:tc>
          <w:tcPr>
            <w:tcW w:w="142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7"/>
                <w:szCs w:val="17"/>
                <w:color w:val="auto"/>
              </w:rPr>
              <w:t>Interest income, net</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(1.6)</w:t>
            </w:r>
          </w:p>
        </w:tc>
        <w:tc>
          <w:tcPr>
            <w:tcW w:w="142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70"/>
        </w:trPr>
        <w:tc>
          <w:tcPr>
            <w:tcW w:w="6720" w:type="dxa"/>
            <w:vAlign w:val="bottom"/>
          </w:tcPr>
          <w:p>
            <w:pPr>
              <w:ind w:left="180"/>
              <w:spacing w:after="0"/>
              <w:rPr>
                <w:sz w:val="20"/>
                <w:szCs w:val="20"/>
                <w:color w:val="auto"/>
              </w:rPr>
            </w:pPr>
            <w:r>
              <w:rPr>
                <w:rFonts w:ascii="Arial" w:cs="Arial" w:eastAsia="Arial" w:hAnsi="Arial"/>
                <w:sz w:val="17"/>
                <w:szCs w:val="17"/>
                <w:color w:val="auto"/>
              </w:rPr>
              <w:t>Income tax expense (beneft)</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0.0</w:t>
            </w:r>
          </w:p>
        </w:tc>
        <w:tc>
          <w:tcPr>
            <w:tcW w:w="142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66"/>
        </w:trPr>
        <w:tc>
          <w:tcPr>
            <w:tcW w:w="672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EBITDA</w:t>
            </w:r>
          </w:p>
        </w:tc>
        <w:tc>
          <w:tcPr>
            <w:tcW w:w="3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720" w:type="dxa"/>
            <w:vAlign w:val="bottom"/>
            <w:vMerge w:val="continue"/>
          </w:tcPr>
          <w:p>
            <w:pPr>
              <w:spacing w:after="0"/>
              <w:rPr>
                <w:sz w:val="18"/>
                <w:szCs w:val="18"/>
                <w:color w:val="auto"/>
              </w:rPr>
            </w:pPr>
          </w:p>
        </w:tc>
        <w:tc>
          <w:tcPr>
            <w:tcW w:w="3100" w:type="dxa"/>
            <w:vAlign w:val="bottom"/>
          </w:tcPr>
          <w:p>
            <w:pPr>
              <w:jc w:val="right"/>
              <w:ind w:right="775"/>
              <w:spacing w:after="0"/>
              <w:rPr>
                <w:sz w:val="20"/>
                <w:szCs w:val="20"/>
                <w:color w:val="auto"/>
              </w:rPr>
            </w:pPr>
            <w:r>
              <w:rPr>
                <w:rFonts w:ascii="Arial" w:cs="Arial" w:eastAsia="Arial" w:hAnsi="Arial"/>
                <w:sz w:val="17"/>
                <w:szCs w:val="17"/>
                <w:b w:val="1"/>
                <w:bCs w:val="1"/>
                <w:color w:val="auto"/>
              </w:rPr>
              <w:t>$(43.4)</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$(40.7)</w:t>
            </w:r>
          </w:p>
        </w:tc>
        <w:tc>
          <w:tcPr>
            <w:tcW w:w="0" w:type="dxa"/>
            <w:vAlign w:val="bottom"/>
          </w:tcPr>
          <w:p>
            <w:pPr>
              <w:spacing w:after="0"/>
              <w:rPr>
                <w:sz w:val="1"/>
                <w:szCs w:val="1"/>
                <w:color w:val="auto"/>
              </w:rPr>
            </w:pPr>
          </w:p>
        </w:tc>
      </w:tr>
      <w:tr>
        <w:trPr>
          <w:trHeight w:val="443"/>
        </w:trPr>
        <w:tc>
          <w:tcPr>
            <w:tcW w:w="6720" w:type="dxa"/>
            <w:vAlign w:val="bottom"/>
          </w:tcPr>
          <w:p>
            <w:pPr>
              <w:ind w:left="80"/>
              <w:spacing w:after="0"/>
              <w:rPr>
                <w:sz w:val="20"/>
                <w:szCs w:val="20"/>
                <w:color w:val="auto"/>
              </w:rPr>
            </w:pPr>
            <w:r>
              <w:rPr>
                <w:rFonts w:ascii="Arial" w:cs="Arial" w:eastAsia="Arial" w:hAnsi="Arial"/>
                <w:sz w:val="17"/>
                <w:szCs w:val="17"/>
                <w:color w:val="auto"/>
              </w:rPr>
              <w:t>Acquisiton-related expenses</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0.8</w:t>
            </w:r>
          </w:p>
        </w:tc>
        <w:tc>
          <w:tcPr>
            <w:tcW w:w="142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70"/>
        </w:trPr>
        <w:tc>
          <w:tcPr>
            <w:tcW w:w="6720" w:type="dxa"/>
            <w:vAlign w:val="bottom"/>
          </w:tcPr>
          <w:p>
            <w:pPr>
              <w:ind w:left="80"/>
              <w:spacing w:after="0"/>
              <w:rPr>
                <w:sz w:val="20"/>
                <w:szCs w:val="20"/>
                <w:color w:val="auto"/>
              </w:rPr>
            </w:pPr>
            <w:r>
              <w:rPr>
                <w:rFonts w:ascii="Arial" w:cs="Arial" w:eastAsia="Arial" w:hAnsi="Arial"/>
                <w:sz w:val="17"/>
                <w:szCs w:val="17"/>
                <w:color w:val="auto"/>
              </w:rPr>
              <w:t>Share-based and unit-based compensaton expense</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7.9</w:t>
            </w:r>
          </w:p>
        </w:tc>
        <w:tc>
          <w:tcPr>
            <w:tcW w:w="142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70"/>
        </w:trPr>
        <w:tc>
          <w:tcPr>
            <w:tcW w:w="6720" w:type="dxa"/>
            <w:vAlign w:val="bottom"/>
          </w:tcPr>
          <w:p>
            <w:pPr>
              <w:ind w:left="80"/>
              <w:spacing w:after="0"/>
              <w:rPr>
                <w:sz w:val="20"/>
                <w:szCs w:val="20"/>
                <w:color w:val="auto"/>
              </w:rPr>
            </w:pPr>
            <w:r>
              <w:rPr>
                <w:rFonts w:ascii="Arial" w:cs="Arial" w:eastAsia="Arial" w:hAnsi="Arial"/>
                <w:sz w:val="17"/>
                <w:szCs w:val="17"/>
                <w:color w:val="auto"/>
              </w:rPr>
              <w:t>Cancellaton of common units</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70"/>
        </w:trPr>
        <w:tc>
          <w:tcPr>
            <w:tcW w:w="6720" w:type="dxa"/>
            <w:vAlign w:val="bottom"/>
          </w:tcPr>
          <w:p>
            <w:pPr>
              <w:ind w:left="80"/>
              <w:spacing w:after="0"/>
              <w:rPr>
                <w:sz w:val="20"/>
                <w:szCs w:val="20"/>
                <w:color w:val="auto"/>
              </w:rPr>
            </w:pPr>
            <w:r>
              <w:rPr>
                <w:rFonts w:ascii="Arial" w:cs="Arial" w:eastAsia="Arial" w:hAnsi="Arial"/>
                <w:sz w:val="17"/>
                <w:szCs w:val="17"/>
                <w:color w:val="auto"/>
              </w:rPr>
              <w:t>Loss (gain) from change in fair value of warrant liability</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1.0</w:t>
            </w:r>
          </w:p>
        </w:tc>
        <w:tc>
          <w:tcPr>
            <w:tcW w:w="142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6"/>
        </w:trPr>
        <w:tc>
          <w:tcPr>
            <w:tcW w:w="6720" w:type="dxa"/>
            <w:vAlign w:val="bottom"/>
          </w:tcPr>
          <w:p>
            <w:pPr>
              <w:ind w:left="80"/>
              <w:spacing w:after="0"/>
              <w:rPr>
                <w:sz w:val="20"/>
                <w:szCs w:val="20"/>
                <w:color w:val="auto"/>
              </w:rPr>
            </w:pPr>
            <w:r>
              <w:rPr>
                <w:rFonts w:ascii="Arial" w:cs="Arial" w:eastAsia="Arial" w:hAnsi="Arial"/>
                <w:sz w:val="17"/>
                <w:szCs w:val="17"/>
                <w:color w:val="auto"/>
              </w:rPr>
              <w:t>Restructuring expenses</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4.3</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720" w:type="dxa"/>
            <w:vAlign w:val="bottom"/>
          </w:tcPr>
          <w:p>
            <w:pPr>
              <w:ind w:left="80"/>
              <w:spacing w:after="0"/>
              <w:rPr>
                <w:sz w:val="20"/>
                <w:szCs w:val="20"/>
                <w:color w:val="auto"/>
              </w:rPr>
            </w:pPr>
            <w:r>
              <w:rPr>
                <w:rFonts w:ascii="Arial" w:cs="Arial" w:eastAsia="Arial" w:hAnsi="Arial"/>
                <w:sz w:val="17"/>
                <w:szCs w:val="17"/>
                <w:color w:val="auto"/>
              </w:rPr>
              <w:t>ICE transiton services expense</w:t>
            </w:r>
          </w:p>
        </w:tc>
        <w:tc>
          <w:tcPr>
            <w:tcW w:w="3100" w:type="dxa"/>
            <w:vAlign w:val="bottom"/>
          </w:tcPr>
          <w:p>
            <w:pPr>
              <w:jc w:val="right"/>
              <w:ind w:right="775"/>
              <w:spacing w:after="0"/>
              <w:rPr>
                <w:sz w:val="20"/>
                <w:szCs w:val="20"/>
                <w:color w:val="auto"/>
              </w:rPr>
            </w:pPr>
            <w:r>
              <w:rPr>
                <w:rFonts w:ascii="Arial" w:cs="Arial" w:eastAsia="Arial" w:hAnsi="Arial"/>
                <w:sz w:val="17"/>
                <w:szCs w:val="17"/>
                <w:color w:val="auto"/>
              </w:rPr>
              <w:t>0.6</w:t>
            </w:r>
          </w:p>
        </w:tc>
        <w:tc>
          <w:tcPr>
            <w:tcW w:w="142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66"/>
        </w:trPr>
        <w:tc>
          <w:tcPr>
            <w:tcW w:w="6720" w:type="dxa"/>
            <w:vAlign w:val="bottom"/>
            <w:vMerge w:val="restart"/>
          </w:tcPr>
          <w:p>
            <w:pPr>
              <w:ind w:left="80"/>
              <w:spacing w:after="0"/>
              <w:rPr>
                <w:sz w:val="20"/>
                <w:szCs w:val="20"/>
                <w:color w:val="auto"/>
              </w:rPr>
            </w:pPr>
            <w:r>
              <w:rPr>
                <w:rFonts w:ascii="Arial" w:cs="Arial" w:eastAsia="Arial" w:hAnsi="Arial"/>
                <w:sz w:val="17"/>
                <w:szCs w:val="17"/>
                <w:b w:val="1"/>
                <w:bCs w:val="1"/>
                <w:color w:val="auto"/>
              </w:rPr>
              <w:t>Adjusted EBITDA Loss</w:t>
            </w:r>
          </w:p>
        </w:tc>
        <w:tc>
          <w:tcPr>
            <w:tcW w:w="31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6720" w:type="dxa"/>
            <w:vAlign w:val="bottom"/>
            <w:vMerge w:val="continue"/>
          </w:tcPr>
          <w:p>
            <w:pPr>
              <w:spacing w:after="0"/>
              <w:rPr>
                <w:sz w:val="18"/>
                <w:szCs w:val="18"/>
                <w:color w:val="auto"/>
              </w:rPr>
            </w:pPr>
          </w:p>
        </w:tc>
        <w:tc>
          <w:tcPr>
            <w:tcW w:w="3100" w:type="dxa"/>
            <w:vAlign w:val="bottom"/>
          </w:tcPr>
          <w:p>
            <w:pPr>
              <w:jc w:val="right"/>
              <w:ind w:right="775"/>
              <w:spacing w:after="0"/>
              <w:rPr>
                <w:sz w:val="20"/>
                <w:szCs w:val="20"/>
                <w:color w:val="auto"/>
              </w:rPr>
            </w:pPr>
            <w:r>
              <w:rPr>
                <w:rFonts w:ascii="Arial" w:cs="Arial" w:eastAsia="Arial" w:hAnsi="Arial"/>
                <w:sz w:val="17"/>
                <w:szCs w:val="17"/>
                <w:b w:val="1"/>
                <w:bCs w:val="1"/>
                <w:color w:val="auto"/>
              </w:rPr>
              <w:t>$(28.9)</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$(28.9)</w:t>
            </w:r>
          </w:p>
        </w:tc>
        <w:tc>
          <w:tcPr>
            <w:tcW w:w="0" w:type="dxa"/>
            <w:vAlign w:val="bottom"/>
          </w:tcPr>
          <w:p>
            <w:pPr>
              <w:spacing w:after="0"/>
              <w:rPr>
                <w:sz w:val="1"/>
                <w:szCs w:val="1"/>
                <w:color w:val="auto"/>
              </w:rPr>
            </w:pPr>
          </w:p>
        </w:tc>
      </w:tr>
      <w:tr>
        <w:trPr>
          <w:trHeight w:val="50"/>
        </w:trPr>
        <w:tc>
          <w:tcPr>
            <w:tcW w:w="672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7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276" w:right="339" w:bottom="1440" w:gutter="0" w:footer="0" w:header="0"/>
        </w:sectPr>
      </w:pPr>
    </w:p>
    <w:bookmarkStart w:id="7" w:name="page8"/>
    <w:bookmarkEnd w:id="7"/>
    <w:p>
      <w:pPr>
        <w:ind w:right="60"/>
        <w:spacing w:after="0" w:line="265"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t>Free Cash Flow is a non-GAAP fnancial measure. Free Cash Flow is cash fow from operatons adjusted for “capitalized internal use sofware development costs and other capital expenditures” and “interest income.” We adjust for capitalized expenses associated with internally developed sofware for our technology platorms given they are a large component of our ongoing expense base given our positon as a technology platorm company.</w:t>
      </w:r>
    </w:p>
    <w:p>
      <w:pPr>
        <w:spacing w:after="0" w:line="226" w:lineRule="exact"/>
        <w:rPr>
          <w:sz w:val="20"/>
          <w:szCs w:val="20"/>
          <w:color w:val="auto"/>
        </w:rPr>
      </w:pPr>
    </w:p>
    <w:p>
      <w:pPr>
        <w:jc w:val="both"/>
        <w:ind w:right="80"/>
        <w:spacing w:after="0" w:line="271" w:lineRule="auto"/>
        <w:rPr>
          <w:sz w:val="20"/>
          <w:szCs w:val="20"/>
          <w:color w:val="auto"/>
        </w:rPr>
      </w:pPr>
      <w:r>
        <w:rPr>
          <w:rFonts w:ascii="Arial" w:cs="Arial" w:eastAsia="Arial" w:hAnsi="Arial"/>
          <w:sz w:val="20"/>
          <w:szCs w:val="20"/>
          <w:color w:val="auto"/>
        </w:rPr>
        <w:t>We provide Free Cash Flow because we believe that Free Cash Flow, when viewed with our results under GAAP, provides useful informaton for the reasons noted above. However, Free Cash Flow is not a measure of liquidity under GAAP and, accordingly, should not be considered as an alternatve to net cash used in operatng actvites as an indicator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GAAP Operating Cash Flow to Non-GAAP Free Cash Flow ($ in millions)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615"/>
        </w:trPr>
        <w:tc>
          <w:tcPr>
            <w:tcW w:w="6320" w:type="dxa"/>
            <w:vAlign w:val="bottom"/>
            <w:tcBorders>
              <w:bottom w:val="single" w:sz="8" w:color="auto"/>
            </w:tcBorders>
            <w:shd w:val="clear" w:color="auto" w:fill="000000"/>
          </w:tcPr>
          <w:p>
            <w:pPr>
              <w:spacing w:after="0"/>
              <w:rPr>
                <w:sz w:val="24"/>
                <w:szCs w:val="24"/>
                <w:color w:val="auto"/>
              </w:rPr>
            </w:pPr>
          </w:p>
        </w:tc>
        <w:tc>
          <w:tcPr>
            <w:tcW w:w="3660" w:type="dxa"/>
            <w:vAlign w:val="bottom"/>
            <w:tcBorders>
              <w:bottom w:val="single" w:sz="8" w:color="auto"/>
            </w:tcBorders>
            <w:shd w:val="clear" w:color="auto" w:fill="000000"/>
          </w:tcPr>
          <w:p>
            <w:pPr>
              <w:jc w:val="right"/>
              <w:ind w:right="595"/>
              <w:spacing w:after="0"/>
              <w:rPr>
                <w:sz w:val="20"/>
                <w:szCs w:val="20"/>
                <w:color w:val="auto"/>
              </w:rPr>
            </w:pPr>
            <w:r>
              <w:rPr>
                <w:rFonts w:ascii="Arial" w:cs="Arial" w:eastAsia="Arial" w:hAnsi="Arial"/>
                <w:sz w:val="17"/>
                <w:szCs w:val="17"/>
                <w:b w:val="1"/>
                <w:bCs w:val="1"/>
                <w:color w:val="FFFFFF"/>
              </w:rPr>
              <w:t>1Q23</w:t>
            </w:r>
          </w:p>
        </w:tc>
        <w:tc>
          <w:tcPr>
            <w:tcW w:w="124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7"/>
                <w:szCs w:val="17"/>
                <w:b w:val="1"/>
                <w:bCs w:val="1"/>
                <w:color w:val="FFFFFF"/>
              </w:rPr>
              <w:t>1Q22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320" w:type="dxa"/>
            <w:vAlign w:val="bottom"/>
          </w:tcPr>
          <w:p>
            <w:pPr>
              <w:ind w:left="80"/>
              <w:spacing w:after="0"/>
              <w:rPr>
                <w:sz w:val="20"/>
                <w:szCs w:val="20"/>
                <w:color w:val="auto"/>
              </w:rPr>
            </w:pPr>
            <w:r>
              <w:rPr>
                <w:rFonts w:ascii="Arial" w:cs="Arial" w:eastAsia="Arial" w:hAnsi="Arial"/>
                <w:sz w:val="17"/>
                <w:szCs w:val="17"/>
                <w:color w:val="auto"/>
              </w:rPr>
              <w:t>Net cash used in operatng actvites</w:t>
            </w:r>
          </w:p>
        </w:tc>
        <w:tc>
          <w:tcPr>
            <w:tcW w:w="3660" w:type="dxa"/>
            <w:vAlign w:val="bottom"/>
          </w:tcPr>
          <w:p>
            <w:pPr>
              <w:jc w:val="right"/>
              <w:ind w:right="595"/>
              <w:spacing w:after="0"/>
              <w:rPr>
                <w:sz w:val="20"/>
                <w:szCs w:val="20"/>
                <w:color w:val="auto"/>
              </w:rPr>
            </w:pPr>
            <w:r>
              <w:rPr>
                <w:rFonts w:ascii="Arial" w:cs="Arial" w:eastAsia="Arial" w:hAnsi="Arial"/>
                <w:sz w:val="17"/>
                <w:szCs w:val="17"/>
                <w:color w:val="auto"/>
              </w:rPr>
              <w:t>$(47.2)</w:t>
            </w:r>
          </w:p>
        </w:tc>
        <w:tc>
          <w:tcPr>
            <w:tcW w:w="1240" w:type="dxa"/>
            <w:vAlign w:val="bottom"/>
          </w:tcPr>
          <w:p>
            <w:pPr>
              <w:jc w:val="right"/>
              <w:spacing w:after="0"/>
              <w:rPr>
                <w:sz w:val="20"/>
                <w:szCs w:val="20"/>
                <w:color w:val="auto"/>
              </w:rPr>
            </w:pPr>
            <w:r>
              <w:rPr>
                <w:rFonts w:ascii="Arial" w:cs="Arial" w:eastAsia="Arial" w:hAnsi="Arial"/>
                <w:sz w:val="17"/>
                <w:szCs w:val="17"/>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9"/>
        </w:trPr>
        <w:tc>
          <w:tcPr>
            <w:tcW w:w="6320" w:type="dxa"/>
            <w:vAlign w:val="bottom"/>
          </w:tcPr>
          <w:p>
            <w:pPr>
              <w:ind w:left="80"/>
              <w:spacing w:after="0"/>
              <w:rPr>
                <w:sz w:val="20"/>
                <w:szCs w:val="20"/>
                <w:color w:val="auto"/>
              </w:rPr>
            </w:pPr>
            <w:r>
              <w:rPr>
                <w:rFonts w:ascii="Arial" w:cs="Arial" w:eastAsia="Arial" w:hAnsi="Arial"/>
                <w:sz w:val="17"/>
                <w:szCs w:val="17"/>
                <w:color w:val="auto"/>
              </w:rPr>
              <w:t>Capitalized internal-use sofware development costs and other capital expenditures</w:t>
            </w:r>
          </w:p>
        </w:tc>
        <w:tc>
          <w:tcPr>
            <w:tcW w:w="3660" w:type="dxa"/>
            <w:vAlign w:val="bottom"/>
          </w:tcPr>
          <w:p>
            <w:pPr>
              <w:jc w:val="right"/>
              <w:ind w:right="595"/>
              <w:spacing w:after="0"/>
              <w:rPr>
                <w:sz w:val="20"/>
                <w:szCs w:val="20"/>
                <w:color w:val="auto"/>
              </w:rPr>
            </w:pPr>
            <w:r>
              <w:rPr>
                <w:rFonts w:ascii="Arial" w:cs="Arial" w:eastAsia="Arial" w:hAnsi="Arial"/>
                <w:sz w:val="17"/>
                <w:szCs w:val="17"/>
                <w:color w:val="auto"/>
              </w:rPr>
              <w:t>(3.7)</w:t>
            </w:r>
          </w:p>
        </w:tc>
        <w:tc>
          <w:tcPr>
            <w:tcW w:w="124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80"/>
              <w:spacing w:after="0"/>
              <w:rPr>
                <w:sz w:val="20"/>
                <w:szCs w:val="20"/>
                <w:color w:val="auto"/>
              </w:rPr>
            </w:pPr>
            <w:r>
              <w:rPr>
                <w:rFonts w:ascii="Arial" w:cs="Arial" w:eastAsia="Arial" w:hAnsi="Arial"/>
                <w:sz w:val="17"/>
                <w:szCs w:val="17"/>
                <w:color w:val="auto"/>
              </w:rPr>
              <w:t>Interest income, net</w:t>
            </w:r>
          </w:p>
        </w:tc>
        <w:tc>
          <w:tcPr>
            <w:tcW w:w="3660" w:type="dxa"/>
            <w:vAlign w:val="bottom"/>
          </w:tcPr>
          <w:p>
            <w:pPr>
              <w:jc w:val="right"/>
              <w:ind w:right="595"/>
              <w:spacing w:after="0"/>
              <w:rPr>
                <w:sz w:val="20"/>
                <w:szCs w:val="20"/>
                <w:color w:val="auto"/>
              </w:rPr>
            </w:pPr>
            <w:r>
              <w:rPr>
                <w:rFonts w:ascii="Arial" w:cs="Arial" w:eastAsia="Arial" w:hAnsi="Arial"/>
                <w:sz w:val="17"/>
                <w:szCs w:val="17"/>
                <w:color w:val="auto"/>
              </w:rPr>
              <w:t>(1.6)</w:t>
            </w: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320" w:type="dxa"/>
            <w:vAlign w:val="bottom"/>
            <w:vMerge w:val="restart"/>
          </w:tcPr>
          <w:p>
            <w:pPr>
              <w:ind w:left="80"/>
              <w:spacing w:after="0"/>
              <w:rPr>
                <w:sz w:val="20"/>
                <w:szCs w:val="20"/>
                <w:color w:val="auto"/>
              </w:rPr>
            </w:pPr>
            <w:r>
              <w:rPr>
                <w:rFonts w:ascii="Arial" w:cs="Arial" w:eastAsia="Arial" w:hAnsi="Arial"/>
                <w:sz w:val="17"/>
                <w:szCs w:val="17"/>
                <w:color w:val="auto"/>
              </w:rPr>
              <w:t>Free cash fow</w:t>
            </w:r>
          </w:p>
        </w:tc>
        <w:tc>
          <w:tcPr>
            <w:tcW w:w="36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320" w:type="dxa"/>
            <w:vAlign w:val="bottom"/>
            <w:vMerge w:val="continue"/>
          </w:tcPr>
          <w:p>
            <w:pPr>
              <w:spacing w:after="0"/>
              <w:rPr>
                <w:sz w:val="18"/>
                <w:szCs w:val="18"/>
                <w:color w:val="auto"/>
              </w:rPr>
            </w:pPr>
          </w:p>
        </w:tc>
        <w:tc>
          <w:tcPr>
            <w:tcW w:w="3660" w:type="dxa"/>
            <w:vAlign w:val="bottom"/>
          </w:tcPr>
          <w:p>
            <w:pPr>
              <w:jc w:val="right"/>
              <w:ind w:right="595"/>
              <w:spacing w:after="0"/>
              <w:rPr>
                <w:sz w:val="20"/>
                <w:szCs w:val="20"/>
                <w:color w:val="auto"/>
              </w:rPr>
            </w:pPr>
            <w:r>
              <w:rPr>
                <w:rFonts w:ascii="Arial" w:cs="Arial" w:eastAsia="Arial" w:hAnsi="Arial"/>
                <w:sz w:val="17"/>
                <w:szCs w:val="17"/>
                <w:color w:val="auto"/>
              </w:rPr>
              <w:t>$(52.5)</w:t>
            </w:r>
          </w:p>
        </w:tc>
        <w:tc>
          <w:tcPr>
            <w:tcW w:w="1240" w:type="dxa"/>
            <w:vAlign w:val="bottom"/>
          </w:tcPr>
          <w:p>
            <w:pPr>
              <w:jc w:val="right"/>
              <w:spacing w:after="0"/>
              <w:rPr>
                <w:sz w:val="20"/>
                <w:szCs w:val="20"/>
                <w:color w:val="auto"/>
              </w:rPr>
            </w:pPr>
            <w:r>
              <w:rPr>
                <w:rFonts w:ascii="Arial" w:cs="Arial" w:eastAsia="Arial" w:hAnsi="Arial"/>
                <w:sz w:val="17"/>
                <w:szCs w:val="17"/>
                <w:color w:val="auto"/>
              </w:rPr>
              <w:t>$(36.4)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632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27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39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t>Consolidated Balance Sheets ($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120" w:type="dxa"/>
            <w:vAlign w:val="bottom"/>
            <w:shd w:val="clear" w:color="auto" w:fill="000000"/>
          </w:tcPr>
          <w:p>
            <w:pPr>
              <w:spacing w:after="0"/>
              <w:rPr>
                <w:sz w:val="21"/>
                <w:szCs w:val="21"/>
                <w:color w:val="auto"/>
              </w:rPr>
            </w:pPr>
          </w:p>
        </w:tc>
        <w:tc>
          <w:tcPr>
            <w:tcW w:w="208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rPr>
              <w:t>As of 3/31/23</w:t>
            </w:r>
          </w:p>
        </w:tc>
        <w:tc>
          <w:tcPr>
            <w:tcW w:w="1920" w:type="dxa"/>
            <w:vAlign w:val="bottom"/>
            <w:shd w:val="clear" w:color="auto" w:fill="000000"/>
          </w:tcPr>
          <w:p>
            <w:pPr>
              <w:jc w:val="right"/>
              <w:spacing w:after="0"/>
              <w:rPr>
                <w:sz w:val="20"/>
                <w:szCs w:val="20"/>
                <w:color w:val="auto"/>
              </w:rPr>
            </w:pPr>
            <w:r>
              <w:rPr>
                <w:rFonts w:ascii="Arial" w:cs="Arial" w:eastAsia="Arial" w:hAnsi="Arial"/>
                <w:sz w:val="18"/>
                <w:szCs w:val="18"/>
                <w:b w:val="1"/>
                <w:bCs w:val="1"/>
                <w:color w:val="FFFFFF"/>
              </w:rPr>
              <w:t>As of 12/31/22</w:t>
            </w:r>
          </w:p>
        </w:tc>
      </w:tr>
      <w:tr>
        <w:trPr>
          <w:trHeight w:val="254"/>
        </w:trPr>
        <w:tc>
          <w:tcPr>
            <w:tcW w:w="7120" w:type="dxa"/>
            <w:vAlign w:val="bottom"/>
            <w:shd w:val="clear" w:color="auto" w:fill="000000"/>
          </w:tcPr>
          <w:p>
            <w:pPr>
              <w:spacing w:after="0"/>
              <w:rPr>
                <w:sz w:val="22"/>
                <w:szCs w:val="22"/>
                <w:color w:val="auto"/>
              </w:rPr>
            </w:pPr>
          </w:p>
        </w:tc>
        <w:tc>
          <w:tcPr>
            <w:tcW w:w="208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(unaudited)</w:t>
            </w:r>
          </w:p>
        </w:tc>
        <w:tc>
          <w:tcPr>
            <w:tcW w:w="1920" w:type="dxa"/>
            <w:vAlign w:val="bottom"/>
            <w:shd w:val="clear" w:color="auto" w:fill="000000"/>
          </w:tcPr>
          <w:p>
            <w:pPr>
              <w:spacing w:after="0"/>
              <w:rPr>
                <w:sz w:val="22"/>
                <w:szCs w:val="22"/>
                <w:color w:val="auto"/>
              </w:rPr>
            </w:pPr>
          </w:p>
        </w:tc>
      </w:tr>
      <w:tr>
        <w:trPr>
          <w:trHeight w:val="76"/>
        </w:trPr>
        <w:tc>
          <w:tcPr>
            <w:tcW w:w="7120" w:type="dxa"/>
            <w:vAlign w:val="bottom"/>
            <w:shd w:val="clear" w:color="auto" w:fill="000000"/>
          </w:tcPr>
          <w:p>
            <w:pPr>
              <w:spacing w:after="0"/>
              <w:rPr>
                <w:sz w:val="6"/>
                <w:szCs w:val="6"/>
                <w:color w:val="auto"/>
              </w:rPr>
            </w:pPr>
          </w:p>
        </w:tc>
        <w:tc>
          <w:tcPr>
            <w:tcW w:w="2080" w:type="dxa"/>
            <w:vAlign w:val="bottom"/>
            <w:shd w:val="clear" w:color="auto" w:fill="000000"/>
          </w:tcPr>
          <w:p>
            <w:pPr>
              <w:spacing w:after="0"/>
              <w:rPr>
                <w:sz w:val="6"/>
                <w:szCs w:val="6"/>
                <w:color w:val="auto"/>
              </w:rPr>
            </w:pPr>
          </w:p>
        </w:tc>
        <w:tc>
          <w:tcPr>
            <w:tcW w:w="1920" w:type="dxa"/>
            <w:vAlign w:val="bottom"/>
            <w:shd w:val="clear" w:color="auto" w:fill="000000"/>
          </w:tcPr>
          <w:p>
            <w:pPr>
              <w:spacing w:after="0"/>
              <w:rPr>
                <w:sz w:val="6"/>
                <w:szCs w:val="6"/>
                <w:color w:val="auto"/>
              </w:rPr>
            </w:pPr>
          </w:p>
        </w:tc>
      </w:tr>
      <w:tr>
        <w:trPr>
          <w:trHeight w:val="205"/>
        </w:trPr>
        <w:tc>
          <w:tcPr>
            <w:tcW w:w="7120" w:type="dxa"/>
            <w:vAlign w:val="bottom"/>
          </w:tcPr>
          <w:p>
            <w:pPr>
              <w:ind w:left="80"/>
              <w:spacing w:after="0"/>
              <w:rPr>
                <w:sz w:val="20"/>
                <w:szCs w:val="20"/>
                <w:color w:val="auto"/>
              </w:rPr>
            </w:pPr>
            <w:r>
              <w:rPr>
                <w:rFonts w:ascii="Arial" w:cs="Arial" w:eastAsia="Arial" w:hAnsi="Arial"/>
                <w:sz w:val="16"/>
                <w:szCs w:val="16"/>
                <w:b w:val="1"/>
                <w:bCs w:val="1"/>
                <w:color w:val="auto"/>
              </w:rPr>
              <w:t>Assets</w:t>
            </w:r>
          </w:p>
        </w:tc>
        <w:tc>
          <w:tcPr>
            <w:tcW w:w="208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53"/>
        </w:trPr>
        <w:tc>
          <w:tcPr>
            <w:tcW w:w="7120" w:type="dxa"/>
            <w:vAlign w:val="bottom"/>
          </w:tcPr>
          <w:p>
            <w:pPr>
              <w:ind w:left="80"/>
              <w:spacing w:after="0"/>
              <w:rPr>
                <w:sz w:val="20"/>
                <w:szCs w:val="20"/>
                <w:color w:val="auto"/>
              </w:rPr>
            </w:pPr>
            <w:r>
              <w:rPr>
                <w:rFonts w:ascii="Arial" w:cs="Arial" w:eastAsia="Arial" w:hAnsi="Arial"/>
                <w:sz w:val="16"/>
                <w:szCs w:val="16"/>
                <w:color w:val="auto"/>
              </w:rPr>
              <w:t>Current assets:</w:t>
            </w:r>
          </w:p>
        </w:tc>
        <w:tc>
          <w:tcPr>
            <w:tcW w:w="20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83"/>
        </w:trPr>
        <w:tc>
          <w:tcPr>
            <w:tcW w:w="7120" w:type="dxa"/>
            <w:vAlign w:val="bottom"/>
          </w:tcPr>
          <w:p>
            <w:pPr>
              <w:ind w:left="420"/>
              <w:spacing w:after="0"/>
              <w:rPr>
                <w:sz w:val="20"/>
                <w:szCs w:val="20"/>
                <w:color w:val="auto"/>
              </w:rPr>
            </w:pPr>
            <w:r>
              <w:rPr>
                <w:rFonts w:ascii="Arial" w:cs="Arial" w:eastAsia="Arial" w:hAnsi="Arial"/>
                <w:sz w:val="16"/>
                <w:szCs w:val="16"/>
                <w:color w:val="auto"/>
              </w:rPr>
              <w:t>Cash and cash equivalents</w:t>
            </w:r>
          </w:p>
        </w:tc>
        <w:tc>
          <w:tcPr>
            <w:tcW w:w="2080" w:type="dxa"/>
            <w:vAlign w:val="bottom"/>
          </w:tcPr>
          <w:p>
            <w:pPr>
              <w:jc w:val="right"/>
              <w:spacing w:after="0"/>
              <w:rPr>
                <w:sz w:val="20"/>
                <w:szCs w:val="20"/>
                <w:color w:val="auto"/>
              </w:rPr>
            </w:pPr>
            <w:r>
              <w:rPr>
                <w:rFonts w:ascii="Arial" w:cs="Arial" w:eastAsia="Arial" w:hAnsi="Arial"/>
                <w:sz w:val="16"/>
                <w:szCs w:val="16"/>
                <w:color w:val="auto"/>
              </w:rPr>
              <w:t>$50.8</w:t>
            </w:r>
          </w:p>
        </w:tc>
        <w:tc>
          <w:tcPr>
            <w:tcW w:w="192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57"/>
        </w:trPr>
        <w:tc>
          <w:tcPr>
            <w:tcW w:w="7120" w:type="dxa"/>
            <w:vAlign w:val="bottom"/>
          </w:tcPr>
          <w:p>
            <w:pPr>
              <w:ind w:left="420"/>
              <w:spacing w:after="0"/>
              <w:rPr>
                <w:sz w:val="20"/>
                <w:szCs w:val="20"/>
                <w:color w:val="auto"/>
              </w:rPr>
            </w:pPr>
            <w:r>
              <w:rPr>
                <w:rFonts w:ascii="Arial" w:cs="Arial" w:eastAsia="Arial" w:hAnsi="Arial"/>
                <w:sz w:val="16"/>
                <w:szCs w:val="16"/>
                <w:color w:val="auto"/>
              </w:rPr>
              <w:t>Restricted cash</w:t>
            </w:r>
          </w:p>
        </w:tc>
        <w:tc>
          <w:tcPr>
            <w:tcW w:w="2080" w:type="dxa"/>
            <w:vAlign w:val="bottom"/>
          </w:tcPr>
          <w:p>
            <w:pPr>
              <w:jc w:val="right"/>
              <w:spacing w:after="0"/>
              <w:rPr>
                <w:sz w:val="20"/>
                <w:szCs w:val="20"/>
                <w:color w:val="auto"/>
              </w:rPr>
            </w:pPr>
            <w:r>
              <w:rPr>
                <w:rFonts w:ascii="Arial" w:cs="Arial" w:eastAsia="Arial" w:hAnsi="Arial"/>
                <w:sz w:val="16"/>
                <w:szCs w:val="16"/>
                <w:color w:val="auto"/>
              </w:rPr>
              <w:t>19.3</w:t>
            </w:r>
          </w:p>
        </w:tc>
        <w:tc>
          <w:tcPr>
            <w:tcW w:w="19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257"/>
        </w:trPr>
        <w:tc>
          <w:tcPr>
            <w:tcW w:w="7120" w:type="dxa"/>
            <w:vAlign w:val="bottom"/>
          </w:tcPr>
          <w:p>
            <w:pPr>
              <w:ind w:left="400"/>
              <w:spacing w:after="0"/>
              <w:rPr>
                <w:sz w:val="20"/>
                <w:szCs w:val="20"/>
                <w:color w:val="auto"/>
              </w:rPr>
            </w:pPr>
            <w:r>
              <w:rPr>
                <w:rFonts w:ascii="Arial" w:cs="Arial" w:eastAsia="Arial" w:hAnsi="Arial"/>
                <w:sz w:val="16"/>
                <w:szCs w:val="16"/>
                <w:color w:val="auto"/>
              </w:rPr>
              <w:t>Cash held in escrow</w:t>
            </w:r>
          </w:p>
        </w:tc>
        <w:tc>
          <w:tcPr>
            <w:tcW w:w="2080" w:type="dxa"/>
            <w:vAlign w:val="bottom"/>
          </w:tcPr>
          <w:p>
            <w:pPr>
              <w:jc w:val="right"/>
              <w:spacing w:after="0"/>
              <w:rPr>
                <w:sz w:val="20"/>
                <w:szCs w:val="20"/>
                <w:color w:val="auto"/>
              </w:rPr>
            </w:pPr>
            <w:r>
              <w:rPr>
                <w:rFonts w:ascii="Arial" w:cs="Arial" w:eastAsia="Arial" w:hAnsi="Arial"/>
                <w:sz w:val="16"/>
                <w:szCs w:val="16"/>
                <w:color w:val="auto"/>
              </w:rPr>
              <w:t>67.2</w:t>
            </w: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7120" w:type="dxa"/>
            <w:vAlign w:val="bottom"/>
          </w:tcPr>
          <w:p>
            <w:pPr>
              <w:ind w:left="400"/>
              <w:spacing w:after="0"/>
              <w:rPr>
                <w:sz w:val="20"/>
                <w:szCs w:val="20"/>
                <w:color w:val="auto"/>
              </w:rPr>
            </w:pPr>
            <w:r>
              <w:rPr>
                <w:rFonts w:ascii="Arial" w:cs="Arial" w:eastAsia="Arial" w:hAnsi="Arial"/>
                <w:sz w:val="16"/>
                <w:szCs w:val="16"/>
                <w:color w:val="auto"/>
              </w:rPr>
              <w:t>Customer funds</w:t>
            </w:r>
          </w:p>
        </w:tc>
        <w:tc>
          <w:tcPr>
            <w:tcW w:w="2080" w:type="dxa"/>
            <w:vAlign w:val="bottom"/>
          </w:tcPr>
          <w:p>
            <w:pPr>
              <w:jc w:val="right"/>
              <w:spacing w:after="0"/>
              <w:rPr>
                <w:sz w:val="20"/>
                <w:szCs w:val="20"/>
                <w:color w:val="auto"/>
              </w:rPr>
            </w:pPr>
            <w:r>
              <w:rPr>
                <w:rFonts w:ascii="Arial" w:cs="Arial" w:eastAsia="Arial" w:hAnsi="Arial"/>
                <w:sz w:val="16"/>
                <w:szCs w:val="16"/>
                <w:color w:val="auto"/>
              </w:rPr>
              <w:t>0.6</w:t>
            </w:r>
          </w:p>
        </w:tc>
        <w:tc>
          <w:tcPr>
            <w:tcW w:w="19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7"/>
        </w:trPr>
        <w:tc>
          <w:tcPr>
            <w:tcW w:w="7120" w:type="dxa"/>
            <w:vAlign w:val="bottom"/>
          </w:tcPr>
          <w:p>
            <w:pPr>
              <w:ind w:left="400"/>
              <w:spacing w:after="0"/>
              <w:rPr>
                <w:sz w:val="20"/>
                <w:szCs w:val="20"/>
                <w:color w:val="auto"/>
              </w:rPr>
            </w:pPr>
            <w:r>
              <w:rPr>
                <w:rFonts w:ascii="Arial" w:cs="Arial" w:eastAsia="Arial" w:hAnsi="Arial"/>
                <w:sz w:val="16"/>
                <w:szCs w:val="16"/>
                <w:color w:val="auto"/>
              </w:rPr>
              <w:t>Available-for-sale securites</w:t>
            </w:r>
          </w:p>
        </w:tc>
        <w:tc>
          <w:tcPr>
            <w:tcW w:w="2080" w:type="dxa"/>
            <w:vAlign w:val="bottom"/>
          </w:tcPr>
          <w:p>
            <w:pPr>
              <w:jc w:val="right"/>
              <w:spacing w:after="0"/>
              <w:rPr>
                <w:sz w:val="20"/>
                <w:szCs w:val="20"/>
                <w:color w:val="auto"/>
              </w:rPr>
            </w:pPr>
            <w:r>
              <w:rPr>
                <w:rFonts w:ascii="Arial" w:cs="Arial" w:eastAsia="Arial" w:hAnsi="Arial"/>
                <w:sz w:val="16"/>
                <w:szCs w:val="16"/>
                <w:color w:val="auto"/>
              </w:rPr>
              <w:t>66.8</w:t>
            </w:r>
          </w:p>
        </w:tc>
        <w:tc>
          <w:tcPr>
            <w:tcW w:w="192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57"/>
        </w:trPr>
        <w:tc>
          <w:tcPr>
            <w:tcW w:w="7120" w:type="dxa"/>
            <w:vAlign w:val="bottom"/>
          </w:tcPr>
          <w:p>
            <w:pPr>
              <w:ind w:left="400"/>
              <w:spacing w:after="0"/>
              <w:rPr>
                <w:sz w:val="20"/>
                <w:szCs w:val="20"/>
                <w:color w:val="auto"/>
              </w:rPr>
            </w:pPr>
            <w:r>
              <w:rPr>
                <w:rFonts w:ascii="Arial" w:cs="Arial" w:eastAsia="Arial" w:hAnsi="Arial"/>
                <w:sz w:val="16"/>
                <w:szCs w:val="16"/>
                <w:color w:val="auto"/>
              </w:rPr>
              <w:t>Accounts receivable, net</w:t>
            </w:r>
          </w:p>
        </w:tc>
        <w:tc>
          <w:tcPr>
            <w:tcW w:w="2080" w:type="dxa"/>
            <w:vAlign w:val="bottom"/>
          </w:tcPr>
          <w:p>
            <w:pPr>
              <w:jc w:val="right"/>
              <w:spacing w:after="0"/>
              <w:rPr>
                <w:sz w:val="20"/>
                <w:szCs w:val="20"/>
                <w:color w:val="auto"/>
              </w:rPr>
            </w:pPr>
            <w:r>
              <w:rPr>
                <w:rFonts w:ascii="Arial" w:cs="Arial" w:eastAsia="Arial" w:hAnsi="Arial"/>
                <w:sz w:val="16"/>
                <w:szCs w:val="16"/>
                <w:color w:val="auto"/>
              </w:rPr>
              <w:t>25.4</w:t>
            </w:r>
          </w:p>
        </w:tc>
        <w:tc>
          <w:tcPr>
            <w:tcW w:w="1920" w:type="dxa"/>
            <w:vAlign w:val="bottom"/>
          </w:tcPr>
          <w:p>
            <w:pPr>
              <w:jc w:val="right"/>
              <w:spacing w:after="0"/>
              <w:rPr>
                <w:sz w:val="20"/>
                <w:szCs w:val="20"/>
                <w:color w:val="auto"/>
              </w:rPr>
            </w:pPr>
            <w:r>
              <w:rPr>
                <w:rFonts w:ascii="Arial" w:cs="Arial" w:eastAsia="Arial" w:hAnsi="Arial"/>
                <w:sz w:val="16"/>
                <w:szCs w:val="16"/>
                <w:color w:val="auto"/>
              </w:rPr>
              <w:t>25.3</w:t>
            </w:r>
          </w:p>
        </w:tc>
      </w:tr>
      <w:tr>
        <w:trPr>
          <w:trHeight w:val="257"/>
        </w:trPr>
        <w:tc>
          <w:tcPr>
            <w:tcW w:w="7120" w:type="dxa"/>
            <w:vAlign w:val="bottom"/>
          </w:tcPr>
          <w:p>
            <w:pPr>
              <w:ind w:left="400"/>
              <w:spacing w:after="0"/>
              <w:rPr>
                <w:sz w:val="20"/>
                <w:szCs w:val="20"/>
                <w:color w:val="auto"/>
              </w:rPr>
            </w:pPr>
            <w:r>
              <w:rPr>
                <w:rFonts w:ascii="Arial" w:cs="Arial" w:eastAsia="Arial" w:hAnsi="Arial"/>
                <w:sz w:val="16"/>
                <w:szCs w:val="16"/>
                <w:color w:val="auto"/>
              </w:rPr>
              <w:t>Prepaid insurance</w:t>
            </w:r>
          </w:p>
        </w:tc>
        <w:tc>
          <w:tcPr>
            <w:tcW w:w="2080" w:type="dxa"/>
            <w:vAlign w:val="bottom"/>
          </w:tcPr>
          <w:p>
            <w:pPr>
              <w:jc w:val="right"/>
              <w:spacing w:after="0"/>
              <w:rPr>
                <w:sz w:val="20"/>
                <w:szCs w:val="20"/>
                <w:color w:val="auto"/>
              </w:rPr>
            </w:pPr>
            <w:r>
              <w:rPr>
                <w:rFonts w:ascii="Arial" w:cs="Arial" w:eastAsia="Arial" w:hAnsi="Arial"/>
                <w:sz w:val="16"/>
                <w:szCs w:val="16"/>
                <w:color w:val="auto"/>
              </w:rPr>
              <w:t>18.5</w:t>
            </w:r>
          </w:p>
        </w:tc>
        <w:tc>
          <w:tcPr>
            <w:tcW w:w="192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56"/>
        </w:trPr>
        <w:tc>
          <w:tcPr>
            <w:tcW w:w="7120" w:type="dxa"/>
            <w:vAlign w:val="bottom"/>
          </w:tcPr>
          <w:p>
            <w:pPr>
              <w:ind w:left="400"/>
              <w:spacing w:after="0"/>
              <w:rPr>
                <w:sz w:val="20"/>
                <w:szCs w:val="20"/>
                <w:color w:val="auto"/>
              </w:rPr>
            </w:pPr>
            <w:r>
              <w:rPr>
                <w:rFonts w:ascii="Arial" w:cs="Arial" w:eastAsia="Arial" w:hAnsi="Arial"/>
                <w:sz w:val="16"/>
                <w:szCs w:val="16"/>
                <w:color w:val="auto"/>
              </w:rPr>
              <w:t>Safeguarding asset for crypto</w:t>
            </w:r>
          </w:p>
        </w:tc>
        <w:tc>
          <w:tcPr>
            <w:tcW w:w="2080" w:type="dxa"/>
            <w:vAlign w:val="bottom"/>
          </w:tcPr>
          <w:p>
            <w:pPr>
              <w:jc w:val="right"/>
              <w:spacing w:after="0"/>
              <w:rPr>
                <w:sz w:val="20"/>
                <w:szCs w:val="20"/>
                <w:color w:val="auto"/>
              </w:rPr>
            </w:pPr>
            <w:r>
              <w:rPr>
                <w:rFonts w:ascii="Arial" w:cs="Arial" w:eastAsia="Arial" w:hAnsi="Arial"/>
                <w:sz w:val="16"/>
                <w:szCs w:val="16"/>
                <w:color w:val="auto"/>
              </w:rPr>
              <w:t>26.1</w:t>
            </w:r>
          </w:p>
        </w:tc>
        <w:tc>
          <w:tcPr>
            <w:tcW w:w="19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78"/>
        </w:trPr>
        <w:tc>
          <w:tcPr>
            <w:tcW w:w="7120" w:type="dxa"/>
            <w:vAlign w:val="bottom"/>
          </w:tcPr>
          <w:p>
            <w:pPr>
              <w:ind w:left="400"/>
              <w:spacing w:after="0"/>
              <w:rPr>
                <w:sz w:val="20"/>
                <w:szCs w:val="20"/>
                <w:color w:val="auto"/>
              </w:rPr>
            </w:pPr>
            <w:r>
              <w:rPr>
                <w:rFonts w:ascii="Arial" w:cs="Arial" w:eastAsia="Arial" w:hAnsi="Arial"/>
                <w:sz w:val="16"/>
                <w:szCs w:val="16"/>
                <w:color w:val="auto"/>
              </w:rPr>
              <w:t>Other current assets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29"/>
        </w:trPr>
        <w:tc>
          <w:tcPr>
            <w:tcW w:w="71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2080" w:type="dxa"/>
            <w:vAlign w:val="bottom"/>
          </w:tcPr>
          <w:p>
            <w:pPr>
              <w:jc w:val="right"/>
              <w:spacing w:after="0"/>
              <w:rPr>
                <w:sz w:val="20"/>
                <w:szCs w:val="20"/>
                <w:color w:val="auto"/>
              </w:rPr>
            </w:pPr>
            <w:r>
              <w:rPr>
                <w:rFonts w:ascii="Arial" w:cs="Arial" w:eastAsia="Arial" w:hAnsi="Arial"/>
                <w:sz w:val="16"/>
                <w:szCs w:val="16"/>
                <w:color w:val="auto"/>
              </w:rPr>
              <w:t>282.3</w:t>
            </w:r>
          </w:p>
        </w:tc>
        <w:tc>
          <w:tcPr>
            <w:tcW w:w="1920" w:type="dxa"/>
            <w:vAlign w:val="bottom"/>
          </w:tcPr>
          <w:p>
            <w:pPr>
              <w:jc w:val="right"/>
              <w:spacing w:after="0"/>
              <w:rPr>
                <w:sz w:val="20"/>
                <w:szCs w:val="20"/>
                <w:color w:val="auto"/>
              </w:rPr>
            </w:pPr>
            <w:r>
              <w:rPr>
                <w:rFonts w:ascii="Arial" w:cs="Arial" w:eastAsia="Arial" w:hAnsi="Arial"/>
                <w:sz w:val="16"/>
                <w:szCs w:val="16"/>
                <w:color w:val="auto"/>
              </w:rPr>
              <w:t>326.5</w:t>
            </w:r>
          </w:p>
        </w:tc>
      </w:tr>
      <w:tr>
        <w:trPr>
          <w:trHeight w:val="230"/>
        </w:trPr>
        <w:tc>
          <w:tcPr>
            <w:tcW w:w="7120" w:type="dxa"/>
            <w:vAlign w:val="bottom"/>
          </w:tcPr>
          <w:p>
            <w:pPr>
              <w:ind w:left="80"/>
              <w:spacing w:after="0"/>
              <w:rPr>
                <w:sz w:val="20"/>
                <w:szCs w:val="20"/>
                <w:color w:val="auto"/>
              </w:rPr>
            </w:pPr>
            <w:r>
              <w:rPr>
                <w:rFonts w:ascii="Arial" w:cs="Arial" w:eastAsia="Arial" w:hAnsi="Arial"/>
                <w:sz w:val="16"/>
                <w:szCs w:val="16"/>
                <w:color w:val="auto"/>
              </w:rPr>
              <w:t>Property, equipment and sofware, net</w:t>
            </w:r>
          </w:p>
        </w:tc>
        <w:tc>
          <w:tcPr>
            <w:tcW w:w="2080" w:type="dxa"/>
            <w:vAlign w:val="bottom"/>
          </w:tcPr>
          <w:p>
            <w:pPr>
              <w:jc w:val="right"/>
              <w:spacing w:after="0"/>
              <w:rPr>
                <w:sz w:val="20"/>
                <w:szCs w:val="20"/>
                <w:color w:val="auto"/>
              </w:rPr>
            </w:pPr>
            <w:r>
              <w:rPr>
                <w:rFonts w:ascii="Arial" w:cs="Arial" w:eastAsia="Arial" w:hAnsi="Arial"/>
                <w:sz w:val="16"/>
                <w:szCs w:val="16"/>
                <w:color w:val="auto"/>
              </w:rPr>
              <w:t>20.1</w:t>
            </w:r>
          </w:p>
        </w:tc>
        <w:tc>
          <w:tcPr>
            <w:tcW w:w="192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56"/>
        </w:trPr>
        <w:tc>
          <w:tcPr>
            <w:tcW w:w="7120" w:type="dxa"/>
            <w:vAlign w:val="bottom"/>
          </w:tcPr>
          <w:p>
            <w:pPr>
              <w:ind w:left="80"/>
              <w:spacing w:after="0"/>
              <w:rPr>
                <w:sz w:val="20"/>
                <w:szCs w:val="20"/>
                <w:color w:val="auto"/>
              </w:rPr>
            </w:pPr>
            <w:r>
              <w:rPr>
                <w:rFonts w:ascii="Arial" w:cs="Arial" w:eastAsia="Arial" w:hAnsi="Arial"/>
                <w:sz w:val="16"/>
                <w:szCs w:val="16"/>
                <w:color w:val="auto"/>
              </w:rPr>
              <w:t>Goodwill</w:t>
            </w:r>
          </w:p>
        </w:tc>
        <w:tc>
          <w:tcPr>
            <w:tcW w:w="2080" w:type="dxa"/>
            <w:vAlign w:val="bottom"/>
          </w:tcPr>
          <w:p>
            <w:pPr>
              <w:jc w:val="right"/>
              <w:spacing w:after="0"/>
              <w:rPr>
                <w:sz w:val="20"/>
                <w:szCs w:val="20"/>
                <w:color w:val="auto"/>
              </w:rPr>
            </w:pPr>
            <w:r>
              <w:rPr>
                <w:rFonts w:ascii="Arial" w:cs="Arial" w:eastAsia="Arial" w:hAnsi="Arial"/>
                <w:sz w:val="16"/>
                <w:szCs w:val="16"/>
                <w:color w:val="auto"/>
              </w:rPr>
              <w:t>15.9</w:t>
            </w:r>
          </w:p>
        </w:tc>
        <w:tc>
          <w:tcPr>
            <w:tcW w:w="19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57"/>
        </w:trPr>
        <w:tc>
          <w:tcPr>
            <w:tcW w:w="7120" w:type="dxa"/>
            <w:vAlign w:val="bottom"/>
          </w:tcPr>
          <w:p>
            <w:pPr>
              <w:ind w:left="80"/>
              <w:spacing w:after="0"/>
              <w:rPr>
                <w:sz w:val="20"/>
                <w:szCs w:val="20"/>
                <w:color w:val="auto"/>
              </w:rPr>
            </w:pPr>
            <w:r>
              <w:rPr>
                <w:rFonts w:ascii="Arial" w:cs="Arial" w:eastAsia="Arial" w:hAnsi="Arial"/>
                <w:sz w:val="16"/>
                <w:szCs w:val="16"/>
                <w:color w:val="auto"/>
              </w:rPr>
              <w:t>Intangible assets, net</w:t>
            </w:r>
          </w:p>
        </w:tc>
        <w:tc>
          <w:tcPr>
            <w:tcW w:w="2080" w:type="dxa"/>
            <w:vAlign w:val="bottom"/>
          </w:tcPr>
          <w:p>
            <w:pPr>
              <w:jc w:val="right"/>
              <w:spacing w:after="0"/>
              <w:rPr>
                <w:sz w:val="20"/>
                <w:szCs w:val="20"/>
                <w:color w:val="auto"/>
              </w:rPr>
            </w:pPr>
            <w:r>
              <w:rPr>
                <w:rFonts w:ascii="Arial" w:cs="Arial" w:eastAsia="Arial" w:hAnsi="Arial"/>
                <w:sz w:val="16"/>
                <w:szCs w:val="16"/>
                <w:color w:val="auto"/>
              </w:rPr>
              <w:t>54.4</w:t>
            </w:r>
          </w:p>
        </w:tc>
        <w:tc>
          <w:tcPr>
            <w:tcW w:w="192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57"/>
        </w:trPr>
        <w:tc>
          <w:tcPr>
            <w:tcW w:w="7120" w:type="dxa"/>
            <w:vAlign w:val="bottom"/>
          </w:tcPr>
          <w:p>
            <w:pPr>
              <w:ind w:left="80"/>
              <w:spacing w:after="0"/>
              <w:rPr>
                <w:sz w:val="20"/>
                <w:szCs w:val="20"/>
                <w:color w:val="auto"/>
              </w:rPr>
            </w:pPr>
            <w:r>
              <w:rPr>
                <w:rFonts w:ascii="Arial" w:cs="Arial" w:eastAsia="Arial" w:hAnsi="Arial"/>
                <w:sz w:val="16"/>
                <w:szCs w:val="16"/>
                <w:color w:val="auto"/>
              </w:rPr>
              <w:t>Deposits with clearinghouse</w:t>
            </w:r>
          </w:p>
        </w:tc>
        <w:tc>
          <w:tcPr>
            <w:tcW w:w="2080" w:type="dxa"/>
            <w:vAlign w:val="bottom"/>
          </w:tcPr>
          <w:p>
            <w:pPr>
              <w:jc w:val="right"/>
              <w:spacing w:after="0"/>
              <w:rPr>
                <w:sz w:val="20"/>
                <w:szCs w:val="20"/>
                <w:color w:val="auto"/>
              </w:rPr>
            </w:pPr>
            <w:r>
              <w:rPr>
                <w:rFonts w:ascii="Arial" w:cs="Arial" w:eastAsia="Arial" w:hAnsi="Arial"/>
                <w:sz w:val="16"/>
                <w:szCs w:val="16"/>
                <w:color w:val="auto"/>
              </w:rPr>
              <w:t>15.3</w:t>
            </w:r>
          </w:p>
        </w:tc>
        <w:tc>
          <w:tcPr>
            <w:tcW w:w="19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57"/>
        </w:trPr>
        <w:tc>
          <w:tcPr>
            <w:tcW w:w="71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80" w:type="dxa"/>
            <w:vAlign w:val="bottom"/>
          </w:tcPr>
          <w:p>
            <w:pPr>
              <w:jc w:val="right"/>
              <w:spacing w:after="0"/>
              <w:rPr>
                <w:sz w:val="20"/>
                <w:szCs w:val="20"/>
                <w:color w:val="auto"/>
              </w:rPr>
            </w:pPr>
            <w:r>
              <w:rPr>
                <w:rFonts w:ascii="Arial" w:cs="Arial" w:eastAsia="Arial" w:hAnsi="Arial"/>
                <w:sz w:val="16"/>
                <w:szCs w:val="16"/>
                <w:color w:val="auto"/>
              </w:rPr>
              <w:t>25.4</w:t>
            </w:r>
          </w:p>
        </w:tc>
        <w:tc>
          <w:tcPr>
            <w:tcW w:w="1920" w:type="dxa"/>
            <w:vAlign w:val="bottom"/>
          </w:tcPr>
          <w:p>
            <w:pPr>
              <w:jc w:val="right"/>
              <w:spacing w:after="0"/>
              <w:rPr>
                <w:sz w:val="20"/>
                <w:szCs w:val="20"/>
                <w:color w:val="auto"/>
              </w:rPr>
            </w:pPr>
            <w:r>
              <w:rPr>
                <w:rFonts w:ascii="Arial" w:cs="Arial" w:eastAsia="Arial" w:hAnsi="Arial"/>
                <w:sz w:val="16"/>
                <w:szCs w:val="16"/>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34290</wp:posOffset>
            </wp:positionV>
            <wp:extent cx="2537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ectPr>
          <w:pgSz w:w="11900" w:h="16838" w:orient="portrait"/>
          <w:cols w:equalWidth="0" w:num="1">
            <w:col w:w="11120"/>
          </w:cols>
          <w:pgMar w:left="320" w:top="1276" w:right="459" w:bottom="998" w:gutter="0" w:footer="0" w:header="0"/>
        </w:sectPr>
      </w:pPr>
    </w:p>
    <w:p>
      <w:pPr>
        <w:spacing w:after="0" w:line="12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Total assets</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Liabilites and stockholders’ equity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Current liabilites: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Accounts payable and accrued liabilites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Customer funds payable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Deferred revenue, current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Due to related party</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Safeguarding obligaton for crypto</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Other current liabilites</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Total current liabilites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Deferred revenue, noncurrent</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Warrant liability</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Deferred tax liabilites, net</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noncurrent liabilites</w:t>
      </w:r>
    </w:p>
    <w:p>
      <w:pPr>
        <w:spacing w:after="0" w:line="113"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Total liabilites</w:t>
      </w:r>
    </w:p>
    <w:p>
      <w:pPr>
        <w:spacing w:after="0" w:line="2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Stockholders’ equity:</w:t>
      </w:r>
    </w:p>
    <w:p>
      <w:pPr>
        <w:spacing w:after="0" w:line="59" w:lineRule="exact"/>
        <w:rPr>
          <w:sz w:val="20"/>
          <w:szCs w:val="20"/>
          <w:color w:val="auto"/>
        </w:rPr>
      </w:pPr>
    </w:p>
    <w:p>
      <w:pPr>
        <w:ind w:left="400" w:right="3060"/>
        <w:spacing w:after="0" w:line="246" w:lineRule="auto"/>
        <w:rPr>
          <w:sz w:val="20"/>
          <w:szCs w:val="20"/>
          <w:color w:val="auto"/>
        </w:rPr>
      </w:pPr>
      <w:r>
        <w:rPr>
          <w:rFonts w:ascii="Arial" w:cs="Arial" w:eastAsia="Arial" w:hAnsi="Arial"/>
          <w:sz w:val="15"/>
          <w:szCs w:val="15"/>
          <w:color w:val="auto"/>
        </w:rPr>
        <w:t>Class A common stock ($0.0001 par value, 750,000,000 shares authorized, 82,624,773 shares issued and outstanding as of 3/31/23, 80,926,843 shares issued and outstanding as of 12/31/22)</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$413.3</w:t>
      </w:r>
      <w:r>
        <w:rPr>
          <w:sz w:val="20"/>
          <w:szCs w:val="20"/>
          <w:color w:val="auto"/>
        </w:rPr>
        <w:tab/>
      </w:r>
      <w:r>
        <w:rPr>
          <w:rFonts w:ascii="Arial" w:cs="Arial" w:eastAsia="Arial" w:hAnsi="Arial"/>
          <w:sz w:val="14"/>
          <w:szCs w:val="14"/>
          <w:b w:val="1"/>
          <w:bCs w:val="1"/>
          <w:color w:val="auto"/>
        </w:rPr>
        <w:t>$455.5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46990</wp:posOffset>
            </wp:positionV>
            <wp:extent cx="25374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7460" cy="8890"/>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73025</wp:posOffset>
            </wp:positionV>
            <wp:extent cx="2537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1980" w:val="left"/>
        </w:tabs>
        <w:rPr>
          <w:sz w:val="20"/>
          <w:szCs w:val="20"/>
          <w:color w:val="auto"/>
        </w:rPr>
      </w:pPr>
      <w:r>
        <w:rPr>
          <w:rFonts w:ascii="Arial" w:cs="Arial" w:eastAsia="Arial" w:hAnsi="Arial"/>
          <w:sz w:val="16"/>
          <w:szCs w:val="16"/>
          <w:color w:val="auto"/>
        </w:rPr>
        <w:t>$49.0</w:t>
      </w:r>
      <w:r>
        <w:rPr>
          <w:sz w:val="20"/>
          <w:szCs w:val="20"/>
          <w:color w:val="auto"/>
        </w:rPr>
        <w:tab/>
      </w:r>
      <w:r>
        <w:rPr>
          <w:rFonts w:ascii="Arial" w:cs="Arial" w:eastAsia="Arial" w:hAnsi="Arial"/>
          <w:sz w:val="14"/>
          <w:szCs w:val="14"/>
          <w:color w:val="auto"/>
        </w:rPr>
        <w:t>$66.8</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0.6</w:t>
      </w:r>
      <w:r>
        <w:rPr>
          <w:sz w:val="20"/>
          <w:szCs w:val="20"/>
          <w:color w:val="auto"/>
        </w:rPr>
        <w:tab/>
      </w:r>
      <w:r>
        <w:rPr>
          <w:rFonts w:ascii="Arial" w:cs="Arial" w:eastAsia="Arial" w:hAnsi="Arial"/>
          <w:sz w:val="14"/>
          <w:szCs w:val="14"/>
          <w:color w:val="auto"/>
        </w:rPr>
        <w:t>0.6</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3.8</w:t>
      </w:r>
      <w:r>
        <w:rPr>
          <w:sz w:val="20"/>
          <w:szCs w:val="20"/>
          <w:color w:val="auto"/>
        </w:rPr>
        <w:tab/>
      </w:r>
      <w:r>
        <w:rPr>
          <w:rFonts w:ascii="Arial" w:cs="Arial" w:eastAsia="Arial" w:hAnsi="Arial"/>
          <w:sz w:val="14"/>
          <w:szCs w:val="14"/>
          <w:color w:val="auto"/>
        </w:rPr>
        <w:t>4.0</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0.5</w:t>
      </w:r>
      <w:r>
        <w:rPr>
          <w:sz w:val="20"/>
          <w:szCs w:val="20"/>
          <w:color w:val="auto"/>
        </w:rPr>
        <w:tab/>
      </w:r>
      <w:r>
        <w:rPr>
          <w:rFonts w:ascii="Arial" w:cs="Arial" w:eastAsia="Arial" w:hAnsi="Arial"/>
          <w:sz w:val="14"/>
          <w:szCs w:val="14"/>
          <w:color w:val="auto"/>
        </w:rPr>
        <w:t>1.2</w:t>
      </w:r>
    </w:p>
    <w:p>
      <w:pPr>
        <w:spacing w:after="0" w:line="73"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16"/>
          <w:szCs w:val="16"/>
          <w:color w:val="auto"/>
        </w:rPr>
        <w:t>26.1</w:t>
      </w:r>
      <w:r>
        <w:rPr>
          <w:sz w:val="20"/>
          <w:szCs w:val="20"/>
          <w:color w:val="auto"/>
        </w:rPr>
        <w:tab/>
      </w:r>
      <w:r>
        <w:rPr>
          <w:rFonts w:ascii="Arial" w:cs="Arial" w:eastAsia="Arial" w:hAnsi="Arial"/>
          <w:sz w:val="14"/>
          <w:szCs w:val="14"/>
          <w:color w:val="auto"/>
        </w:rPr>
        <w:t>15.8</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46990</wp:posOffset>
            </wp:positionV>
            <wp:extent cx="253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66"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16"/>
          <w:szCs w:val="16"/>
          <w:color w:val="auto"/>
        </w:rPr>
        <w:t>84.3</w:t>
      </w:r>
      <w:r>
        <w:rPr>
          <w:sz w:val="20"/>
          <w:szCs w:val="20"/>
          <w:color w:val="auto"/>
        </w:rPr>
        <w:tab/>
      </w:r>
      <w:r>
        <w:rPr>
          <w:rFonts w:ascii="Arial" w:cs="Arial" w:eastAsia="Arial" w:hAnsi="Arial"/>
          <w:sz w:val="14"/>
          <w:szCs w:val="14"/>
          <w:color w:val="auto"/>
        </w:rPr>
        <w:t>92.1</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2.7</w:t>
      </w:r>
      <w:r>
        <w:rPr>
          <w:sz w:val="20"/>
          <w:szCs w:val="20"/>
          <w:color w:val="auto"/>
        </w:rPr>
        <w:tab/>
      </w:r>
      <w:r>
        <w:rPr>
          <w:rFonts w:ascii="Arial" w:cs="Arial" w:eastAsia="Arial" w:hAnsi="Arial"/>
          <w:sz w:val="14"/>
          <w:szCs w:val="14"/>
          <w:color w:val="auto"/>
        </w:rPr>
        <w:t>3.1</w:t>
      </w:r>
    </w:p>
    <w:p>
      <w:pPr>
        <w:spacing w:after="0" w:line="73" w:lineRule="exact"/>
        <w:rPr>
          <w:sz w:val="20"/>
          <w:szCs w:val="20"/>
          <w:color w:val="auto"/>
        </w:rPr>
      </w:pPr>
    </w:p>
    <w:p>
      <w:pPr>
        <w:jc w:val="right"/>
        <w:ind w:right="80"/>
        <w:spacing w:after="0"/>
        <w:tabs>
          <w:tab w:leader="none" w:pos="18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4"/>
          <w:szCs w:val="14"/>
          <w:color w:val="auto"/>
        </w:rPr>
        <w:t>0.8</w:t>
      </w:r>
    </w:p>
    <w:p>
      <w:pPr>
        <w:spacing w:after="0" w:line="73" w:lineRule="exact"/>
        <w:rPr>
          <w:sz w:val="20"/>
          <w:szCs w:val="20"/>
          <w:color w:val="auto"/>
        </w:rPr>
      </w:pPr>
    </w:p>
    <w:p>
      <w:pPr>
        <w:ind w:left="400"/>
        <w:spacing w:after="0"/>
        <w:tabs>
          <w:tab w:leader="none" w:pos="23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119" w:lineRule="exact"/>
        <w:rPr>
          <w:sz w:val="20"/>
          <w:szCs w:val="20"/>
          <w:color w:val="auto"/>
        </w:rPr>
      </w:pPr>
    </w:p>
    <w:p>
      <w:pPr>
        <w:ind w:left="160"/>
        <w:spacing w:after="0"/>
        <w:tabs>
          <w:tab w:leader="none" w:pos="2060" w:val="left"/>
        </w:tabs>
        <w:rPr>
          <w:sz w:val="20"/>
          <w:szCs w:val="20"/>
          <w:color w:val="auto"/>
        </w:rPr>
      </w:pPr>
      <w:r>
        <w:rPr>
          <w:rFonts w:ascii="Arial" w:cs="Arial" w:eastAsia="Arial" w:hAnsi="Arial"/>
          <w:sz w:val="16"/>
          <w:szCs w:val="16"/>
          <w:color w:val="auto"/>
        </w:rPr>
        <w:t>26.3</w:t>
      </w:r>
      <w:r>
        <w:rPr>
          <w:sz w:val="20"/>
          <w:szCs w:val="20"/>
          <w:color w:val="auto"/>
        </w:rPr>
        <w:tab/>
      </w:r>
      <w:r>
        <w:rPr>
          <w:rFonts w:ascii="Arial" w:cs="Arial" w:eastAsia="Arial" w:hAnsi="Arial"/>
          <w:sz w:val="14"/>
          <w:szCs w:val="14"/>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-988695</wp:posOffset>
            </wp:positionH>
            <wp:positionV relativeFrom="paragraph">
              <wp:posOffset>46990</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66" w:lineRule="exact"/>
        <w:rPr>
          <w:sz w:val="20"/>
          <w:szCs w:val="20"/>
          <w:color w:val="auto"/>
        </w:rPr>
      </w:pPr>
    </w:p>
    <w:p>
      <w:pPr>
        <w:spacing w:after="0"/>
        <w:tabs>
          <w:tab w:leader="none" w:pos="1900" w:val="left"/>
        </w:tabs>
        <w:rPr>
          <w:sz w:val="20"/>
          <w:szCs w:val="20"/>
          <w:color w:val="auto"/>
        </w:rPr>
      </w:pPr>
      <w:r>
        <w:rPr>
          <w:rFonts w:ascii="Arial" w:cs="Arial" w:eastAsia="Arial" w:hAnsi="Arial"/>
          <w:sz w:val="16"/>
          <w:szCs w:val="16"/>
          <w:b w:val="1"/>
          <w:bCs w:val="1"/>
          <w:color w:val="auto"/>
        </w:rPr>
        <w:t>$115.1</w:t>
      </w:r>
      <w:r>
        <w:rPr>
          <w:sz w:val="20"/>
          <w:szCs w:val="20"/>
          <w:color w:val="auto"/>
        </w:rPr>
        <w:tab/>
      </w:r>
      <w:r>
        <w:rPr>
          <w:rFonts w:ascii="Arial" w:cs="Arial" w:eastAsia="Arial" w:hAnsi="Arial"/>
          <w:sz w:val="14"/>
          <w:szCs w:val="14"/>
          <w:b w:val="1"/>
          <w:bCs w:val="1"/>
          <w:color w:val="auto"/>
        </w:rPr>
        <w:t>$119.4</w:t>
      </w:r>
    </w:p>
    <w:p>
      <w:pPr>
        <w:spacing w:after="0" w:line="200" w:lineRule="exact"/>
        <w:rPr>
          <w:sz w:val="20"/>
          <w:szCs w:val="20"/>
          <w:color w:val="auto"/>
        </w:rPr>
      </w:pPr>
    </w:p>
    <w:p>
      <w:pPr>
        <w:spacing w:after="0" w:line="372" w:lineRule="exact"/>
        <w:rPr>
          <w:sz w:val="20"/>
          <w:szCs w:val="20"/>
          <w:color w:val="auto"/>
        </w:rPr>
      </w:pPr>
    </w:p>
    <w:p>
      <w:pPr>
        <w:ind w:left="400"/>
        <w:spacing w:after="0"/>
        <w:tabs>
          <w:tab w:leader="none" w:pos="23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w:t>
      </w:r>
    </w:p>
    <w:p>
      <w:pPr>
        <w:spacing w:after="0" w:line="388" w:lineRule="exact"/>
        <w:rPr>
          <w:sz w:val="20"/>
          <w:szCs w:val="20"/>
          <w:color w:val="auto"/>
        </w:rPr>
      </w:pPr>
    </w:p>
    <w:p>
      <w:pPr>
        <w:sectPr>
          <w:pgSz w:w="11900" w:h="16838" w:orient="portrait"/>
          <w:cols w:equalWidth="0" w:num="2">
            <w:col w:w="7960" w:space="720"/>
            <w:col w:w="2440"/>
          </w:cols>
          <w:pgMar w:left="320" w:top="1276" w:right="459" w:bottom="998" w:gutter="0" w:footer="0" w:header="0"/>
          <w:type w:val="continuous"/>
        </w:sectPr>
      </w:pPr>
    </w:p>
    <w:p>
      <w:pPr>
        <w:ind w:left="400"/>
        <w:spacing w:after="0"/>
        <w:tabs>
          <w:tab w:leader="none" w:pos="9060" w:val="left"/>
          <w:tab w:leader="none" w:pos="10980" w:val="left"/>
        </w:tabs>
        <w:rPr>
          <w:sz w:val="20"/>
          <w:szCs w:val="20"/>
          <w:color w:val="auto"/>
        </w:rPr>
      </w:pPr>
      <w:r>
        <w:rPr>
          <w:rFonts w:ascii="Arial" w:cs="Arial" w:eastAsia="Arial" w:hAnsi="Arial"/>
          <w:sz w:val="16"/>
          <w:szCs w:val="16"/>
          <w:color w:val="auto"/>
        </w:rPr>
        <w:t>Class V common stock ($0.0001 par value, 250,000,000 shares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2"/>
          <w:szCs w:val="12"/>
          <w:color w:val="auto"/>
        </w:rPr>
        <w:t>-</w:t>
      </w:r>
    </w:p>
    <w:p>
      <w:pPr>
        <w:ind w:left="400"/>
        <w:spacing w:after="0" w:line="236" w:lineRule="auto"/>
        <w:rPr>
          <w:sz w:val="20"/>
          <w:szCs w:val="20"/>
          <w:color w:val="auto"/>
        </w:rPr>
      </w:pPr>
      <w:r>
        <w:rPr>
          <w:rFonts w:ascii="Arial" w:cs="Arial" w:eastAsia="Arial" w:hAnsi="Arial"/>
          <w:sz w:val="16"/>
          <w:szCs w:val="16"/>
          <w:color w:val="auto"/>
        </w:rPr>
        <w:t>authorized, 183,279,887 shares issued and outstanding as of 3/31/23,</w:t>
      </w:r>
    </w:p>
    <w:p>
      <w:pPr>
        <w:ind w:left="440"/>
        <w:spacing w:after="0" w:line="212" w:lineRule="auto"/>
        <w:rPr>
          <w:sz w:val="20"/>
          <w:szCs w:val="20"/>
          <w:color w:val="auto"/>
        </w:rPr>
      </w:pPr>
      <w:r>
        <w:rPr>
          <w:rFonts w:ascii="Arial" w:cs="Arial" w:eastAsia="Arial" w:hAnsi="Arial"/>
          <w:sz w:val="16"/>
          <w:szCs w:val="16"/>
          <w:color w:val="auto"/>
        </w:rPr>
        <w:t>183,482,777 shares issued and outstanding as of 12/31/22)</w:t>
      </w:r>
    </w:p>
    <w:p>
      <w:pPr>
        <w:sectPr>
          <w:pgSz w:w="11900" w:h="16838" w:orient="portrait"/>
          <w:cols w:equalWidth="0" w:num="1">
            <w:col w:w="11120"/>
          </w:cols>
          <w:pgMar w:left="320" w:top="1276" w:right="459" w:bottom="998" w:gutter="0" w:footer="0" w:header="0"/>
          <w:type w:val="continuous"/>
        </w:sectPr>
      </w:pP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Additonal paid-in capital</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defcit</w:t>
      </w:r>
    </w:p>
    <w:p>
      <w:pPr>
        <w:spacing w:after="0" w:line="7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Noncontrolling interest</w:t>
      </w:r>
    </w:p>
    <w:p>
      <w:pPr>
        <w:spacing w:after="0" w:line="4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Total equity</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780.0</w:t>
            </w:r>
          </w:p>
        </w:tc>
        <w:tc>
          <w:tcPr>
            <w:tcW w:w="1260" w:type="dxa"/>
            <w:vAlign w:val="bottom"/>
          </w:tcPr>
          <w:p>
            <w:pPr>
              <w:jc w:val="right"/>
              <w:spacing w:after="0"/>
              <w:rPr>
                <w:sz w:val="20"/>
                <w:szCs w:val="20"/>
                <w:color w:val="auto"/>
              </w:rPr>
            </w:pPr>
            <w:r>
              <w:rPr>
                <w:rFonts w:ascii="Arial" w:cs="Arial" w:eastAsia="Arial" w:hAnsi="Arial"/>
                <w:sz w:val="16"/>
                <w:szCs w:val="16"/>
                <w:color w:val="auto"/>
              </w:rPr>
              <w:t>773.0</w:t>
            </w:r>
          </w:p>
        </w:tc>
      </w:tr>
      <w:tr>
        <w:trPr>
          <w:trHeight w:val="257"/>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(0.4)</w:t>
            </w:r>
          </w:p>
        </w:tc>
        <w:tc>
          <w:tcPr>
            <w:tcW w:w="12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(690.4)</w:t>
            </w:r>
          </w:p>
        </w:tc>
        <w:tc>
          <w:tcPr>
            <w:tcW w:w="1260" w:type="dxa"/>
            <w:vAlign w:val="bottom"/>
          </w:tcPr>
          <w:p>
            <w:pPr>
              <w:jc w:val="right"/>
              <w:spacing w:after="0"/>
              <w:rPr>
                <w:sz w:val="20"/>
                <w:szCs w:val="20"/>
                <w:color w:val="auto"/>
              </w:rPr>
            </w:pPr>
            <w:r>
              <w:rPr>
                <w:rFonts w:ascii="Arial" w:cs="Arial" w:eastAsia="Arial" w:hAnsi="Arial"/>
                <w:sz w:val="16"/>
                <w:szCs w:val="16"/>
                <w:color w:val="auto"/>
              </w:rPr>
              <w:t>(676.4)</w:t>
            </w:r>
          </w:p>
        </w:tc>
      </w:tr>
      <w:tr>
        <w:trPr>
          <w:trHeight w:val="54"/>
        </w:trPr>
        <w:tc>
          <w:tcPr>
            <w:tcW w:w="27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97"/>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89.3</w:t>
            </w:r>
          </w:p>
        </w:tc>
        <w:tc>
          <w:tcPr>
            <w:tcW w:w="126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55"/>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209.0</w:t>
            </w:r>
          </w:p>
        </w:tc>
        <w:tc>
          <w:tcPr>
            <w:tcW w:w="126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54"/>
        </w:trPr>
        <w:tc>
          <w:tcPr>
            <w:tcW w:w="27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197"/>
        </w:trPr>
        <w:tc>
          <w:tcPr>
            <w:tcW w:w="2740" w:type="dxa"/>
            <w:vAlign w:val="bottom"/>
          </w:tcPr>
          <w:p>
            <w:pPr>
              <w:jc w:val="right"/>
              <w:ind w:right="639"/>
              <w:spacing w:after="0"/>
              <w:rPr>
                <w:sz w:val="20"/>
                <w:szCs w:val="20"/>
                <w:color w:val="auto"/>
              </w:rPr>
            </w:pPr>
            <w:r>
              <w:rPr>
                <w:rFonts w:ascii="Arial" w:cs="Arial" w:eastAsia="Arial" w:hAnsi="Arial"/>
                <w:sz w:val="16"/>
                <w:szCs w:val="16"/>
                <w:color w:val="auto"/>
              </w:rPr>
              <w:t>298.3</w:t>
            </w:r>
          </w:p>
        </w:tc>
        <w:tc>
          <w:tcPr>
            <w:tcW w:w="1260" w:type="dxa"/>
            <w:vAlign w:val="bottom"/>
          </w:tcPr>
          <w:p>
            <w:pPr>
              <w:jc w:val="right"/>
              <w:spacing w:after="0"/>
              <w:rPr>
                <w:sz w:val="20"/>
                <w:szCs w:val="20"/>
                <w:color w:val="auto"/>
              </w:rPr>
            </w:pPr>
            <w:r>
              <w:rPr>
                <w:rFonts w:ascii="Arial" w:cs="Arial" w:eastAsia="Arial" w:hAnsi="Arial"/>
                <w:sz w:val="16"/>
                <w:szCs w:val="16"/>
                <w:color w:val="auto"/>
              </w:rPr>
              <w:t>336.1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2537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6400" w:space="720"/>
            <w:col w:w="4000"/>
          </w:cols>
          <w:pgMar w:left="320" w:top="1276" w:right="459" w:bottom="998" w:gutter="0" w:footer="0" w:header="0"/>
          <w:type w:val="continuous"/>
        </w:sectPr>
      </w:pPr>
    </w:p>
    <w:tbl>
      <w:tblPr>
        <w:tblLayout w:type="fixed"/>
        <w:tblInd w:w="20" w:type="dxa"/>
        <w:tblCellMar>
          <w:top w:w="0" w:type="dxa"/>
          <w:left w:w="0" w:type="dxa"/>
          <w:bottom w:w="0" w:type="dxa"/>
          <w:right w:w="0" w:type="dxa"/>
        </w:tblCellMar>
      </w:tblPr>
      <w:tr>
        <w:trPr>
          <w:trHeight w:val="206"/>
        </w:trPr>
        <w:tc>
          <w:tcPr>
            <w:tcW w:w="5700" w:type="dxa"/>
            <w:vAlign w:val="bottom"/>
          </w:tcPr>
          <w:p>
            <w:pPr>
              <w:ind w:left="60"/>
              <w:spacing w:after="0"/>
              <w:rPr>
                <w:sz w:val="20"/>
                <w:szCs w:val="20"/>
                <w:color w:val="auto"/>
              </w:rPr>
            </w:pPr>
            <w:r>
              <w:rPr>
                <w:rFonts w:ascii="Arial" w:cs="Arial" w:eastAsia="Arial" w:hAnsi="Arial"/>
                <w:sz w:val="16"/>
                <w:szCs w:val="16"/>
                <w:b w:val="1"/>
                <w:bCs w:val="1"/>
                <w:color w:val="auto"/>
              </w:rPr>
              <w:t>Total liabilites and stockholders’ equity</w:t>
            </w:r>
          </w:p>
        </w:tc>
        <w:tc>
          <w:tcPr>
            <w:tcW w:w="4140" w:type="dxa"/>
            <w:vAlign w:val="bottom"/>
          </w:tcPr>
          <w:p>
            <w:pPr>
              <w:jc w:val="right"/>
              <w:ind w:right="639"/>
              <w:spacing w:after="0"/>
              <w:rPr>
                <w:sz w:val="20"/>
                <w:szCs w:val="20"/>
                <w:color w:val="auto"/>
              </w:rPr>
            </w:pPr>
            <w:r>
              <w:rPr>
                <w:rFonts w:ascii="Arial" w:cs="Arial" w:eastAsia="Arial" w:hAnsi="Arial"/>
                <w:sz w:val="16"/>
                <w:szCs w:val="16"/>
                <w:b w:val="1"/>
                <w:bCs w:val="1"/>
                <w:color w:val="auto"/>
              </w:rPr>
              <w:t>$413.3</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r>
      <w:tr>
        <w:trPr>
          <w:trHeight w:val="52"/>
        </w:trPr>
        <w:tc>
          <w:tcPr>
            <w:tcW w:w="5700" w:type="dxa"/>
            <w:vAlign w:val="bottom"/>
            <w:tcBorders>
              <w:bottom w:val="single" w:sz="8" w:color="auto"/>
            </w:tcBorders>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20"/>
          </w:cols>
          <w:pgMar w:left="320" w:top="1276" w:right="459" w:bottom="998" w:gutter="0" w:footer="0" w:header="0"/>
          <w:type w:val="continuous"/>
        </w:sectPr>
      </w:pPr>
    </w:p>
    <w:bookmarkStart w:id="9" w:name="page10"/>
    <w:bookmarkEnd w:id="9"/>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39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39750"/>
                    </a:xfrm>
                    <a:prstGeom prst="rect">
                      <a:avLst/>
                    </a:prstGeom>
                    <a:noFill/>
                  </pic:spPr>
                </pic:pic>
              </a:graphicData>
            </a:graphic>
          </wp:anchor>
        </w:drawing>
        <w:t>Consolidated Statements of Operatons ($ in millions) (unaudited)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451"/>
        </w:trPr>
        <w:tc>
          <w:tcPr>
            <w:tcW w:w="20" w:type="dxa"/>
            <w:vAlign w:val="bottom"/>
            <w:shd w:val="clear" w:color="auto" w:fill="000000"/>
          </w:tcPr>
          <w:p>
            <w:pPr>
              <w:spacing w:after="0"/>
              <w:rPr>
                <w:sz w:val="24"/>
                <w:szCs w:val="24"/>
                <w:color w:val="auto"/>
              </w:rPr>
            </w:pPr>
          </w:p>
        </w:tc>
        <w:tc>
          <w:tcPr>
            <w:tcW w:w="7480" w:type="dxa"/>
            <w:vAlign w:val="bottom"/>
            <w:shd w:val="clear" w:color="auto" w:fill="000000"/>
          </w:tcPr>
          <w:p>
            <w:pPr>
              <w:spacing w:after="0"/>
              <w:rPr>
                <w:sz w:val="24"/>
                <w:szCs w:val="24"/>
                <w:color w:val="auto"/>
              </w:rPr>
            </w:pPr>
          </w:p>
        </w:tc>
        <w:tc>
          <w:tcPr>
            <w:tcW w:w="134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1Q23</w:t>
            </w:r>
          </w:p>
        </w:tc>
        <w:tc>
          <w:tcPr>
            <w:tcW w:w="240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1Q22</w:t>
            </w:r>
          </w:p>
        </w:tc>
        <w:tc>
          <w:tcPr>
            <w:tcW w:w="0" w:type="dxa"/>
            <w:vAlign w:val="bottom"/>
          </w:tcPr>
          <w:p>
            <w:pPr>
              <w:spacing w:after="0"/>
              <w:rPr>
                <w:sz w:val="1"/>
                <w:szCs w:val="1"/>
                <w:color w:val="auto"/>
              </w:rPr>
            </w:pPr>
          </w:p>
        </w:tc>
      </w:tr>
      <w:tr>
        <w:trPr>
          <w:trHeight w:val="76"/>
        </w:trPr>
        <w:tc>
          <w:tcPr>
            <w:tcW w:w="20" w:type="dxa"/>
            <w:vAlign w:val="bottom"/>
            <w:shd w:val="clear" w:color="auto" w:fill="000000"/>
          </w:tcPr>
          <w:p>
            <w:pPr>
              <w:spacing w:after="0"/>
              <w:rPr>
                <w:sz w:val="6"/>
                <w:szCs w:val="6"/>
                <w:color w:val="auto"/>
              </w:rPr>
            </w:pPr>
          </w:p>
        </w:tc>
        <w:tc>
          <w:tcPr>
            <w:tcW w:w="7480" w:type="dxa"/>
            <w:vAlign w:val="bottom"/>
            <w:shd w:val="clear" w:color="auto" w:fill="000000"/>
          </w:tcPr>
          <w:p>
            <w:pPr>
              <w:spacing w:after="0"/>
              <w:rPr>
                <w:sz w:val="6"/>
                <w:szCs w:val="6"/>
                <w:color w:val="auto"/>
              </w:rPr>
            </w:pPr>
          </w:p>
        </w:tc>
        <w:tc>
          <w:tcPr>
            <w:tcW w:w="1340" w:type="dxa"/>
            <w:vAlign w:val="bottom"/>
            <w:tcBorders>
              <w:bottom w:val="single" w:sz="8" w:color="auto"/>
            </w:tcBorders>
            <w:shd w:val="clear" w:color="auto" w:fill="000000"/>
          </w:tcPr>
          <w:p>
            <w:pPr>
              <w:spacing w:after="0"/>
              <w:rPr>
                <w:sz w:val="6"/>
                <w:szCs w:val="6"/>
                <w:color w:val="auto"/>
              </w:rPr>
            </w:pPr>
          </w:p>
        </w:tc>
        <w:tc>
          <w:tcPr>
            <w:tcW w:w="240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80" w:type="dxa"/>
            <w:vAlign w:val="bottom"/>
          </w:tcPr>
          <w:p>
            <w:pPr>
              <w:ind w:left="60"/>
              <w:spacing w:after="0"/>
              <w:rPr>
                <w:sz w:val="20"/>
                <w:szCs w:val="20"/>
                <w:color w:val="auto"/>
              </w:rPr>
            </w:pPr>
            <w:r>
              <w:rPr>
                <w:rFonts w:ascii="Arial" w:cs="Arial" w:eastAsia="Arial" w:hAnsi="Arial"/>
                <w:sz w:val="17"/>
                <w:szCs w:val="17"/>
                <w:b w:val="1"/>
                <w:bCs w:val="1"/>
                <w:color w:val="auto"/>
              </w:rPr>
              <w:t>Revenues:</w:t>
            </w: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$13.0</w:t>
            </w:r>
          </w:p>
        </w:tc>
        <w:tc>
          <w:tcPr>
            <w:tcW w:w="2400" w:type="dxa"/>
            <w:vAlign w:val="bottom"/>
            <w:vMerge w:val="restart"/>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7480" w:type="dxa"/>
            <w:vAlign w:val="bottom"/>
          </w:tcPr>
          <w:p>
            <w:pPr>
              <w:ind w:left="260"/>
              <w:spacing w:after="0"/>
              <w:rPr>
                <w:sz w:val="20"/>
                <w:szCs w:val="20"/>
                <w:color w:val="auto"/>
              </w:rPr>
            </w:pPr>
            <w:r>
              <w:rPr>
                <w:rFonts w:ascii="Arial" w:cs="Arial" w:eastAsia="Arial" w:hAnsi="Arial"/>
                <w:sz w:val="17"/>
                <w:szCs w:val="17"/>
                <w:color w:val="auto"/>
              </w:rPr>
              <w:t xml:space="preserve">Net revenues </w:t>
            </w:r>
            <w:r>
              <w:rPr>
                <w:rFonts w:ascii="Arial" w:cs="Arial" w:eastAsia="Arial" w:hAnsi="Arial"/>
                <w:sz w:val="16"/>
                <w:szCs w:val="16"/>
                <w:color w:val="auto"/>
              </w:rPr>
              <w:t>(includes related party net revenues of $1 and $20, respectvely)</w:t>
            </w:r>
          </w:p>
        </w:tc>
        <w:tc>
          <w:tcPr>
            <w:tcW w:w="1340" w:type="dxa"/>
            <w:vAlign w:val="bottom"/>
            <w:vMerge w:val="continue"/>
          </w:tcPr>
          <w:p>
            <w:pPr>
              <w:spacing w:after="0"/>
              <w:rPr>
                <w:sz w:val="24"/>
                <w:szCs w:val="24"/>
                <w:color w:val="auto"/>
              </w:rPr>
            </w:pPr>
          </w:p>
        </w:tc>
        <w:tc>
          <w:tcPr>
            <w:tcW w:w="2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tcPr>
          <w:p>
            <w:pPr>
              <w:ind w:left="60"/>
              <w:spacing w:after="0"/>
              <w:rPr>
                <w:sz w:val="20"/>
                <w:szCs w:val="20"/>
                <w:color w:val="auto"/>
              </w:rPr>
            </w:pPr>
            <w:r>
              <w:rPr>
                <w:rFonts w:ascii="Arial" w:cs="Arial" w:eastAsia="Arial" w:hAnsi="Arial"/>
                <w:sz w:val="17"/>
                <w:szCs w:val="17"/>
                <w:color w:val="auto"/>
              </w:rPr>
              <w:t>Operatng expenses:</w:t>
            </w:r>
          </w:p>
        </w:tc>
        <w:tc>
          <w:tcPr>
            <w:tcW w:w="1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Compensaton and benefts</w:t>
            </w:r>
          </w:p>
        </w:tc>
        <w:tc>
          <w:tcPr>
            <w:tcW w:w="1340" w:type="dxa"/>
            <w:vAlign w:val="bottom"/>
          </w:tcPr>
          <w:p>
            <w:pPr>
              <w:jc w:val="right"/>
              <w:spacing w:after="0"/>
              <w:rPr>
                <w:sz w:val="20"/>
                <w:szCs w:val="20"/>
                <w:color w:val="auto"/>
              </w:rPr>
            </w:pPr>
            <w:r>
              <w:rPr>
                <w:rFonts w:ascii="Arial" w:cs="Arial" w:eastAsia="Arial" w:hAnsi="Arial"/>
                <w:sz w:val="17"/>
                <w:szCs w:val="17"/>
                <w:color w:val="auto"/>
              </w:rPr>
              <w:t>34.1</w:t>
            </w:r>
          </w:p>
        </w:tc>
        <w:tc>
          <w:tcPr>
            <w:tcW w:w="2400" w:type="dxa"/>
            <w:vAlign w:val="bottom"/>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Professional services</w:t>
            </w:r>
          </w:p>
        </w:tc>
        <w:tc>
          <w:tcPr>
            <w:tcW w:w="1340" w:type="dxa"/>
            <w:vAlign w:val="bottom"/>
          </w:tcPr>
          <w:p>
            <w:pPr>
              <w:jc w:val="right"/>
              <w:spacing w:after="0"/>
              <w:rPr>
                <w:sz w:val="20"/>
                <w:szCs w:val="20"/>
                <w:color w:val="auto"/>
              </w:rPr>
            </w:pPr>
            <w:r>
              <w:rPr>
                <w:rFonts w:ascii="Arial" w:cs="Arial" w:eastAsia="Arial" w:hAnsi="Arial"/>
                <w:sz w:val="17"/>
                <w:szCs w:val="17"/>
                <w:color w:val="auto"/>
              </w:rPr>
              <w:t>2.4</w:t>
            </w:r>
          </w:p>
        </w:tc>
        <w:tc>
          <w:tcPr>
            <w:tcW w:w="240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Technology and communicaton</w:t>
            </w:r>
          </w:p>
        </w:tc>
        <w:tc>
          <w:tcPr>
            <w:tcW w:w="1340" w:type="dxa"/>
            <w:vAlign w:val="bottom"/>
          </w:tcPr>
          <w:p>
            <w:pPr>
              <w:jc w:val="right"/>
              <w:spacing w:after="0"/>
              <w:rPr>
                <w:sz w:val="20"/>
                <w:szCs w:val="20"/>
                <w:color w:val="auto"/>
              </w:rPr>
            </w:pPr>
            <w:r>
              <w:rPr>
                <w:rFonts w:ascii="Arial" w:cs="Arial" w:eastAsia="Arial" w:hAnsi="Arial"/>
                <w:sz w:val="17"/>
                <w:szCs w:val="17"/>
                <w:color w:val="auto"/>
              </w:rPr>
              <w:t>5.7</w:t>
            </w:r>
          </w:p>
        </w:tc>
        <w:tc>
          <w:tcPr>
            <w:tcW w:w="2400" w:type="dxa"/>
            <w:vAlign w:val="bottom"/>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Selling, general and administratve</w:t>
            </w:r>
          </w:p>
        </w:tc>
        <w:tc>
          <w:tcPr>
            <w:tcW w:w="1340" w:type="dxa"/>
            <w:vAlign w:val="bottom"/>
          </w:tcPr>
          <w:p>
            <w:pPr>
              <w:jc w:val="right"/>
              <w:spacing w:after="0"/>
              <w:rPr>
                <w:sz w:val="20"/>
                <w:szCs w:val="20"/>
                <w:color w:val="auto"/>
              </w:rPr>
            </w:pPr>
            <w:r>
              <w:rPr>
                <w:rFonts w:ascii="Arial" w:cs="Arial" w:eastAsia="Arial" w:hAnsi="Arial"/>
                <w:sz w:val="17"/>
                <w:szCs w:val="17"/>
                <w:color w:val="auto"/>
              </w:rPr>
              <w:t>6.7</w:t>
            </w:r>
          </w:p>
        </w:tc>
        <w:tc>
          <w:tcPr>
            <w:tcW w:w="240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Acquisiton-related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0.8</w:t>
            </w:r>
          </w:p>
        </w:tc>
        <w:tc>
          <w:tcPr>
            <w:tcW w:w="240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Depreciaton and amortzaton</w:t>
            </w:r>
          </w:p>
        </w:tc>
        <w:tc>
          <w:tcPr>
            <w:tcW w:w="1340" w:type="dxa"/>
            <w:vAlign w:val="bottom"/>
          </w:tcPr>
          <w:p>
            <w:pPr>
              <w:jc w:val="right"/>
              <w:spacing w:after="0"/>
              <w:rPr>
                <w:sz w:val="20"/>
                <w:szCs w:val="20"/>
                <w:color w:val="auto"/>
              </w:rPr>
            </w:pPr>
            <w:r>
              <w:rPr>
                <w:rFonts w:ascii="Arial" w:cs="Arial" w:eastAsia="Arial" w:hAnsi="Arial"/>
                <w:sz w:val="17"/>
                <w:szCs w:val="17"/>
                <w:color w:val="auto"/>
              </w:rPr>
              <w:t>3.1</w:t>
            </w:r>
          </w:p>
        </w:tc>
        <w:tc>
          <w:tcPr>
            <w:tcW w:w="240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Related party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0.6</w:t>
            </w:r>
          </w:p>
        </w:tc>
        <w:tc>
          <w:tcPr>
            <w:tcW w:w="240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Restructuring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4.3</w:t>
            </w:r>
          </w:p>
        </w:tc>
        <w:tc>
          <w:tcPr>
            <w:tcW w:w="24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Other operatng expenses</w:t>
            </w:r>
          </w:p>
        </w:tc>
        <w:tc>
          <w:tcPr>
            <w:tcW w:w="1340" w:type="dxa"/>
            <w:vAlign w:val="bottom"/>
          </w:tcPr>
          <w:p>
            <w:pPr>
              <w:jc w:val="right"/>
              <w:spacing w:after="0"/>
              <w:rPr>
                <w:sz w:val="20"/>
                <w:szCs w:val="20"/>
                <w:color w:val="auto"/>
              </w:rPr>
            </w:pPr>
            <w:r>
              <w:rPr>
                <w:rFonts w:ascii="Arial" w:cs="Arial" w:eastAsia="Arial" w:hAnsi="Arial"/>
                <w:sz w:val="17"/>
                <w:szCs w:val="17"/>
                <w:color w:val="auto"/>
              </w:rPr>
              <w:t>0.8</w:t>
            </w:r>
          </w:p>
        </w:tc>
        <w:tc>
          <w:tcPr>
            <w:tcW w:w="240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80" w:type="dxa"/>
            <w:vAlign w:val="bottom"/>
            <w:vMerge w:val="restart"/>
          </w:tcPr>
          <w:p>
            <w:pPr>
              <w:ind w:left="720"/>
              <w:spacing w:after="0"/>
              <w:rPr>
                <w:sz w:val="20"/>
                <w:szCs w:val="20"/>
                <w:color w:val="auto"/>
              </w:rPr>
            </w:pPr>
            <w:r>
              <w:rPr>
                <w:rFonts w:ascii="Arial" w:cs="Arial" w:eastAsia="Arial" w:hAnsi="Arial"/>
                <w:sz w:val="17"/>
                <w:szCs w:val="17"/>
                <w:color w:val="auto"/>
              </w:rPr>
              <w:t>Total operatng expenses</w:t>
            </w:r>
          </w:p>
        </w:tc>
        <w:tc>
          <w:tcPr>
            <w:tcW w:w="13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58.4</w:t>
            </w:r>
          </w:p>
        </w:tc>
        <w:tc>
          <w:tcPr>
            <w:tcW w:w="2400" w:type="dxa"/>
            <w:vAlign w:val="bottom"/>
          </w:tcPr>
          <w:p>
            <w:pPr>
              <w:jc w:val="right"/>
              <w:spacing w:after="0"/>
              <w:rPr>
                <w:sz w:val="20"/>
                <w:szCs w:val="20"/>
                <w:color w:val="auto"/>
              </w:rPr>
            </w:pPr>
            <w:r>
              <w:rPr>
                <w:rFonts w:ascii="Arial" w:cs="Arial" w:eastAsia="Arial" w:hAnsi="Arial"/>
                <w:sz w:val="17"/>
                <w:szCs w:val="17"/>
                <w:color w:val="auto"/>
              </w:rPr>
              <w:t>61.0</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4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Operatng loss</w:t>
            </w:r>
          </w:p>
        </w:tc>
        <w:tc>
          <w:tcPr>
            <w:tcW w:w="13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(45.4)</w:t>
            </w:r>
          </w:p>
        </w:tc>
        <w:tc>
          <w:tcPr>
            <w:tcW w:w="2400" w:type="dxa"/>
            <w:vAlign w:val="bottom"/>
          </w:tcPr>
          <w:p>
            <w:pPr>
              <w:jc w:val="right"/>
              <w:spacing w:after="0"/>
              <w:rPr>
                <w:sz w:val="20"/>
                <w:szCs w:val="20"/>
                <w:color w:val="auto"/>
              </w:rPr>
            </w:pPr>
            <w:r>
              <w:rPr>
                <w:rFonts w:ascii="Arial" w:cs="Arial" w:eastAsia="Arial" w:hAnsi="Arial"/>
                <w:sz w:val="17"/>
                <w:szCs w:val="17"/>
                <w:b w:val="1"/>
                <w:bCs w:val="1"/>
                <w:color w:val="auto"/>
              </w:rPr>
              <w:t>(48.5)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Interest income, net</w:t>
            </w:r>
          </w:p>
        </w:tc>
        <w:tc>
          <w:tcPr>
            <w:tcW w:w="1340" w:type="dxa"/>
            <w:vAlign w:val="bottom"/>
          </w:tcPr>
          <w:p>
            <w:pPr>
              <w:jc w:val="right"/>
              <w:spacing w:after="0"/>
              <w:rPr>
                <w:sz w:val="20"/>
                <w:szCs w:val="20"/>
                <w:color w:val="auto"/>
              </w:rPr>
            </w:pPr>
            <w:r>
              <w:rPr>
                <w:rFonts w:ascii="Arial" w:cs="Arial" w:eastAsia="Arial" w:hAnsi="Arial"/>
                <w:sz w:val="17"/>
                <w:szCs w:val="17"/>
                <w:color w:val="auto"/>
              </w:rPr>
              <w:t>1.6</w:t>
            </w:r>
          </w:p>
        </w:tc>
        <w:tc>
          <w:tcPr>
            <w:tcW w:w="240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(Loss) gain from change in fair value of warrant liability</w:t>
            </w:r>
          </w:p>
        </w:tc>
        <w:tc>
          <w:tcPr>
            <w:tcW w:w="1340" w:type="dxa"/>
            <w:vAlign w:val="bottom"/>
          </w:tcPr>
          <w:p>
            <w:pPr>
              <w:jc w:val="right"/>
              <w:spacing w:after="0"/>
              <w:rPr>
                <w:sz w:val="20"/>
                <w:szCs w:val="20"/>
                <w:color w:val="auto"/>
              </w:rPr>
            </w:pPr>
            <w:r>
              <w:rPr>
                <w:rFonts w:ascii="Arial" w:cs="Arial" w:eastAsia="Arial" w:hAnsi="Arial"/>
                <w:sz w:val="17"/>
                <w:szCs w:val="17"/>
                <w:color w:val="auto"/>
              </w:rPr>
              <w:t>(1.0)</w:t>
            </w:r>
          </w:p>
        </w:tc>
        <w:tc>
          <w:tcPr>
            <w:tcW w:w="240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Other expense, net</w:t>
            </w:r>
          </w:p>
        </w:tc>
        <w:tc>
          <w:tcPr>
            <w:tcW w:w="1340" w:type="dxa"/>
            <w:vAlign w:val="bottom"/>
          </w:tcPr>
          <w:p>
            <w:pPr>
              <w:jc w:val="right"/>
              <w:spacing w:after="0"/>
              <w:rPr>
                <w:sz w:val="20"/>
                <w:szCs w:val="20"/>
                <w:color w:val="auto"/>
              </w:rPr>
            </w:pPr>
            <w:r>
              <w:rPr>
                <w:rFonts w:ascii="Arial" w:cs="Arial" w:eastAsia="Arial" w:hAnsi="Arial"/>
                <w:sz w:val="17"/>
                <w:szCs w:val="17"/>
                <w:color w:val="auto"/>
              </w:rPr>
              <w:t>(0.0)</w:t>
            </w:r>
          </w:p>
        </w:tc>
        <w:tc>
          <w:tcPr>
            <w:tcW w:w="2400" w:type="dxa"/>
            <w:vAlign w:val="bottom"/>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Loss before income taxes</w:t>
            </w:r>
          </w:p>
        </w:tc>
        <w:tc>
          <w:tcPr>
            <w:tcW w:w="13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(44.8)</w:t>
            </w:r>
          </w:p>
        </w:tc>
        <w:tc>
          <w:tcPr>
            <w:tcW w:w="2400" w:type="dxa"/>
            <w:vAlign w:val="bottom"/>
          </w:tcPr>
          <w:p>
            <w:pPr>
              <w:jc w:val="right"/>
              <w:spacing w:after="0"/>
              <w:rPr>
                <w:sz w:val="20"/>
                <w:szCs w:val="20"/>
                <w:color w:val="auto"/>
              </w:rPr>
            </w:pPr>
            <w:r>
              <w:rPr>
                <w:rFonts w:ascii="Arial" w:cs="Arial" w:eastAsia="Arial" w:hAnsi="Arial"/>
                <w:sz w:val="17"/>
                <w:szCs w:val="17"/>
                <w:b w:val="1"/>
                <w:bCs w:val="1"/>
                <w:color w:val="auto"/>
              </w:rPr>
              <w:t>(46.5)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80" w:type="dxa"/>
            <w:vAlign w:val="bottom"/>
          </w:tcPr>
          <w:p>
            <w:pPr>
              <w:ind w:left="380"/>
              <w:spacing w:after="0"/>
              <w:rPr>
                <w:sz w:val="20"/>
                <w:szCs w:val="20"/>
                <w:color w:val="auto"/>
              </w:rPr>
            </w:pPr>
            <w:r>
              <w:rPr>
                <w:rFonts w:ascii="Arial" w:cs="Arial" w:eastAsia="Arial" w:hAnsi="Arial"/>
                <w:sz w:val="17"/>
                <w:szCs w:val="17"/>
                <w:color w:val="auto"/>
              </w:rPr>
              <w:t>Income tax (expense) beneft</w:t>
            </w:r>
          </w:p>
        </w:tc>
        <w:tc>
          <w:tcPr>
            <w:tcW w:w="1340" w:type="dxa"/>
            <w:vAlign w:val="bottom"/>
          </w:tcPr>
          <w:p>
            <w:pPr>
              <w:jc w:val="right"/>
              <w:spacing w:after="0"/>
              <w:rPr>
                <w:sz w:val="20"/>
                <w:szCs w:val="20"/>
                <w:color w:val="auto"/>
              </w:rPr>
            </w:pPr>
            <w:r>
              <w:rPr>
                <w:rFonts w:ascii="Arial" w:cs="Arial" w:eastAsia="Arial" w:hAnsi="Arial"/>
                <w:sz w:val="17"/>
                <w:szCs w:val="17"/>
                <w:color w:val="auto"/>
              </w:rPr>
              <w:t>(0.0)</w:t>
            </w:r>
          </w:p>
        </w:tc>
        <w:tc>
          <w:tcPr>
            <w:tcW w:w="24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Net loss</w:t>
            </w:r>
          </w:p>
        </w:tc>
        <w:tc>
          <w:tcPr>
            <w:tcW w:w="13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(44.9)</w:t>
            </w:r>
          </w:p>
        </w:tc>
        <w:tc>
          <w:tcPr>
            <w:tcW w:w="2400" w:type="dxa"/>
            <w:vAlign w:val="bottom"/>
          </w:tcPr>
          <w:p>
            <w:pPr>
              <w:jc w:val="right"/>
              <w:spacing w:after="0"/>
              <w:rPr>
                <w:sz w:val="20"/>
                <w:szCs w:val="20"/>
                <w:color w:val="auto"/>
              </w:rPr>
            </w:pPr>
            <w:r>
              <w:rPr>
                <w:rFonts w:ascii="Arial" w:cs="Arial" w:eastAsia="Arial" w:hAnsi="Arial"/>
                <w:sz w:val="17"/>
                <w:szCs w:val="17"/>
                <w:b w:val="1"/>
                <w:bCs w:val="1"/>
                <w:color w:val="auto"/>
              </w:rPr>
              <w:t>(43.3)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480" w:type="dxa"/>
            <w:vAlign w:val="bottom"/>
          </w:tcPr>
          <w:p>
            <w:pPr>
              <w:ind w:left="60"/>
              <w:spacing w:after="0"/>
              <w:rPr>
                <w:sz w:val="20"/>
                <w:szCs w:val="20"/>
                <w:color w:val="auto"/>
              </w:rPr>
            </w:pPr>
            <w:r>
              <w:rPr>
                <w:rFonts w:ascii="Arial" w:cs="Arial" w:eastAsia="Arial" w:hAnsi="Arial"/>
                <w:sz w:val="17"/>
                <w:szCs w:val="17"/>
                <w:color w:val="auto"/>
              </w:rPr>
              <w:t>Less: Net loss atributable to noncontrolling interest</w:t>
            </w:r>
          </w:p>
        </w:tc>
        <w:tc>
          <w:tcPr>
            <w:tcW w:w="1340" w:type="dxa"/>
            <w:vAlign w:val="bottom"/>
          </w:tcPr>
          <w:p>
            <w:pPr>
              <w:jc w:val="right"/>
              <w:spacing w:after="0"/>
              <w:rPr>
                <w:sz w:val="20"/>
                <w:szCs w:val="20"/>
                <w:color w:val="auto"/>
              </w:rPr>
            </w:pPr>
            <w:r>
              <w:rPr>
                <w:rFonts w:ascii="Arial" w:cs="Arial" w:eastAsia="Arial" w:hAnsi="Arial"/>
                <w:sz w:val="17"/>
                <w:szCs w:val="17"/>
                <w:color w:val="auto"/>
              </w:rPr>
              <w:t>(30.9)</w:t>
            </w:r>
          </w:p>
        </w:tc>
        <w:tc>
          <w:tcPr>
            <w:tcW w:w="2400" w:type="dxa"/>
            <w:vAlign w:val="bottom"/>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Net loss atributable to Bakkt Holdings, Inc.</w:t>
            </w:r>
          </w:p>
        </w:tc>
        <w:tc>
          <w:tcPr>
            <w:tcW w:w="13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80" w:type="dxa"/>
            <w:vAlign w:val="bottom"/>
            <w:vMerge w:val="continue"/>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$(14.0)</w:t>
            </w:r>
          </w:p>
        </w:tc>
        <w:tc>
          <w:tcPr>
            <w:tcW w:w="2400" w:type="dxa"/>
            <w:vAlign w:val="bottom"/>
          </w:tcPr>
          <w:p>
            <w:pPr>
              <w:jc w:val="right"/>
              <w:spacing w:after="0"/>
              <w:rPr>
                <w:sz w:val="20"/>
                <w:szCs w:val="20"/>
                <w:color w:val="auto"/>
              </w:rPr>
            </w:pPr>
            <w:r>
              <w:rPr>
                <w:rFonts w:ascii="Arial" w:cs="Arial" w:eastAsia="Arial" w:hAnsi="Arial"/>
                <w:sz w:val="17"/>
                <w:szCs w:val="17"/>
                <w:b w:val="1"/>
                <w:bCs w:val="1"/>
                <w:color w:val="auto"/>
              </w:rPr>
              <w:t>$(7.1)</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80" w:type="dxa"/>
            <w:vAlign w:val="bottom"/>
            <w:vMerge w:val="restart"/>
          </w:tcPr>
          <w:p>
            <w:pPr>
              <w:ind w:left="180"/>
              <w:spacing w:after="0"/>
              <w:rPr>
                <w:sz w:val="20"/>
                <w:szCs w:val="20"/>
                <w:color w:val="auto"/>
              </w:rPr>
            </w:pPr>
            <w:r>
              <w:rPr>
                <w:rFonts w:ascii="Arial" w:cs="Arial" w:eastAsia="Arial" w:hAnsi="Arial"/>
                <w:sz w:val="17"/>
                <w:szCs w:val="17"/>
                <w:color w:val="auto"/>
              </w:rPr>
              <w:t>Net loss per share atributable to Class A common stockholders:</w:t>
            </w:r>
          </w:p>
        </w:tc>
        <w:tc>
          <w:tcPr>
            <w:tcW w:w="134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74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280"/>
              <w:spacing w:after="0"/>
              <w:rPr>
                <w:sz w:val="20"/>
                <w:szCs w:val="20"/>
                <w:color w:val="auto"/>
              </w:rPr>
            </w:pPr>
            <w:r>
              <w:rPr>
                <w:rFonts w:ascii="Arial" w:cs="Arial" w:eastAsia="Arial" w:hAnsi="Arial"/>
                <w:sz w:val="17"/>
                <w:szCs w:val="17"/>
                <w:color w:val="auto"/>
              </w:rPr>
              <w:t>Basic</w:t>
            </w:r>
          </w:p>
        </w:tc>
        <w:tc>
          <w:tcPr>
            <w:tcW w:w="1340" w:type="dxa"/>
            <w:vAlign w:val="bottom"/>
          </w:tcPr>
          <w:p>
            <w:pPr>
              <w:jc w:val="right"/>
              <w:spacing w:after="0"/>
              <w:rPr>
                <w:sz w:val="20"/>
                <w:szCs w:val="20"/>
                <w:color w:val="auto"/>
              </w:rPr>
            </w:pPr>
            <w:r>
              <w:rPr>
                <w:rFonts w:ascii="Arial" w:cs="Arial" w:eastAsia="Arial" w:hAnsi="Arial"/>
                <w:sz w:val="17"/>
                <w:szCs w:val="17"/>
                <w:color w:val="auto"/>
              </w:rPr>
              <w:t>$(0.17)</w:t>
            </w:r>
          </w:p>
        </w:tc>
        <w:tc>
          <w:tcPr>
            <w:tcW w:w="2400" w:type="dxa"/>
            <w:vAlign w:val="bottom"/>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80" w:type="dxa"/>
            <w:vAlign w:val="bottom"/>
          </w:tcPr>
          <w:p>
            <w:pPr>
              <w:ind w:left="280"/>
              <w:spacing w:after="0"/>
              <w:rPr>
                <w:sz w:val="20"/>
                <w:szCs w:val="20"/>
                <w:color w:val="auto"/>
              </w:rPr>
            </w:pPr>
            <w:r>
              <w:rPr>
                <w:rFonts w:ascii="Arial" w:cs="Arial" w:eastAsia="Arial" w:hAnsi="Arial"/>
                <w:sz w:val="17"/>
                <w:szCs w:val="17"/>
                <w:color w:val="auto"/>
              </w:rPr>
              <w:t>Diluted</w:t>
            </w:r>
          </w:p>
        </w:tc>
        <w:tc>
          <w:tcPr>
            <w:tcW w:w="1340" w:type="dxa"/>
            <w:vAlign w:val="bottom"/>
          </w:tcPr>
          <w:p>
            <w:pPr>
              <w:jc w:val="right"/>
              <w:spacing w:after="0"/>
              <w:rPr>
                <w:sz w:val="20"/>
                <w:szCs w:val="20"/>
                <w:color w:val="auto"/>
              </w:rPr>
            </w:pPr>
            <w:r>
              <w:rPr>
                <w:rFonts w:ascii="Arial" w:cs="Arial" w:eastAsia="Arial" w:hAnsi="Arial"/>
                <w:sz w:val="17"/>
                <w:szCs w:val="17"/>
                <w:color w:val="auto"/>
              </w:rPr>
              <w:t>$(0.17)</w:t>
            </w:r>
          </w:p>
        </w:tc>
        <w:tc>
          <w:tcPr>
            <w:tcW w:w="2400" w:type="dxa"/>
            <w:vAlign w:val="bottom"/>
          </w:tcPr>
          <w:p>
            <w:pPr>
              <w:jc w:val="right"/>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276" w:right="339" w:bottom="674"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6311900</wp:posOffset>
            </wp:positionH>
            <wp:positionV relativeFrom="page">
              <wp:posOffset>88900</wp:posOffset>
            </wp:positionV>
            <wp:extent cx="1028700" cy="540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28700" cy="540385"/>
                    </a:xfrm>
                    <a:prstGeom prst="rect">
                      <a:avLst/>
                    </a:prstGeom>
                    <a:noFill/>
                  </pic:spPr>
                </pic:pic>
              </a:graphicData>
            </a:graphic>
          </wp:anchor>
        </w:drawing>
        <w:t>Consolidated Statements of Cash Flows ($ in millions)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438"/>
        </w:trPr>
        <w:tc>
          <w:tcPr>
            <w:tcW w:w="84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10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1Q23</w:t>
            </w:r>
          </w:p>
        </w:tc>
        <w:tc>
          <w:tcPr>
            <w:tcW w:w="150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1Q22</w:t>
            </w:r>
          </w:p>
        </w:tc>
      </w:tr>
      <w:tr>
        <w:trPr>
          <w:trHeight w:val="76"/>
        </w:trPr>
        <w:tc>
          <w:tcPr>
            <w:tcW w:w="84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00" w:type="dxa"/>
            <w:vAlign w:val="bottom"/>
            <w:shd w:val="clear" w:color="auto" w:fill="000000"/>
          </w:tcPr>
          <w:p>
            <w:pPr>
              <w:spacing w:after="0"/>
              <w:rPr>
                <w:sz w:val="6"/>
                <w:szCs w:val="6"/>
                <w:color w:val="auto"/>
              </w:rPr>
            </w:pPr>
          </w:p>
        </w:tc>
        <w:tc>
          <w:tcPr>
            <w:tcW w:w="1500" w:type="dxa"/>
            <w:vAlign w:val="bottom"/>
            <w:shd w:val="clear" w:color="auto" w:fill="000000"/>
          </w:tcPr>
          <w:p>
            <w:pPr>
              <w:spacing w:after="0"/>
              <w:rPr>
                <w:sz w:val="6"/>
                <w:szCs w:val="6"/>
                <w:color w:val="auto"/>
              </w:rPr>
            </w:pPr>
          </w:p>
        </w:tc>
      </w:tr>
      <w:tr>
        <w:trPr>
          <w:trHeight w:val="205"/>
        </w:trPr>
        <w:tc>
          <w:tcPr>
            <w:tcW w:w="8480" w:type="dxa"/>
            <w:vAlign w:val="bottom"/>
          </w:tcPr>
          <w:p>
            <w:pPr>
              <w:ind w:left="80"/>
              <w:spacing w:after="0"/>
              <w:rPr>
                <w:sz w:val="20"/>
                <w:szCs w:val="20"/>
                <w:color w:val="auto"/>
              </w:rPr>
            </w:pPr>
            <w:r>
              <w:rPr>
                <w:rFonts w:ascii="Arial" w:cs="Arial" w:eastAsia="Arial" w:hAnsi="Arial"/>
                <w:sz w:val="16"/>
                <w:szCs w:val="16"/>
                <w:b w:val="1"/>
                <w:bCs w:val="1"/>
                <w:color w:val="auto"/>
              </w:rPr>
              <w:t>Cash fows from operatng actvites:</w:t>
            </w: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53"/>
        </w:trPr>
        <w:tc>
          <w:tcPr>
            <w:tcW w:w="8480" w:type="dxa"/>
            <w:vAlign w:val="bottom"/>
          </w:tcPr>
          <w:p>
            <w:pPr>
              <w:ind w:left="8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$(44.9)</w:t>
            </w:r>
          </w:p>
        </w:tc>
        <w:tc>
          <w:tcPr>
            <w:tcW w:w="15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57"/>
        </w:trPr>
        <w:tc>
          <w:tcPr>
            <w:tcW w:w="8480" w:type="dxa"/>
            <w:vAlign w:val="bottom"/>
          </w:tcPr>
          <w:p>
            <w:pPr>
              <w:ind w:left="80"/>
              <w:spacing w:after="0"/>
              <w:rPr>
                <w:sz w:val="20"/>
                <w:szCs w:val="20"/>
                <w:color w:val="auto"/>
              </w:rPr>
            </w:pPr>
            <w:r>
              <w:rPr>
                <w:rFonts w:ascii="Arial" w:cs="Arial" w:eastAsia="Arial" w:hAnsi="Arial"/>
                <w:sz w:val="16"/>
                <w:szCs w:val="16"/>
                <w:color w:val="auto"/>
              </w:rPr>
              <w:t>Adjustments to reconcile net loss to net cash used in operatng actvites</w:t>
            </w: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3"/>
        </w:trPr>
        <w:tc>
          <w:tcPr>
            <w:tcW w:w="8480" w:type="dxa"/>
            <w:vAlign w:val="bottom"/>
          </w:tcPr>
          <w:p>
            <w:pPr>
              <w:ind w:left="400"/>
              <w:spacing w:after="0"/>
              <w:rPr>
                <w:sz w:val="20"/>
                <w:szCs w:val="20"/>
                <w:color w:val="auto"/>
              </w:rPr>
            </w:pPr>
            <w:r>
              <w:rPr>
                <w:rFonts w:ascii="Arial" w:cs="Arial" w:eastAsia="Arial" w:hAnsi="Arial"/>
                <w:sz w:val="16"/>
                <w:szCs w:val="16"/>
                <w:color w:val="auto"/>
              </w:rPr>
              <w:t>Depreciaton and amortzaton</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15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Non-cash lease expense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6"/>
        </w:trPr>
        <w:tc>
          <w:tcPr>
            <w:tcW w:w="8480" w:type="dxa"/>
            <w:vAlign w:val="bottom"/>
          </w:tcPr>
          <w:p>
            <w:pPr>
              <w:ind w:left="400"/>
              <w:spacing w:after="0"/>
              <w:rPr>
                <w:sz w:val="20"/>
                <w:szCs w:val="20"/>
                <w:color w:val="auto"/>
              </w:rPr>
            </w:pPr>
            <w:r>
              <w:rPr>
                <w:rFonts w:ascii="Arial" w:cs="Arial" w:eastAsia="Arial" w:hAnsi="Arial"/>
                <w:sz w:val="16"/>
                <w:szCs w:val="16"/>
                <w:color w:val="auto"/>
              </w:rPr>
              <w:t>Share-based compensaton expense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150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Unit-based compensaton expense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Forfeiture and cancellaton of common units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Deferred income taxes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Loss on disposal of assets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8480" w:type="dxa"/>
            <w:vAlign w:val="bottom"/>
          </w:tcPr>
          <w:p>
            <w:pPr>
              <w:ind w:left="400"/>
              <w:spacing w:after="0"/>
              <w:rPr>
                <w:sz w:val="20"/>
                <w:szCs w:val="20"/>
                <w:color w:val="auto"/>
              </w:rPr>
            </w:pPr>
            <w:r>
              <w:rPr>
                <w:rFonts w:ascii="Arial" w:cs="Arial" w:eastAsia="Arial" w:hAnsi="Arial"/>
                <w:sz w:val="16"/>
                <w:szCs w:val="16"/>
                <w:color w:val="auto"/>
              </w:rPr>
              <w:t>Loss (gain) from change in fair value of warrant liability</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57"/>
        </w:trPr>
        <w:tc>
          <w:tcPr>
            <w:tcW w:w="8480" w:type="dxa"/>
            <w:vAlign w:val="bottom"/>
          </w:tcPr>
          <w:p>
            <w:pPr>
              <w:ind w:left="400"/>
              <w:spacing w:after="0"/>
              <w:rPr>
                <w:sz w:val="20"/>
                <w:szCs w:val="20"/>
                <w:color w:val="auto"/>
              </w:rPr>
            </w:pPr>
            <w:r>
              <w:rPr>
                <w:rFonts w:ascii="Arial" w:cs="Arial" w:eastAsia="Arial" w:hAnsi="Arial"/>
                <w:sz w:val="16"/>
                <w:szCs w:val="16"/>
                <w:color w:val="auto"/>
              </w:rPr>
              <w:t>Other</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8480" w:type="dxa"/>
            <w:vAlign w:val="bottom"/>
          </w:tcPr>
          <w:p>
            <w:pPr>
              <w:ind w:left="400"/>
              <w:spacing w:after="0"/>
              <w:rPr>
                <w:sz w:val="20"/>
                <w:szCs w:val="20"/>
                <w:color w:val="auto"/>
              </w:rPr>
            </w:pPr>
            <w:r>
              <w:rPr>
                <w:rFonts w:ascii="Arial" w:cs="Arial" w:eastAsia="Arial" w:hAnsi="Arial"/>
                <w:sz w:val="16"/>
                <w:szCs w:val="16"/>
                <w:color w:val="auto"/>
              </w:rPr>
              <w:t>Changes in operatng assets and liabilites:</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(0.1)</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Prepaid insurance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Deposits with clearinghouse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8480" w:type="dxa"/>
            <w:vAlign w:val="bottom"/>
          </w:tcPr>
          <w:p>
            <w:pPr>
              <w:ind w:left="740"/>
              <w:spacing w:after="0"/>
              <w:rPr>
                <w:sz w:val="20"/>
                <w:szCs w:val="20"/>
                <w:color w:val="auto"/>
              </w:rPr>
            </w:pPr>
            <w:r>
              <w:rPr>
                <w:rFonts w:ascii="Arial" w:cs="Arial" w:eastAsia="Arial" w:hAnsi="Arial"/>
                <w:sz w:val="16"/>
                <w:szCs w:val="16"/>
                <w:color w:val="auto"/>
              </w:rPr>
              <w:t>Accounts payable and accrued liabilites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(16.0)</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Due to related party</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(0.7)</w:t>
            </w:r>
          </w:p>
        </w:tc>
        <w:tc>
          <w:tcPr>
            <w:tcW w:w="15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Deferred revenue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5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7"/>
        </w:trPr>
        <w:tc>
          <w:tcPr>
            <w:tcW w:w="8480" w:type="dxa"/>
            <w:vAlign w:val="bottom"/>
          </w:tcPr>
          <w:p>
            <w:pPr>
              <w:ind w:left="740"/>
              <w:spacing w:after="0"/>
              <w:rPr>
                <w:sz w:val="20"/>
                <w:szCs w:val="20"/>
                <w:color w:val="auto"/>
              </w:rPr>
            </w:pPr>
            <w:r>
              <w:rPr>
                <w:rFonts w:ascii="Arial" w:cs="Arial" w:eastAsia="Arial" w:hAnsi="Arial"/>
                <w:sz w:val="16"/>
                <w:szCs w:val="16"/>
                <w:color w:val="auto"/>
              </w:rPr>
              <w:t>Operatng lease liabilites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(0.6)</w:t>
            </w: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56"/>
        </w:trPr>
        <w:tc>
          <w:tcPr>
            <w:tcW w:w="8480" w:type="dxa"/>
            <w:vAlign w:val="bottom"/>
          </w:tcPr>
          <w:p>
            <w:pPr>
              <w:ind w:left="740"/>
              <w:spacing w:after="0"/>
              <w:rPr>
                <w:sz w:val="20"/>
                <w:szCs w:val="20"/>
                <w:color w:val="auto"/>
              </w:rPr>
            </w:pPr>
            <w:r>
              <w:rPr>
                <w:rFonts w:ascii="Arial" w:cs="Arial" w:eastAsia="Arial" w:hAnsi="Arial"/>
                <w:sz w:val="16"/>
                <w:szCs w:val="16"/>
                <w:color w:val="auto"/>
              </w:rPr>
              <w:t>Customer funds payable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78"/>
        </w:trPr>
        <w:tc>
          <w:tcPr>
            <w:tcW w:w="8480" w:type="dxa"/>
            <w:vAlign w:val="bottom"/>
          </w:tcPr>
          <w:p>
            <w:pPr>
              <w:ind w:left="740"/>
              <w:spacing w:after="0"/>
              <w:rPr>
                <w:sz w:val="20"/>
                <w:szCs w:val="20"/>
                <w:color w:val="auto"/>
              </w:rPr>
            </w:pPr>
            <w:r>
              <w:rPr>
                <w:rFonts w:ascii="Arial" w:cs="Arial" w:eastAsia="Arial" w:hAnsi="Arial"/>
                <w:sz w:val="16"/>
                <w:szCs w:val="16"/>
                <w:color w:val="auto"/>
              </w:rPr>
              <w:t>Other assets and liabilites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04"/>
        </w:trPr>
        <w:tc>
          <w:tcPr>
            <w:tcW w:w="8480" w:type="dxa"/>
            <w:vAlign w:val="bottom"/>
          </w:tcPr>
          <w:p>
            <w:pPr>
              <w:ind w:left="80"/>
              <w:spacing w:after="0"/>
              <w:rPr>
                <w:sz w:val="20"/>
                <w:szCs w:val="20"/>
                <w:color w:val="auto"/>
              </w:rPr>
            </w:pPr>
            <w:r>
              <w:rPr>
                <w:rFonts w:ascii="Arial" w:cs="Arial" w:eastAsia="Arial" w:hAnsi="Arial"/>
                <w:sz w:val="16"/>
                <w:szCs w:val="16"/>
                <w:color w:val="auto"/>
              </w:rPr>
              <w:t>Net cash used in operatng actvites</w:t>
            </w:r>
          </w:p>
        </w:tc>
        <w:tc>
          <w:tcPr>
            <w:tcW w:w="2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33655</wp:posOffset>
            </wp:positionV>
            <wp:extent cx="1654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Cash fows from investng actvites:</w:t>
      </w:r>
    </w:p>
    <w:p>
      <w:pPr>
        <w:sectPr>
          <w:pgSz w:w="11900" w:h="16838" w:orient="portrait"/>
          <w:cols w:equalWidth="0" w:num="1">
            <w:col w:w="11100"/>
          </w:cols>
          <w:pgMar w:left="320" w:top="1296" w:right="479" w:bottom="1440" w:gutter="0" w:footer="0" w:header="0"/>
        </w:sectPr>
      </w:pPr>
    </w:p>
    <w:p>
      <w:pPr>
        <w:spacing w:after="0" w:line="100" w:lineRule="exact"/>
        <w:rPr>
          <w:sz w:val="20"/>
          <w:szCs w:val="20"/>
          <w:color w:val="auto"/>
        </w:rPr>
      </w:pPr>
    </w:p>
    <w:p>
      <w:pPr>
        <w:ind w:left="400" w:right="1900"/>
        <w:spacing w:after="0" w:line="334" w:lineRule="auto"/>
        <w:rPr>
          <w:sz w:val="20"/>
          <w:szCs w:val="20"/>
          <w:color w:val="auto"/>
        </w:rPr>
      </w:pPr>
      <w:r>
        <w:rPr>
          <w:rFonts w:ascii="Arial" w:cs="Arial" w:eastAsia="Arial" w:hAnsi="Arial"/>
          <w:sz w:val="16"/>
          <w:szCs w:val="16"/>
          <w:color w:val="auto"/>
        </w:rPr>
        <w:t>Capitalized internal-use sofware development costs and other capital expenditures Purchase of available-for-sale securites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Proceeds from the maturity of available-for-sale securites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Acquisiton of Bumped LLC</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cash provided by (used in) investng actvites: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Cash fows from fnancing actvites: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jc w:val="right"/>
              <w:ind w:right="519"/>
              <w:spacing w:after="0"/>
              <w:rPr>
                <w:sz w:val="20"/>
                <w:szCs w:val="20"/>
                <w:color w:val="auto"/>
              </w:rPr>
            </w:pPr>
            <w:r>
              <w:rPr>
                <w:rFonts w:ascii="Arial" w:cs="Arial" w:eastAsia="Arial" w:hAnsi="Arial"/>
                <w:sz w:val="16"/>
                <w:szCs w:val="16"/>
                <w:color w:val="auto"/>
              </w:rPr>
              <w:t>(3.7)</w:t>
            </w: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56"/>
        </w:trPr>
        <w:tc>
          <w:tcPr>
            <w:tcW w:w="1640" w:type="dxa"/>
            <w:vAlign w:val="bottom"/>
          </w:tcPr>
          <w:p>
            <w:pPr>
              <w:jc w:val="right"/>
              <w:ind w:right="519"/>
              <w:spacing w:after="0"/>
              <w:rPr>
                <w:sz w:val="20"/>
                <w:szCs w:val="20"/>
                <w:color w:val="auto"/>
              </w:rPr>
            </w:pPr>
            <w:r>
              <w:rPr>
                <w:rFonts w:ascii="Arial" w:cs="Arial" w:eastAsia="Arial" w:hAnsi="Arial"/>
                <w:sz w:val="16"/>
                <w:szCs w:val="16"/>
                <w:color w:val="auto"/>
              </w:rPr>
              <w:t>(27.0)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1640" w:type="dxa"/>
            <w:vAlign w:val="bottom"/>
          </w:tcPr>
          <w:p>
            <w:pPr>
              <w:jc w:val="right"/>
              <w:ind w:right="519"/>
              <w:spacing w:after="0"/>
              <w:rPr>
                <w:sz w:val="20"/>
                <w:szCs w:val="20"/>
                <w:color w:val="auto"/>
              </w:rPr>
            </w:pPr>
            <w:r>
              <w:rPr>
                <w:rFonts w:ascii="Arial" w:cs="Arial" w:eastAsia="Arial" w:hAnsi="Arial"/>
                <w:sz w:val="16"/>
                <w:szCs w:val="16"/>
                <w:color w:val="auto"/>
              </w:rPr>
              <w:t>101.0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640" w:type="dxa"/>
            <w:vAlign w:val="bottom"/>
          </w:tcPr>
          <w:p>
            <w:pPr>
              <w:jc w:val="right"/>
              <w:ind w:right="519"/>
              <w:spacing w:after="0"/>
              <w:rPr>
                <w:sz w:val="20"/>
                <w:szCs w:val="20"/>
                <w:color w:val="auto"/>
              </w:rPr>
            </w:pPr>
            <w:r>
              <w:rPr>
                <w:rFonts w:ascii="Arial" w:cs="Arial" w:eastAsia="Arial" w:hAnsi="Arial"/>
                <w:sz w:val="16"/>
                <w:szCs w:val="16"/>
                <w:color w:val="auto"/>
              </w:rPr>
              <w:t>(0.6)</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5"/>
        </w:trPr>
        <w:tc>
          <w:tcPr>
            <w:tcW w:w="1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97"/>
        </w:trPr>
        <w:tc>
          <w:tcPr>
            <w:tcW w:w="1640" w:type="dxa"/>
            <w:vAlign w:val="bottom"/>
          </w:tcPr>
          <w:p>
            <w:pPr>
              <w:jc w:val="right"/>
              <w:ind w:right="519"/>
              <w:spacing w:after="0"/>
              <w:rPr>
                <w:sz w:val="20"/>
                <w:szCs w:val="20"/>
                <w:color w:val="auto"/>
              </w:rPr>
            </w:pPr>
            <w:r>
              <w:rPr>
                <w:rFonts w:ascii="Arial" w:cs="Arial" w:eastAsia="Arial" w:hAnsi="Arial"/>
                <w:sz w:val="16"/>
                <w:szCs w:val="16"/>
                <w:color w:val="auto"/>
              </w:rPr>
              <w:t>69.7</w:t>
            </w:r>
          </w:p>
        </w:tc>
        <w:tc>
          <w:tcPr>
            <w:tcW w:w="9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53"/>
        </w:trPr>
        <w:tc>
          <w:tcPr>
            <w:tcW w:w="16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pacing w:after="0" w:line="241" w:lineRule="exact"/>
        <w:rPr>
          <w:sz w:val="20"/>
          <w:szCs w:val="20"/>
          <w:color w:val="auto"/>
        </w:rPr>
      </w:pPr>
    </w:p>
    <w:p>
      <w:pPr>
        <w:sectPr>
          <w:pgSz w:w="11900" w:h="16838" w:orient="portrait"/>
          <w:cols w:equalWidth="0" w:num="2">
            <w:col w:w="7780" w:space="720"/>
            <w:col w:w="2600"/>
          </w:cols>
          <w:pgMar w:left="320" w:top="1296" w:right="479" w:bottom="1440" w:gutter="0" w:footer="0" w:header="0"/>
          <w:type w:val="continuous"/>
        </w:sectPr>
      </w:pPr>
    </w:p>
    <w:tbl>
      <w:tblPr>
        <w:tblLayout w:type="fixed"/>
        <w:tblInd w:w="20" w:type="dxa"/>
        <w:tblCellMar>
          <w:top w:w="0" w:type="dxa"/>
          <w:left w:w="0" w:type="dxa"/>
          <w:bottom w:w="0" w:type="dxa"/>
          <w:right w:w="0" w:type="dxa"/>
        </w:tblCellMar>
      </w:tblPr>
      <w:tr>
        <w:trPr>
          <w:trHeight w:val="252"/>
        </w:trPr>
        <w:tc>
          <w:tcPr>
            <w:tcW w:w="8480" w:type="dxa"/>
            <w:vAlign w:val="bottom"/>
          </w:tcPr>
          <w:p>
            <w:pPr>
              <w:ind w:left="380"/>
              <w:spacing w:after="0"/>
              <w:rPr>
                <w:sz w:val="20"/>
                <w:szCs w:val="20"/>
                <w:color w:val="auto"/>
              </w:rPr>
            </w:pPr>
            <w:r>
              <w:rPr>
                <w:rFonts w:ascii="Arial" w:cs="Arial" w:eastAsia="Arial" w:hAnsi="Arial"/>
                <w:sz w:val="16"/>
                <w:szCs w:val="16"/>
                <w:color w:val="auto"/>
              </w:rPr>
              <w:t>Proceeds from the exercise of warrants</w:t>
            </w: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8480" w:type="dxa"/>
            <w:vAlign w:val="bottom"/>
          </w:tcPr>
          <w:p>
            <w:pPr>
              <w:ind w:left="60"/>
              <w:spacing w:after="0"/>
              <w:rPr>
                <w:sz w:val="20"/>
                <w:szCs w:val="20"/>
                <w:color w:val="auto"/>
              </w:rPr>
            </w:pPr>
            <w:r>
              <w:rPr>
                <w:rFonts w:ascii="Arial" w:cs="Arial" w:eastAsia="Arial" w:hAnsi="Arial"/>
                <w:sz w:val="16"/>
                <w:szCs w:val="16"/>
                <w:color w:val="auto"/>
              </w:rPr>
              <w:t>Net cash provided by fnancing actvites:</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53"/>
        </w:trPr>
        <w:tc>
          <w:tcPr>
            <w:tcW w:w="848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80" w:type="dxa"/>
            <w:vAlign w:val="bottom"/>
          </w:tcPr>
          <w:p>
            <w:pPr>
              <w:ind w:left="380"/>
              <w:spacing w:after="0"/>
              <w:rPr>
                <w:sz w:val="20"/>
                <w:szCs w:val="20"/>
                <w:color w:val="auto"/>
              </w:rPr>
            </w:pPr>
            <w:r>
              <w:rPr>
                <w:rFonts w:ascii="Arial" w:cs="Arial" w:eastAsia="Arial" w:hAnsi="Arial"/>
                <w:sz w:val="16"/>
                <w:szCs w:val="16"/>
                <w:color w:val="auto"/>
              </w:rPr>
              <w:t>Efect of exchange rate changes</w:t>
            </w:r>
          </w:p>
        </w:tc>
        <w:tc>
          <w:tcPr>
            <w:tcW w:w="15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5"/>
        </w:trPr>
        <w:tc>
          <w:tcPr>
            <w:tcW w:w="8480" w:type="dxa"/>
            <w:vAlign w:val="bottom"/>
          </w:tcPr>
          <w:p>
            <w:pPr>
              <w:ind w:left="60"/>
              <w:spacing w:after="0"/>
              <w:rPr>
                <w:sz w:val="20"/>
                <w:szCs w:val="20"/>
                <w:color w:val="auto"/>
              </w:rPr>
            </w:pPr>
            <w:r>
              <w:rPr>
                <w:rFonts w:ascii="Arial" w:cs="Arial" w:eastAsia="Arial" w:hAnsi="Arial"/>
                <w:sz w:val="16"/>
                <w:szCs w:val="16"/>
                <w:b w:val="1"/>
                <w:bCs w:val="1"/>
                <w:color w:val="auto"/>
              </w:rPr>
              <w:t>Net increase (decrease) in cash, cash equivalents, restricted cash, cash held in escrow, and customer funds</w:t>
            </w:r>
          </w:p>
        </w:tc>
        <w:tc>
          <w:tcPr>
            <w:tcW w:w="1540" w:type="dxa"/>
            <w:vAlign w:val="bottom"/>
          </w:tcPr>
          <w:p>
            <w:pPr>
              <w:jc w:val="right"/>
              <w:ind w:right="419"/>
              <w:spacing w:after="0"/>
              <w:rPr>
                <w:sz w:val="20"/>
                <w:szCs w:val="20"/>
                <w:color w:val="auto"/>
              </w:rPr>
            </w:pPr>
            <w:r>
              <w:rPr>
                <w:rFonts w:ascii="Arial" w:cs="Arial" w:eastAsia="Arial" w:hAnsi="Arial"/>
                <w:sz w:val="16"/>
                <w:szCs w:val="16"/>
                <w:b w:val="1"/>
                <w:bCs w:val="1"/>
                <w:color w:val="auto"/>
              </w:rPr>
              <w:t>$22.5</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0" w:type="dxa"/>
            <w:vAlign w:val="bottom"/>
          </w:tcPr>
          <w:p>
            <w:pPr>
              <w:spacing w:after="0"/>
              <w:rPr>
                <w:sz w:val="1"/>
                <w:szCs w:val="1"/>
                <w:color w:val="auto"/>
              </w:rPr>
            </w:pPr>
          </w:p>
        </w:tc>
      </w:tr>
      <w:tr>
        <w:trPr>
          <w:trHeight w:val="253"/>
        </w:trPr>
        <w:tc>
          <w:tcPr>
            <w:tcW w:w="8480" w:type="dxa"/>
            <w:vAlign w:val="bottom"/>
          </w:tcPr>
          <w:p>
            <w:pPr>
              <w:ind w:left="60"/>
              <w:spacing w:after="0"/>
              <w:rPr>
                <w:sz w:val="20"/>
                <w:szCs w:val="20"/>
                <w:color w:val="auto"/>
              </w:rPr>
            </w:pPr>
            <w:r>
              <w:rPr>
                <w:rFonts w:ascii="Arial" w:cs="Arial" w:eastAsia="Arial" w:hAnsi="Arial"/>
                <w:sz w:val="16"/>
                <w:szCs w:val="16"/>
                <w:color w:val="auto"/>
              </w:rPr>
              <w:t>Cash, cash equivalents, restricted cash, cash held in escrow, and customer funds at the beginning of the period</w:t>
            </w:r>
          </w:p>
        </w:tc>
        <w:tc>
          <w:tcPr>
            <w:tcW w:w="1540" w:type="dxa"/>
            <w:vAlign w:val="bottom"/>
          </w:tcPr>
          <w:p>
            <w:pPr>
              <w:jc w:val="right"/>
              <w:ind w:right="419"/>
              <w:spacing w:after="0"/>
              <w:rPr>
                <w:sz w:val="20"/>
                <w:szCs w:val="20"/>
                <w:color w:val="auto"/>
              </w:rPr>
            </w:pPr>
            <w:r>
              <w:rPr>
                <w:rFonts w:ascii="Arial" w:cs="Arial" w:eastAsia="Arial" w:hAnsi="Arial"/>
                <w:sz w:val="16"/>
                <w:szCs w:val="16"/>
                <w:color w:val="auto"/>
              </w:rPr>
              <w:t>$115.4</w:t>
            </w:r>
          </w:p>
        </w:tc>
        <w:tc>
          <w:tcPr>
            <w:tcW w:w="1060" w:type="dxa"/>
            <w:vAlign w:val="bottom"/>
          </w:tcPr>
          <w:p>
            <w:pPr>
              <w:jc w:val="right"/>
              <w:spacing w:after="0"/>
              <w:rPr>
                <w:sz w:val="20"/>
                <w:szCs w:val="20"/>
                <w:color w:val="auto"/>
              </w:rPr>
            </w:pPr>
            <w:r>
              <w:rPr>
                <w:rFonts w:ascii="Arial" w:cs="Arial" w:eastAsia="Arial" w:hAnsi="Arial"/>
                <w:sz w:val="16"/>
                <w:szCs w:val="16"/>
                <w:color w:val="auto"/>
              </w:rPr>
              <w:t>$408.4</w:t>
            </w:r>
          </w:p>
        </w:tc>
        <w:tc>
          <w:tcPr>
            <w:tcW w:w="0" w:type="dxa"/>
            <w:vAlign w:val="bottom"/>
          </w:tcPr>
          <w:p>
            <w:pPr>
              <w:spacing w:after="0"/>
              <w:rPr>
                <w:sz w:val="1"/>
                <w:szCs w:val="1"/>
                <w:color w:val="auto"/>
              </w:rPr>
            </w:pPr>
          </w:p>
        </w:tc>
      </w:tr>
      <w:tr>
        <w:trPr>
          <w:trHeight w:val="55"/>
        </w:trPr>
        <w:tc>
          <w:tcPr>
            <w:tcW w:w="84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Cash, cash equivalents, restricted cash, cash held in escrow, and customer funds at the end of the period</w:t>
            </w:r>
          </w:p>
        </w:tc>
        <w:tc>
          <w:tcPr>
            <w:tcW w:w="15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8480" w:type="dxa"/>
            <w:vAlign w:val="bottom"/>
            <w:vMerge w:val="continue"/>
          </w:tcPr>
          <w:p>
            <w:pPr>
              <w:spacing w:after="0"/>
              <w:rPr>
                <w:sz w:val="17"/>
                <w:szCs w:val="17"/>
                <w:color w:val="auto"/>
              </w:rPr>
            </w:pPr>
          </w:p>
        </w:tc>
        <w:tc>
          <w:tcPr>
            <w:tcW w:w="1540" w:type="dxa"/>
            <w:vAlign w:val="bottom"/>
          </w:tcPr>
          <w:p>
            <w:pPr>
              <w:jc w:val="right"/>
              <w:ind w:right="419"/>
              <w:spacing w:after="0"/>
              <w:rPr>
                <w:sz w:val="20"/>
                <w:szCs w:val="20"/>
                <w:color w:val="auto"/>
              </w:rPr>
            </w:pPr>
            <w:r>
              <w:rPr>
                <w:rFonts w:ascii="Arial" w:cs="Arial" w:eastAsia="Arial" w:hAnsi="Arial"/>
                <w:sz w:val="16"/>
                <w:szCs w:val="16"/>
                <w:b w:val="1"/>
                <w:bCs w:val="1"/>
                <w:color w:val="auto"/>
              </w:rPr>
              <w:t>$137.9</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$372.3</w:t>
            </w:r>
          </w:p>
        </w:tc>
        <w:tc>
          <w:tcPr>
            <w:tcW w:w="0" w:type="dxa"/>
            <w:vAlign w:val="bottom"/>
          </w:tcPr>
          <w:p>
            <w:pPr>
              <w:spacing w:after="0"/>
              <w:rPr>
                <w:sz w:val="1"/>
                <w:szCs w:val="1"/>
                <w:color w:val="auto"/>
              </w:rPr>
            </w:pPr>
          </w:p>
        </w:tc>
      </w:tr>
      <w:tr>
        <w:trPr>
          <w:trHeight w:val="51"/>
        </w:trPr>
        <w:tc>
          <w:tcPr>
            <w:tcW w:w="84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8</w:t>
      </w:r>
    </w:p>
    <w:sectPr>
      <w:pgSz w:w="11900" w:h="16838" w:orient="portrait"/>
      <w:cols w:equalWidth="0" w:num="1">
        <w:col w:w="11100"/>
      </w:cols>
      <w:pgMar w:left="320" w:top="129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2023-05-11T06:41:36Z</dcterms:created>
  <dcterms:modified xsi:type="dcterms:W3CDTF">2023-05-11T06:41:36Z</dcterms:modified>
</cp:coreProperties>
</file>