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SCHEDULE 13D</w:t>
      </w:r>
    </w:p>
    <w:p>
      <w:pPr>
        <w:spacing w:after="0" w:line="223"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6"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(Amendment No. 4)</w:t>
      </w:r>
    </w:p>
    <w:p>
      <w:pPr>
        <w:spacing w:after="0" w:line="206"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178"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Class A Common Stock</w:t>
      </w:r>
    </w:p>
    <w:p>
      <w:pPr>
        <w:spacing w:after="0" w:line="3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0"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05759B107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178"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Andrew J. Surdykowski</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Intercontinental Exchange, Inc.</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color w:val="auto"/>
        </w:rPr>
        <w:t>5660 New Northside Drive</w:t>
      </w:r>
    </w:p>
    <w:p>
      <w:pPr>
        <w:jc w:val="center"/>
        <w:ind w:right="-59"/>
        <w:spacing w:after="0" w:line="231" w:lineRule="auto"/>
        <w:rPr>
          <w:sz w:val="20"/>
          <w:szCs w:val="20"/>
          <w:color w:val="auto"/>
        </w:rPr>
      </w:pPr>
      <w:r>
        <w:rPr>
          <w:rFonts w:ascii="Times New Roman" w:cs="Times New Roman" w:eastAsia="Times New Roman" w:hAnsi="Times New Roman"/>
          <w:sz w:val="22"/>
          <w:szCs w:val="22"/>
          <w:b w:val="1"/>
          <w:bCs w:val="1"/>
          <w:color w:val="auto"/>
        </w:rPr>
        <w:t>Atlanta, GA 30328</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770-857-4700</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With a Copy to:</w:t>
      </w:r>
    </w:p>
    <w:p>
      <w:pPr>
        <w:spacing w:after="0" w:line="20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Rory B. O’Halloran</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Cody Wright</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color w:val="auto"/>
        </w:rPr>
        <w:t>Shearman &amp; Sterling LLP</w:t>
      </w:r>
    </w:p>
    <w:p>
      <w:pPr>
        <w:jc w:val="center"/>
        <w:ind w:right="-59"/>
        <w:spacing w:after="0" w:line="231" w:lineRule="auto"/>
        <w:rPr>
          <w:sz w:val="20"/>
          <w:szCs w:val="20"/>
          <w:color w:val="auto"/>
        </w:rPr>
      </w:pPr>
      <w:r>
        <w:rPr>
          <w:rFonts w:ascii="Times New Roman" w:cs="Times New Roman" w:eastAsia="Times New Roman" w:hAnsi="Times New Roman"/>
          <w:sz w:val="22"/>
          <w:szCs w:val="22"/>
          <w:b w:val="1"/>
          <w:bCs w:val="1"/>
          <w:color w:val="auto"/>
        </w:rPr>
        <w:t>599 Lexington Avenue</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color w:val="auto"/>
        </w:rPr>
        <w:t>New York, NY 10022-6069</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212-848-4000</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(Name, Address and Telephone Number of Person Authorized</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to Receive Notices and Communications)</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April 25,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182"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Wingdings" w:cs="Wingdings" w:eastAsia="Wingdings" w:hAnsi="Wingdings"/>
          <w:sz w:val="21"/>
          <w:szCs w:val="21"/>
          <w:b w:val="1"/>
          <w:bCs w:val="1"/>
          <w:color w:val="auto"/>
        </w:rPr>
        <w:t>o</w:t>
      </w:r>
      <w:r>
        <w:rPr>
          <w:rFonts w:ascii="Times New Roman" w:cs="Times New Roman" w:eastAsia="Times New Roman" w:hAnsi="Times New Roman"/>
          <w:sz w:val="21"/>
          <w:szCs w:val="21"/>
          <w:color w:val="auto"/>
        </w:rPr>
        <w:t>.</w:t>
      </w:r>
    </w:p>
    <w:p>
      <w:pPr>
        <w:spacing w:after="0" w:line="131" w:lineRule="exact"/>
        <w:rPr>
          <w:sz w:val="24"/>
          <w:szCs w:val="24"/>
          <w:color w:val="auto"/>
        </w:rPr>
      </w:pPr>
    </w:p>
    <w:p>
      <w:pPr>
        <w:ind w:right="220"/>
        <w:spacing w:after="0" w:line="262" w:lineRule="auto"/>
        <w:rPr>
          <w:sz w:val="20"/>
          <w:szCs w:val="20"/>
          <w:color w:val="auto"/>
        </w:rPr>
      </w:pPr>
      <w:r>
        <w:rPr>
          <w:rFonts w:ascii="Times New Roman" w:cs="Times New Roman" w:eastAsia="Times New Roman" w:hAnsi="Times New Roman"/>
          <w:sz w:val="22"/>
          <w:szCs w:val="22"/>
          <w:b w:val="1"/>
          <w:bCs w:val="1"/>
          <w:color w:val="auto"/>
        </w:rPr>
        <w:t>Note</w:t>
      </w:r>
      <w:r>
        <w:rPr>
          <w:rFonts w:ascii="Times New Roman" w:cs="Times New Roman" w:eastAsia="Times New Roman" w:hAnsi="Times New Roman"/>
          <w:sz w:val="22"/>
          <w:szCs w:val="22"/>
          <w:color w:val="auto"/>
        </w:rPr>
        <w:t>: Schedules filed in paper format shall include a signed original and five copies of the schedule, including all exhibits. See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Rule 13d-7 for other parties to whom copies are to be sent.</w:t>
      </w:r>
    </w:p>
    <w:p>
      <w:pPr>
        <w:spacing w:after="0" w:line="154" w:lineRule="exact"/>
        <w:rPr>
          <w:sz w:val="24"/>
          <w:szCs w:val="24"/>
          <w:color w:val="auto"/>
        </w:rPr>
      </w:pPr>
    </w:p>
    <w:p>
      <w:pPr>
        <w:ind w:right="40" w:firstLine="8"/>
        <w:spacing w:after="0" w:line="244" w:lineRule="auto"/>
        <w:tabs>
          <w:tab w:leader="none" w:pos="16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3" w:lineRule="exact"/>
        <w:rPr>
          <w:sz w:val="24"/>
          <w:szCs w:val="24"/>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7" w:right="37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SCHEDULE 13D</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CUSIP No. 05759B107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0" w:lineRule="exact"/>
        <w:rPr>
          <w:sz w:val="20"/>
          <w:szCs w:val="20"/>
          <w:color w:val="auto"/>
        </w:rPr>
      </w:pPr>
    </w:p>
    <w:p>
      <w:pPr>
        <w:ind w:left="1140" w:right="6700" w:hanging="691"/>
        <w:spacing w:after="0" w:line="198" w:lineRule="auto"/>
        <w:tabs>
          <w:tab w:leader="none" w:pos="1140" w:val="left"/>
        </w:tabs>
        <w:numPr>
          <w:ilvl w:val="0"/>
          <w:numId w:val="2"/>
        </w:numPr>
        <w:rPr>
          <w:rFonts w:ascii="Times New Roman" w:cs="Times New Roman" w:eastAsia="Times New Roman" w:hAnsi="Times New Roman"/>
          <w:sz w:val="57"/>
          <w:szCs w:val="57"/>
          <w:color w:val="auto"/>
          <w:vertAlign w:val="subscript"/>
        </w:rPr>
      </w:pPr>
      <w:r>
        <w:rPr>
          <w:rFonts w:ascii="Times New Roman" w:cs="Times New Roman" w:eastAsia="Times New Roman" w:hAnsi="Times New Roman"/>
          <w:sz w:val="21"/>
          <w:szCs w:val="21"/>
          <w:b w:val="1"/>
          <w:bCs w:val="1"/>
          <w:color w:val="auto"/>
        </w:rPr>
        <w:t xml:space="preserve">NAME OF REPORTING PERSONS </w:t>
      </w:r>
      <w:r>
        <w:rPr>
          <w:rFonts w:ascii="Times New Roman" w:cs="Times New Roman" w:eastAsia="Times New Roman" w:hAnsi="Times New Roman"/>
          <w:sz w:val="21"/>
          <w:szCs w:val="21"/>
          <w:color w:val="auto"/>
        </w:rPr>
        <w:t>Intercontinental Exchange,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6737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737985"/>
                    </a:xfrm>
                    <a:prstGeom prst="rect">
                      <a:avLst/>
                    </a:prstGeom>
                    <a:noFill/>
                  </pic:spPr>
                </pic:pic>
              </a:graphicData>
            </a:graphic>
          </wp:anchor>
        </w:drawing>
      </w:r>
    </w:p>
    <w:p>
      <w:pPr>
        <w:ind w:left="1140"/>
        <w:spacing w:after="0" w:line="238" w:lineRule="auto"/>
        <w:rPr>
          <w:sz w:val="20"/>
          <w:szCs w:val="20"/>
          <w:color w:val="auto"/>
        </w:rPr>
      </w:pPr>
      <w:r>
        <w:rPr>
          <w:rFonts w:ascii="Times New Roman" w:cs="Times New Roman" w:eastAsia="Times New Roman" w:hAnsi="Times New Roman"/>
          <w:sz w:val="22"/>
          <w:szCs w:val="22"/>
          <w:b w:val="1"/>
          <w:bCs w:val="1"/>
          <w:color w:val="auto"/>
        </w:rPr>
        <w:t>CHECK THE APPROPRIATE BOX IF A MEMBER OF A GROUP</w:t>
      </w:r>
    </w:p>
    <w:p>
      <w:pPr>
        <w:ind w:left="1140" w:hanging="691"/>
        <w:spacing w:after="0" w:line="187" w:lineRule="auto"/>
        <w:tabs>
          <w:tab w:leader="none" w:pos="1140" w:val="left"/>
        </w:tabs>
        <w:numPr>
          <w:ilvl w:val="0"/>
          <w:numId w:val="3"/>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3"/>
          <w:szCs w:val="13"/>
          <w:b w:val="1"/>
          <w:bCs w:val="1"/>
          <w:color w:val="auto"/>
        </w:rPr>
        <w:t>(See Instructions)</w:t>
      </w:r>
    </w:p>
    <w:p>
      <w:pPr>
        <w:spacing w:after="0" w:line="196" w:lineRule="exact"/>
        <w:rPr>
          <w:rFonts w:ascii="Times New Roman" w:cs="Times New Roman" w:eastAsia="Times New Roman" w:hAnsi="Times New Roman"/>
          <w:sz w:val="24"/>
          <w:szCs w:val="24"/>
          <w:color w:val="auto"/>
          <w:vertAlign w:val="subscript"/>
        </w:rPr>
      </w:pPr>
    </w:p>
    <w:p>
      <w:pPr>
        <w:ind w:left="1420" w:hanging="289"/>
        <w:spacing w:after="0"/>
        <w:tabs>
          <w:tab w:leader="none" w:pos="1420" w:val="left"/>
        </w:tabs>
        <w:numPr>
          <w:ilvl w:val="1"/>
          <w:numId w:val="3"/>
        </w:numPr>
        <w:rPr>
          <w:rFonts w:ascii="Times New Roman" w:cs="Times New Roman" w:eastAsia="Times New Roman" w:hAnsi="Times New Roman"/>
          <w:sz w:val="22"/>
          <w:szCs w:val="22"/>
          <w:color w:val="auto"/>
        </w:rPr>
      </w:pPr>
      <w:r>
        <w:rPr>
          <w:rFonts w:ascii="Wingdings" w:cs="Wingdings" w:eastAsia="Wingdings" w:hAnsi="Wingdings"/>
          <w:sz w:val="22"/>
          <w:szCs w:val="22"/>
          <w:b w:val="1"/>
          <w:bCs w:val="1"/>
          <w:color w:val="auto"/>
        </w:rPr>
        <w:t>o</w:t>
      </w:r>
    </w:p>
    <w:p>
      <w:pPr>
        <w:spacing w:after="0" w:line="20" w:lineRule="exact"/>
        <w:rPr>
          <w:rFonts w:ascii="Times New Roman" w:cs="Times New Roman" w:eastAsia="Times New Roman" w:hAnsi="Times New Roman"/>
          <w:sz w:val="22"/>
          <w:szCs w:val="22"/>
          <w:color w:val="auto"/>
        </w:rPr>
      </w:pPr>
    </w:p>
    <w:p>
      <w:pPr>
        <w:ind w:left="1440" w:hanging="309"/>
        <w:spacing w:after="0" w:line="253" w:lineRule="exact"/>
        <w:tabs>
          <w:tab w:leader="none" w:pos="1440" w:val="left"/>
        </w:tabs>
        <w:numPr>
          <w:ilvl w:val="1"/>
          <w:numId w:val="3"/>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p>
    <w:p>
      <w:pPr>
        <w:ind w:left="1140" w:hanging="691"/>
        <w:spacing w:after="0" w:line="182" w:lineRule="auto"/>
        <w:tabs>
          <w:tab w:leader="none" w:pos="1140" w:val="left"/>
        </w:tabs>
        <w:numPr>
          <w:ilvl w:val="0"/>
          <w:numId w:val="4"/>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6"/>
          <w:szCs w:val="16"/>
          <w:b w:val="1"/>
          <w:bCs w:val="1"/>
          <w:color w:val="auto"/>
        </w:rPr>
        <w:t>SEC USE ONLY</w:t>
      </w:r>
    </w:p>
    <w:p>
      <w:pPr>
        <w:ind w:left="1140" w:hanging="691"/>
        <w:spacing w:after="0" w:line="204" w:lineRule="auto"/>
        <w:tabs>
          <w:tab w:leader="none" w:pos="1140" w:val="left"/>
        </w:tabs>
        <w:numPr>
          <w:ilvl w:val="0"/>
          <w:numId w:val="5"/>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22"/>
          <w:szCs w:val="22"/>
          <w:b w:val="1"/>
          <w:bCs w:val="1"/>
          <w:color w:val="auto"/>
        </w:rPr>
        <w:t xml:space="preserve">SOURCE OF FUNDS </w:t>
      </w:r>
      <w:r>
        <w:rPr>
          <w:rFonts w:ascii="Times New Roman" w:cs="Times New Roman" w:eastAsia="Times New Roman" w:hAnsi="Times New Roman"/>
          <w:sz w:val="17"/>
          <w:szCs w:val="17"/>
          <w:b w:val="1"/>
          <w:bCs w:val="1"/>
          <w:color w:val="auto"/>
        </w:rPr>
        <w:t>(See Instructions)</w:t>
      </w:r>
    </w:p>
    <w:p>
      <w:pPr>
        <w:spacing w:after="0" w:line="17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WC; OO</w:t>
      </w:r>
    </w:p>
    <w:p>
      <w:pPr>
        <w:spacing w:after="0" w:line="28" w:lineRule="exact"/>
        <w:rPr>
          <w:sz w:val="20"/>
          <w:szCs w:val="20"/>
          <w:color w:val="auto"/>
        </w:rPr>
      </w:pPr>
    </w:p>
    <w:p>
      <w:pPr>
        <w:ind w:left="1040" w:right="540" w:hanging="591"/>
        <w:spacing w:after="0"/>
        <w:tabs>
          <w:tab w:leader="none" w:pos="1040" w:val="left"/>
        </w:tabs>
        <w:numPr>
          <w:ilvl w:val="0"/>
          <w:numId w:val="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18"/>
          <w:szCs w:val="18"/>
          <w:b w:val="1"/>
          <w:bCs w:val="1"/>
          <w:color w:val="auto"/>
        </w:rPr>
        <w:t xml:space="preserve">CHECK BOX IF DISCLOSURE OF LEGAL PROCEEDINGS IS REQUIRED PURSUANT TO ITEMS 2(d) or 2(e) </w:t>
      </w:r>
      <w:r>
        <w:rPr>
          <w:rFonts w:ascii="Wingdings" w:cs="Wingdings" w:eastAsia="Wingdings" w:hAnsi="Wingdings"/>
          <w:sz w:val="18"/>
          <w:szCs w:val="18"/>
          <w:b w:val="1"/>
          <w:bCs w:val="1"/>
          <w:color w:val="auto"/>
        </w:rPr>
        <w:t>o</w:t>
      </w:r>
    </w:p>
    <w:p>
      <w:pPr>
        <w:spacing w:after="0" w:line="205" w:lineRule="exact"/>
        <w:rPr>
          <w:sz w:val="20"/>
          <w:szCs w:val="20"/>
          <w:color w:val="auto"/>
        </w:rPr>
      </w:pPr>
    </w:p>
    <w:p>
      <w:pPr>
        <w:ind w:left="1140" w:right="5400" w:hanging="691"/>
        <w:spacing w:after="0" w:line="191" w:lineRule="auto"/>
        <w:tabs>
          <w:tab w:leader="none" w:pos="1140" w:val="left"/>
        </w:tabs>
        <w:numPr>
          <w:ilvl w:val="0"/>
          <w:numId w:val="7"/>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22"/>
          <w:szCs w:val="22"/>
          <w:b w:val="1"/>
          <w:bCs w:val="1"/>
          <w:color w:val="auto"/>
        </w:rPr>
        <w:t xml:space="preserve">CITIZENSHIP OR PLACE OF ORGANIZATION </w:t>
      </w:r>
      <w:r>
        <w:rPr>
          <w:rFonts w:ascii="Times New Roman" w:cs="Times New Roman" w:eastAsia="Times New Roman" w:hAnsi="Times New Roman"/>
          <w:sz w:val="22"/>
          <w:szCs w:val="22"/>
          <w:color w:val="auto"/>
        </w:rPr>
        <w:t>Delaware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700" w:type="dxa"/>
            <w:vAlign w:val="bottom"/>
            <w:tcBorders>
              <w:top w:val="single" w:sz="8" w:color="auto"/>
            </w:tcBorders>
          </w:tcPr>
          <w:p>
            <w:pPr>
              <w:spacing w:after="0"/>
              <w:rPr>
                <w:sz w:val="24"/>
                <w:szCs w:val="24"/>
                <w:color w:val="auto"/>
              </w:rPr>
            </w:pPr>
          </w:p>
        </w:tc>
        <w:tc>
          <w:tcPr>
            <w:tcW w:w="294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rPr>
              <w:t>7</w:t>
            </w:r>
          </w:p>
        </w:tc>
        <w:tc>
          <w:tcPr>
            <w:tcW w:w="64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SOLE VOTING POWER</w:t>
            </w: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294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6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70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77"/>
        </w:trPr>
        <w:tc>
          <w:tcPr>
            <w:tcW w:w="70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rPr>
              <w:t>8</w:t>
            </w:r>
          </w:p>
        </w:tc>
        <w:tc>
          <w:tcPr>
            <w:tcW w:w="648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SHARED VOTING POWER</w:t>
            </w: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2940" w:type="dxa"/>
            <w:vAlign w:val="bottom"/>
            <w:tcBorders>
              <w:right w:val="single" w:sz="8" w:color="auto"/>
            </w:tcBorders>
            <w:vMerge w:val="restart"/>
          </w:tcPr>
          <w:p>
            <w:pPr>
              <w:jc w:val="center"/>
              <w:ind w:right="612"/>
              <w:spacing w:after="0" w:line="243" w:lineRule="exact"/>
              <w:rPr>
                <w:sz w:val="20"/>
                <w:szCs w:val="20"/>
                <w:color w:val="auto"/>
              </w:rPr>
            </w:pPr>
            <w:r>
              <w:rPr>
                <w:rFonts w:ascii="Times New Roman" w:cs="Times New Roman" w:eastAsia="Times New Roman" w:hAnsi="Times New Roman"/>
                <w:sz w:val="22"/>
                <w:szCs w:val="22"/>
                <w:color w:val="auto"/>
                <w:w w:val="98"/>
              </w:rPr>
              <w:t>NUMBER OF SHARES</w:t>
            </w:r>
          </w:p>
        </w:tc>
        <w:tc>
          <w:tcPr>
            <w:tcW w:w="1120" w:type="dxa"/>
            <w:vAlign w:val="bottom"/>
            <w:tcBorders>
              <w:right w:val="single" w:sz="8" w:color="auto"/>
            </w:tcBorders>
            <w:vMerge w:val="continue"/>
          </w:tcPr>
          <w:p>
            <w:pPr>
              <w:spacing w:after="0"/>
              <w:rPr>
                <w:sz w:val="14"/>
                <w:szCs w:val="14"/>
                <w:color w:val="auto"/>
              </w:rPr>
            </w:pPr>
          </w:p>
        </w:tc>
        <w:tc>
          <w:tcPr>
            <w:tcW w:w="6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 xml:space="preserve">7,453,112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43"/>
                <w:szCs w:val="43"/>
                <w:color w:val="auto"/>
                <w:vertAlign w:val="superscript"/>
              </w:rPr>
              <w:t>1</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74"/>
        </w:trPr>
        <w:tc>
          <w:tcPr>
            <w:tcW w:w="700" w:type="dxa"/>
            <w:vAlign w:val="bottom"/>
          </w:tcPr>
          <w:p>
            <w:pPr>
              <w:spacing w:after="0"/>
              <w:rPr>
                <w:sz w:val="6"/>
                <w:szCs w:val="6"/>
                <w:color w:val="auto"/>
              </w:rPr>
            </w:pPr>
          </w:p>
        </w:tc>
        <w:tc>
          <w:tcPr>
            <w:tcW w:w="294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6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36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BENEFICIALLY OWNED BY EACH</w:t>
            </w:r>
          </w:p>
        </w:tc>
        <w:tc>
          <w:tcPr>
            <w:tcW w:w="1120" w:type="dxa"/>
            <w:vAlign w:val="bottom"/>
            <w:tcBorders>
              <w:bottom w:val="single" w:sz="8" w:color="auto"/>
              <w:right w:val="single" w:sz="8" w:color="auto"/>
            </w:tcBorders>
          </w:tcPr>
          <w:p>
            <w:pPr>
              <w:spacing w:after="0"/>
              <w:rPr>
                <w:sz w:val="22"/>
                <w:szCs w:val="22"/>
                <w:color w:val="auto"/>
              </w:rPr>
            </w:pPr>
          </w:p>
        </w:tc>
        <w:tc>
          <w:tcPr>
            <w:tcW w:w="64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6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REPORTING PERSON WITH</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rPr>
              <w:t>9</w:t>
            </w:r>
          </w:p>
        </w:tc>
        <w:tc>
          <w:tcPr>
            <w:tcW w:w="648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SOLE DISPOSITIVE POWER</w:t>
            </w: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294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6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70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0"/>
        </w:trPr>
        <w:tc>
          <w:tcPr>
            <w:tcW w:w="70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w w:val="96"/>
              </w:rPr>
              <w:t>10</w:t>
            </w:r>
          </w:p>
        </w:tc>
        <w:tc>
          <w:tcPr>
            <w:tcW w:w="648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SHARED DISPOSITIVE POWER</w:t>
            </w: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29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vMerge w:val="continue"/>
          </w:tcPr>
          <w:p>
            <w:pPr>
              <w:spacing w:after="0"/>
              <w:rPr>
                <w:sz w:val="14"/>
                <w:szCs w:val="14"/>
                <w:color w:val="auto"/>
              </w:rPr>
            </w:pPr>
          </w:p>
        </w:tc>
        <w:tc>
          <w:tcPr>
            <w:tcW w:w="6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 xml:space="preserve">7,453,112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43"/>
                <w:szCs w:val="43"/>
                <w:color w:val="auto"/>
                <w:vertAlign w:val="superscript"/>
              </w:rPr>
              <w:t>2</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330"/>
        </w:trPr>
        <w:tc>
          <w:tcPr>
            <w:tcW w:w="700" w:type="dxa"/>
            <w:vAlign w:val="bottom"/>
            <w:tcBorders>
              <w:bottom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9"/>
                <w:szCs w:val="29"/>
                <w:color w:val="auto"/>
              </w:rPr>
              <w:t>11</w:t>
            </w:r>
          </w:p>
        </w:tc>
        <w:tc>
          <w:tcPr>
            <w:tcW w:w="10540" w:type="dxa"/>
            <w:vAlign w:val="bottom"/>
            <w:gridSpan w:val="3"/>
          </w:tcPr>
          <w:p>
            <w:pPr>
              <w:ind w:left="440"/>
              <w:spacing w:after="0"/>
              <w:rPr>
                <w:sz w:val="20"/>
                <w:szCs w:val="20"/>
                <w:color w:val="auto"/>
              </w:rPr>
            </w:pPr>
            <w:r>
              <w:rPr>
                <w:rFonts w:ascii="Times New Roman" w:cs="Times New Roman" w:eastAsia="Times New Roman" w:hAnsi="Times New Roman"/>
                <w:sz w:val="22"/>
                <w:szCs w:val="22"/>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126"/>
        </w:trPr>
        <w:tc>
          <w:tcPr>
            <w:tcW w:w="700" w:type="dxa"/>
            <w:vAlign w:val="bottom"/>
            <w:vMerge w:val="continue"/>
          </w:tcPr>
          <w:p>
            <w:pPr>
              <w:spacing w:after="0"/>
              <w:rPr>
                <w:sz w:val="10"/>
                <w:szCs w:val="10"/>
                <w:color w:val="auto"/>
              </w:rPr>
            </w:pPr>
          </w:p>
        </w:tc>
        <w:tc>
          <w:tcPr>
            <w:tcW w:w="29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7,453,112</w:t>
      </w:r>
    </w:p>
    <w:p>
      <w:pPr>
        <w:spacing w:after="0" w:line="28" w:lineRule="exact"/>
        <w:rPr>
          <w:sz w:val="20"/>
          <w:szCs w:val="20"/>
          <w:color w:val="auto"/>
        </w:rPr>
      </w:pPr>
    </w:p>
    <w:p>
      <w:pPr>
        <w:ind w:left="1040" w:right="800" w:hanging="659"/>
        <w:spacing w:after="0" w:line="274" w:lineRule="exact"/>
        <w:tabs>
          <w:tab w:leader="none" w:pos="1020" w:val="left"/>
        </w:tabs>
        <w:rPr>
          <w:sz w:val="20"/>
          <w:szCs w:val="20"/>
          <w:color w:val="auto"/>
        </w:rPr>
      </w:pPr>
      <w:r>
        <w:rPr>
          <w:rFonts w:ascii="Times New Roman" w:cs="Times New Roman" w:eastAsia="Times New Roman" w:hAnsi="Times New Roman"/>
          <w:sz w:val="45"/>
          <w:szCs w:val="45"/>
          <w:color w:val="auto"/>
          <w:vertAlign w:val="subscript"/>
        </w:rPr>
        <w:t>12</w:t>
      </w:r>
      <w:r>
        <w:rPr>
          <w:sz w:val="20"/>
          <w:szCs w:val="20"/>
          <w:color w:val="auto"/>
        </w:rPr>
        <w:tab/>
      </w:r>
      <w:r>
        <w:rPr>
          <w:rFonts w:ascii="Times New Roman" w:cs="Times New Roman" w:eastAsia="Times New Roman" w:hAnsi="Times New Roman"/>
          <w:sz w:val="19"/>
          <w:szCs w:val="19"/>
          <w:b w:val="1"/>
          <w:bCs w:val="1"/>
          <w:color w:val="auto"/>
        </w:rPr>
        <w:t xml:space="preserve">CHECK BOX IF THE AGGREGATE AMOUNT IN ROW (11) EXCLUDES CERTAIN SHARES </w:t>
      </w:r>
      <w:r>
        <w:rPr>
          <w:rFonts w:ascii="Times New Roman" w:cs="Times New Roman" w:eastAsia="Times New Roman" w:hAnsi="Times New Roman"/>
          <w:sz w:val="15"/>
          <w:szCs w:val="15"/>
          <w:b w:val="1"/>
          <w:bCs w:val="1"/>
          <w:color w:val="auto"/>
        </w:rPr>
        <w:t>(See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5"/>
          <w:szCs w:val="15"/>
          <w:b w:val="1"/>
          <w:bCs w:val="1"/>
          <w:color w:val="auto"/>
        </w:rPr>
        <w:t xml:space="preserve">Instructions) </w:t>
      </w:r>
      <w:r>
        <w:rPr>
          <w:rFonts w:ascii="MS PGothic" w:cs="MS PGothic" w:eastAsia="MS PGothic" w:hAnsi="MS PGothic"/>
          <w:sz w:val="18"/>
          <w:szCs w:val="18"/>
          <w:color w:val="auto"/>
        </w:rPr>
        <w:t>☒</w:t>
      </w:r>
    </w:p>
    <w:p>
      <w:pPr>
        <w:spacing w:after="0" w:line="155" w:lineRule="exact"/>
        <w:rPr>
          <w:sz w:val="20"/>
          <w:szCs w:val="20"/>
          <w:color w:val="auto"/>
        </w:rPr>
      </w:pPr>
    </w:p>
    <w:tbl>
      <w:tblPr>
        <w:tblLayout w:type="fixed"/>
        <w:tblInd w:w="380" w:type="dxa"/>
        <w:tblCellMar>
          <w:top w:w="0" w:type="dxa"/>
          <w:left w:w="0" w:type="dxa"/>
          <w:bottom w:w="0" w:type="dxa"/>
          <w:right w:w="0" w:type="dxa"/>
        </w:tblCellMar>
      </w:tblPr>
      <w:tr>
        <w:trPr>
          <w:trHeight w:val="286"/>
        </w:trPr>
        <w:tc>
          <w:tcPr>
            <w:tcW w:w="520" w:type="dxa"/>
            <w:vAlign w:val="bottom"/>
            <w:vMerge w:val="restart"/>
          </w:tcPr>
          <w:p>
            <w:pPr>
              <w:jc w:val="right"/>
              <w:ind w:right="96"/>
              <w:spacing w:after="0"/>
              <w:rPr>
                <w:sz w:val="20"/>
                <w:szCs w:val="20"/>
                <w:color w:val="auto"/>
              </w:rPr>
            </w:pPr>
            <w:r>
              <w:rPr>
                <w:rFonts w:ascii="Times New Roman" w:cs="Times New Roman" w:eastAsia="Times New Roman" w:hAnsi="Times New Roman"/>
                <w:sz w:val="29"/>
                <w:szCs w:val="29"/>
                <w:color w:val="auto"/>
                <w:w w:val="89"/>
              </w:rPr>
              <w:t>13</w:t>
            </w:r>
          </w:p>
        </w:tc>
        <w:tc>
          <w:tcPr>
            <w:tcW w:w="670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7"/>
              </w:rPr>
              <w:t>PERCENT OF CLASS REPRESENTED BY AMOUNT IN ROW (11)</w:t>
            </w:r>
          </w:p>
        </w:tc>
        <w:tc>
          <w:tcPr>
            <w:tcW w:w="0" w:type="dxa"/>
            <w:vAlign w:val="bottom"/>
          </w:tcPr>
          <w:p>
            <w:pPr>
              <w:spacing w:after="0"/>
              <w:rPr>
                <w:sz w:val="1"/>
                <w:szCs w:val="1"/>
                <w:color w:val="auto"/>
              </w:rPr>
            </w:pPr>
          </w:p>
        </w:tc>
      </w:tr>
      <w:tr>
        <w:trPr>
          <w:trHeight w:val="198"/>
        </w:trPr>
        <w:tc>
          <w:tcPr>
            <w:tcW w:w="520" w:type="dxa"/>
            <w:vAlign w:val="bottom"/>
            <w:vMerge w:val="continue"/>
          </w:tcPr>
          <w:p>
            <w:pPr>
              <w:spacing w:after="0"/>
              <w:rPr>
                <w:sz w:val="17"/>
                <w:szCs w:val="17"/>
                <w:color w:val="auto"/>
              </w:rPr>
            </w:pPr>
          </w:p>
        </w:tc>
        <w:tc>
          <w:tcPr>
            <w:tcW w:w="670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 xml:space="preserve">55.6%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43"/>
                <w:szCs w:val="43"/>
                <w:color w:val="auto"/>
                <w:vertAlign w:val="superscript"/>
              </w:rPr>
              <w:t>3</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313"/>
        </w:trPr>
        <w:tc>
          <w:tcPr>
            <w:tcW w:w="520" w:type="dxa"/>
            <w:vAlign w:val="bottom"/>
          </w:tcPr>
          <w:p>
            <w:pPr>
              <w:spacing w:after="0"/>
              <w:rPr>
                <w:sz w:val="24"/>
                <w:szCs w:val="24"/>
                <w:color w:val="auto"/>
              </w:rPr>
            </w:pPr>
          </w:p>
        </w:tc>
        <w:tc>
          <w:tcPr>
            <w:tcW w:w="6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20" w:type="dxa"/>
            <w:vAlign w:val="bottom"/>
            <w:vMerge w:val="restart"/>
          </w:tcPr>
          <w:p>
            <w:pPr>
              <w:jc w:val="right"/>
              <w:ind w:right="96"/>
              <w:spacing w:after="0"/>
              <w:rPr>
                <w:sz w:val="20"/>
                <w:szCs w:val="20"/>
                <w:color w:val="auto"/>
              </w:rPr>
            </w:pPr>
            <w:r>
              <w:rPr>
                <w:rFonts w:ascii="Times New Roman" w:cs="Times New Roman" w:eastAsia="Times New Roman" w:hAnsi="Times New Roman"/>
                <w:sz w:val="29"/>
                <w:szCs w:val="29"/>
                <w:color w:val="auto"/>
                <w:w w:val="89"/>
              </w:rPr>
              <w:t>14</w:t>
            </w:r>
          </w:p>
        </w:tc>
        <w:tc>
          <w:tcPr>
            <w:tcW w:w="670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 xml:space="preserve">TYPE OF REPORTING PERSON </w:t>
            </w:r>
            <w:r>
              <w:rPr>
                <w:rFonts w:ascii="Times New Roman" w:cs="Times New Roman" w:eastAsia="Times New Roman" w:hAnsi="Times New Roman"/>
                <w:sz w:val="17"/>
                <w:szCs w:val="17"/>
                <w:b w:val="1"/>
                <w:bCs w:val="1"/>
                <w:color w:val="auto"/>
              </w:rPr>
              <w:t>(See Instructions)</w:t>
            </w:r>
          </w:p>
        </w:tc>
        <w:tc>
          <w:tcPr>
            <w:tcW w:w="0" w:type="dxa"/>
            <w:vAlign w:val="bottom"/>
          </w:tcPr>
          <w:p>
            <w:pPr>
              <w:spacing w:after="0"/>
              <w:rPr>
                <w:sz w:val="1"/>
                <w:szCs w:val="1"/>
                <w:color w:val="auto"/>
              </w:rPr>
            </w:pPr>
          </w:p>
        </w:tc>
      </w:tr>
      <w:tr>
        <w:trPr>
          <w:trHeight w:val="157"/>
        </w:trPr>
        <w:tc>
          <w:tcPr>
            <w:tcW w:w="520" w:type="dxa"/>
            <w:vAlign w:val="bottom"/>
            <w:vMerge w:val="continue"/>
          </w:tcPr>
          <w:p>
            <w:pPr>
              <w:spacing w:after="0"/>
              <w:rPr>
                <w:sz w:val="13"/>
                <w:szCs w:val="13"/>
                <w:color w:val="auto"/>
              </w:rPr>
            </w:pPr>
          </w:p>
        </w:tc>
        <w:tc>
          <w:tcPr>
            <w:tcW w:w="6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520" w:type="dxa"/>
            <w:vAlign w:val="bottom"/>
          </w:tcPr>
          <w:p>
            <w:pPr>
              <w:spacing w:after="0"/>
              <w:rPr>
                <w:sz w:val="24"/>
                <w:szCs w:val="24"/>
                <w:color w:val="auto"/>
              </w:rPr>
            </w:pPr>
          </w:p>
        </w:tc>
        <w:tc>
          <w:tcPr>
            <w:tcW w:w="67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238696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86965" cy="342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Based on (i) 649,934 shares of Class A common stock, par value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Bakkt Holdings, Inc.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and (ii) 6,803,178 shares of Class V common stock, par value $0.0001 per share (“</w:t>
      </w:r>
      <w:r>
        <w:rPr>
          <w:rFonts w:ascii="Times New Roman" w:cs="Times New Roman" w:eastAsia="Times New Roman" w:hAnsi="Times New Roman"/>
          <w:sz w:val="18"/>
          <w:szCs w:val="18"/>
          <w:u w:val="single" w:color="auto"/>
          <w:color w:val="auto"/>
        </w:rPr>
        <w:t>Class V Common Stock</w:t>
      </w:r>
      <w:r>
        <w:rPr>
          <w:rFonts w:ascii="Times New Roman" w:cs="Times New Roman" w:eastAsia="Times New Roman" w:hAnsi="Times New Roman"/>
          <w:sz w:val="18"/>
          <w:szCs w:val="18"/>
          <w:color w:val="auto"/>
        </w:rPr>
        <w:t>”, and together with the Class A Common Stock,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Issuer beneficially owned by the Reporting Person as of the date hereof. This amount excludes 461,360 shares of Class A Common Stock underlying the Acquired Warrants (as defined in Item 6 of this Amendment) that are not exercisable until September 4, 2024, as described further in Item 6 of this Amendment. As reported herein, the Reporting Persons beneficially own 55.6% of the Common Stock; however, the voting power of the Reporting Persons in respect of the Common Stock is reduced to 30% pursuant to the Voting Agreement between Intercontinental Exchange Holdings, Inc. (“</w:t>
      </w:r>
      <w:r>
        <w:rPr>
          <w:rFonts w:ascii="Times New Roman" w:cs="Times New Roman" w:eastAsia="Times New Roman" w:hAnsi="Times New Roman"/>
          <w:sz w:val="18"/>
          <w:szCs w:val="18"/>
          <w:u w:val="single" w:color="auto"/>
          <w:color w:val="auto"/>
        </w:rPr>
        <w:t>ICEH</w:t>
      </w:r>
      <w:r>
        <w:rPr>
          <w:rFonts w:ascii="Times New Roman" w:cs="Times New Roman" w:eastAsia="Times New Roman" w:hAnsi="Times New Roman"/>
          <w:sz w:val="18"/>
          <w:szCs w:val="18"/>
          <w:color w:val="auto"/>
        </w:rPr>
        <w:t>”), a wholly owned subsidiary of Intercontinental Exchange, Inc. (“</w:t>
      </w:r>
      <w:r>
        <w:rPr>
          <w:rFonts w:ascii="Times New Roman" w:cs="Times New Roman" w:eastAsia="Times New Roman" w:hAnsi="Times New Roman"/>
          <w:sz w:val="18"/>
          <w:szCs w:val="18"/>
          <w:u w:val="single" w:color="auto"/>
          <w:color w:val="auto"/>
        </w:rPr>
        <w:t>ICE</w:t>
      </w:r>
      <w:r>
        <w:rPr>
          <w:rFonts w:ascii="Times New Roman" w:cs="Times New Roman" w:eastAsia="Times New Roman" w:hAnsi="Times New Roman"/>
          <w:sz w:val="18"/>
          <w:szCs w:val="18"/>
          <w:color w:val="auto"/>
        </w:rPr>
        <w:t>”), and the Issuer, so long as ICEH and its affiliates own 50% or more of the total voting power of the Issuer, as described further in Item 6 of the Initial Schedule 13D. All amounts of Common Stock reported by the Reporting Persons in this Amendment reflect the 1-for-25 reverse stock split effected by the Issuer on April 26, 2024 (the “</w:t>
      </w:r>
      <w:r>
        <w:rPr>
          <w:rFonts w:ascii="Times New Roman" w:cs="Times New Roman" w:eastAsia="Times New Roman" w:hAnsi="Times New Roman"/>
          <w:sz w:val="18"/>
          <w:szCs w:val="18"/>
          <w:u w:val="single" w:color="auto"/>
          <w:color w:val="auto"/>
        </w:rPr>
        <w:t>April 2024 Reverse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Split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Based on (i) 649,934 shares of Class A Common Stock and (ii) 6,803,178 shares of Class V Common Stock beneficially owned by the Reporting Person as of the date hereof. As described in note 1 above, this amount excludes 461,360 shares of Class A Common Stock underlying the Acquired Warrants that are not exercisable until September 4, 2024, as described further in Item 6 of this Amendment.</w:t>
      </w:r>
    </w:p>
    <w:p>
      <w:pPr>
        <w:sectPr>
          <w:pgSz w:w="11900" w:h="16838" w:orient="portrait"/>
          <w:cols w:equalWidth="0" w:num="1">
            <w:col w:w="11240"/>
          </w:cols>
          <w:pgMar w:left="320" w:top="810" w:right="339" w:bottom="139" w:gutter="0" w:footer="0" w:header="0"/>
        </w:sectPr>
      </w:pPr>
    </w:p>
    <w:bookmarkStart w:id="2" w:name="page3"/>
    <w:bookmarkEnd w:id="2"/>
    <w:p>
      <w:pPr>
        <w:spacing w:after="0" w:line="233"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35"/>
          <w:szCs w:val="35"/>
          <w:color w:val="auto"/>
          <w:vertAlign w:val="superscript"/>
        </w:rPr>
        <w:t>3</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Based on a total of 13,414,363 shares of Common Stock, consisting of 6,219,422 shares of Class A Common Stock and 7,194,941 shares of Class V Common Stock, outstanding as of April 29, 2024, after giving effect to the April 2024 Reverse Stock Split, but before adjusting for any fractional shares resulting from the April 2024 Reverse Stock Split, based on information received by the Reporting Persons from the Issuer. As described in note 1 above, the Reporting Persons beneficially own 55.6% of the Common Stock; however, the Reporting Persons’ voting power in respect of the Common Stock is reduced to 30% pursuant to the Voting Agreement between ICEH, a wholly owned subsidiary of ICE, and the Issuer, so long as ICEH and its affiliates own 50% or more of the total voting power of the Issuer, as described further in Item 6 of the Amended Schedule 13D. As of the date hereof, the Reporting Person beneficially owns 10.5% of the outstanding shares of Class A Common Stock (excluding any shares of Class V Common Stock).</w:t>
      </w:r>
    </w:p>
    <w:p>
      <w:pPr>
        <w:spacing w:after="0" w:line="14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SCHEDULE 13D</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CUSIP No. 05759B107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0" w:lineRule="exact"/>
        <w:rPr>
          <w:sz w:val="20"/>
          <w:szCs w:val="20"/>
          <w:color w:val="auto"/>
        </w:rPr>
      </w:pPr>
    </w:p>
    <w:p>
      <w:pPr>
        <w:ind w:left="1140" w:right="6560" w:hanging="691"/>
        <w:spacing w:after="0" w:line="198" w:lineRule="auto"/>
        <w:tabs>
          <w:tab w:leader="none" w:pos="1140" w:val="left"/>
        </w:tabs>
        <w:numPr>
          <w:ilvl w:val="0"/>
          <w:numId w:val="8"/>
        </w:numPr>
        <w:rPr>
          <w:rFonts w:ascii="Times New Roman" w:cs="Times New Roman" w:eastAsia="Times New Roman" w:hAnsi="Times New Roman"/>
          <w:sz w:val="57"/>
          <w:szCs w:val="57"/>
          <w:color w:val="auto"/>
          <w:vertAlign w:val="subscript"/>
        </w:rPr>
      </w:pPr>
      <w:r>
        <w:rPr>
          <w:rFonts w:ascii="Times New Roman" w:cs="Times New Roman" w:eastAsia="Times New Roman" w:hAnsi="Times New Roman"/>
          <w:sz w:val="21"/>
          <w:szCs w:val="21"/>
          <w:b w:val="1"/>
          <w:bCs w:val="1"/>
          <w:color w:val="auto"/>
        </w:rPr>
        <w:t xml:space="preserve">NAME OF REPORTING PERSONS </w:t>
      </w:r>
      <w:r>
        <w:rPr>
          <w:rFonts w:ascii="Times New Roman" w:cs="Times New Roman" w:eastAsia="Times New Roman" w:hAnsi="Times New Roman"/>
          <w:sz w:val="21"/>
          <w:szCs w:val="21"/>
          <w:color w:val="auto"/>
        </w:rPr>
        <w:t>Intercontinental Exchange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6737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737985"/>
                    </a:xfrm>
                    <a:prstGeom prst="rect">
                      <a:avLst/>
                    </a:prstGeom>
                    <a:noFill/>
                  </pic:spPr>
                </pic:pic>
              </a:graphicData>
            </a:graphic>
          </wp:anchor>
        </w:drawing>
      </w:r>
    </w:p>
    <w:p>
      <w:pPr>
        <w:ind w:left="1140"/>
        <w:spacing w:after="0" w:line="238" w:lineRule="auto"/>
        <w:rPr>
          <w:sz w:val="20"/>
          <w:szCs w:val="20"/>
          <w:color w:val="auto"/>
        </w:rPr>
      </w:pPr>
      <w:r>
        <w:rPr>
          <w:rFonts w:ascii="Times New Roman" w:cs="Times New Roman" w:eastAsia="Times New Roman" w:hAnsi="Times New Roman"/>
          <w:sz w:val="22"/>
          <w:szCs w:val="22"/>
          <w:b w:val="1"/>
          <w:bCs w:val="1"/>
          <w:color w:val="auto"/>
        </w:rPr>
        <w:t>CHECK THE APPROPRIATE BOX IF A MEMBER OF A GROUP</w:t>
      </w:r>
    </w:p>
    <w:p>
      <w:pPr>
        <w:ind w:left="1140" w:hanging="691"/>
        <w:spacing w:after="0" w:line="187" w:lineRule="auto"/>
        <w:tabs>
          <w:tab w:leader="none" w:pos="1140" w:val="left"/>
        </w:tabs>
        <w:numPr>
          <w:ilvl w:val="0"/>
          <w:numId w:val="9"/>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3"/>
          <w:szCs w:val="13"/>
          <w:b w:val="1"/>
          <w:bCs w:val="1"/>
          <w:color w:val="auto"/>
        </w:rPr>
        <w:t>(See Instructions)</w:t>
      </w:r>
    </w:p>
    <w:p>
      <w:pPr>
        <w:spacing w:after="0" w:line="196" w:lineRule="exact"/>
        <w:rPr>
          <w:rFonts w:ascii="Times New Roman" w:cs="Times New Roman" w:eastAsia="Times New Roman" w:hAnsi="Times New Roman"/>
          <w:sz w:val="24"/>
          <w:szCs w:val="24"/>
          <w:color w:val="auto"/>
          <w:vertAlign w:val="subscript"/>
        </w:rPr>
      </w:pPr>
    </w:p>
    <w:p>
      <w:pPr>
        <w:ind w:left="1420" w:hanging="289"/>
        <w:spacing w:after="0"/>
        <w:tabs>
          <w:tab w:leader="none" w:pos="1420" w:val="left"/>
        </w:tabs>
        <w:numPr>
          <w:ilvl w:val="1"/>
          <w:numId w:val="9"/>
        </w:numPr>
        <w:rPr>
          <w:rFonts w:ascii="Times New Roman" w:cs="Times New Roman" w:eastAsia="Times New Roman" w:hAnsi="Times New Roman"/>
          <w:sz w:val="22"/>
          <w:szCs w:val="22"/>
          <w:color w:val="auto"/>
        </w:rPr>
      </w:pPr>
      <w:r>
        <w:rPr>
          <w:rFonts w:ascii="Wingdings" w:cs="Wingdings" w:eastAsia="Wingdings" w:hAnsi="Wingdings"/>
          <w:sz w:val="22"/>
          <w:szCs w:val="22"/>
          <w:b w:val="1"/>
          <w:bCs w:val="1"/>
          <w:color w:val="auto"/>
        </w:rPr>
        <w:t>o</w:t>
      </w:r>
    </w:p>
    <w:p>
      <w:pPr>
        <w:spacing w:after="0" w:line="20" w:lineRule="exact"/>
        <w:rPr>
          <w:rFonts w:ascii="Times New Roman" w:cs="Times New Roman" w:eastAsia="Times New Roman" w:hAnsi="Times New Roman"/>
          <w:sz w:val="22"/>
          <w:szCs w:val="22"/>
          <w:color w:val="auto"/>
        </w:rPr>
      </w:pPr>
    </w:p>
    <w:p>
      <w:pPr>
        <w:ind w:left="1440" w:hanging="309"/>
        <w:spacing w:after="0" w:line="253" w:lineRule="exact"/>
        <w:tabs>
          <w:tab w:leader="none" w:pos="1440" w:val="left"/>
        </w:tabs>
        <w:numPr>
          <w:ilvl w:val="1"/>
          <w:numId w:val="9"/>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p>
    <w:p>
      <w:pPr>
        <w:ind w:left="1140" w:hanging="691"/>
        <w:spacing w:after="0" w:line="182" w:lineRule="auto"/>
        <w:tabs>
          <w:tab w:leader="none" w:pos="1140" w:val="left"/>
        </w:tabs>
        <w:numPr>
          <w:ilvl w:val="0"/>
          <w:numId w:val="10"/>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6"/>
          <w:szCs w:val="16"/>
          <w:b w:val="1"/>
          <w:bCs w:val="1"/>
          <w:color w:val="auto"/>
        </w:rPr>
        <w:t>SEC USE ONLY</w:t>
      </w:r>
    </w:p>
    <w:p>
      <w:pPr>
        <w:ind w:left="1140" w:hanging="691"/>
        <w:spacing w:after="0" w:line="204" w:lineRule="auto"/>
        <w:tabs>
          <w:tab w:leader="none" w:pos="1140" w:val="left"/>
        </w:tabs>
        <w:numPr>
          <w:ilvl w:val="0"/>
          <w:numId w:val="11"/>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22"/>
          <w:szCs w:val="22"/>
          <w:b w:val="1"/>
          <w:bCs w:val="1"/>
          <w:color w:val="auto"/>
        </w:rPr>
        <w:t xml:space="preserve">SOURCE OF FUNDS </w:t>
      </w:r>
      <w:r>
        <w:rPr>
          <w:rFonts w:ascii="Times New Roman" w:cs="Times New Roman" w:eastAsia="Times New Roman" w:hAnsi="Times New Roman"/>
          <w:sz w:val="17"/>
          <w:szCs w:val="17"/>
          <w:b w:val="1"/>
          <w:bCs w:val="1"/>
          <w:color w:val="auto"/>
        </w:rPr>
        <w:t>(See Instructions)</w:t>
      </w:r>
    </w:p>
    <w:p>
      <w:pPr>
        <w:spacing w:after="0" w:line="17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WC; OO</w:t>
      </w:r>
    </w:p>
    <w:p>
      <w:pPr>
        <w:spacing w:after="0" w:line="28" w:lineRule="exact"/>
        <w:rPr>
          <w:sz w:val="20"/>
          <w:szCs w:val="20"/>
          <w:color w:val="auto"/>
        </w:rPr>
      </w:pPr>
    </w:p>
    <w:p>
      <w:pPr>
        <w:ind w:left="1040" w:right="540" w:hanging="591"/>
        <w:spacing w:after="0"/>
        <w:tabs>
          <w:tab w:leader="none" w:pos="1040" w:val="left"/>
        </w:tabs>
        <w:numPr>
          <w:ilvl w:val="0"/>
          <w:numId w:val="1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18"/>
          <w:szCs w:val="18"/>
          <w:b w:val="1"/>
          <w:bCs w:val="1"/>
          <w:color w:val="auto"/>
        </w:rPr>
        <w:t xml:space="preserve">CHECK BOX IF DISCLOSURE OF LEGAL PROCEEDINGS IS REQUIRED PURSUANT TO ITEMS 2(d) or 2(e) </w:t>
      </w:r>
      <w:r>
        <w:rPr>
          <w:rFonts w:ascii="Wingdings" w:cs="Wingdings" w:eastAsia="Wingdings" w:hAnsi="Wingdings"/>
          <w:sz w:val="18"/>
          <w:szCs w:val="18"/>
          <w:b w:val="1"/>
          <w:bCs w:val="1"/>
          <w:color w:val="auto"/>
        </w:rPr>
        <w:t>o</w:t>
      </w:r>
    </w:p>
    <w:p>
      <w:pPr>
        <w:spacing w:after="0" w:line="205" w:lineRule="exact"/>
        <w:rPr>
          <w:sz w:val="20"/>
          <w:szCs w:val="20"/>
          <w:color w:val="auto"/>
        </w:rPr>
      </w:pPr>
    </w:p>
    <w:p>
      <w:pPr>
        <w:ind w:left="1140" w:right="5400" w:hanging="691"/>
        <w:spacing w:after="0" w:line="191" w:lineRule="auto"/>
        <w:tabs>
          <w:tab w:leader="none" w:pos="1140" w:val="left"/>
        </w:tabs>
        <w:numPr>
          <w:ilvl w:val="0"/>
          <w:numId w:val="13"/>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22"/>
          <w:szCs w:val="22"/>
          <w:b w:val="1"/>
          <w:bCs w:val="1"/>
          <w:color w:val="auto"/>
        </w:rPr>
        <w:t xml:space="preserve">CITIZENSHIP OR PLACE OF ORGANIZATION </w:t>
      </w:r>
      <w:r>
        <w:rPr>
          <w:rFonts w:ascii="Times New Roman" w:cs="Times New Roman" w:eastAsia="Times New Roman" w:hAnsi="Times New Roman"/>
          <w:sz w:val="22"/>
          <w:szCs w:val="22"/>
          <w:color w:val="auto"/>
        </w:rPr>
        <w:t>Delaware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700" w:type="dxa"/>
            <w:vAlign w:val="bottom"/>
            <w:tcBorders>
              <w:top w:val="single" w:sz="8" w:color="auto"/>
            </w:tcBorders>
          </w:tcPr>
          <w:p>
            <w:pPr>
              <w:spacing w:after="0"/>
              <w:rPr>
                <w:sz w:val="24"/>
                <w:szCs w:val="24"/>
                <w:color w:val="auto"/>
              </w:rPr>
            </w:pPr>
          </w:p>
        </w:tc>
        <w:tc>
          <w:tcPr>
            <w:tcW w:w="294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rPr>
              <w:t>7</w:t>
            </w:r>
          </w:p>
        </w:tc>
        <w:tc>
          <w:tcPr>
            <w:tcW w:w="64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SOLE VOTING POWER</w:t>
            </w: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294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6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70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77"/>
        </w:trPr>
        <w:tc>
          <w:tcPr>
            <w:tcW w:w="70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rPr>
              <w:t>8</w:t>
            </w:r>
          </w:p>
        </w:tc>
        <w:tc>
          <w:tcPr>
            <w:tcW w:w="648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SHARED VOTING POWER</w:t>
            </w: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2940" w:type="dxa"/>
            <w:vAlign w:val="bottom"/>
            <w:tcBorders>
              <w:right w:val="single" w:sz="8" w:color="auto"/>
            </w:tcBorders>
            <w:vMerge w:val="restart"/>
          </w:tcPr>
          <w:p>
            <w:pPr>
              <w:jc w:val="center"/>
              <w:ind w:right="612"/>
              <w:spacing w:after="0" w:line="243" w:lineRule="exact"/>
              <w:rPr>
                <w:sz w:val="20"/>
                <w:szCs w:val="20"/>
                <w:color w:val="auto"/>
              </w:rPr>
            </w:pPr>
            <w:r>
              <w:rPr>
                <w:rFonts w:ascii="Times New Roman" w:cs="Times New Roman" w:eastAsia="Times New Roman" w:hAnsi="Times New Roman"/>
                <w:sz w:val="22"/>
                <w:szCs w:val="22"/>
                <w:color w:val="auto"/>
                <w:w w:val="98"/>
              </w:rPr>
              <w:t>NUMBER OF SHARES</w:t>
            </w:r>
          </w:p>
        </w:tc>
        <w:tc>
          <w:tcPr>
            <w:tcW w:w="1120" w:type="dxa"/>
            <w:vAlign w:val="bottom"/>
            <w:tcBorders>
              <w:right w:val="single" w:sz="8" w:color="auto"/>
            </w:tcBorders>
            <w:vMerge w:val="continue"/>
          </w:tcPr>
          <w:p>
            <w:pPr>
              <w:spacing w:after="0"/>
              <w:rPr>
                <w:sz w:val="14"/>
                <w:szCs w:val="14"/>
                <w:color w:val="auto"/>
              </w:rPr>
            </w:pPr>
          </w:p>
        </w:tc>
        <w:tc>
          <w:tcPr>
            <w:tcW w:w="6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 xml:space="preserve">7,453,112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43"/>
                <w:szCs w:val="43"/>
                <w:color w:val="auto"/>
                <w:vertAlign w:val="superscript"/>
              </w:rPr>
              <w:t>4</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74"/>
        </w:trPr>
        <w:tc>
          <w:tcPr>
            <w:tcW w:w="700" w:type="dxa"/>
            <w:vAlign w:val="bottom"/>
          </w:tcPr>
          <w:p>
            <w:pPr>
              <w:spacing w:after="0"/>
              <w:rPr>
                <w:sz w:val="6"/>
                <w:szCs w:val="6"/>
                <w:color w:val="auto"/>
              </w:rPr>
            </w:pPr>
          </w:p>
        </w:tc>
        <w:tc>
          <w:tcPr>
            <w:tcW w:w="294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6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36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BENEFICIALLY OWNED BY EACH</w:t>
            </w:r>
          </w:p>
        </w:tc>
        <w:tc>
          <w:tcPr>
            <w:tcW w:w="1120" w:type="dxa"/>
            <w:vAlign w:val="bottom"/>
            <w:tcBorders>
              <w:bottom w:val="single" w:sz="8" w:color="auto"/>
              <w:right w:val="single" w:sz="8" w:color="auto"/>
            </w:tcBorders>
          </w:tcPr>
          <w:p>
            <w:pPr>
              <w:spacing w:after="0"/>
              <w:rPr>
                <w:sz w:val="22"/>
                <w:szCs w:val="22"/>
                <w:color w:val="auto"/>
              </w:rPr>
            </w:pPr>
          </w:p>
        </w:tc>
        <w:tc>
          <w:tcPr>
            <w:tcW w:w="64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6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REPORTING PERSON WITH</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rPr>
              <w:t>9</w:t>
            </w:r>
          </w:p>
        </w:tc>
        <w:tc>
          <w:tcPr>
            <w:tcW w:w="648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SOLE DISPOSITIVE POWER</w:t>
            </w: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294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6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70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0"/>
        </w:trPr>
        <w:tc>
          <w:tcPr>
            <w:tcW w:w="70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w w:val="96"/>
              </w:rPr>
              <w:t>10</w:t>
            </w:r>
          </w:p>
        </w:tc>
        <w:tc>
          <w:tcPr>
            <w:tcW w:w="648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SHARED DISPOSITIVE POWER</w:t>
            </w: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29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vMerge w:val="continue"/>
          </w:tcPr>
          <w:p>
            <w:pPr>
              <w:spacing w:after="0"/>
              <w:rPr>
                <w:sz w:val="14"/>
                <w:szCs w:val="14"/>
                <w:color w:val="auto"/>
              </w:rPr>
            </w:pPr>
          </w:p>
        </w:tc>
        <w:tc>
          <w:tcPr>
            <w:tcW w:w="6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 xml:space="preserve">7,453,112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43"/>
                <w:szCs w:val="43"/>
                <w:color w:val="auto"/>
                <w:vertAlign w:val="superscript"/>
              </w:rPr>
              <w:t>5</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330"/>
        </w:trPr>
        <w:tc>
          <w:tcPr>
            <w:tcW w:w="700" w:type="dxa"/>
            <w:vAlign w:val="bottom"/>
            <w:tcBorders>
              <w:bottom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9"/>
                <w:szCs w:val="29"/>
                <w:color w:val="auto"/>
              </w:rPr>
              <w:t>11</w:t>
            </w:r>
          </w:p>
        </w:tc>
        <w:tc>
          <w:tcPr>
            <w:tcW w:w="10540" w:type="dxa"/>
            <w:vAlign w:val="bottom"/>
            <w:gridSpan w:val="3"/>
          </w:tcPr>
          <w:p>
            <w:pPr>
              <w:ind w:left="440"/>
              <w:spacing w:after="0"/>
              <w:rPr>
                <w:sz w:val="20"/>
                <w:szCs w:val="20"/>
                <w:color w:val="auto"/>
              </w:rPr>
            </w:pPr>
            <w:r>
              <w:rPr>
                <w:rFonts w:ascii="Times New Roman" w:cs="Times New Roman" w:eastAsia="Times New Roman" w:hAnsi="Times New Roman"/>
                <w:sz w:val="22"/>
                <w:szCs w:val="22"/>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126"/>
        </w:trPr>
        <w:tc>
          <w:tcPr>
            <w:tcW w:w="700" w:type="dxa"/>
            <w:vAlign w:val="bottom"/>
            <w:vMerge w:val="continue"/>
          </w:tcPr>
          <w:p>
            <w:pPr>
              <w:spacing w:after="0"/>
              <w:rPr>
                <w:sz w:val="10"/>
                <w:szCs w:val="10"/>
                <w:color w:val="auto"/>
              </w:rPr>
            </w:pPr>
          </w:p>
        </w:tc>
        <w:tc>
          <w:tcPr>
            <w:tcW w:w="29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7,453,112</w:t>
      </w:r>
    </w:p>
    <w:p>
      <w:pPr>
        <w:spacing w:after="0" w:line="28" w:lineRule="exact"/>
        <w:rPr>
          <w:sz w:val="20"/>
          <w:szCs w:val="20"/>
          <w:color w:val="auto"/>
        </w:rPr>
      </w:pPr>
    </w:p>
    <w:p>
      <w:pPr>
        <w:ind w:left="1040" w:right="800" w:hanging="659"/>
        <w:spacing w:after="0" w:line="274" w:lineRule="exact"/>
        <w:tabs>
          <w:tab w:leader="none" w:pos="1020" w:val="left"/>
        </w:tabs>
        <w:rPr>
          <w:sz w:val="20"/>
          <w:szCs w:val="20"/>
          <w:color w:val="auto"/>
        </w:rPr>
      </w:pPr>
      <w:r>
        <w:rPr>
          <w:rFonts w:ascii="Times New Roman" w:cs="Times New Roman" w:eastAsia="Times New Roman" w:hAnsi="Times New Roman"/>
          <w:sz w:val="45"/>
          <w:szCs w:val="45"/>
          <w:color w:val="auto"/>
          <w:vertAlign w:val="subscript"/>
        </w:rPr>
        <w:t>12</w:t>
      </w:r>
      <w:r>
        <w:rPr>
          <w:sz w:val="20"/>
          <w:szCs w:val="20"/>
          <w:color w:val="auto"/>
        </w:rPr>
        <w:tab/>
      </w:r>
      <w:r>
        <w:rPr>
          <w:rFonts w:ascii="Times New Roman" w:cs="Times New Roman" w:eastAsia="Times New Roman" w:hAnsi="Times New Roman"/>
          <w:sz w:val="19"/>
          <w:szCs w:val="19"/>
          <w:b w:val="1"/>
          <w:bCs w:val="1"/>
          <w:color w:val="auto"/>
        </w:rPr>
        <w:t xml:space="preserve">CHECK BOX IF THE AGGREGATE AMOUNT IN ROW (11) EXCLUDES CERTAIN SHARES </w:t>
      </w:r>
      <w:r>
        <w:rPr>
          <w:rFonts w:ascii="Times New Roman" w:cs="Times New Roman" w:eastAsia="Times New Roman" w:hAnsi="Times New Roman"/>
          <w:sz w:val="15"/>
          <w:szCs w:val="15"/>
          <w:b w:val="1"/>
          <w:bCs w:val="1"/>
          <w:color w:val="auto"/>
        </w:rPr>
        <w:t>(See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5"/>
          <w:szCs w:val="15"/>
          <w:b w:val="1"/>
          <w:bCs w:val="1"/>
          <w:color w:val="auto"/>
        </w:rPr>
        <w:t xml:space="preserve">Instructions) </w:t>
      </w:r>
      <w:r>
        <w:rPr>
          <w:rFonts w:ascii="MS PGothic" w:cs="MS PGothic" w:eastAsia="MS PGothic" w:hAnsi="MS PGothic"/>
          <w:sz w:val="18"/>
          <w:szCs w:val="18"/>
          <w:color w:val="auto"/>
        </w:rPr>
        <w:t>☒</w:t>
      </w:r>
    </w:p>
    <w:p>
      <w:pPr>
        <w:spacing w:after="0" w:line="155" w:lineRule="exact"/>
        <w:rPr>
          <w:sz w:val="20"/>
          <w:szCs w:val="20"/>
          <w:color w:val="auto"/>
        </w:rPr>
      </w:pPr>
    </w:p>
    <w:tbl>
      <w:tblPr>
        <w:tblLayout w:type="fixed"/>
        <w:tblInd w:w="380" w:type="dxa"/>
        <w:tblCellMar>
          <w:top w:w="0" w:type="dxa"/>
          <w:left w:w="0" w:type="dxa"/>
          <w:bottom w:w="0" w:type="dxa"/>
          <w:right w:w="0" w:type="dxa"/>
        </w:tblCellMar>
      </w:tblPr>
      <w:tr>
        <w:trPr>
          <w:trHeight w:val="286"/>
        </w:trPr>
        <w:tc>
          <w:tcPr>
            <w:tcW w:w="520" w:type="dxa"/>
            <w:vAlign w:val="bottom"/>
            <w:vMerge w:val="restart"/>
          </w:tcPr>
          <w:p>
            <w:pPr>
              <w:jc w:val="right"/>
              <w:ind w:right="96"/>
              <w:spacing w:after="0"/>
              <w:rPr>
                <w:sz w:val="20"/>
                <w:szCs w:val="20"/>
                <w:color w:val="auto"/>
              </w:rPr>
            </w:pPr>
            <w:r>
              <w:rPr>
                <w:rFonts w:ascii="Times New Roman" w:cs="Times New Roman" w:eastAsia="Times New Roman" w:hAnsi="Times New Roman"/>
                <w:sz w:val="29"/>
                <w:szCs w:val="29"/>
                <w:color w:val="auto"/>
                <w:w w:val="89"/>
              </w:rPr>
              <w:t>13</w:t>
            </w:r>
          </w:p>
        </w:tc>
        <w:tc>
          <w:tcPr>
            <w:tcW w:w="670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7"/>
              </w:rPr>
              <w:t>PERCENT OF CLASS REPRESENTED BY AMOUNT IN ROW (11)</w:t>
            </w:r>
          </w:p>
        </w:tc>
        <w:tc>
          <w:tcPr>
            <w:tcW w:w="0" w:type="dxa"/>
            <w:vAlign w:val="bottom"/>
          </w:tcPr>
          <w:p>
            <w:pPr>
              <w:spacing w:after="0"/>
              <w:rPr>
                <w:sz w:val="1"/>
                <w:szCs w:val="1"/>
                <w:color w:val="auto"/>
              </w:rPr>
            </w:pPr>
          </w:p>
        </w:tc>
      </w:tr>
      <w:tr>
        <w:trPr>
          <w:trHeight w:val="198"/>
        </w:trPr>
        <w:tc>
          <w:tcPr>
            <w:tcW w:w="520" w:type="dxa"/>
            <w:vAlign w:val="bottom"/>
            <w:vMerge w:val="continue"/>
          </w:tcPr>
          <w:p>
            <w:pPr>
              <w:spacing w:after="0"/>
              <w:rPr>
                <w:sz w:val="17"/>
                <w:szCs w:val="17"/>
                <w:color w:val="auto"/>
              </w:rPr>
            </w:pPr>
          </w:p>
        </w:tc>
        <w:tc>
          <w:tcPr>
            <w:tcW w:w="670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 xml:space="preserve">55.6%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43"/>
                <w:szCs w:val="43"/>
                <w:color w:val="auto"/>
                <w:vertAlign w:val="superscript"/>
              </w:rPr>
              <w:t>6</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313"/>
        </w:trPr>
        <w:tc>
          <w:tcPr>
            <w:tcW w:w="520" w:type="dxa"/>
            <w:vAlign w:val="bottom"/>
          </w:tcPr>
          <w:p>
            <w:pPr>
              <w:spacing w:after="0"/>
              <w:rPr>
                <w:sz w:val="24"/>
                <w:szCs w:val="24"/>
                <w:color w:val="auto"/>
              </w:rPr>
            </w:pPr>
          </w:p>
        </w:tc>
        <w:tc>
          <w:tcPr>
            <w:tcW w:w="6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20" w:type="dxa"/>
            <w:vAlign w:val="bottom"/>
            <w:vMerge w:val="restart"/>
          </w:tcPr>
          <w:p>
            <w:pPr>
              <w:jc w:val="right"/>
              <w:ind w:right="96"/>
              <w:spacing w:after="0"/>
              <w:rPr>
                <w:sz w:val="20"/>
                <w:szCs w:val="20"/>
                <w:color w:val="auto"/>
              </w:rPr>
            </w:pPr>
            <w:r>
              <w:rPr>
                <w:rFonts w:ascii="Times New Roman" w:cs="Times New Roman" w:eastAsia="Times New Roman" w:hAnsi="Times New Roman"/>
                <w:sz w:val="29"/>
                <w:szCs w:val="29"/>
                <w:color w:val="auto"/>
                <w:w w:val="89"/>
              </w:rPr>
              <w:t>14</w:t>
            </w:r>
          </w:p>
        </w:tc>
        <w:tc>
          <w:tcPr>
            <w:tcW w:w="670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 xml:space="preserve">TYPE OF REPORTING PERSON </w:t>
            </w:r>
            <w:r>
              <w:rPr>
                <w:rFonts w:ascii="Times New Roman" w:cs="Times New Roman" w:eastAsia="Times New Roman" w:hAnsi="Times New Roman"/>
                <w:sz w:val="17"/>
                <w:szCs w:val="17"/>
                <w:b w:val="1"/>
                <w:bCs w:val="1"/>
                <w:color w:val="auto"/>
              </w:rPr>
              <w:t>(See Instructions)</w:t>
            </w:r>
          </w:p>
        </w:tc>
        <w:tc>
          <w:tcPr>
            <w:tcW w:w="0" w:type="dxa"/>
            <w:vAlign w:val="bottom"/>
          </w:tcPr>
          <w:p>
            <w:pPr>
              <w:spacing w:after="0"/>
              <w:rPr>
                <w:sz w:val="1"/>
                <w:szCs w:val="1"/>
                <w:color w:val="auto"/>
              </w:rPr>
            </w:pPr>
          </w:p>
        </w:tc>
      </w:tr>
      <w:tr>
        <w:trPr>
          <w:trHeight w:val="157"/>
        </w:trPr>
        <w:tc>
          <w:tcPr>
            <w:tcW w:w="520" w:type="dxa"/>
            <w:vAlign w:val="bottom"/>
            <w:vMerge w:val="continue"/>
          </w:tcPr>
          <w:p>
            <w:pPr>
              <w:spacing w:after="0"/>
              <w:rPr>
                <w:sz w:val="13"/>
                <w:szCs w:val="13"/>
                <w:color w:val="auto"/>
              </w:rPr>
            </w:pPr>
          </w:p>
        </w:tc>
        <w:tc>
          <w:tcPr>
            <w:tcW w:w="6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520" w:type="dxa"/>
            <w:vAlign w:val="bottom"/>
          </w:tcPr>
          <w:p>
            <w:pPr>
              <w:spacing w:after="0"/>
              <w:rPr>
                <w:sz w:val="24"/>
                <w:szCs w:val="24"/>
                <w:color w:val="auto"/>
              </w:rPr>
            </w:pPr>
          </w:p>
        </w:tc>
        <w:tc>
          <w:tcPr>
            <w:tcW w:w="67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2386965"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8696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35"/>
          <w:szCs w:val="35"/>
          <w:color w:val="auto"/>
          <w:vertAlign w:val="superscript"/>
        </w:rPr>
        <w:t>4</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Based on (i) 649,934 shares of Class A Common Stock and (ii) 6,803,178 shares of Class V Common Stock beneficially owned by the Reporting Person as of the date hereof. As described in note 1 above, this amount excludes 461,360 shares of Class A Common Stock underlying the Acquired Warrants that are not exercisable until September 4, 2024, as described further in Item 6 of this Amendment.</w:t>
      </w:r>
    </w:p>
    <w:p>
      <w:pPr>
        <w:spacing w:after="0" w:line="160"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35"/>
          <w:szCs w:val="35"/>
          <w:color w:val="auto"/>
          <w:vertAlign w:val="superscript"/>
        </w:rPr>
        <w:t>5</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Based on (i) 649,934 shares of Class A Common Stock and (ii) 6,803,178 shares of Class V Common Stock beneficially owned by the Reporting Person as of the date hereof. As described in note 1 above, this amount excludes 461,360 shares of Class A Common Stock underlying the Acquired Warrants that are not exercisable until September 4, 2024, as described further in Item 6 of this Amendment.</w:t>
      </w:r>
    </w:p>
    <w:p>
      <w:pPr>
        <w:spacing w:after="0" w:line="173"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35"/>
          <w:szCs w:val="35"/>
          <w:color w:val="auto"/>
          <w:vertAlign w:val="superscript"/>
        </w:rPr>
        <w:t>6</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Based on a total of 13,414,363 shares of Common Stock, consisting of 6,219,422 shares of Class A Common Stock and 7,194,941 shares of Class V Common Stock, outstanding as of April 29, 2024, after giving effect to the April 2024 Reverse Stock Split, but before adjusting for any fractional shares resulting from the April 2024 Reverse Stock Split, based on information received by the Reporting Persons from the Issuer. As described in note 1 above, the Reporting Persons beneficially own 55.6% of the Common Stock; however, the Reporting Persons’ voting power in respect of the Common Stock is reduced to 30% pursuant to the Voting Agreement between ICEH and the Issuer, so long as ICEH and its affiliates own 50% or more of the total voting power of the Issuer as described further in Item 6 of the Amended Schedule 13D. As of the date hereof, the Reporting Person beneficially owns 10.5% of the outstanding shares of Class A Common Stock (excluding any shares of Class V Common Stock).</w:t>
      </w:r>
    </w:p>
    <w:p>
      <w:pPr>
        <w:sectPr>
          <w:pgSz w:w="11900" w:h="16838" w:orient="portrait"/>
          <w:cols w:equalWidth="0" w:num="1">
            <w:col w:w="11240"/>
          </w:cols>
          <w:pgMar w:left="320" w:top="810" w:right="339" w:bottom="0" w:gutter="0" w:footer="0" w:header="0"/>
        </w:sectPr>
      </w:pPr>
    </w:p>
    <w:bookmarkStart w:id="4" w:name="page5"/>
    <w:bookmarkEnd w:id="4"/>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20320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EXPLANATORY NOTE</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Amendment No. 4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being jointly filed on behalf of: (a) Intercontinental Exchange, Inc., a Delaware corporation (“</w:t>
      </w:r>
      <w:r>
        <w:rPr>
          <w:rFonts w:ascii="Times New Roman" w:cs="Times New Roman" w:eastAsia="Times New Roman" w:hAnsi="Times New Roman"/>
          <w:sz w:val="22"/>
          <w:szCs w:val="22"/>
          <w:u w:val="single" w:color="auto"/>
          <w:color w:val="auto"/>
        </w:rPr>
        <w:t>ICE</w:t>
      </w:r>
      <w:r>
        <w:rPr>
          <w:rFonts w:ascii="Times New Roman" w:cs="Times New Roman" w:eastAsia="Times New Roman" w:hAnsi="Times New Roman"/>
          <w:sz w:val="22"/>
          <w:szCs w:val="22"/>
          <w:color w:val="auto"/>
        </w:rPr>
        <w:t>”), and (b) Intercontinental Exchange Holdings, Inc., a Delaware corporation (“</w:t>
      </w:r>
      <w:r>
        <w:rPr>
          <w:rFonts w:ascii="Times New Roman" w:cs="Times New Roman" w:eastAsia="Times New Roman" w:hAnsi="Times New Roman"/>
          <w:sz w:val="22"/>
          <w:szCs w:val="22"/>
          <w:u w:val="single" w:color="auto"/>
          <w:color w:val="auto"/>
        </w:rPr>
        <w:t>ICEH</w:t>
      </w:r>
      <w:r>
        <w:rPr>
          <w:rFonts w:ascii="Times New Roman" w:cs="Times New Roman" w:eastAsia="Times New Roman" w:hAnsi="Times New Roman"/>
          <w:sz w:val="22"/>
          <w:szCs w:val="22"/>
          <w:color w:val="auto"/>
        </w:rPr>
        <w:t>”, and together with ICE, the “</w:t>
      </w:r>
      <w:r>
        <w:rPr>
          <w:rFonts w:ascii="Times New Roman" w:cs="Times New Roman" w:eastAsia="Times New Roman" w:hAnsi="Times New Roman"/>
          <w:sz w:val="22"/>
          <w:szCs w:val="22"/>
          <w:u w:val="single" w:color="auto"/>
          <w:color w:val="auto"/>
        </w:rPr>
        <w:t>Reporting Persons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Reporting Person</w:t>
      </w:r>
      <w:r>
        <w:rPr>
          <w:rFonts w:ascii="Times New Roman" w:cs="Times New Roman" w:eastAsia="Times New Roman" w:hAnsi="Times New Roman"/>
          <w:sz w:val="22"/>
          <w:szCs w:val="22"/>
          <w:color w:val="auto"/>
        </w:rPr>
        <w:t>”), and amends the (i) Statement on Schedule 13D filed by the Reporting Persons on October 21, 2021 (the “</w:t>
      </w:r>
      <w:r>
        <w:rPr>
          <w:rFonts w:ascii="Times New Roman" w:cs="Times New Roman" w:eastAsia="Times New Roman" w:hAnsi="Times New Roman"/>
          <w:sz w:val="22"/>
          <w:szCs w:val="22"/>
          <w:u w:val="single" w:color="auto"/>
          <w:color w:val="auto"/>
        </w:rPr>
        <w:t>Initial Schedule 13D</w:t>
      </w:r>
      <w:r>
        <w:rPr>
          <w:rFonts w:ascii="Times New Roman" w:cs="Times New Roman" w:eastAsia="Times New Roman" w:hAnsi="Times New Roman"/>
          <w:sz w:val="22"/>
          <w:szCs w:val="22"/>
          <w:color w:val="auto"/>
        </w:rPr>
        <w:t>”) as previously amended by (ii) Amendment No. 1 to the Initial Schedule 13D filed by the Reporting Persons on May 5, 2022 (“</w:t>
      </w:r>
      <w:r>
        <w:rPr>
          <w:rFonts w:ascii="Times New Roman" w:cs="Times New Roman" w:eastAsia="Times New Roman" w:hAnsi="Times New Roman"/>
          <w:sz w:val="22"/>
          <w:szCs w:val="22"/>
          <w:u w:val="single" w:color="auto"/>
          <w:color w:val="auto"/>
        </w:rPr>
        <w:t>Amendment No. 1</w:t>
      </w:r>
      <w:r>
        <w:rPr>
          <w:rFonts w:ascii="Times New Roman" w:cs="Times New Roman" w:eastAsia="Times New Roman" w:hAnsi="Times New Roman"/>
          <w:sz w:val="22"/>
          <w:szCs w:val="22"/>
          <w:color w:val="auto"/>
        </w:rPr>
        <w:t>”), (iii) Amendment No. 2 to the Initial Schedule 13D filed by the Reporting Persons on April 28, 2023 (“</w:t>
      </w:r>
      <w:r>
        <w:rPr>
          <w:rFonts w:ascii="Times New Roman" w:cs="Times New Roman" w:eastAsia="Times New Roman" w:hAnsi="Times New Roman"/>
          <w:sz w:val="22"/>
          <w:szCs w:val="22"/>
          <w:u w:val="single" w:color="auto"/>
          <w:color w:val="auto"/>
        </w:rPr>
        <w:t>Amendment No. 2</w:t>
      </w:r>
      <w:r>
        <w:rPr>
          <w:rFonts w:ascii="Times New Roman" w:cs="Times New Roman" w:eastAsia="Times New Roman" w:hAnsi="Times New Roman"/>
          <w:sz w:val="22"/>
          <w:szCs w:val="22"/>
          <w:color w:val="auto"/>
        </w:rPr>
        <w:t>”), and (iv) Amendment No. 3 to the Initial Schedule 13D filed by the Reporting Persons on March 4, 2024 (“</w:t>
      </w:r>
      <w:r>
        <w:rPr>
          <w:rFonts w:ascii="Times New Roman" w:cs="Times New Roman" w:eastAsia="Times New Roman" w:hAnsi="Times New Roman"/>
          <w:sz w:val="22"/>
          <w:szCs w:val="22"/>
          <w:u w:val="single" w:color="auto"/>
          <w:color w:val="auto"/>
        </w:rPr>
        <w:t>Amendment No. 3</w:t>
      </w:r>
      <w:r>
        <w:rPr>
          <w:rFonts w:ascii="Times New Roman" w:cs="Times New Roman" w:eastAsia="Times New Roman" w:hAnsi="Times New Roman"/>
          <w:sz w:val="22"/>
          <w:szCs w:val="22"/>
          <w:color w:val="auto"/>
        </w:rPr>
        <w:t>”, and the Initial Schedule 13D as so amended, the “</w:t>
      </w:r>
      <w:r>
        <w:rPr>
          <w:rFonts w:ascii="Times New Roman" w:cs="Times New Roman" w:eastAsia="Times New Roman" w:hAnsi="Times New Roman"/>
          <w:sz w:val="22"/>
          <w:szCs w:val="22"/>
          <w:u w:val="single" w:color="auto"/>
          <w:color w:val="auto"/>
        </w:rPr>
        <w:t>Amended Schedule 13D</w:t>
      </w:r>
      <w:r>
        <w:rPr>
          <w:rFonts w:ascii="Times New Roman" w:cs="Times New Roman" w:eastAsia="Times New Roman" w:hAnsi="Times New Roman"/>
          <w:sz w:val="22"/>
          <w:szCs w:val="22"/>
          <w:color w:val="auto"/>
        </w:rPr>
        <w:t>”), which relates to the shares of Class A common stock, par value $0.0001 per share (“</w:t>
      </w:r>
      <w:r>
        <w:rPr>
          <w:rFonts w:ascii="Times New Roman" w:cs="Times New Roman" w:eastAsia="Times New Roman" w:hAnsi="Times New Roman"/>
          <w:sz w:val="22"/>
          <w:szCs w:val="22"/>
          <w:u w:val="single" w:color="auto"/>
          <w:color w:val="auto"/>
        </w:rPr>
        <w:t>Class A Common Stock</w:t>
      </w:r>
      <w:r>
        <w:rPr>
          <w:rFonts w:ascii="Times New Roman" w:cs="Times New Roman" w:eastAsia="Times New Roman" w:hAnsi="Times New Roman"/>
          <w:sz w:val="22"/>
          <w:szCs w:val="22"/>
          <w:color w:val="auto"/>
        </w:rPr>
        <w:t>”), of Bakkt Holdings, Inc., a Delaware corporation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Capitalized terms used and not otherwise defined in this Amendment have the same meanings ascribed to them in the Amended Schedule 13D.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Unless specifically amended hereby, the disclosure set forth in the Amended Schedule 13D remains unchanged.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Source and Amount of Funds or Other Consideration.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3 of the Amended Schedule 13D is hereby supplemented and amended to add the following information:</w:t>
      </w:r>
    </w:p>
    <w:p>
      <w:pPr>
        <w:spacing w:after="0" w:line="20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The source of the funds for ICEH’s acquisition of securities of the Issuer at the Subsequent Closing (as defined in Item 6 of this Amendment) was the working capital of the Reporting Persons.</w:t>
      </w:r>
    </w:p>
    <w:p>
      <w:pPr>
        <w:spacing w:after="0" w:line="15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Purpose of Transaction.</w:t>
      </w:r>
    </w:p>
    <w:p>
      <w:pPr>
        <w:spacing w:after="0" w:line="21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Item 4 of the Amended Schedule 13D is hereby supplemented and amended to add the information contained in Item 6 of this Amendment, which is incorporated by reference into this Item 4 as if fully set forth herein.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Interest in Securities of the Issuer.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Section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(b)</w:t>
      </w:r>
      <w:r>
        <w:rPr>
          <w:rFonts w:ascii="Times New Roman" w:cs="Times New Roman" w:eastAsia="Times New Roman" w:hAnsi="Times New Roman"/>
          <w:sz w:val="21"/>
          <w:szCs w:val="21"/>
          <w:color w:val="auto"/>
        </w:rPr>
        <w:t xml:space="preserve"> of Item 5 of the Amended Schedule 13D are hereby amended and restated in their entirety as follows:</w:t>
      </w:r>
    </w:p>
    <w:p>
      <w:pPr>
        <w:spacing w:after="0" w:line="218" w:lineRule="exact"/>
        <w:rPr>
          <w:sz w:val="20"/>
          <w:szCs w:val="20"/>
          <w:color w:val="auto"/>
        </w:rPr>
      </w:pPr>
    </w:p>
    <w:p>
      <w:pPr>
        <w:jc w:val="both"/>
        <w:ind w:firstLine="8"/>
        <w:spacing w:after="0" w:line="234" w:lineRule="auto"/>
        <w:tabs>
          <w:tab w:leader="none" w:pos="33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(b) The percentage of beneficial ownership in this Amendment is based on: (i) with respect to the total amount of securities issued and outstanding, an aggregate of 6,219,422 shares of Class A Common Stock and 7,194,941 shares of Class V Common Stock outstanding as of April 29, 2024, after giving effect to the April 2024 Reverse Stock Split (as defined in Item 6 of this Amendment), but before adjusting for any fractional shares resulting from the April 2024 Reverse Stock Split, based on information received by the Reporting Persons from the Issuer, and (ii) with respect to the securities beneficially owned by the Reporting Persons, 649,934 shares of Class A Common Stock and 6,803,178 shares of Class A Common Stock underlying the Paired Interests (consisting of 6,803,178 Bakkt Opco Common Units and 6,803,178 shares of Class V Common Stock) beneficially owned by the Reporting Persons immediately following the Subsequent Closing. All amounts of Common Stock reported by the Reporting Persons in this Amendment reflect the April 2024 Reverse Stock Split.</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6" w:name="page7"/>
    <w:bookmarkEnd w:id="6"/>
    <w:p>
      <w:pPr>
        <w:jc w:val="both"/>
        <w:spacing w:after="0" w:line="239" w:lineRule="auto"/>
        <w:rPr>
          <w:sz w:val="20"/>
          <w:szCs w:val="20"/>
          <w:color w:val="auto"/>
        </w:rPr>
      </w:pPr>
      <w:r>
        <w:rPr>
          <w:rFonts w:ascii="Times New Roman" w:cs="Times New Roman" w:eastAsia="Times New Roman" w:hAnsi="Times New Roman"/>
          <w:sz w:val="22"/>
          <w:szCs w:val="22"/>
          <w:color w:val="auto"/>
        </w:rPr>
        <w:t>The aggregate number and percentage of shares of Class A Common Stock and Class V Common Stock beneficially owned by the Reporting Persons,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Amendment and are incorporated herein by reference.</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As of the date hereof, ICEH directly holds 649,934 shares of Class A Common Stock, 6,803,178 shares of Class V Common Stock and 6,803,178 Bakkt Opco Common Units. Pursuant to the terms of the A&amp;R Exchange Agreement (as defined in Item 6 of Amendment No. 1), Bakkt Opco Common Units, when coupled with an equivalent number of shares of Class V Common Stock, may be exchanged at the discretion of the holder for shares of Class A Common Stock on a one-for-one basis (subject to adjustment as set forth in the A&amp;R Exchange Agreement), or, at the option of the Issuer, cash, subject to the following exceptions: (i) no holder of Bakkt Opco Common Units may exchange less than 1,000 Bakkt Opco Common Units in any single exchange unless exchanging all of their Bakkt Opco Common Units; and (ii) such exchange can only occur (a) upon a Permitted Exchange Event (as defined in the A&amp;R Exchange Agreement) or (b) on (1) the last trading day of the second week of the first month of each quarter, (2) the last trading day of the first month of each quarter, (3) the third full trading day occurring after the Issuer publicly announces its results for a quarter and (4) the last trading day of the second month of each quarter.</w:t>
      </w:r>
    </w:p>
    <w:p>
      <w:pPr>
        <w:spacing w:after="0" w:line="17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Pursuant to the Voting Agreement (as described in Item 6 of the Initial Schedule 13D), as long as ICEH and its affiliates hold 50% or more of the issued and outstanding shares of Common Stock, a proxy designated by the Board will vote the Excess Shares (defined in Item 6 of the Initial Schedule 13D) beneficially owned by the Reporting Persons on any Stockholder Matter (as defined in Item 6 of the Initial Schedule 13D) in the same percentages for and against such Stockholder Matter as votes were cast for and against such Stockholder Matter by all stockholders of the Issuer other than ICEH and its affiliates. The Voting Agreement does not apply to the voting of shares of Common Stock beneficially owned by ICEH and its affiliates that are not Excess Shares. The Voting Agreement also does not apply to the giving or withholding of consent or approval in respect of any matter requiring the approval of the Required Interest (as defined in Item 6 of the Initial Schedule 13D) of Bakkt Opco equity holders under the Surviving Company LLC Agreement. The Voting Agreement will terminate if the voting power represented by the shares of Common Stock beneficially owned by ICEH and its affiliates falls below 50% of the total voting power of the shares of Common Stock issued and outstanding and entitled to vote at any time.</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7" w:name="page8"/>
    <w:bookmarkEnd w:id="7"/>
    <w:p>
      <w:pPr>
        <w:spacing w:after="0" w:line="259" w:lineRule="auto"/>
        <w:rPr>
          <w:sz w:val="20"/>
          <w:szCs w:val="20"/>
          <w:color w:val="auto"/>
        </w:rPr>
      </w:pPr>
      <w:r>
        <w:rPr>
          <w:rFonts w:ascii="Times New Roman" w:cs="Times New Roman" w:eastAsia="Times New Roman" w:hAnsi="Times New Roman"/>
          <w:sz w:val="22"/>
          <w:szCs w:val="22"/>
          <w:color w:val="auto"/>
        </w:rPr>
        <w:t xml:space="preserve">To the best knowledge of the Reporting Persons, the following persons beneficially own or may be deemed to beneficially own the shares of Class A Common Stock, Class V Common Stock and Bakkt Opco Common Units set forth below: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43"/>
          <w:szCs w:val="43"/>
          <w:color w:val="auto"/>
          <w:vertAlign w:val="superscript"/>
        </w:rPr>
        <w:t>7</w:t>
      </w:r>
      <w:r>
        <w:rPr>
          <w:rFonts w:ascii="Times New Roman" w:cs="Times New Roman" w:eastAsia="Times New Roman" w:hAnsi="Times New Roman"/>
          <w:sz w:val="35"/>
          <w:szCs w:val="35"/>
          <w:color w:val="auto"/>
          <w:vertAlign w:val="superscript"/>
        </w:rPr>
        <w:t>)</w:t>
      </w:r>
    </w:p>
    <w:p>
      <w:pPr>
        <w:ind w:left="1300" w:hanging="644"/>
        <w:spacing w:after="0" w:line="187" w:lineRule="auto"/>
        <w:tabs>
          <w:tab w:leader="none" w:pos="1300" w:val="left"/>
        </w:tabs>
        <w:numPr>
          <w:ilvl w:val="0"/>
          <w:numId w:val="15"/>
        </w:numPr>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22"/>
          <w:szCs w:val="22"/>
          <w:color w:val="auto"/>
        </w:rPr>
        <w:t>Hon. Sharon Y. Bowen, Director, ICE, beneficially owns 9,701 shares of Class A Common Stock,</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43"/>
          <w:szCs w:val="43"/>
          <w:color w:val="auto"/>
          <w:vertAlign w:val="superscript"/>
        </w:rPr>
        <w:t>8</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926 shares of Class V Common Stock and 926 Bakkt Opco Common Units.</w:t>
      </w:r>
    </w:p>
    <w:p>
      <w:pPr>
        <w:spacing w:after="0" w:line="176" w:lineRule="exact"/>
        <w:rPr>
          <w:rFonts w:ascii="Times New Roman" w:cs="Times New Roman" w:eastAsia="Times New Roman" w:hAnsi="Times New Roman"/>
          <w:sz w:val="43"/>
          <w:szCs w:val="43"/>
          <w:color w:val="auto"/>
          <w:vertAlign w:val="superscript"/>
        </w:rPr>
      </w:pPr>
    </w:p>
    <w:p>
      <w:pPr>
        <w:ind w:left="1300" w:hanging="644"/>
        <w:spacing w:after="0" w:line="258" w:lineRule="auto"/>
        <w:tabs>
          <w:tab w:leader="none" w:pos="13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Thomas E. Noonan, Director, ICE, beneficially owns 529 shares of Class V Common Stock and 529 Bakkt Opco Common Units.</w:t>
      </w:r>
    </w:p>
    <w:p>
      <w:pPr>
        <w:spacing w:after="0" w:line="158"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Jeffrey C. Sprecher, Director (Chairman) and Chief Executive Officer, ICE, may be deemed to beneficially own 146,366 shares of Class V Common Stock and 146,366 Bakkt Opco Common Units, which shares and units are beneficially owned by his spouse through her holdings of vested incentive units in Bakkt Management. Mr. Sprecher disclaims beneficial ownership of the shares and units held indirectly by his spouse.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Reporting Persons specifically disclaim beneficial ownership over such shares and units held by the persons listed above.</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share ownership reported herein for the Reporting Persons does not include any securities of the Issuer held by any party to the Stockholders Agreement (as defined and described in Item 6 of the Initial Schedule 13D) other than ICEH, and each of the Reporting Persons disclaims beneficial ownership of any such securities owned by such other parties.</w:t>
      </w:r>
    </w:p>
    <w:p>
      <w:pPr>
        <w:spacing w:after="0" w:line="173" w:lineRule="exact"/>
        <w:rPr>
          <w:sz w:val="20"/>
          <w:szCs w:val="20"/>
          <w:color w:val="auto"/>
        </w:rPr>
      </w:pPr>
    </w:p>
    <w:p>
      <w:pPr>
        <w:jc w:val="both"/>
        <w:ind w:firstLine="656"/>
        <w:spacing w:after="0" w:line="244" w:lineRule="auto"/>
        <w:tabs>
          <w:tab w:leader="none" w:pos="94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ICEH’s acquisition of Class A Common Stock and the Acquired Warrants at the ICE Offering Closings (as described in Item 6 of this Amendment), the Reporting Persons have not effected any transactions in Class A Common Stock or Class V Common Stock during the past 60 days.</w:t>
      </w:r>
    </w:p>
    <w:p>
      <w:pPr>
        <w:spacing w:after="0" w:line="173" w:lineRule="exact"/>
        <w:rPr>
          <w:rFonts w:ascii="Times New Roman" w:cs="Times New Roman" w:eastAsia="Times New Roman" w:hAnsi="Times New Roman"/>
          <w:sz w:val="22"/>
          <w:szCs w:val="22"/>
          <w:color w:val="auto"/>
        </w:rPr>
      </w:pPr>
    </w:p>
    <w:p>
      <w:pPr>
        <w:ind w:firstLine="656"/>
        <w:spacing w:after="0" w:line="258" w:lineRule="auto"/>
        <w:tabs>
          <w:tab w:leader="none" w:pos="96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best knowledge of the Reporting Persons, no one other than the Reporting Persons has the right to receive or the power to direct the receipt of dividends from, or the proceeds from the sale of, the securities reported herein.</w:t>
      </w:r>
    </w:p>
    <w:p>
      <w:pPr>
        <w:spacing w:after="0" w:line="158"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2386965"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86965" cy="34290"/>
                    </a:xfrm>
                    <a:prstGeom prst="rect">
                      <a:avLst/>
                    </a:prstGeom>
                    <a:noFill/>
                  </pic:spPr>
                </pic:pic>
              </a:graphicData>
            </a:graphic>
          </wp:anchor>
        </w:drawing>
      </w:r>
    </w:p>
    <w:p>
      <w:pPr>
        <w:spacing w:after="0" w:line="317"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35"/>
          <w:szCs w:val="35"/>
          <w:color w:val="auto"/>
          <w:vertAlign w:val="superscript"/>
        </w:rPr>
        <w:t>7</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Except for the shares of Class A Common Stock beneficially owned by Ms. Bowen, the beneficial ownership information set forth herein is with respect to shares of Class V Common Stock and Bakkt Opco Common Units indirectly acquired by Ms. Bowen, Mr. Noonan, and Mr. Sprecher’s spouse in connection with the Closing in respect of incentive units held by such individuals under the Bakkt equity incentive plan in effect prior to the Closing and held directly by Bakkt Management LLC (“</w:t>
      </w:r>
      <w:r>
        <w:rPr>
          <w:rFonts w:ascii="Times New Roman" w:cs="Times New Roman" w:eastAsia="Times New Roman" w:hAnsi="Times New Roman"/>
          <w:sz w:val="18"/>
          <w:szCs w:val="18"/>
          <w:u w:val="single" w:color="auto"/>
          <w:color w:val="auto"/>
        </w:rPr>
        <w:t>Bakkt Management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760"/>
        <w:spacing w:after="0" w:line="203"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35"/>
          <w:szCs w:val="35"/>
          <w:color w:val="auto"/>
          <w:vertAlign w:val="superscript"/>
        </w:rPr>
        <w:t>8</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Includes 5,714 shares of Class A Common Stock underlying 5,714 unvested restricted stock units which vest within 60 days of the date of this Amendment.</w:t>
      </w:r>
    </w:p>
    <w:p>
      <w:pPr>
        <w:spacing w:after="0" w:line="1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8" w:name="page9"/>
    <w:bookmarkEnd w:id="8"/>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Contracts, Arrangements, Understandings or Relationships with Respect to Securities of the Issuer.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 of the Amended Schedule 13D is hereby supplemented and amended to add: (i) the information contained in Item 5 of this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Amendment, which is incorporated by reference into this Item 6 as if fully set forth herein; and (ii) the following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Subsequent Closing under the Securities Purchase Agreement</w:t>
      </w:r>
    </w:p>
    <w:p>
      <w:pPr>
        <w:spacing w:after="0" w:line="21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On April 25, 2024, in accordance with the February 2024 Purchase Agreement, ICEH acquired the remaining 8,772,016 shares (which were converted into 350,880 shares as a result of the April 2024 Reverse Stock Split) of Class A Common Stock, Class 1 Warrants to purchase up to 4,386,008 shares (which were converted into 175,440 shares as a result of the April 2024 Reverse Stock Split) of Class A Common Stock (the “</w:t>
      </w:r>
      <w:r>
        <w:rPr>
          <w:rFonts w:ascii="Times New Roman" w:cs="Times New Roman" w:eastAsia="Times New Roman" w:hAnsi="Times New Roman"/>
          <w:sz w:val="22"/>
          <w:szCs w:val="22"/>
          <w:u w:val="single" w:color="auto"/>
          <w:color w:val="auto"/>
        </w:rPr>
        <w:t>Subsequent Closing Class 1 Warrants</w:t>
      </w:r>
      <w:r>
        <w:rPr>
          <w:rFonts w:ascii="Times New Roman" w:cs="Times New Roman" w:eastAsia="Times New Roman" w:hAnsi="Times New Roman"/>
          <w:sz w:val="22"/>
          <w:szCs w:val="22"/>
          <w:color w:val="auto"/>
        </w:rPr>
        <w:t>”) and Class 2 Warrants to purchase up to 4,386,008 shares (which were converted into 175,440 shares as a result of the April 2024 Reverse Stock Split) of Class A Common Stock (the “</w:t>
      </w:r>
      <w:r>
        <w:rPr>
          <w:rFonts w:ascii="Times New Roman" w:cs="Times New Roman" w:eastAsia="Times New Roman" w:hAnsi="Times New Roman"/>
          <w:sz w:val="22"/>
          <w:szCs w:val="22"/>
          <w:u w:val="single" w:color="auto"/>
          <w:color w:val="auto"/>
        </w:rPr>
        <w:t>Subsequent Closing Class 2 Warrants</w:t>
      </w:r>
      <w:r>
        <w:rPr>
          <w:rFonts w:ascii="Times New Roman" w:cs="Times New Roman" w:eastAsia="Times New Roman" w:hAnsi="Times New Roman"/>
          <w:sz w:val="22"/>
          <w:szCs w:val="22"/>
          <w:color w:val="auto"/>
        </w:rPr>
        <w:t>” and, together with the Subsequent Closing Class 1 Warrants, the “</w:t>
      </w:r>
      <w:r>
        <w:rPr>
          <w:rFonts w:ascii="Times New Roman" w:cs="Times New Roman" w:eastAsia="Times New Roman" w:hAnsi="Times New Roman"/>
          <w:sz w:val="22"/>
          <w:szCs w:val="22"/>
          <w:u w:val="single" w:color="auto"/>
          <w:color w:val="auto"/>
        </w:rPr>
        <w:t>Subsequent Closing Warrants</w:t>
      </w:r>
      <w:r>
        <w:rPr>
          <w:rFonts w:ascii="Times New Roman" w:cs="Times New Roman" w:eastAsia="Times New Roman" w:hAnsi="Times New Roman"/>
          <w:sz w:val="22"/>
          <w:szCs w:val="22"/>
          <w:color w:val="auto"/>
        </w:rPr>
        <w:t>” and, the Subsequent Closing Warrants together with the Initial Closing Warrants, the “</w:t>
      </w:r>
      <w:r>
        <w:rPr>
          <w:rFonts w:ascii="Times New Roman" w:cs="Times New Roman" w:eastAsia="Times New Roman" w:hAnsi="Times New Roman"/>
          <w:sz w:val="22"/>
          <w:szCs w:val="22"/>
          <w:u w:val="single" w:color="auto"/>
          <w:color w:val="auto"/>
        </w:rPr>
        <w:t>Acquired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Warrants</w:t>
      </w:r>
      <w:r>
        <w:rPr>
          <w:rFonts w:ascii="Times New Roman" w:cs="Times New Roman" w:eastAsia="Times New Roman" w:hAnsi="Times New Roman"/>
          <w:sz w:val="22"/>
          <w:szCs w:val="22"/>
          <w:color w:val="auto"/>
        </w:rPr>
        <w:t>”) to be sold and issued by the Issuer pursuant to the ICE Offering for an aggregate purchase price of $7,605,337.87 (the “</w:t>
      </w:r>
      <w:r>
        <w:rPr>
          <w:rFonts w:ascii="Times New Roman" w:cs="Times New Roman" w:eastAsia="Times New Roman" w:hAnsi="Times New Roman"/>
          <w:sz w:val="22"/>
          <w:szCs w:val="22"/>
          <w:u w:val="single" w:color="auto"/>
          <w:color w:val="auto"/>
        </w:rPr>
        <w:t>Subsequent Closing</w:t>
      </w:r>
      <w:r>
        <w:rPr>
          <w:rFonts w:ascii="Times New Roman" w:cs="Times New Roman" w:eastAsia="Times New Roman" w:hAnsi="Times New Roman"/>
          <w:sz w:val="22"/>
          <w:szCs w:val="22"/>
          <w:color w:val="auto"/>
        </w:rPr>
        <w:t>” and, together with the Initial Closing, the “</w:t>
      </w:r>
      <w:r>
        <w:rPr>
          <w:rFonts w:ascii="Times New Roman" w:cs="Times New Roman" w:eastAsia="Times New Roman" w:hAnsi="Times New Roman"/>
          <w:sz w:val="22"/>
          <w:szCs w:val="22"/>
          <w:u w:val="single" w:color="auto"/>
          <w:color w:val="auto"/>
        </w:rPr>
        <w:t>ICE Offering Closings</w:t>
      </w:r>
      <w:r>
        <w:rPr>
          <w:rFonts w:ascii="Times New Roman" w:cs="Times New Roman" w:eastAsia="Times New Roman" w:hAnsi="Times New Roman"/>
          <w:sz w:val="22"/>
          <w:szCs w:val="22"/>
          <w:color w:val="auto"/>
        </w:rPr>
        <w:t>”). The Subsequent Closing Warrants have identical terms to the Initial Closing Warrants. The exercise price of the Acquired Warrants was increased to $25.50 per share as a result of the April 2024 Reverse Stock Split.</w:t>
      </w:r>
    </w:p>
    <w:p>
      <w:pPr>
        <w:spacing w:after="0" w:line="1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foregoing descriptions of the Subsequent Closing Class 1 Warrants and the Subsequent Closing Class 2 Warrants are not complete and are qualified in their entirety by reference to the full text thereof, copies of which are filed as Exhibits 99.19 and 99.20 to this Amendment and are incorporated by reference herein.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Amendment to Surviving Company LLC Agreement</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1-for-25 reverse stock split effected by the Issuer on April 26, 2024 (the “</w:t>
      </w:r>
      <w:r>
        <w:rPr>
          <w:rFonts w:ascii="Times New Roman" w:cs="Times New Roman" w:eastAsia="Times New Roman" w:hAnsi="Times New Roman"/>
          <w:sz w:val="22"/>
          <w:szCs w:val="22"/>
          <w:u w:val="single" w:color="auto"/>
          <w:color w:val="auto"/>
        </w:rPr>
        <w:t>April 2024 Reverse Stock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Split</w:t>
      </w:r>
      <w:r>
        <w:rPr>
          <w:rFonts w:ascii="Times New Roman" w:cs="Times New Roman" w:eastAsia="Times New Roman" w:hAnsi="Times New Roman"/>
          <w:sz w:val="22"/>
          <w:szCs w:val="22"/>
          <w:color w:val="auto"/>
        </w:rPr>
        <w:t>”), on April 26, 2024, ICEH entered into an amendment to the Surviving Company LLC Agreement (the “</w:t>
      </w:r>
      <w:r>
        <w:rPr>
          <w:rFonts w:ascii="Times New Roman" w:cs="Times New Roman" w:eastAsia="Times New Roman" w:hAnsi="Times New Roman"/>
          <w:sz w:val="22"/>
          <w:szCs w:val="22"/>
          <w:u w:val="single" w:color="auto"/>
          <w:color w:val="auto"/>
        </w:rPr>
        <w:t>Surviving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Company LLC Agreement Amendment</w:t>
      </w:r>
      <w:r>
        <w:rPr>
          <w:rFonts w:ascii="Times New Roman" w:cs="Times New Roman" w:eastAsia="Times New Roman" w:hAnsi="Times New Roman"/>
          <w:sz w:val="22"/>
          <w:szCs w:val="22"/>
          <w:color w:val="auto"/>
        </w:rPr>
        <w:t>”) with the Issuer, pursuant to which a corresponding reduction to the number of outstanding Bakkt Opco Common Units was memorialized.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The foregoing description of the Surviving Company LLC Agreement Amendment is not complete and is qualified in its entirety by reference to the full text of the Surviving Company LLC Agreement Amendment, a copy of which was filed as Exhibit 4.1 to the Issuer’s Current Report on Form 8-K filed on April 29, 2024, and is incorporated by reference herein as Exhibit 99.21.</w:t>
      </w:r>
    </w:p>
    <w:p>
      <w:pPr>
        <w:spacing w:after="0" w:line="1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86"/>
        </w:trPr>
        <w:tc>
          <w:tcPr>
            <w:tcW w:w="130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9940" w:type="dxa"/>
            <w:vAlign w:val="bottom"/>
            <w:gridSpan w:val="37"/>
          </w:tcPr>
          <w:p>
            <w:pPr>
              <w:spacing w:after="0"/>
              <w:rPr>
                <w:sz w:val="20"/>
                <w:szCs w:val="20"/>
                <w:color w:val="auto"/>
              </w:rPr>
            </w:pPr>
            <w:r>
              <w:rPr>
                <w:rFonts w:ascii="Times New Roman" w:cs="Times New Roman" w:eastAsia="Times New Roman" w:hAnsi="Times New Roman"/>
                <w:sz w:val="22"/>
                <w:szCs w:val="22"/>
                <w:b w:val="1"/>
                <w:bCs w:val="1"/>
                <w:color w:val="auto"/>
              </w:rPr>
              <w:t>Materials to be Filed as Exhibits.</w:t>
            </w:r>
          </w:p>
        </w:tc>
        <w:tc>
          <w:tcPr>
            <w:tcW w:w="0" w:type="dxa"/>
            <w:vAlign w:val="bottom"/>
          </w:tcPr>
          <w:p>
            <w:pPr>
              <w:spacing w:after="0"/>
              <w:rPr>
                <w:sz w:val="1"/>
                <w:szCs w:val="1"/>
                <w:color w:val="auto"/>
              </w:rPr>
            </w:pPr>
          </w:p>
        </w:tc>
      </w:tr>
      <w:tr>
        <w:trPr>
          <w:trHeight w:val="231"/>
        </w:trPr>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auto"/>
                <w:w w:val="96"/>
              </w:rPr>
              <w:t>Exhibit 99.1*</w:t>
            </w:r>
          </w:p>
        </w:tc>
        <w:tc>
          <w:tcPr>
            <w:tcW w:w="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100" w:type="dxa"/>
            <w:vAlign w:val="bottom"/>
            <w:tcBorders>
              <w:right w:val="single" w:sz="8" w:color="auto"/>
            </w:tcBorders>
            <w:gridSpan w:val="35"/>
          </w:tcPr>
          <w:p>
            <w:pPr>
              <w:spacing w:after="0" w:line="196" w:lineRule="exact"/>
              <w:rPr>
                <w:rFonts w:ascii="Times New Roman" w:cs="Times New Roman" w:eastAsia="Times New Roman" w:hAnsi="Times New Roman"/>
                <w:sz w:val="22"/>
                <w:szCs w:val="22"/>
                <w:color w:val="0000EE"/>
              </w:rPr>
            </w:pPr>
            <w:hyperlink r:id="rId29">
              <w:r>
                <w:rPr>
                  <w:rFonts w:ascii="Times New Roman" w:cs="Times New Roman" w:eastAsia="Times New Roman" w:hAnsi="Times New Roman"/>
                  <w:sz w:val="22"/>
                  <w:szCs w:val="22"/>
                  <w:color w:val="0000EE"/>
                </w:rPr>
                <w:t>Joint Filing Agreement, dated as of October 21, 2021, by and among the Reporting Persons</w:t>
              </w:r>
            </w:hyperlink>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0" w:type="dxa"/>
            <w:vAlign w:val="bottom"/>
            <w:vMerge w:val="continue"/>
          </w:tcPr>
          <w:p>
            <w:pPr>
              <w:spacing w:after="0"/>
              <w:rPr>
                <w:sz w:val="19"/>
                <w:szCs w:val="19"/>
                <w:color w:val="auto"/>
              </w:rPr>
            </w:pPr>
          </w:p>
        </w:tc>
        <w:tc>
          <w:tcPr>
            <w:tcW w:w="9100" w:type="dxa"/>
            <w:vAlign w:val="bottom"/>
            <w:tcBorders>
              <w:right w:val="single" w:sz="8" w:color="auto"/>
            </w:tcBorders>
            <w:gridSpan w:val="35"/>
          </w:tcPr>
          <w:p>
            <w:pPr>
              <w:spacing w:after="0" w:line="223" w:lineRule="exact"/>
              <w:rPr>
                <w:rFonts w:ascii="Times New Roman" w:cs="Times New Roman" w:eastAsia="Times New Roman" w:hAnsi="Times New Roman"/>
                <w:sz w:val="22"/>
                <w:szCs w:val="22"/>
                <w:color w:val="0000EE"/>
              </w:rPr>
            </w:pPr>
            <w:hyperlink r:id="rId29">
              <w:r>
                <w:rPr>
                  <w:rFonts w:ascii="Times New Roman" w:cs="Times New Roman" w:eastAsia="Times New Roman" w:hAnsi="Times New Roman"/>
                  <w:sz w:val="22"/>
                  <w:szCs w:val="22"/>
                  <w:color w:val="0000EE"/>
                </w:rPr>
                <w:t>(incorporated by reference to Exhibit 99.1 to the Schedule 13D filed by the Reporting Persons with the</w:t>
              </w:r>
            </w:hyperlink>
          </w:p>
        </w:tc>
        <w:tc>
          <w:tcPr>
            <w:tcW w:w="0" w:type="dxa"/>
            <w:vAlign w:val="bottom"/>
          </w:tcPr>
          <w:p>
            <w:pPr>
              <w:spacing w:after="0"/>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960" w:type="dxa"/>
            <w:vAlign w:val="bottom"/>
            <w:tcBorders>
              <w:top w:val="single" w:sz="8" w:color="0000EE"/>
            </w:tcBorders>
            <w:gridSpan w:val="30"/>
          </w:tcPr>
          <w:p>
            <w:pPr>
              <w:spacing w:after="0" w:line="223" w:lineRule="exact"/>
              <w:rPr>
                <w:rFonts w:ascii="Times New Roman" w:cs="Times New Roman" w:eastAsia="Times New Roman" w:hAnsi="Times New Roman"/>
                <w:sz w:val="22"/>
                <w:szCs w:val="22"/>
                <w:color w:val="0000EE"/>
              </w:rPr>
            </w:pPr>
            <w:hyperlink r:id="rId29">
              <w:r>
                <w:rPr>
                  <w:rFonts w:ascii="Times New Roman" w:cs="Times New Roman" w:eastAsia="Times New Roman" w:hAnsi="Times New Roman"/>
                  <w:sz w:val="22"/>
                  <w:szCs w:val="22"/>
                  <w:color w:val="0000EE"/>
                </w:rPr>
                <w:t>SEC on October 21, 2021).</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auto"/>
              </w:rPr>
              <w:t>Exhibit 99.2</w:t>
            </w:r>
          </w:p>
        </w:tc>
        <w:tc>
          <w:tcPr>
            <w:tcW w:w="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100" w:type="dxa"/>
            <w:vAlign w:val="bottom"/>
            <w:tcBorders>
              <w:right w:val="single" w:sz="8" w:color="auto"/>
            </w:tcBorders>
            <w:gridSpan w:val="35"/>
          </w:tcPr>
          <w:p>
            <w:pPr>
              <w:spacing w:after="0" w:line="196" w:lineRule="exact"/>
              <w:rPr>
                <w:rFonts w:ascii="Times New Roman" w:cs="Times New Roman" w:eastAsia="Times New Roman" w:hAnsi="Times New Roman"/>
                <w:sz w:val="22"/>
                <w:szCs w:val="22"/>
                <w:color w:val="0000EE"/>
              </w:rPr>
            </w:pPr>
            <w:hyperlink r:id="rId30">
              <w:r>
                <w:rPr>
                  <w:rFonts w:ascii="Times New Roman" w:cs="Times New Roman" w:eastAsia="Times New Roman" w:hAnsi="Times New Roman"/>
                  <w:sz w:val="22"/>
                  <w:szCs w:val="22"/>
                  <w:color w:val="0000EE"/>
                </w:rPr>
                <w:t>Agreement and Plan of Merger (incorporated by reference to Exhibit 2.1 to the Issuer’s Current Report</w:t>
              </w:r>
            </w:hyperlink>
          </w:p>
        </w:tc>
        <w:tc>
          <w:tcPr>
            <w:tcW w:w="0" w:type="dxa"/>
            <w:vAlign w:val="bottom"/>
          </w:tcPr>
          <w:p>
            <w:pPr>
              <w:spacing w:after="0"/>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940" w:type="dxa"/>
            <w:vAlign w:val="bottom"/>
            <w:tcBorders>
              <w:top w:val="single" w:sz="8" w:color="0000EE"/>
            </w:tcBorders>
            <w:gridSpan w:val="29"/>
          </w:tcPr>
          <w:p>
            <w:pPr>
              <w:spacing w:after="0" w:line="223" w:lineRule="exact"/>
              <w:rPr>
                <w:rFonts w:ascii="Times New Roman" w:cs="Times New Roman" w:eastAsia="Times New Roman" w:hAnsi="Times New Roman"/>
                <w:sz w:val="22"/>
                <w:szCs w:val="22"/>
                <w:color w:val="0000EE"/>
              </w:rPr>
            </w:pPr>
            <w:hyperlink r:id="rId30">
              <w:r>
                <w:rPr>
                  <w:rFonts w:ascii="Times New Roman" w:cs="Times New Roman" w:eastAsia="Times New Roman" w:hAnsi="Times New Roman"/>
                  <w:sz w:val="22"/>
                  <w:szCs w:val="22"/>
                  <w:color w:val="0000EE"/>
                </w:rPr>
                <w:t>on Form 8-K filed on January 11, 2021).</w:t>
              </w:r>
            </w:hyperlink>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auto"/>
              </w:rPr>
              <w:t>Exhibit 99.3</w:t>
            </w:r>
          </w:p>
        </w:tc>
        <w:tc>
          <w:tcPr>
            <w:tcW w:w="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100" w:type="dxa"/>
            <w:vAlign w:val="bottom"/>
            <w:tcBorders>
              <w:right w:val="single" w:sz="8" w:color="auto"/>
            </w:tcBorders>
            <w:gridSpan w:val="35"/>
          </w:tcPr>
          <w:p>
            <w:pPr>
              <w:spacing w:after="0" w:line="196" w:lineRule="exact"/>
              <w:rPr>
                <w:rFonts w:ascii="Times New Roman" w:cs="Times New Roman" w:eastAsia="Times New Roman" w:hAnsi="Times New Roman"/>
                <w:sz w:val="22"/>
                <w:szCs w:val="22"/>
                <w:color w:val="0000EE"/>
              </w:rPr>
            </w:pPr>
            <w:hyperlink r:id="rId31">
              <w:r>
                <w:rPr>
                  <w:rFonts w:ascii="Times New Roman" w:cs="Times New Roman" w:eastAsia="Times New Roman" w:hAnsi="Times New Roman"/>
                  <w:sz w:val="22"/>
                  <w:szCs w:val="22"/>
                  <w:color w:val="0000EE"/>
                </w:rPr>
                <w:t>Amendment to Agreement and Plan of Merger (incorporated by reference to Exhibit 2.1 to the Issuer’s</w:t>
              </w:r>
            </w:hyperlink>
          </w:p>
        </w:tc>
        <w:tc>
          <w:tcPr>
            <w:tcW w:w="0" w:type="dxa"/>
            <w:vAlign w:val="bottom"/>
          </w:tcPr>
          <w:p>
            <w:pPr>
              <w:spacing w:after="0"/>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900" w:type="dxa"/>
            <w:vAlign w:val="bottom"/>
            <w:tcBorders>
              <w:top w:val="single" w:sz="8" w:color="0000EE"/>
            </w:tcBorders>
            <w:gridSpan w:val="27"/>
          </w:tcPr>
          <w:p>
            <w:pPr>
              <w:spacing w:after="0" w:line="223" w:lineRule="exact"/>
              <w:rPr>
                <w:rFonts w:ascii="Times New Roman" w:cs="Times New Roman" w:eastAsia="Times New Roman" w:hAnsi="Times New Roman"/>
                <w:sz w:val="22"/>
                <w:szCs w:val="22"/>
                <w:color w:val="0000EE"/>
              </w:rPr>
            </w:pPr>
            <w:hyperlink r:id="rId31">
              <w:r>
                <w:rPr>
                  <w:rFonts w:ascii="Times New Roman" w:cs="Times New Roman" w:eastAsia="Times New Roman" w:hAnsi="Times New Roman"/>
                  <w:sz w:val="22"/>
                  <w:szCs w:val="22"/>
                  <w:color w:val="0000EE"/>
                </w:rPr>
                <w:t>Current Report on Form 8-K filed on March 31, 2021).</w:t>
              </w:r>
            </w:hyperlink>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auto"/>
              </w:rPr>
              <w:t>Exhibit 99.4</w:t>
            </w:r>
          </w:p>
        </w:tc>
        <w:tc>
          <w:tcPr>
            <w:tcW w:w="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100" w:type="dxa"/>
            <w:vAlign w:val="bottom"/>
            <w:tcBorders>
              <w:right w:val="single" w:sz="8" w:color="auto"/>
            </w:tcBorders>
            <w:gridSpan w:val="35"/>
          </w:tcPr>
          <w:p>
            <w:pPr>
              <w:spacing w:after="0" w:line="196" w:lineRule="exact"/>
              <w:rPr>
                <w:rFonts w:ascii="Times New Roman" w:cs="Times New Roman" w:eastAsia="Times New Roman" w:hAnsi="Times New Roman"/>
                <w:sz w:val="22"/>
                <w:szCs w:val="22"/>
                <w:color w:val="0000EE"/>
              </w:rPr>
            </w:pPr>
            <w:hyperlink r:id="rId32">
              <w:r>
                <w:rPr>
                  <w:rFonts w:ascii="Times New Roman" w:cs="Times New Roman" w:eastAsia="Times New Roman" w:hAnsi="Times New Roman"/>
                  <w:sz w:val="22"/>
                  <w:szCs w:val="22"/>
                  <w:color w:val="0000EE"/>
                </w:rPr>
                <w:t>Amendment to Agreement and Plan of Merger (incorporated by reference to Exhibit 2.1 to the Issuer’s</w:t>
              </w:r>
            </w:hyperlink>
          </w:p>
        </w:tc>
        <w:tc>
          <w:tcPr>
            <w:tcW w:w="0" w:type="dxa"/>
            <w:vAlign w:val="bottom"/>
          </w:tcPr>
          <w:p>
            <w:pPr>
              <w:spacing w:after="0"/>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900" w:type="dxa"/>
            <w:vAlign w:val="bottom"/>
            <w:tcBorders>
              <w:top w:val="single" w:sz="8" w:color="0000EE"/>
            </w:tcBorders>
            <w:gridSpan w:val="27"/>
          </w:tcPr>
          <w:p>
            <w:pPr>
              <w:spacing w:after="0" w:line="223" w:lineRule="exact"/>
              <w:rPr>
                <w:rFonts w:ascii="Times New Roman" w:cs="Times New Roman" w:eastAsia="Times New Roman" w:hAnsi="Times New Roman"/>
                <w:sz w:val="22"/>
                <w:szCs w:val="22"/>
                <w:color w:val="0000EE"/>
              </w:rPr>
            </w:pPr>
            <w:hyperlink r:id="rId32">
              <w:r>
                <w:rPr>
                  <w:rFonts w:ascii="Times New Roman" w:cs="Times New Roman" w:eastAsia="Times New Roman" w:hAnsi="Times New Roman"/>
                  <w:sz w:val="22"/>
                  <w:szCs w:val="22"/>
                  <w:color w:val="0000EE"/>
                </w:rPr>
                <w:t>Current Report on Form 8-K filed on September 30, 2021).</w:t>
              </w:r>
            </w:hyperlink>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auto"/>
              </w:rPr>
              <w:t>Exhibit 99.5</w:t>
            </w:r>
          </w:p>
        </w:tc>
        <w:tc>
          <w:tcPr>
            <w:tcW w:w="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100" w:type="dxa"/>
            <w:vAlign w:val="bottom"/>
            <w:tcBorders>
              <w:right w:val="single" w:sz="8" w:color="auto"/>
            </w:tcBorders>
            <w:gridSpan w:val="35"/>
          </w:tcPr>
          <w:p>
            <w:pPr>
              <w:spacing w:after="0" w:line="196" w:lineRule="exact"/>
              <w:rPr>
                <w:rFonts w:ascii="Times New Roman" w:cs="Times New Roman" w:eastAsia="Times New Roman" w:hAnsi="Times New Roman"/>
                <w:sz w:val="22"/>
                <w:szCs w:val="22"/>
                <w:color w:val="0000EE"/>
              </w:rPr>
            </w:pPr>
            <w:hyperlink r:id="rId33">
              <w:r>
                <w:rPr>
                  <w:rFonts w:ascii="Times New Roman" w:cs="Times New Roman" w:eastAsia="Times New Roman" w:hAnsi="Times New Roman"/>
                  <w:sz w:val="22"/>
                  <w:szCs w:val="22"/>
                  <w:color w:val="0000EE"/>
                </w:rPr>
                <w:t>Certificate of Incorporation of the Issuer (incorporated by reference to Exhibit 3.1 to the Issuer’s</w:t>
              </w:r>
            </w:hyperlink>
          </w:p>
        </w:tc>
        <w:tc>
          <w:tcPr>
            <w:tcW w:w="0" w:type="dxa"/>
            <w:vAlign w:val="bottom"/>
          </w:tcPr>
          <w:p>
            <w:pPr>
              <w:spacing w:after="0"/>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340" w:type="dxa"/>
            <w:vAlign w:val="bottom"/>
            <w:tcBorders>
              <w:top w:val="single" w:sz="8" w:color="0000EE"/>
            </w:tcBorders>
            <w:gridSpan w:val="21"/>
          </w:tcPr>
          <w:p>
            <w:pPr>
              <w:spacing w:after="0" w:line="223" w:lineRule="exact"/>
              <w:rPr>
                <w:rFonts w:ascii="Times New Roman" w:cs="Times New Roman" w:eastAsia="Times New Roman" w:hAnsi="Times New Roman"/>
                <w:sz w:val="22"/>
                <w:szCs w:val="22"/>
                <w:color w:val="0000EE"/>
              </w:rPr>
            </w:pPr>
            <w:hyperlink r:id="rId33">
              <w:r>
                <w:rPr>
                  <w:rFonts w:ascii="Times New Roman" w:cs="Times New Roman" w:eastAsia="Times New Roman" w:hAnsi="Times New Roman"/>
                  <w:sz w:val="22"/>
                  <w:szCs w:val="22"/>
                  <w:color w:val="0000EE"/>
                </w:rPr>
                <w:t>Current Report on Form 8-K filed on October 21, 2021).</w:t>
              </w:r>
            </w:hyperlink>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auto"/>
              </w:rPr>
              <w:t>Exhibit 99.6</w:t>
            </w:r>
          </w:p>
        </w:tc>
        <w:tc>
          <w:tcPr>
            <w:tcW w:w="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100" w:type="dxa"/>
            <w:vAlign w:val="bottom"/>
            <w:tcBorders>
              <w:right w:val="single" w:sz="8" w:color="auto"/>
            </w:tcBorders>
            <w:gridSpan w:val="35"/>
          </w:tcPr>
          <w:p>
            <w:pPr>
              <w:spacing w:after="0" w:line="196" w:lineRule="exact"/>
              <w:rPr>
                <w:rFonts w:ascii="Times New Roman" w:cs="Times New Roman" w:eastAsia="Times New Roman" w:hAnsi="Times New Roman"/>
                <w:sz w:val="22"/>
                <w:szCs w:val="22"/>
                <w:color w:val="0000EE"/>
                <w:w w:val="99"/>
              </w:rPr>
            </w:pPr>
            <w:hyperlink r:id="rId34">
              <w:r>
                <w:rPr>
                  <w:rFonts w:ascii="Times New Roman" w:cs="Times New Roman" w:eastAsia="Times New Roman" w:hAnsi="Times New Roman"/>
                  <w:sz w:val="22"/>
                  <w:szCs w:val="22"/>
                  <w:color w:val="0000EE"/>
                  <w:w w:val="99"/>
                </w:rPr>
                <w:t>Exchange Agreement (incorporated by reference to Exhibit 10.4 to the Issuer’s Current Report on Form</w:t>
              </w:r>
            </w:hyperlink>
          </w:p>
        </w:tc>
        <w:tc>
          <w:tcPr>
            <w:tcW w:w="0" w:type="dxa"/>
            <w:vAlign w:val="bottom"/>
          </w:tcPr>
          <w:p>
            <w:pPr>
              <w:spacing w:after="0"/>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040" w:type="dxa"/>
            <w:vAlign w:val="bottom"/>
            <w:tcBorders>
              <w:top w:val="single" w:sz="8" w:color="0000EE"/>
            </w:tcBorders>
            <w:gridSpan w:val="34"/>
          </w:tcPr>
          <w:p>
            <w:pPr>
              <w:spacing w:after="0" w:line="223" w:lineRule="exact"/>
              <w:rPr>
                <w:rFonts w:ascii="Times New Roman" w:cs="Times New Roman" w:eastAsia="Times New Roman" w:hAnsi="Times New Roman"/>
                <w:sz w:val="22"/>
                <w:szCs w:val="22"/>
                <w:color w:val="0000EE"/>
              </w:rPr>
            </w:pPr>
            <w:hyperlink r:id="rId34">
              <w:r>
                <w:rPr>
                  <w:rFonts w:ascii="Times New Roman" w:cs="Times New Roman" w:eastAsia="Times New Roman" w:hAnsi="Times New Roman"/>
                  <w:sz w:val="22"/>
                  <w:szCs w:val="22"/>
                  <w:color w:val="0000EE"/>
                </w:rPr>
                <w:t>8-K filed on October 21, 2021).</w:t>
              </w:r>
            </w:hyperlink>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auto"/>
              </w:rPr>
              <w:t>Exhibit 99.7</w:t>
            </w:r>
          </w:p>
        </w:tc>
        <w:tc>
          <w:tcPr>
            <w:tcW w:w="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100" w:type="dxa"/>
            <w:vAlign w:val="bottom"/>
            <w:tcBorders>
              <w:right w:val="single" w:sz="8" w:color="auto"/>
            </w:tcBorders>
            <w:gridSpan w:val="35"/>
          </w:tcPr>
          <w:p>
            <w:pPr>
              <w:spacing w:after="0" w:line="196" w:lineRule="exact"/>
              <w:rPr>
                <w:rFonts w:ascii="Times New Roman" w:cs="Times New Roman" w:eastAsia="Times New Roman" w:hAnsi="Times New Roman"/>
                <w:sz w:val="22"/>
                <w:szCs w:val="22"/>
                <w:color w:val="0000EE"/>
              </w:rPr>
            </w:pPr>
            <w:hyperlink r:id="rId35">
              <w:r>
                <w:rPr>
                  <w:rFonts w:ascii="Times New Roman" w:cs="Times New Roman" w:eastAsia="Times New Roman" w:hAnsi="Times New Roman"/>
                  <w:sz w:val="22"/>
                  <w:szCs w:val="22"/>
                  <w:color w:val="0000EE"/>
                </w:rPr>
                <w:t>Amended and Restated Limited Liability Company Agreement (incorporated by reference to</w:t>
              </w:r>
            </w:hyperlink>
          </w:p>
        </w:tc>
        <w:tc>
          <w:tcPr>
            <w:tcW w:w="0" w:type="dxa"/>
            <w:vAlign w:val="bottom"/>
          </w:tcPr>
          <w:p>
            <w:pPr>
              <w:spacing w:after="0"/>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20" w:type="dxa"/>
            <w:vAlign w:val="bottom"/>
            <w:tcBorders>
              <w:top w:val="single" w:sz="8" w:color="0000EE"/>
            </w:tcBorders>
            <w:gridSpan w:val="19"/>
          </w:tcPr>
          <w:p>
            <w:pPr>
              <w:spacing w:after="0" w:line="223" w:lineRule="exact"/>
              <w:rPr>
                <w:rFonts w:ascii="Times New Roman" w:cs="Times New Roman" w:eastAsia="Times New Roman" w:hAnsi="Times New Roman"/>
                <w:sz w:val="22"/>
                <w:szCs w:val="22"/>
                <w:color w:val="0000EE"/>
              </w:rPr>
            </w:pPr>
            <w:hyperlink r:id="rId35">
              <w:r>
                <w:rPr>
                  <w:rFonts w:ascii="Times New Roman" w:cs="Times New Roman" w:eastAsia="Times New Roman" w:hAnsi="Times New Roman"/>
                  <w:sz w:val="22"/>
                  <w:szCs w:val="22"/>
                  <w:color w:val="0000EE"/>
                </w:rPr>
                <w:t>Exhibit 4.3 to the Issuer’s Current Report on Form 8-K filed on October 21, 2021).</w:t>
              </w:r>
            </w:hyperlink>
          </w:p>
        </w:tc>
        <w:tc>
          <w:tcPr>
            <w:tcW w:w="8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9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auto"/>
              </w:rPr>
              <w:t>Exhibit 99.8</w:t>
            </w:r>
          </w:p>
        </w:tc>
        <w:tc>
          <w:tcPr>
            <w:tcW w:w="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100" w:type="dxa"/>
            <w:vAlign w:val="bottom"/>
            <w:tcBorders>
              <w:right w:val="single" w:sz="8" w:color="auto"/>
            </w:tcBorders>
            <w:gridSpan w:val="35"/>
          </w:tcPr>
          <w:p>
            <w:pPr>
              <w:spacing w:after="0" w:line="196" w:lineRule="exact"/>
              <w:rPr>
                <w:rFonts w:ascii="Times New Roman" w:cs="Times New Roman" w:eastAsia="Times New Roman" w:hAnsi="Times New Roman"/>
                <w:sz w:val="22"/>
                <w:szCs w:val="22"/>
                <w:color w:val="0000EE"/>
                <w:w w:val="99"/>
              </w:rPr>
            </w:pPr>
            <w:hyperlink r:id="rId36">
              <w:r>
                <w:rPr>
                  <w:rFonts w:ascii="Times New Roman" w:cs="Times New Roman" w:eastAsia="Times New Roman" w:hAnsi="Times New Roman"/>
                  <w:sz w:val="22"/>
                  <w:szCs w:val="22"/>
                  <w:color w:val="0000EE"/>
                  <w:w w:val="99"/>
                </w:rPr>
                <w:t>Voting Agreement (incorporated by reference to Exhibit 10.3 to the Issuer’s Current Report on Form 8-</w:t>
              </w:r>
            </w:hyperlink>
          </w:p>
        </w:tc>
        <w:tc>
          <w:tcPr>
            <w:tcW w:w="0" w:type="dxa"/>
            <w:vAlign w:val="bottom"/>
          </w:tcPr>
          <w:p>
            <w:pPr>
              <w:spacing w:after="0"/>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980" w:type="dxa"/>
            <w:vAlign w:val="bottom"/>
            <w:tcBorders>
              <w:top w:val="single" w:sz="8" w:color="0000EE"/>
            </w:tcBorders>
            <w:gridSpan w:val="31"/>
          </w:tcPr>
          <w:p>
            <w:pPr>
              <w:spacing w:after="0" w:line="223" w:lineRule="exact"/>
              <w:rPr>
                <w:rFonts w:ascii="Times New Roman" w:cs="Times New Roman" w:eastAsia="Times New Roman" w:hAnsi="Times New Roman"/>
                <w:sz w:val="22"/>
                <w:szCs w:val="22"/>
                <w:color w:val="0000EE"/>
              </w:rPr>
            </w:pPr>
            <w:hyperlink r:id="rId36">
              <w:r>
                <w:rPr>
                  <w:rFonts w:ascii="Times New Roman" w:cs="Times New Roman" w:eastAsia="Times New Roman" w:hAnsi="Times New Roman"/>
                  <w:sz w:val="22"/>
                  <w:szCs w:val="22"/>
                  <w:color w:val="0000EE"/>
                </w:rPr>
                <w:t>K filed on October 21, 2021).</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auto"/>
              </w:rPr>
              <w:t>Exhibit 99.9</w:t>
            </w:r>
          </w:p>
        </w:tc>
        <w:tc>
          <w:tcPr>
            <w:tcW w:w="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100" w:type="dxa"/>
            <w:vAlign w:val="bottom"/>
            <w:tcBorders>
              <w:right w:val="single" w:sz="8" w:color="auto"/>
            </w:tcBorders>
            <w:gridSpan w:val="35"/>
          </w:tcPr>
          <w:p>
            <w:pPr>
              <w:spacing w:after="0" w:line="196" w:lineRule="exact"/>
              <w:rPr>
                <w:rFonts w:ascii="Times New Roman" w:cs="Times New Roman" w:eastAsia="Times New Roman" w:hAnsi="Times New Roman"/>
                <w:sz w:val="22"/>
                <w:szCs w:val="22"/>
                <w:color w:val="0000EE"/>
              </w:rPr>
            </w:pPr>
            <w:hyperlink r:id="rId37">
              <w:r>
                <w:rPr>
                  <w:rFonts w:ascii="Times New Roman" w:cs="Times New Roman" w:eastAsia="Times New Roman" w:hAnsi="Times New Roman"/>
                  <w:sz w:val="22"/>
                  <w:szCs w:val="22"/>
                  <w:color w:val="0000EE"/>
                </w:rPr>
                <w:t>Stockholders Agreement (incorporated by reference to Exhibit 10.2 to the Issuer’s Current Report on</w:t>
              </w:r>
            </w:hyperlink>
          </w:p>
        </w:tc>
        <w:tc>
          <w:tcPr>
            <w:tcW w:w="0" w:type="dxa"/>
            <w:vAlign w:val="bottom"/>
          </w:tcPr>
          <w:p>
            <w:pPr>
              <w:spacing w:after="0"/>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720" w:type="dxa"/>
            <w:vAlign w:val="bottom"/>
            <w:tcBorders>
              <w:top w:val="single" w:sz="8" w:color="0000EE"/>
            </w:tcBorders>
            <w:gridSpan w:val="24"/>
          </w:tcPr>
          <w:p>
            <w:pPr>
              <w:spacing w:after="0" w:line="223" w:lineRule="exact"/>
              <w:rPr>
                <w:rFonts w:ascii="Times New Roman" w:cs="Times New Roman" w:eastAsia="Times New Roman" w:hAnsi="Times New Roman"/>
                <w:sz w:val="22"/>
                <w:szCs w:val="22"/>
                <w:color w:val="0000EE"/>
              </w:rPr>
            </w:pPr>
            <w:hyperlink r:id="rId37">
              <w:r>
                <w:rPr>
                  <w:rFonts w:ascii="Times New Roman" w:cs="Times New Roman" w:eastAsia="Times New Roman" w:hAnsi="Times New Roman"/>
                  <w:sz w:val="22"/>
                  <w:szCs w:val="22"/>
                  <w:color w:val="0000EE"/>
                </w:rPr>
                <w:t>Form 8-K filed on October 21, 2021).</w:t>
              </w:r>
            </w:hyperlink>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8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auto"/>
                <w:w w:val="96"/>
              </w:rPr>
              <w:t>Exhibit 99.10</w:t>
            </w:r>
          </w:p>
        </w:tc>
        <w:tc>
          <w:tcPr>
            <w:tcW w:w="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100" w:type="dxa"/>
            <w:vAlign w:val="bottom"/>
            <w:tcBorders>
              <w:right w:val="single" w:sz="8" w:color="auto"/>
            </w:tcBorders>
            <w:gridSpan w:val="35"/>
          </w:tcPr>
          <w:p>
            <w:pPr>
              <w:spacing w:after="0" w:line="196" w:lineRule="exact"/>
              <w:rPr>
                <w:rFonts w:ascii="Times New Roman" w:cs="Times New Roman" w:eastAsia="Times New Roman" w:hAnsi="Times New Roman"/>
                <w:sz w:val="22"/>
                <w:szCs w:val="22"/>
                <w:color w:val="0000EE"/>
              </w:rPr>
            </w:pPr>
            <w:hyperlink r:id="rId38">
              <w:r>
                <w:rPr>
                  <w:rFonts w:ascii="Times New Roman" w:cs="Times New Roman" w:eastAsia="Times New Roman" w:hAnsi="Times New Roman"/>
                  <w:sz w:val="22"/>
                  <w:szCs w:val="22"/>
                  <w:color w:val="0000EE"/>
                </w:rPr>
                <w:t>Registration Rights Agreement (incorporated by reference to Exhibit 10.1 to the Issuer’s Current</w:t>
              </w:r>
            </w:hyperlink>
          </w:p>
        </w:tc>
        <w:tc>
          <w:tcPr>
            <w:tcW w:w="0" w:type="dxa"/>
            <w:vAlign w:val="bottom"/>
          </w:tcPr>
          <w:p>
            <w:pPr>
              <w:spacing w:after="0"/>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360" w:type="dxa"/>
            <w:vAlign w:val="bottom"/>
            <w:tcBorders>
              <w:top w:val="single" w:sz="8" w:color="0000EE"/>
            </w:tcBorders>
            <w:gridSpan w:val="22"/>
          </w:tcPr>
          <w:p>
            <w:pPr>
              <w:spacing w:after="0" w:line="223" w:lineRule="exact"/>
              <w:rPr>
                <w:rFonts w:ascii="Times New Roman" w:cs="Times New Roman" w:eastAsia="Times New Roman" w:hAnsi="Times New Roman"/>
                <w:sz w:val="22"/>
                <w:szCs w:val="22"/>
                <w:color w:val="0000EE"/>
              </w:rPr>
            </w:pPr>
            <w:hyperlink r:id="rId38">
              <w:r>
                <w:rPr>
                  <w:rFonts w:ascii="Times New Roman" w:cs="Times New Roman" w:eastAsia="Times New Roman" w:hAnsi="Times New Roman"/>
                  <w:sz w:val="22"/>
                  <w:szCs w:val="22"/>
                  <w:color w:val="0000EE"/>
                </w:rPr>
                <w:t>Report on Form 8-K filed on October 21, 2021).</w:t>
              </w:r>
            </w:hyperlink>
          </w:p>
        </w:tc>
        <w:tc>
          <w:tcPr>
            <w:tcW w:w="30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8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auto"/>
                <w:w w:val="96"/>
              </w:rPr>
              <w:t>Exhibit 99.11</w:t>
            </w:r>
          </w:p>
        </w:tc>
        <w:tc>
          <w:tcPr>
            <w:tcW w:w="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100" w:type="dxa"/>
            <w:vAlign w:val="bottom"/>
            <w:tcBorders>
              <w:right w:val="single" w:sz="8" w:color="auto"/>
            </w:tcBorders>
            <w:gridSpan w:val="35"/>
          </w:tcPr>
          <w:p>
            <w:pPr>
              <w:spacing w:after="0" w:line="196" w:lineRule="exact"/>
              <w:rPr>
                <w:rFonts w:ascii="Times New Roman" w:cs="Times New Roman" w:eastAsia="Times New Roman" w:hAnsi="Times New Roman"/>
                <w:sz w:val="22"/>
                <w:szCs w:val="22"/>
                <w:color w:val="0000EE"/>
                <w:w w:val="99"/>
              </w:rPr>
            </w:pPr>
            <w:hyperlink r:id="rId39">
              <w:r>
                <w:rPr>
                  <w:rFonts w:ascii="Times New Roman" w:cs="Times New Roman" w:eastAsia="Times New Roman" w:hAnsi="Times New Roman"/>
                  <w:sz w:val="22"/>
                  <w:szCs w:val="22"/>
                  <w:color w:val="0000EE"/>
                  <w:w w:val="99"/>
                </w:rPr>
                <w:t>Tax Receivable Agreement (incorporated by reference to Exhibit 10.5 to the Issuer’s Current Report on</w:t>
              </w:r>
            </w:hyperlink>
          </w:p>
        </w:tc>
        <w:tc>
          <w:tcPr>
            <w:tcW w:w="0" w:type="dxa"/>
            <w:vAlign w:val="bottom"/>
          </w:tcPr>
          <w:p>
            <w:pPr>
              <w:spacing w:after="0"/>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000" w:type="dxa"/>
            <w:vAlign w:val="bottom"/>
            <w:tcBorders>
              <w:top w:val="single" w:sz="8" w:color="0000EE"/>
            </w:tcBorders>
            <w:gridSpan w:val="32"/>
          </w:tcPr>
          <w:p>
            <w:pPr>
              <w:spacing w:after="0" w:line="223" w:lineRule="exact"/>
              <w:rPr>
                <w:rFonts w:ascii="Times New Roman" w:cs="Times New Roman" w:eastAsia="Times New Roman" w:hAnsi="Times New Roman"/>
                <w:sz w:val="22"/>
                <w:szCs w:val="22"/>
                <w:color w:val="0000EE"/>
              </w:rPr>
            </w:pPr>
            <w:hyperlink r:id="rId39">
              <w:r>
                <w:rPr>
                  <w:rFonts w:ascii="Times New Roman" w:cs="Times New Roman" w:eastAsia="Times New Roman" w:hAnsi="Times New Roman"/>
                  <w:sz w:val="22"/>
                  <w:szCs w:val="22"/>
                  <w:color w:val="0000EE"/>
                </w:rPr>
                <w:t>Form 8-K filed on October 21, 2021).</w:t>
              </w:r>
            </w:hyperlink>
          </w:p>
        </w:tc>
        <w:tc>
          <w:tcPr>
            <w:tcW w:w="20" w:type="dxa"/>
            <w:vAlign w:val="bottom"/>
          </w:tcPr>
          <w:p>
            <w:pPr>
              <w:spacing w:after="0"/>
              <w:rPr>
                <w:sz w:val="19"/>
                <w:szCs w:val="19"/>
                <w:color w:val="auto"/>
              </w:rPr>
            </w:pPr>
          </w:p>
        </w:tc>
        <w:tc>
          <w:tcPr>
            <w:tcW w:w="80" w:type="dxa"/>
            <w:vAlign w:val="bottom"/>
            <w:tcBorders>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940" w:type="dxa"/>
            <w:vAlign w:val="bottom"/>
            <w:tcBorders>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22"/>
                <w:szCs w:val="22"/>
                <w:color w:val="auto"/>
              </w:rPr>
              <w:t>Exhibit 99.12*</w:t>
            </w:r>
          </w:p>
        </w:tc>
        <w:tc>
          <w:tcPr>
            <w:tcW w:w="80" w:type="dxa"/>
            <w:vAlign w:val="bottom"/>
          </w:tcPr>
          <w:p>
            <w:pPr>
              <w:spacing w:after="0"/>
              <w:rPr>
                <w:sz w:val="17"/>
                <w:szCs w:val="17"/>
                <w:color w:val="auto"/>
              </w:rPr>
            </w:pPr>
          </w:p>
        </w:tc>
        <w:tc>
          <w:tcPr>
            <w:tcW w:w="9100" w:type="dxa"/>
            <w:vAlign w:val="bottom"/>
            <w:tcBorders>
              <w:right w:val="single" w:sz="8" w:color="auto"/>
            </w:tcBorders>
            <w:gridSpan w:val="35"/>
          </w:tcPr>
          <w:p>
            <w:pPr>
              <w:spacing w:after="0" w:line="196" w:lineRule="exact"/>
              <w:rPr>
                <w:rFonts w:ascii="Times New Roman" w:cs="Times New Roman" w:eastAsia="Times New Roman" w:hAnsi="Times New Roman"/>
                <w:sz w:val="22"/>
                <w:szCs w:val="22"/>
                <w:color w:val="0000EE"/>
              </w:rPr>
            </w:pPr>
            <w:hyperlink r:id="rId40">
              <w:r>
                <w:rPr>
                  <w:rFonts w:ascii="Times New Roman" w:cs="Times New Roman" w:eastAsia="Times New Roman" w:hAnsi="Times New Roman"/>
                  <w:sz w:val="22"/>
                  <w:szCs w:val="22"/>
                  <w:color w:val="0000EE"/>
                </w:rPr>
                <w:t>Amended and Restated Subscription Agreement.</w:t>
              </w:r>
            </w:hyperlink>
          </w:p>
        </w:tc>
        <w:tc>
          <w:tcPr>
            <w:tcW w:w="0" w:type="dxa"/>
            <w:vAlign w:val="bottom"/>
          </w:tcPr>
          <w:p>
            <w:pPr>
              <w:spacing w:after="0"/>
              <w:rPr>
                <w:sz w:val="1"/>
                <w:szCs w:val="1"/>
                <w:color w:val="auto"/>
              </w:rPr>
            </w:pP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auto"/>
                <w:w w:val="96"/>
              </w:rPr>
              <w:t>Exhibit 99.13</w:t>
            </w:r>
          </w:p>
        </w:tc>
        <w:tc>
          <w:tcPr>
            <w:tcW w:w="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100" w:type="dxa"/>
            <w:vAlign w:val="bottom"/>
            <w:tcBorders>
              <w:right w:val="single" w:sz="8" w:color="auto"/>
            </w:tcBorders>
            <w:gridSpan w:val="35"/>
          </w:tcPr>
          <w:p>
            <w:pPr>
              <w:spacing w:after="0" w:line="196" w:lineRule="exact"/>
              <w:rPr>
                <w:rFonts w:ascii="Times New Roman" w:cs="Times New Roman" w:eastAsia="Times New Roman" w:hAnsi="Times New Roman"/>
                <w:sz w:val="22"/>
                <w:szCs w:val="22"/>
                <w:color w:val="0000EE"/>
              </w:rPr>
            </w:pPr>
            <w:hyperlink r:id="rId41">
              <w:r>
                <w:rPr>
                  <w:rFonts w:ascii="Times New Roman" w:cs="Times New Roman" w:eastAsia="Times New Roman" w:hAnsi="Times New Roman"/>
                  <w:sz w:val="22"/>
                  <w:szCs w:val="22"/>
                  <w:color w:val="0000EE"/>
                </w:rPr>
                <w:t>Cooperation Agreement (incorporated by reference to Exhibit 10.6 to the Issuer’s Current Report on</w:t>
              </w:r>
            </w:hyperlink>
          </w:p>
        </w:tc>
        <w:tc>
          <w:tcPr>
            <w:tcW w:w="0" w:type="dxa"/>
            <w:vAlign w:val="bottom"/>
          </w:tcPr>
          <w:p>
            <w:pPr>
              <w:spacing w:after="0"/>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660" w:type="dxa"/>
            <w:vAlign w:val="bottom"/>
            <w:tcBorders>
              <w:top w:val="single" w:sz="8" w:color="0000EE"/>
            </w:tcBorders>
            <w:gridSpan w:val="23"/>
          </w:tcPr>
          <w:p>
            <w:pPr>
              <w:spacing w:after="0" w:line="223" w:lineRule="exact"/>
              <w:rPr>
                <w:rFonts w:ascii="Times New Roman" w:cs="Times New Roman" w:eastAsia="Times New Roman" w:hAnsi="Times New Roman"/>
                <w:sz w:val="22"/>
                <w:szCs w:val="22"/>
                <w:color w:val="0000EE"/>
              </w:rPr>
            </w:pPr>
            <w:hyperlink r:id="rId41">
              <w:r>
                <w:rPr>
                  <w:rFonts w:ascii="Times New Roman" w:cs="Times New Roman" w:eastAsia="Times New Roman" w:hAnsi="Times New Roman"/>
                  <w:sz w:val="22"/>
                  <w:szCs w:val="22"/>
                  <w:color w:val="0000EE"/>
                </w:rPr>
                <w:t>Form 8-K filed on October 21, 2021).</w:t>
              </w:r>
            </w:hyperlink>
          </w:p>
        </w:tc>
        <w:tc>
          <w:tcPr>
            <w:tcW w:w="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100" w:type="dxa"/>
            <w:vAlign w:val="bottom"/>
            <w:gridSpan w:val="5"/>
          </w:tcPr>
          <w:p>
            <w:pPr>
              <w:spacing w:after="0"/>
              <w:rPr>
                <w:sz w:val="19"/>
                <w:szCs w:val="19"/>
                <w:color w:val="auto"/>
              </w:rPr>
            </w:pPr>
          </w:p>
        </w:tc>
        <w:tc>
          <w:tcPr>
            <w:tcW w:w="80" w:type="dxa"/>
            <w:vAlign w:val="bottom"/>
            <w:tcBorders>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auto"/>
                <w:w w:val="96"/>
              </w:rPr>
              <w:t>Exhibit 99.14</w:t>
            </w:r>
          </w:p>
        </w:tc>
        <w:tc>
          <w:tcPr>
            <w:tcW w:w="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100" w:type="dxa"/>
            <w:vAlign w:val="bottom"/>
            <w:tcBorders>
              <w:right w:val="single" w:sz="8" w:color="auto"/>
            </w:tcBorders>
            <w:gridSpan w:val="35"/>
          </w:tcPr>
          <w:p>
            <w:pPr>
              <w:spacing w:after="0" w:line="196" w:lineRule="exact"/>
              <w:rPr>
                <w:rFonts w:ascii="Times New Roman" w:cs="Times New Roman" w:eastAsia="Times New Roman" w:hAnsi="Times New Roman"/>
                <w:sz w:val="22"/>
                <w:szCs w:val="22"/>
                <w:color w:val="0000EE"/>
              </w:rPr>
            </w:pPr>
            <w:hyperlink r:id="rId42">
              <w:r>
                <w:rPr>
                  <w:rFonts w:ascii="Times New Roman" w:cs="Times New Roman" w:eastAsia="Times New Roman" w:hAnsi="Times New Roman"/>
                  <w:sz w:val="22"/>
                  <w:szCs w:val="22"/>
                  <w:color w:val="0000EE"/>
                </w:rPr>
                <w:t>Amended and Restated Exchange Agreement (incorporated by reference to Exhibit 10.1 to the Issuer’s</w:t>
              </w:r>
            </w:hyperlink>
          </w:p>
        </w:tc>
        <w:tc>
          <w:tcPr>
            <w:tcW w:w="0" w:type="dxa"/>
            <w:vAlign w:val="bottom"/>
          </w:tcPr>
          <w:p>
            <w:pPr>
              <w:spacing w:after="0"/>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920" w:type="dxa"/>
            <w:vAlign w:val="bottom"/>
            <w:tcBorders>
              <w:top w:val="single" w:sz="8" w:color="0000EE"/>
            </w:tcBorders>
            <w:gridSpan w:val="28"/>
          </w:tcPr>
          <w:p>
            <w:pPr>
              <w:spacing w:after="0" w:line="223" w:lineRule="exact"/>
              <w:rPr>
                <w:rFonts w:ascii="Times New Roman" w:cs="Times New Roman" w:eastAsia="Times New Roman" w:hAnsi="Times New Roman"/>
                <w:sz w:val="22"/>
                <w:szCs w:val="22"/>
                <w:color w:val="0000EE"/>
              </w:rPr>
            </w:pPr>
            <w:hyperlink r:id="rId42">
              <w:r>
                <w:rPr>
                  <w:rFonts w:ascii="Times New Roman" w:cs="Times New Roman" w:eastAsia="Times New Roman" w:hAnsi="Times New Roman"/>
                  <w:sz w:val="22"/>
                  <w:szCs w:val="22"/>
                  <w:color w:val="0000EE"/>
                </w:rPr>
                <w:t>Current Report on Form 8-K filed on May 4, 2022).</w:t>
              </w:r>
            </w:hyperlink>
          </w:p>
        </w:tc>
        <w:tc>
          <w:tcPr>
            <w:tcW w:w="100" w:type="dxa"/>
            <w:vAlign w:val="bottom"/>
            <w:gridSpan w:val="5"/>
          </w:tcPr>
          <w:p>
            <w:pPr>
              <w:spacing w:after="0"/>
              <w:rPr>
                <w:sz w:val="19"/>
                <w:szCs w:val="19"/>
                <w:color w:val="auto"/>
              </w:rPr>
            </w:pPr>
          </w:p>
        </w:tc>
        <w:tc>
          <w:tcPr>
            <w:tcW w:w="80" w:type="dxa"/>
            <w:vAlign w:val="bottom"/>
            <w:tcBorders>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940" w:type="dxa"/>
            <w:vAlign w:val="bottom"/>
            <w:tcBorders>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22"/>
                <w:szCs w:val="22"/>
                <w:color w:val="auto"/>
              </w:rPr>
              <w:t>Exhibit 99.15*</w:t>
            </w:r>
          </w:p>
        </w:tc>
        <w:tc>
          <w:tcPr>
            <w:tcW w:w="80" w:type="dxa"/>
            <w:vAlign w:val="bottom"/>
          </w:tcPr>
          <w:p>
            <w:pPr>
              <w:spacing w:after="0"/>
              <w:rPr>
                <w:sz w:val="17"/>
                <w:szCs w:val="17"/>
                <w:color w:val="auto"/>
              </w:rPr>
            </w:pPr>
          </w:p>
        </w:tc>
        <w:tc>
          <w:tcPr>
            <w:tcW w:w="9100" w:type="dxa"/>
            <w:vAlign w:val="bottom"/>
            <w:tcBorders>
              <w:right w:val="single" w:sz="8" w:color="auto"/>
            </w:tcBorders>
            <w:gridSpan w:val="35"/>
          </w:tcPr>
          <w:p>
            <w:pPr>
              <w:spacing w:after="0" w:line="196" w:lineRule="exact"/>
              <w:rPr>
                <w:rFonts w:ascii="Times New Roman" w:cs="Times New Roman" w:eastAsia="Times New Roman" w:hAnsi="Times New Roman"/>
                <w:sz w:val="22"/>
                <w:szCs w:val="22"/>
                <w:color w:val="0000EE"/>
                <w:w w:val="99"/>
              </w:rPr>
            </w:pPr>
            <w:hyperlink r:id="rId43">
              <w:r>
                <w:rPr>
                  <w:rFonts w:ascii="Times New Roman" w:cs="Times New Roman" w:eastAsia="Times New Roman" w:hAnsi="Times New Roman"/>
                  <w:sz w:val="22"/>
                  <w:szCs w:val="22"/>
                  <w:color w:val="0000EE"/>
                  <w:w w:val="99"/>
                </w:rPr>
                <w:t>Securities Purchase Agreement (incorporated by reference to Exhibit 99.15 to Schedule 13D/A filed by</w:t>
              </w:r>
            </w:hyperlink>
          </w:p>
        </w:tc>
        <w:tc>
          <w:tcPr>
            <w:tcW w:w="0" w:type="dxa"/>
            <w:vAlign w:val="bottom"/>
          </w:tcPr>
          <w:p>
            <w:pPr>
              <w:spacing w:after="0"/>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tcBorders>
              <w:top w:val="single" w:sz="8" w:color="0000EE"/>
            </w:tcBorders>
            <w:gridSpan w:val="33"/>
          </w:tcPr>
          <w:p>
            <w:pPr>
              <w:spacing w:after="0" w:line="223" w:lineRule="exact"/>
              <w:rPr>
                <w:rFonts w:ascii="Times New Roman" w:cs="Times New Roman" w:eastAsia="Times New Roman" w:hAnsi="Times New Roman"/>
                <w:sz w:val="22"/>
                <w:szCs w:val="22"/>
                <w:color w:val="0000EE"/>
              </w:rPr>
            </w:pPr>
            <w:hyperlink r:id="rId43">
              <w:r>
                <w:rPr>
                  <w:rFonts w:ascii="Times New Roman" w:cs="Times New Roman" w:eastAsia="Times New Roman" w:hAnsi="Times New Roman"/>
                  <w:sz w:val="22"/>
                  <w:szCs w:val="22"/>
                  <w:color w:val="0000EE"/>
                </w:rPr>
                <w:t>the Reporting Persons with the SEC on March 4, 2024).</w:t>
              </w:r>
            </w:hyperlink>
          </w:p>
        </w:tc>
        <w:tc>
          <w:tcPr>
            <w:tcW w:w="80" w:type="dxa"/>
            <w:vAlign w:val="bottom"/>
            <w:tcBorders>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940" w:type="dxa"/>
            <w:vAlign w:val="bottom"/>
            <w:tcBorders>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22"/>
                <w:szCs w:val="22"/>
                <w:color w:val="auto"/>
              </w:rPr>
              <w:t>Exhibit 99.16*</w:t>
            </w:r>
          </w:p>
        </w:tc>
        <w:tc>
          <w:tcPr>
            <w:tcW w:w="80" w:type="dxa"/>
            <w:vAlign w:val="bottom"/>
          </w:tcPr>
          <w:p>
            <w:pPr>
              <w:spacing w:after="0"/>
              <w:rPr>
                <w:sz w:val="17"/>
                <w:szCs w:val="17"/>
                <w:color w:val="auto"/>
              </w:rPr>
            </w:pPr>
          </w:p>
        </w:tc>
        <w:tc>
          <w:tcPr>
            <w:tcW w:w="9100" w:type="dxa"/>
            <w:vAlign w:val="bottom"/>
            <w:tcBorders>
              <w:right w:val="single" w:sz="8" w:color="auto"/>
            </w:tcBorders>
            <w:gridSpan w:val="35"/>
          </w:tcPr>
          <w:p>
            <w:pPr>
              <w:spacing w:after="0" w:line="196" w:lineRule="exact"/>
              <w:rPr>
                <w:rFonts w:ascii="Times New Roman" w:cs="Times New Roman" w:eastAsia="Times New Roman" w:hAnsi="Times New Roman"/>
                <w:sz w:val="22"/>
                <w:szCs w:val="22"/>
                <w:color w:val="0000EE"/>
                <w:w w:val="99"/>
              </w:rPr>
            </w:pPr>
            <w:hyperlink r:id="rId44">
              <w:r>
                <w:rPr>
                  <w:rFonts w:ascii="Times New Roman" w:cs="Times New Roman" w:eastAsia="Times New Roman" w:hAnsi="Times New Roman"/>
                  <w:sz w:val="22"/>
                  <w:szCs w:val="22"/>
                  <w:color w:val="0000EE"/>
                  <w:w w:val="99"/>
                </w:rPr>
                <w:t>Voting Support Agreement (incorporated by reference to Exhibit 99.16 to Schedule 13D/A filed by the</w:t>
              </w:r>
            </w:hyperlink>
          </w:p>
        </w:tc>
        <w:tc>
          <w:tcPr>
            <w:tcW w:w="0" w:type="dxa"/>
            <w:vAlign w:val="bottom"/>
          </w:tcPr>
          <w:p>
            <w:pPr>
              <w:spacing w:after="0"/>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880" w:type="dxa"/>
            <w:vAlign w:val="bottom"/>
            <w:tcBorders>
              <w:top w:val="single" w:sz="8" w:color="0000EE"/>
            </w:tcBorders>
            <w:gridSpan w:val="26"/>
          </w:tcPr>
          <w:p>
            <w:pPr>
              <w:spacing w:after="0" w:line="223" w:lineRule="exact"/>
              <w:rPr>
                <w:rFonts w:ascii="Times New Roman" w:cs="Times New Roman" w:eastAsia="Times New Roman" w:hAnsi="Times New Roman"/>
                <w:sz w:val="22"/>
                <w:szCs w:val="22"/>
                <w:color w:val="0000EE"/>
              </w:rPr>
            </w:pPr>
            <w:hyperlink r:id="rId44">
              <w:r>
                <w:rPr>
                  <w:rFonts w:ascii="Times New Roman" w:cs="Times New Roman" w:eastAsia="Times New Roman" w:hAnsi="Times New Roman"/>
                  <w:sz w:val="22"/>
                  <w:szCs w:val="22"/>
                  <w:color w:val="0000EE"/>
                </w:rPr>
                <w:t>Reporting Persons with the SEC on March 4, 2024).</w:t>
              </w:r>
            </w:hyperlink>
          </w:p>
        </w:tc>
        <w:tc>
          <w:tcPr>
            <w:tcW w:w="40" w:type="dxa"/>
            <w:vAlign w:val="bottom"/>
            <w:gridSpan w:val="2"/>
          </w:tcPr>
          <w:p>
            <w:pPr>
              <w:spacing w:after="0"/>
              <w:rPr>
                <w:sz w:val="19"/>
                <w:szCs w:val="19"/>
                <w:color w:val="auto"/>
              </w:rPr>
            </w:pPr>
          </w:p>
        </w:tc>
        <w:tc>
          <w:tcPr>
            <w:tcW w:w="180" w:type="dxa"/>
            <w:vAlign w:val="bottom"/>
            <w:tcBorders>
              <w:right w:val="single" w:sz="8" w:color="auto"/>
            </w:tcBorders>
            <w:gridSpan w:val="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940" w:type="dxa"/>
            <w:vAlign w:val="bottom"/>
            <w:tcBorders>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22"/>
                <w:szCs w:val="22"/>
                <w:color w:val="auto"/>
              </w:rPr>
              <w:t>Exhibit 99.17*</w:t>
            </w:r>
          </w:p>
        </w:tc>
        <w:tc>
          <w:tcPr>
            <w:tcW w:w="80" w:type="dxa"/>
            <w:vAlign w:val="bottom"/>
          </w:tcPr>
          <w:p>
            <w:pPr>
              <w:spacing w:after="0"/>
              <w:rPr>
                <w:sz w:val="17"/>
                <w:szCs w:val="17"/>
                <w:color w:val="auto"/>
              </w:rPr>
            </w:pPr>
          </w:p>
        </w:tc>
        <w:tc>
          <w:tcPr>
            <w:tcW w:w="9100" w:type="dxa"/>
            <w:vAlign w:val="bottom"/>
            <w:tcBorders>
              <w:right w:val="single" w:sz="8" w:color="auto"/>
            </w:tcBorders>
            <w:gridSpan w:val="35"/>
          </w:tcPr>
          <w:p>
            <w:pPr>
              <w:spacing w:after="0" w:line="196" w:lineRule="exact"/>
              <w:rPr>
                <w:rFonts w:ascii="Times New Roman" w:cs="Times New Roman" w:eastAsia="Times New Roman" w:hAnsi="Times New Roman"/>
                <w:sz w:val="22"/>
                <w:szCs w:val="22"/>
                <w:color w:val="0000EE"/>
              </w:rPr>
            </w:pPr>
            <w:hyperlink r:id="rId45">
              <w:r>
                <w:rPr>
                  <w:rFonts w:ascii="Times New Roman" w:cs="Times New Roman" w:eastAsia="Times New Roman" w:hAnsi="Times New Roman"/>
                  <w:sz w:val="22"/>
                  <w:szCs w:val="22"/>
                  <w:color w:val="0000EE"/>
                </w:rPr>
                <w:t>Class 1 Warrant issued by the Issuer on March 4, 2024 (incorporated by reference to Exhibit 99.17 to</w:t>
              </w:r>
            </w:hyperlink>
          </w:p>
        </w:tc>
        <w:tc>
          <w:tcPr>
            <w:tcW w:w="0" w:type="dxa"/>
            <w:vAlign w:val="bottom"/>
          </w:tcPr>
          <w:p>
            <w:pPr>
              <w:spacing w:after="0"/>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740" w:type="dxa"/>
            <w:vAlign w:val="bottom"/>
            <w:tcBorders>
              <w:top w:val="single" w:sz="8" w:color="0000EE"/>
            </w:tcBorders>
            <w:gridSpan w:val="25"/>
          </w:tcPr>
          <w:p>
            <w:pPr>
              <w:spacing w:after="0" w:line="223" w:lineRule="exact"/>
              <w:rPr>
                <w:rFonts w:ascii="Times New Roman" w:cs="Times New Roman" w:eastAsia="Times New Roman" w:hAnsi="Times New Roman"/>
                <w:sz w:val="22"/>
                <w:szCs w:val="22"/>
                <w:color w:val="0000EE"/>
              </w:rPr>
            </w:pPr>
            <w:hyperlink r:id="rId45">
              <w:r>
                <w:rPr>
                  <w:rFonts w:ascii="Times New Roman" w:cs="Times New Roman" w:eastAsia="Times New Roman" w:hAnsi="Times New Roman"/>
                  <w:sz w:val="22"/>
                  <w:szCs w:val="22"/>
                  <w:color w:val="0000EE"/>
                </w:rPr>
                <w:t>Schedule 13D/A filed by the Reporting Persons with the SEC on March 4, 2024).</w:t>
              </w:r>
            </w:hyperlink>
          </w:p>
        </w:tc>
        <w:tc>
          <w:tcPr>
            <w:tcW w:w="180" w:type="dxa"/>
            <w:vAlign w:val="bottom"/>
            <w:gridSpan w:val="3"/>
          </w:tcPr>
          <w:p>
            <w:pPr>
              <w:spacing w:after="0"/>
              <w:rPr>
                <w:sz w:val="19"/>
                <w:szCs w:val="19"/>
                <w:color w:val="auto"/>
              </w:rPr>
            </w:pPr>
          </w:p>
        </w:tc>
        <w:tc>
          <w:tcPr>
            <w:tcW w:w="180" w:type="dxa"/>
            <w:vAlign w:val="bottom"/>
            <w:tcBorders>
              <w:right w:val="single" w:sz="8" w:color="auto"/>
            </w:tcBorders>
            <w:gridSpan w:val="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9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940" w:type="dxa"/>
            <w:vAlign w:val="bottom"/>
            <w:tcBorders>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22"/>
                <w:szCs w:val="22"/>
                <w:color w:val="auto"/>
              </w:rPr>
              <w:t>Exhibit 99.18*</w:t>
            </w:r>
          </w:p>
        </w:tc>
        <w:tc>
          <w:tcPr>
            <w:tcW w:w="80" w:type="dxa"/>
            <w:vAlign w:val="bottom"/>
          </w:tcPr>
          <w:p>
            <w:pPr>
              <w:spacing w:after="0"/>
              <w:rPr>
                <w:sz w:val="17"/>
                <w:szCs w:val="17"/>
                <w:color w:val="auto"/>
              </w:rPr>
            </w:pPr>
          </w:p>
        </w:tc>
        <w:tc>
          <w:tcPr>
            <w:tcW w:w="9100" w:type="dxa"/>
            <w:vAlign w:val="bottom"/>
            <w:tcBorders>
              <w:right w:val="single" w:sz="8" w:color="auto"/>
            </w:tcBorders>
            <w:gridSpan w:val="35"/>
          </w:tcPr>
          <w:p>
            <w:pPr>
              <w:spacing w:after="0" w:line="196" w:lineRule="exact"/>
              <w:rPr>
                <w:rFonts w:ascii="Times New Roman" w:cs="Times New Roman" w:eastAsia="Times New Roman" w:hAnsi="Times New Roman"/>
                <w:sz w:val="22"/>
                <w:szCs w:val="22"/>
                <w:color w:val="0000EE"/>
              </w:rPr>
            </w:pPr>
            <w:hyperlink r:id="rId46">
              <w:r>
                <w:rPr>
                  <w:rFonts w:ascii="Times New Roman" w:cs="Times New Roman" w:eastAsia="Times New Roman" w:hAnsi="Times New Roman"/>
                  <w:sz w:val="22"/>
                  <w:szCs w:val="22"/>
                  <w:color w:val="0000EE"/>
                </w:rPr>
                <w:t>Class 2 Warrant issued by the Issuer on March 4, 2024 (incorporated by reference to Exhibit 99.18 to</w:t>
              </w:r>
            </w:hyperlink>
          </w:p>
        </w:tc>
        <w:tc>
          <w:tcPr>
            <w:tcW w:w="0" w:type="dxa"/>
            <w:vAlign w:val="bottom"/>
          </w:tcPr>
          <w:p>
            <w:pPr>
              <w:spacing w:after="0"/>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740" w:type="dxa"/>
            <w:vAlign w:val="bottom"/>
            <w:tcBorders>
              <w:top w:val="single" w:sz="8" w:color="0000EE"/>
            </w:tcBorders>
            <w:gridSpan w:val="25"/>
          </w:tcPr>
          <w:p>
            <w:pPr>
              <w:spacing w:after="0" w:line="223" w:lineRule="exact"/>
              <w:rPr>
                <w:rFonts w:ascii="Times New Roman" w:cs="Times New Roman" w:eastAsia="Times New Roman" w:hAnsi="Times New Roman"/>
                <w:sz w:val="22"/>
                <w:szCs w:val="22"/>
                <w:color w:val="0000EE"/>
              </w:rPr>
            </w:pPr>
            <w:hyperlink r:id="rId46">
              <w:r>
                <w:rPr>
                  <w:rFonts w:ascii="Times New Roman" w:cs="Times New Roman" w:eastAsia="Times New Roman" w:hAnsi="Times New Roman"/>
                  <w:sz w:val="22"/>
                  <w:szCs w:val="22"/>
                  <w:color w:val="0000EE"/>
                </w:rPr>
                <w:t>Schedule 13D/A filed by the Reporting Persons with the SEC on March 4, 2024).</w:t>
              </w:r>
            </w:hyperlink>
          </w:p>
        </w:tc>
        <w:tc>
          <w:tcPr>
            <w:tcW w:w="180" w:type="dxa"/>
            <w:vAlign w:val="bottom"/>
            <w:gridSpan w:val="3"/>
          </w:tcPr>
          <w:p>
            <w:pPr>
              <w:spacing w:after="0"/>
              <w:rPr>
                <w:sz w:val="19"/>
                <w:szCs w:val="19"/>
                <w:color w:val="auto"/>
              </w:rPr>
            </w:pPr>
          </w:p>
        </w:tc>
        <w:tc>
          <w:tcPr>
            <w:tcW w:w="180" w:type="dxa"/>
            <w:vAlign w:val="bottom"/>
            <w:tcBorders>
              <w:right w:val="single" w:sz="8" w:color="auto"/>
            </w:tcBorders>
            <w:gridSpan w:val="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9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auto"/>
                <w:w w:val="96"/>
              </w:rPr>
              <w:t>Exhibit 99.19</w:t>
            </w:r>
          </w:p>
        </w:tc>
        <w:tc>
          <w:tcPr>
            <w:tcW w:w="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100" w:type="dxa"/>
            <w:vAlign w:val="bottom"/>
            <w:tcBorders>
              <w:right w:val="single" w:sz="8" w:color="auto"/>
            </w:tcBorders>
            <w:gridSpan w:val="35"/>
          </w:tcPr>
          <w:p>
            <w:pPr>
              <w:spacing w:after="0" w:line="196" w:lineRule="exact"/>
              <w:rPr>
                <w:sz w:val="20"/>
                <w:szCs w:val="20"/>
                <w:color w:val="auto"/>
              </w:rPr>
            </w:pPr>
            <w:r>
              <w:rPr>
                <w:rFonts w:ascii="Times New Roman" w:cs="Times New Roman" w:eastAsia="Times New Roman" w:hAnsi="Times New Roman"/>
                <w:sz w:val="22"/>
                <w:szCs w:val="22"/>
                <w:color w:val="0000EE"/>
              </w:rPr>
              <w:t>Class 1 Warrant issued by the Issuer on April 25, 2024.</w:t>
            </w:r>
          </w:p>
        </w:tc>
        <w:tc>
          <w:tcPr>
            <w:tcW w:w="0" w:type="dxa"/>
            <w:vAlign w:val="bottom"/>
          </w:tcPr>
          <w:p>
            <w:pPr>
              <w:spacing w:after="0"/>
              <w:rPr>
                <w:sz w:val="1"/>
                <w:szCs w:val="1"/>
                <w:color w:val="auto"/>
              </w:rPr>
            </w:pP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auto"/>
                <w:w w:val="96"/>
              </w:rPr>
              <w:t>Exhibit 99.20</w:t>
            </w:r>
          </w:p>
        </w:tc>
        <w:tc>
          <w:tcPr>
            <w:tcW w:w="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100" w:type="dxa"/>
            <w:vAlign w:val="bottom"/>
            <w:tcBorders>
              <w:right w:val="single" w:sz="8" w:color="auto"/>
            </w:tcBorders>
            <w:gridSpan w:val="35"/>
          </w:tcPr>
          <w:p>
            <w:pPr>
              <w:spacing w:after="0" w:line="196" w:lineRule="exact"/>
              <w:rPr>
                <w:sz w:val="20"/>
                <w:szCs w:val="20"/>
                <w:color w:val="auto"/>
              </w:rPr>
            </w:pPr>
            <w:r>
              <w:rPr>
                <w:rFonts w:ascii="Times New Roman" w:cs="Times New Roman" w:eastAsia="Times New Roman" w:hAnsi="Times New Roman"/>
                <w:sz w:val="22"/>
                <w:szCs w:val="22"/>
                <w:color w:val="0000EE"/>
              </w:rPr>
              <w:t>Class 2 Warrant issued by the Issuer on April 25, 2024.</w:t>
            </w:r>
          </w:p>
        </w:tc>
        <w:tc>
          <w:tcPr>
            <w:tcW w:w="0" w:type="dxa"/>
            <w:vAlign w:val="bottom"/>
          </w:tcPr>
          <w:p>
            <w:pPr>
              <w:spacing w:after="0"/>
              <w:rPr>
                <w:sz w:val="1"/>
                <w:szCs w:val="1"/>
                <w:color w:val="auto"/>
              </w:rPr>
            </w:pP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auto"/>
                <w:w w:val="96"/>
              </w:rPr>
              <w:t>Exhibit 99.21</w:t>
            </w:r>
          </w:p>
        </w:tc>
        <w:tc>
          <w:tcPr>
            <w:tcW w:w="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100" w:type="dxa"/>
            <w:vAlign w:val="bottom"/>
            <w:tcBorders>
              <w:right w:val="single" w:sz="8" w:color="auto"/>
            </w:tcBorders>
            <w:gridSpan w:val="35"/>
          </w:tcPr>
          <w:p>
            <w:pPr>
              <w:spacing w:after="0" w:line="196" w:lineRule="exact"/>
              <w:rPr>
                <w:rFonts w:ascii="Times New Roman" w:cs="Times New Roman" w:eastAsia="Times New Roman" w:hAnsi="Times New Roman"/>
                <w:sz w:val="22"/>
                <w:szCs w:val="22"/>
                <w:color w:val="0000EE"/>
              </w:rPr>
            </w:pPr>
            <w:hyperlink r:id="rId47">
              <w:r>
                <w:rPr>
                  <w:rFonts w:ascii="Times New Roman" w:cs="Times New Roman" w:eastAsia="Times New Roman" w:hAnsi="Times New Roman"/>
                  <w:sz w:val="22"/>
                  <w:szCs w:val="22"/>
                  <w:color w:val="0000EE"/>
                </w:rPr>
                <w:t>First Amendment to the Third Amended and Restated Limited Liability Company Agreement</w:t>
              </w:r>
            </w:hyperlink>
          </w:p>
        </w:tc>
        <w:tc>
          <w:tcPr>
            <w:tcW w:w="0" w:type="dxa"/>
            <w:vAlign w:val="bottom"/>
          </w:tcPr>
          <w:p>
            <w:pPr>
              <w:spacing w:after="0"/>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100" w:type="dxa"/>
            <w:vAlign w:val="bottom"/>
            <w:tcBorders>
              <w:top w:val="single" w:sz="8" w:color="0000EE"/>
            </w:tcBorders>
            <w:gridSpan w:val="20"/>
          </w:tcPr>
          <w:p>
            <w:pPr>
              <w:spacing w:after="0" w:line="223" w:lineRule="exact"/>
              <w:rPr>
                <w:rFonts w:ascii="Times New Roman" w:cs="Times New Roman" w:eastAsia="Times New Roman" w:hAnsi="Times New Roman"/>
                <w:sz w:val="22"/>
                <w:szCs w:val="22"/>
                <w:color w:val="0000EE"/>
                <w:w w:val="98"/>
              </w:rPr>
            </w:pPr>
            <w:hyperlink r:id="rId47">
              <w:r>
                <w:rPr>
                  <w:rFonts w:ascii="Times New Roman" w:cs="Times New Roman" w:eastAsia="Times New Roman" w:hAnsi="Times New Roman"/>
                  <w:sz w:val="22"/>
                  <w:szCs w:val="22"/>
                  <w:color w:val="0000EE"/>
                  <w:w w:val="98"/>
                </w:rPr>
                <w:t>(incorporated by reference to Exhibit 4.1 to the Issuer’s Current Report on Form 8-K filed on</w:t>
              </w:r>
            </w:hyperlink>
          </w:p>
        </w:tc>
        <w:tc>
          <w:tcPr>
            <w:tcW w:w="1000" w:type="dxa"/>
            <w:vAlign w:val="bottom"/>
            <w:tcBorders>
              <w:right w:val="single" w:sz="8" w:color="auto"/>
            </w:tcBorders>
            <w:gridSpan w:val="15"/>
          </w:tcPr>
          <w:p>
            <w:pPr>
              <w:spacing w:after="0" w:line="223" w:lineRule="exact"/>
              <w:rPr>
                <w:rFonts w:ascii="Times New Roman" w:cs="Times New Roman" w:eastAsia="Times New Roman" w:hAnsi="Times New Roman"/>
                <w:sz w:val="22"/>
                <w:szCs w:val="22"/>
                <w:color w:val="0000EE"/>
              </w:rPr>
            </w:pPr>
            <w:hyperlink r:id="rId47">
              <w:r>
                <w:rPr>
                  <w:rFonts w:ascii="Times New Roman" w:cs="Times New Roman" w:eastAsia="Times New Roman" w:hAnsi="Times New Roman"/>
                  <w:sz w:val="22"/>
                  <w:szCs w:val="22"/>
                  <w:color w:val="0000EE"/>
                </w:rPr>
                <w:t>April 29,</w:t>
              </w:r>
            </w:hyperlink>
          </w:p>
        </w:tc>
        <w:tc>
          <w:tcPr>
            <w:tcW w:w="0" w:type="dxa"/>
            <w:vAlign w:val="bottom"/>
          </w:tcPr>
          <w:p>
            <w:pPr>
              <w:spacing w:after="0"/>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top w:val="single" w:sz="8" w:color="0000EE"/>
              <w:bottom w:val="single" w:sz="8" w:color="0000EE"/>
            </w:tcBorders>
          </w:tcPr>
          <w:p>
            <w:pPr>
              <w:spacing w:after="0" w:line="223" w:lineRule="exact"/>
              <w:rPr>
                <w:rFonts w:ascii="Times New Roman" w:cs="Times New Roman" w:eastAsia="Times New Roman" w:hAnsi="Times New Roman"/>
                <w:sz w:val="22"/>
                <w:szCs w:val="22"/>
                <w:color w:val="0000EE"/>
                <w:w w:val="94"/>
              </w:rPr>
            </w:pPr>
            <w:hyperlink r:id="rId47">
              <w:r>
                <w:rPr>
                  <w:rFonts w:ascii="Times New Roman" w:cs="Times New Roman" w:eastAsia="Times New Roman" w:hAnsi="Times New Roman"/>
                  <w:sz w:val="22"/>
                  <w:szCs w:val="22"/>
                  <w:color w:val="0000EE"/>
                  <w:w w:val="94"/>
                </w:rPr>
                <w:t>2024).</w:t>
              </w:r>
            </w:hyperlink>
          </w:p>
        </w:tc>
        <w:tc>
          <w:tcPr>
            <w:tcW w:w="18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9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7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20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 Previously filed</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2"/>
        </w:trPr>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8"/>
          </w:tcPr>
          <w:p>
            <w:pPr>
              <w:jc w:val="right"/>
              <w:ind w:right="600"/>
              <w:spacing w:after="0"/>
              <w:rPr>
                <w:sz w:val="20"/>
                <w:szCs w:val="20"/>
                <w:color w:val="auto"/>
              </w:rPr>
            </w:pPr>
            <w:r>
              <w:rPr>
                <w:rFonts w:ascii="Times New Roman" w:cs="Times New Roman" w:eastAsia="Times New Roman" w:hAnsi="Times New Roman"/>
                <w:sz w:val="22"/>
                <w:szCs w:val="22"/>
                <w:color w:val="auto"/>
              </w:rPr>
              <w:t>8</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the undersigned’s knowledge and belief, the undersigned certifies that the information set forth in this statement is true, complete and correct.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Dated: April 29, 2024</w:t>
            </w:r>
          </w:p>
        </w:tc>
        <w:tc>
          <w:tcPr>
            <w:tcW w:w="7600" w:type="dxa"/>
            <w:vAlign w:val="bottom"/>
            <w:gridSpan w:val="2"/>
          </w:tcPr>
          <w:p>
            <w:pPr>
              <w:ind w:left="1640"/>
              <w:spacing w:after="0"/>
              <w:rPr>
                <w:sz w:val="20"/>
                <w:szCs w:val="20"/>
                <w:color w:val="auto"/>
              </w:rPr>
            </w:pPr>
            <w:r>
              <w:rPr>
                <w:rFonts w:ascii="Times New Roman" w:cs="Times New Roman" w:eastAsia="Times New Roman" w:hAnsi="Times New Roman"/>
                <w:sz w:val="22"/>
                <w:szCs w:val="22"/>
                <w:b w:val="1"/>
                <w:bCs w:val="1"/>
                <w:color w:val="auto"/>
              </w:rPr>
              <w:t>Intercontinental Exchange, Inc.</w:t>
            </w:r>
          </w:p>
        </w:tc>
      </w:tr>
      <w:tr>
        <w:trPr>
          <w:trHeight w:val="474"/>
        </w:trPr>
        <w:tc>
          <w:tcPr>
            <w:tcW w:w="3640" w:type="dxa"/>
            <w:vAlign w:val="bottom"/>
          </w:tcPr>
          <w:p>
            <w:pPr>
              <w:spacing w:after="0"/>
              <w:rPr>
                <w:sz w:val="24"/>
                <w:szCs w:val="24"/>
                <w:color w:val="auto"/>
              </w:rPr>
            </w:pPr>
          </w:p>
        </w:tc>
        <w:tc>
          <w:tcPr>
            <w:tcW w:w="22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By:</w:t>
            </w:r>
          </w:p>
        </w:tc>
        <w:tc>
          <w:tcPr>
            <w:tcW w:w="5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 Andrew J. Surdykowski</w:t>
            </w:r>
          </w:p>
        </w:tc>
      </w:tr>
      <w:tr>
        <w:trPr>
          <w:trHeight w:val="209"/>
        </w:trPr>
        <w:tc>
          <w:tcPr>
            <w:tcW w:w="36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38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Name: Andrew J. Surdykowski</w:t>
            </w:r>
          </w:p>
        </w:tc>
      </w:tr>
      <w:tr>
        <w:trPr>
          <w:trHeight w:val="282"/>
        </w:trPr>
        <w:tc>
          <w:tcPr>
            <w:tcW w:w="3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Title: General Counsel</w:t>
            </w:r>
          </w:p>
        </w:tc>
      </w:tr>
      <w:tr>
        <w:trPr>
          <w:trHeight w:val="729"/>
        </w:trPr>
        <w:tc>
          <w:tcPr>
            <w:tcW w:w="3640" w:type="dxa"/>
            <w:vAlign w:val="bottom"/>
          </w:tcPr>
          <w:p>
            <w:pPr>
              <w:spacing w:after="0"/>
              <w:rPr>
                <w:sz w:val="24"/>
                <w:szCs w:val="24"/>
                <w:color w:val="auto"/>
              </w:rPr>
            </w:pPr>
          </w:p>
        </w:tc>
        <w:tc>
          <w:tcPr>
            <w:tcW w:w="7600" w:type="dxa"/>
            <w:vAlign w:val="bottom"/>
            <w:gridSpan w:val="2"/>
          </w:tcPr>
          <w:p>
            <w:pPr>
              <w:ind w:left="1640"/>
              <w:spacing w:after="0"/>
              <w:rPr>
                <w:sz w:val="20"/>
                <w:szCs w:val="20"/>
                <w:color w:val="auto"/>
              </w:rPr>
            </w:pPr>
            <w:r>
              <w:rPr>
                <w:rFonts w:ascii="Times New Roman" w:cs="Times New Roman" w:eastAsia="Times New Roman" w:hAnsi="Times New Roman"/>
                <w:sz w:val="22"/>
                <w:szCs w:val="22"/>
                <w:b w:val="1"/>
                <w:bCs w:val="1"/>
                <w:color w:val="auto"/>
              </w:rPr>
              <w:t>Intercontinental Exchange Holdings, Inc.</w:t>
            </w:r>
          </w:p>
        </w:tc>
      </w:tr>
      <w:tr>
        <w:trPr>
          <w:trHeight w:val="717"/>
        </w:trPr>
        <w:tc>
          <w:tcPr>
            <w:tcW w:w="3640" w:type="dxa"/>
            <w:vAlign w:val="bottom"/>
          </w:tcPr>
          <w:p>
            <w:pPr>
              <w:spacing w:after="0"/>
              <w:rPr>
                <w:sz w:val="24"/>
                <w:szCs w:val="24"/>
                <w:color w:val="auto"/>
              </w:rPr>
            </w:pPr>
          </w:p>
        </w:tc>
        <w:tc>
          <w:tcPr>
            <w:tcW w:w="22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By:</w:t>
            </w:r>
          </w:p>
        </w:tc>
        <w:tc>
          <w:tcPr>
            <w:tcW w:w="5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 Andrew J. Surdykowski</w:t>
            </w:r>
          </w:p>
        </w:tc>
      </w:tr>
      <w:tr>
        <w:trPr>
          <w:trHeight w:val="209"/>
        </w:trPr>
        <w:tc>
          <w:tcPr>
            <w:tcW w:w="36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38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Name: Andrew J. Surdykowski</w:t>
            </w:r>
          </w:p>
        </w:tc>
      </w:tr>
      <w:tr>
        <w:trPr>
          <w:trHeight w:val="282"/>
        </w:trPr>
        <w:tc>
          <w:tcPr>
            <w:tcW w:w="3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Title: General Counsel</w:t>
            </w:r>
          </w:p>
        </w:tc>
      </w:tr>
      <w:tr>
        <w:trPr>
          <w:trHeight w:val="4423"/>
        </w:trPr>
        <w:tc>
          <w:tcPr>
            <w:tcW w:w="36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PURCHASE WARRANT</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ectPr>
          <w:pgSz w:w="11900" w:h="16838" w:orient="portrait"/>
          <w:cols w:equalWidth="0" w:num="1">
            <w:col w:w="11240"/>
          </w:cols>
          <w:pgMar w:left="320" w:top="117"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Warrant Shares: 4,386,008</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Original Issuance Date</w:t>
      </w:r>
      <w:r>
        <w:rPr>
          <w:rFonts w:ascii="Times New Roman" w:cs="Times New Roman" w:eastAsia="Times New Roman" w:hAnsi="Times New Roman"/>
          <w:sz w:val="18"/>
          <w:szCs w:val="18"/>
          <w:color w:val="auto"/>
        </w:rPr>
        <w:t>: April 25, 2024</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Initial Exercise Date</w:t>
      </w:r>
      <w:r>
        <w:rPr>
          <w:rFonts w:ascii="Times New Roman" w:cs="Times New Roman" w:eastAsia="Times New Roman" w:hAnsi="Times New Roman"/>
          <w:sz w:val="17"/>
          <w:szCs w:val="17"/>
          <w:color w:val="auto"/>
        </w:rPr>
        <w:t>: September 4, 2024</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September 4, 2029</w:t>
      </w:r>
    </w:p>
    <w:p>
      <w:pPr>
        <w:spacing w:after="0" w:line="200" w:lineRule="exact"/>
        <w:rPr>
          <w:sz w:val="20"/>
          <w:szCs w:val="20"/>
          <w:color w:val="auto"/>
        </w:rPr>
      </w:pPr>
    </w:p>
    <w:p>
      <w:pPr>
        <w:sectPr>
          <w:pgSz w:w="11900" w:h="16838" w:orient="portrait"/>
          <w:cols w:equalWidth="0" w:num="2">
            <w:col w:w="7500" w:space="720"/>
            <w:col w:w="3020"/>
          </w:cols>
          <w:pgMar w:left="320" w:top="117" w:right="339" w:bottom="1440" w:gutter="0" w:footer="0" w:header="0"/>
          <w:type w:val="continuous"/>
        </w:sectPr>
      </w:pPr>
    </w:p>
    <w:p>
      <w:pPr>
        <w:spacing w:after="0" w:line="7" w:lineRule="exact"/>
        <w:rPr>
          <w:sz w:val="20"/>
          <w:szCs w:val="20"/>
          <w:color w:val="auto"/>
        </w:rPr>
      </w:pPr>
    </w:p>
    <w:p>
      <w:pPr>
        <w:jc w:val="both"/>
        <w:ind w:firstLine="1166"/>
        <w:spacing w:after="0" w:line="256" w:lineRule="auto"/>
        <w:rPr>
          <w:sz w:val="20"/>
          <w:szCs w:val="20"/>
          <w:color w:val="auto"/>
        </w:rPr>
      </w:pPr>
      <w:r>
        <w:rPr>
          <w:rFonts w:ascii="Times New Roman" w:cs="Times New Roman" w:eastAsia="Times New Roman" w:hAnsi="Times New Roman"/>
          <w:sz w:val="18"/>
          <w:szCs w:val="18"/>
          <w:color w:val="auto"/>
        </w:rPr>
        <w:t>THIS COMMON STOCK PURCHASE WARRANT (Class 1)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Intercontinental Exchange Holdings, Inc.,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September 4, 2024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September 4, 2029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BAKKT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4,386,008 shares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the Company’s Class A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The purchase price of one share of Common Stock under this Warrant shall be equal to the Exercise Price, as defined in Section 2(b).</w:t>
      </w:r>
    </w:p>
    <w:p>
      <w:pPr>
        <w:spacing w:after="0" w:line="187" w:lineRule="exact"/>
        <w:rPr>
          <w:sz w:val="20"/>
          <w:szCs w:val="20"/>
          <w:color w:val="auto"/>
        </w:rPr>
      </w:pPr>
    </w:p>
    <w:p>
      <w:pPr>
        <w:jc w:val="both"/>
        <w:ind w:firstLine="583"/>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February 29, 2024, among the Company and the purchaser signatory thereto.</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5" w:lineRule="auto"/>
        <w:tabs>
          <w:tab w:leader="none" w:pos="125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two (2) Trading Days (as defined in Section 2(c) herein) and (ii) the number of Trading Days comprising the Standard Settlement Period (as defined in Section 2(e)</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herein) following the date of exercise as aforesaid, the Holder shall deliver the aggregate Exercise Price for the number of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 that, by reason of the provisions of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paragraph, following the purchase of a portion of the Warrant Shares hereunder, the number of Warrant Shares available for purchase hereunder at any given time may be less than the amount stated on the face hereof.</w:t>
      </w:r>
    </w:p>
    <w:p>
      <w:pPr>
        <w:spacing w:after="0" w:line="19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$1.02, subject to adjustment hereunder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14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This Warrant may also be exercised, in whole or in part, at any time or times on or after the Initial Exercise Date and on or before the Termination Date by means of a “cashless exercise” in which the Holder shall be entitled to receive a number of Warrant Shares equal to the quotient obtained by dividing [(A-B) (X)] by (A), 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jc w:val="both"/>
        <w:ind w:firstLine="591"/>
        <w:spacing w:after="0" w:line="254" w:lineRule="auto"/>
        <w:tabs>
          <w:tab w:leader="none" w:pos="9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8" w:lineRule="exact"/>
        <w:rPr>
          <w:rFonts w:ascii="Times New Roman" w:cs="Times New Roman" w:eastAsia="Times New Roman" w:hAnsi="Times New Roman"/>
          <w:sz w:val="18"/>
          <w:szCs w:val="18"/>
          <w:color w:val="auto"/>
        </w:rPr>
      </w:pPr>
    </w:p>
    <w:p>
      <w:pPr>
        <w:ind w:left="880" w:hanging="289"/>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right="20" w:firstLine="591"/>
        <w:spacing w:after="0" w:line="282" w:lineRule="auto"/>
        <w:tabs>
          <w:tab w:leader="none" w:pos="89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both"/>
        <w:ind w:firstLine="58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the Common Stock is then not listed on a Trading Market and if the Shares are listed or quoted for trading on the OTC Market Group’s OTCQB exchange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OTCQX exchange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right="60" w:firstLine="58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Trading Market is open for trading, including any day on which the Trading Market is open for trading for a period of time less than the customary time.</w:t>
      </w:r>
    </w:p>
    <w:p>
      <w:pPr>
        <w:spacing w:after="0" w:line="162" w:lineRule="exact"/>
        <w:rPr>
          <w:sz w:val="20"/>
          <w:szCs w:val="20"/>
          <w:color w:val="auto"/>
        </w:rPr>
      </w:pPr>
    </w:p>
    <w:p>
      <w:pPr>
        <w:jc w:val="both"/>
        <w:ind w:right="100" w:firstLine="58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shares of Common Stock are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firstLine="58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is then not listed or quoted on a Trading Market and if the Shares are listed or quoted for trading on OTCQB or OTCQX,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3" w:name="page14"/>
    <w:bookmarkEnd w:id="13"/>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76" w:lineRule="exact"/>
        <w:rPr>
          <w:sz w:val="20"/>
          <w:szCs w:val="20"/>
          <w:color w:val="auto"/>
        </w:rPr>
      </w:pPr>
    </w:p>
    <w:p>
      <w:pPr>
        <w:ind w:left="1260" w:hanging="604"/>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both"/>
        <w:ind w:firstLine="1952"/>
        <w:spacing w:after="0" w:line="252" w:lineRule="auto"/>
        <w:tabs>
          <w:tab w:leader="none" w:pos="27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(A) the earlier of (i) two (2) Trading Days and (ii) the number of days comprising the Standard Settlement Period, in each case after the delivery to the Company of the Notice of Exercise and (B) one (1) Trading Day after delivery of the aggregate Exercise Price to the Company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such liquidated damages begin to accrue) for each Trading Day after such Warrant Share Delivery Date until such Warrant Shares are delivered or Holder rescinds such exercise. The Company agrees to maintain a transfer agent that is a participant in the Fast Automated Securities Transfer (“</w:t>
      </w:r>
      <w:r>
        <w:rPr>
          <w:rFonts w:ascii="Times New Roman" w:cs="Times New Roman" w:eastAsia="Times New Roman" w:hAnsi="Times New Roman"/>
          <w:sz w:val="18"/>
          <w:szCs w:val="18"/>
          <w:u w:val="single" w:color="auto"/>
          <w:color w:val="auto"/>
        </w:rPr>
        <w:t>FAST</w:t>
      </w:r>
      <w:r>
        <w:rPr>
          <w:rFonts w:ascii="Times New Roman" w:cs="Times New Roman" w:eastAsia="Times New Roman" w:hAnsi="Times New Roman"/>
          <w:sz w:val="18"/>
          <w:szCs w:val="18"/>
          <w:color w:val="auto"/>
        </w:rPr>
        <w: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190"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0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firstLine="1952"/>
        <w:spacing w:after="0" w:line="282" w:lineRule="auto"/>
        <w:tabs>
          <w:tab w:leader="none" w:pos="289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2(e)(i) by the Warrant Share Delivery Date, then the Holder will have the right to rescind such exercise.</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4" w:name="page15"/>
    <w:bookmarkEnd w:id="14"/>
    <w:p>
      <w:pPr>
        <w:jc w:val="both"/>
        <w:ind w:firstLine="1952"/>
        <w:spacing w:after="0" w:line="254" w:lineRule="auto"/>
        <w:tabs>
          <w:tab w:leader="none" w:pos="272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2(e)(i)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w:t>
      </w:r>
    </w:p>
    <w:p>
      <w:pPr>
        <w:spacing w:after="0" w:line="3" w:lineRule="exact"/>
        <w:rPr>
          <w:rFonts w:ascii="Times New Roman" w:cs="Times New Roman" w:eastAsia="Times New Roman" w:hAnsi="Times New Roman"/>
          <w:sz w:val="18"/>
          <w:szCs w:val="18"/>
          <w:color w:val="auto"/>
        </w:rPr>
      </w:pPr>
    </w:p>
    <w:p>
      <w:pPr>
        <w:jc w:val="both"/>
        <w:ind w:firstLine="8"/>
        <w:spacing w:after="0" w:line="250" w:lineRule="auto"/>
        <w:tabs>
          <w:tab w:leader="none" w:pos="2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30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this Warrant to purchase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reasonably satisfactory to the Company with respect to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92" w:lineRule="exact"/>
        <w:rPr>
          <w:rFonts w:ascii="Times New Roman" w:cs="Times New Roman" w:eastAsia="Times New Roman" w:hAnsi="Times New Roman"/>
          <w:sz w:val="18"/>
          <w:szCs w:val="18"/>
          <w:color w:val="auto"/>
        </w:rPr>
      </w:pPr>
    </w:p>
    <w:p>
      <w:pPr>
        <w:jc w:val="both"/>
        <w:ind w:firstLine="1952"/>
        <w:spacing w:after="0" w:line="261" w:lineRule="auto"/>
        <w:tabs>
          <w:tab w:leader="none" w:pos="287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rFonts w:ascii="Times New Roman" w:cs="Times New Roman" w:eastAsia="Times New Roman" w:hAnsi="Times New Roman"/>
          <w:sz w:val="18"/>
          <w:szCs w:val="18"/>
          <w:color w:val="auto"/>
        </w:rPr>
      </w:pPr>
    </w:p>
    <w:p>
      <w:pPr>
        <w:jc w:val="both"/>
        <w:ind w:firstLine="1952"/>
        <w:spacing w:after="0" w:line="254" w:lineRule="auto"/>
        <w:tabs>
          <w:tab w:leader="none" w:pos="269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and delivery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91" w:lineRule="exact"/>
        <w:rPr>
          <w:rFonts w:ascii="Times New Roman" w:cs="Times New Roman" w:eastAsia="Times New Roman" w:hAnsi="Times New Roman"/>
          <w:sz w:val="18"/>
          <w:szCs w:val="18"/>
          <w:color w:val="auto"/>
        </w:rPr>
      </w:pPr>
    </w:p>
    <w:p>
      <w:pPr>
        <w:ind w:firstLine="1952"/>
        <w:spacing w:after="0" w:line="282" w:lineRule="auto"/>
        <w:tabs>
          <w:tab w:leader="none" w:pos="28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ind w:firstLine="656"/>
        <w:spacing w:after="0" w:line="251" w:lineRule="auto"/>
        <w:tabs>
          <w:tab w:leader="none" w:pos="122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2(f),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2(f)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(other than to the extent that information on the number of outstanding shares of Common Stock is provided by the Company, either directly or through one or more public filings, and relied upon by the Holder).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exercises of this Warrant that are not in compliance with the Beneficial Ownership Limitation (other than to the extent that information on the number of outstanding shares of Common Stock is provided by the Company, either directly or through one or more public filings, and relied upon by the Holder). For purposes of this Section 2(f),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(or, at the election of the Holder prior to the issuance of this Warrant, 9.99%) of the number of shares of the Common Stock outstanding immediately after giving effect to the issuance of shares of Common Stock issuable upon exercise of this Warrant. The Holder, upon written notice to the Company, may increase or decrease the Beneficial Ownership Limitation provisions of this Section 2(f),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2(f)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2(f)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this Warrant is unexercisable as a result of the Holder’s Beneficial Ownership Limitation, no alternate consideration is owing to the Holder. For the avoidance of doubt, the restrictions on exercise of any portion of this Warrant in this Section 2(f), the restrictions on participation in any Purchase Right in Section 3(b) and the restrictions on participation in any Distribution in Section 3(c) shall not prevent or limit any such exercise or participation by the Holder if the number of shares of Common Stock beneficially owned by the Holder and its Affiliates and Attribution Parties immediately prior to giving effect to such exercise or participation exceeds 9.99% of the number of shares of the Common Stock outstanding immediately prior to giving effect to such exercise or participation.</w:t>
      </w:r>
    </w:p>
    <w:p>
      <w:pPr>
        <w:spacing w:after="0" w:line="19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 Rights Offering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127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6" w:name="page17"/>
    <w:bookmarkEnd w:id="16"/>
    <w:p>
      <w:pPr>
        <w:jc w:val="both"/>
        <w:ind w:firstLine="656"/>
        <w:spacing w:after="0" w:line="253" w:lineRule="auto"/>
        <w:tabs>
          <w:tab w:leader="none" w:pos="160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If at any time this Warrant is outstanding the Company grants, issues or sells any Common Stock Equivalents or rights to purchase shares, warrants, securities or other property pro rata to all of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149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7" w:name="page18"/>
    <w:bookmarkEnd w:id="17"/>
    <w:p>
      <w:pPr>
        <w:jc w:val="both"/>
        <w:ind w:firstLine="656"/>
        <w:spacing w:after="0" w:line="250" w:lineRule="auto"/>
        <w:tabs>
          <w:tab w:leader="none" w:pos="130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of the Company), directly or indirectly, effects any sale, lease, license, assignment, transfer, conveyance or other disposition of all or substantially all of the Company’s consolidated assets in one or a series of related transactions (provided that, for the avoidance of doubt, the sale by the Company of its loyalty and travel redemption business comprised of certain entities and any assets thereof shall not be deemed to be a sale or other disposition of all or substantially all of the Company’s assets),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voting power of the common equity of the Company, (iv) the Company, directly or indirectly, in one or more related transactions effects any reclassification, reorganization or recapitalization of shares of Common Stock or any compulsory share exchange pursuant to which the shares of Common Stock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2(f)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2(f)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use commercially reasonable efforts to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Notwithstanding anything to the contrary, in the event of a Fundamental Transaction, the Company or any Successor Entity (as defined below) shall, at the Holder’s option, exercisable at any time concurrently with, or within thirty (30) days after, the consummation of the Fundamental Transaction (or, if later, the date of the public announcement of the applicable Fundamental Transaction), purchase this Warrant from the Holder by paying to the Holder, as described below,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board of directors of the Company, Holder shall only be entitled to receive from the Company or any Successor Entity, as of the date of the consummation of such Fundamental Transaction the same type or form of consideration (and in the same proportion), valued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shares of the Successor Entity (which Successor Entity may be the Company following such Fundamental Transaction) in such Fundamental Transaction.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announcement of the applicable Fundamental Transaction (or the consummation of the applicable Fundamental Transaction, if earlier) and ending on the Trading Day of the Holder’s request pursuant to this Section 3(d)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within five Business Days of the Holder’s election (or, if later, on the effective date of the Fundamental Transaction). For the avoidance of doubt, the Holder shall be entitled to the benefits of the provisions of this Section 3(d) regardless of whether the Company has sufficient authorized shares of Common Stock for the issuance of the Warrant Shares.</w:t>
      </w:r>
    </w:p>
    <w:p>
      <w:pPr>
        <w:spacing w:after="0" w:line="2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8" w:name="page19"/>
    <w:bookmarkEnd w:id="18"/>
    <w:p>
      <w:pPr>
        <w:jc w:val="both"/>
        <w:ind w:firstLine="656"/>
        <w:spacing w:after="0" w:line="225" w:lineRule="auto"/>
        <w:tabs>
          <w:tab w:leader="none" w:pos="131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200"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8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75" w:lineRule="exact"/>
        <w:rPr>
          <w:rFonts w:ascii="Times New Roman" w:cs="Times New Roman" w:eastAsia="Times New Roman" w:hAnsi="Times New Roman"/>
          <w:sz w:val="18"/>
          <w:szCs w:val="18"/>
          <w:color w:val="auto"/>
        </w:rPr>
      </w:pPr>
    </w:p>
    <w:p>
      <w:pPr>
        <w:jc w:val="both"/>
        <w:ind w:firstLine="1952"/>
        <w:spacing w:after="0" w:line="252" w:lineRule="auto"/>
        <w:tabs>
          <w:tab w:leader="none" w:pos="252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shares of Common Stock rights or warrants to subscribe for or purchase any shares of capital stock of any class or any rights, (D) the approval of any stockholders of the Company shall be required in connection with a Fundamental Transaction,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Company’s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93" w:lineRule="exact"/>
        <w:rPr>
          <w:rFonts w:ascii="Times New Roman" w:cs="Times New Roman" w:eastAsia="Times New Roman" w:hAnsi="Times New Roman"/>
          <w:sz w:val="18"/>
          <w:szCs w:val="18"/>
          <w:color w:val="auto"/>
        </w:rPr>
      </w:pPr>
    </w:p>
    <w:p>
      <w:pPr>
        <w:jc w:val="both"/>
        <w:ind w:firstLine="656"/>
        <w:spacing w:after="0" w:line="266" w:lineRule="auto"/>
        <w:tabs>
          <w:tab w:leader="none" w:pos="130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Trading Market, the Company may at any time while this Warrant is outstanding, reduce (temporarily or permanently) the then-current Exercise Price to any amount and for any period of time deemed appropriate by the board of directors of the Company in its sole discretion.</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132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9" w:name="page20"/>
    <w:bookmarkEnd w:id="19"/>
    <w:p>
      <w:pPr>
        <w:jc w:val="both"/>
        <w:ind w:firstLine="656"/>
        <w:spacing w:after="0" w:line="256" w:lineRule="auto"/>
        <w:tabs>
          <w:tab w:leader="none" w:pos="149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maintain the Original Issuance Date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ind w:left="660"/>
        <w:spacing w:after="0"/>
        <w:tabs>
          <w:tab w:leader="none" w:pos="1580" w:val="left"/>
        </w:tabs>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61" w:lineRule="auto"/>
        <w:tabs>
          <w:tab w:leader="none" w:pos="168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2(e)(i), except as expressly set forth in Section</w:t>
      </w:r>
    </w:p>
    <w:p>
      <w:pPr>
        <w:ind w:firstLine="8"/>
        <w:spacing w:after="0" w:line="260" w:lineRule="auto"/>
        <w:tabs>
          <w:tab w:leader="none" w:pos="19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rights of a Holder to receive Warrant Shares on a “cashless exercise” and to receive the cash payments contemplated pursuant to Sections 2(e)(i) and 2(e)(iv), in no event will the Company be required to net cash settle an exercise of this Warrant.</w:t>
      </w:r>
    </w:p>
    <w:p>
      <w:pPr>
        <w:spacing w:after="0" w:line="181" w:lineRule="exact"/>
        <w:rPr>
          <w:rFonts w:ascii="Times New Roman" w:cs="Times New Roman" w:eastAsia="Times New Roman" w:hAnsi="Times New Roman"/>
          <w:sz w:val="18"/>
          <w:szCs w:val="18"/>
          <w:color w:val="auto"/>
        </w:rPr>
      </w:pPr>
    </w:p>
    <w:p>
      <w:pPr>
        <w:jc w:val="both"/>
        <w:ind w:firstLine="656"/>
        <w:spacing w:after="0" w:line="256" w:lineRule="auto"/>
        <w:tabs>
          <w:tab w:leader="none" w:pos="139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and in case of loss, theft or destruction, of indemnity or security reasonably satisfactory to it (which shall not include the posting of any bond), and upon surrender and cancellation of such Warrant, if mutilated, the Company will make and deliver a new Warrant of like tenor and dated as of such cancellation, in lieu of such Warrant. The applicant for a new certificate or instrument under such circumstances shall pay any reasonable third-party costs (including customary indemnity) associated with the issuance of such replacement warrant.</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55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61" w:lineRule="exact"/>
        <w:rPr>
          <w:rFonts w:ascii="Times New Roman" w:cs="Times New Roman" w:eastAsia="Times New Roman" w:hAnsi="Times New Roman"/>
          <w:sz w:val="18"/>
          <w:szCs w:val="18"/>
          <w:color w:val="auto"/>
        </w:rPr>
      </w:pPr>
    </w:p>
    <w:p>
      <w:pPr>
        <w:jc w:val="both"/>
        <w:ind w:firstLine="656"/>
        <w:spacing w:after="0" w:line="271" w:lineRule="auto"/>
        <w:tabs>
          <w:tab w:leader="none" w:pos="1615"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Authorized Shares</w:t>
      </w:r>
      <w:r>
        <w:rPr>
          <w:rFonts w:ascii="Times New Roman" w:cs="Times New Roman" w:eastAsia="Times New Roman" w:hAnsi="Times New Roman"/>
          <w:sz w:val="17"/>
          <w:szCs w:val="17"/>
          <w:color w:val="auto"/>
        </w:rPr>
        <w:t>. The Company covenants that, at all times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that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0" w:name="page21"/>
    <w:bookmarkEnd w:id="2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firstLine="656"/>
        <w:spacing w:after="0" w:line="282" w:lineRule="auto"/>
        <w:tabs>
          <w:tab w:leader="none" w:pos="149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3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69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For the avoidance of doubt, the foregoing shall in no way modify or qualify the right to exercise this Warrant terminating on the Termination Date. Without limiting any other provision of this Warrant, if the Company willfully and knowingly fails to comply with any provision of this Warrant or the Purchase Agreement,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50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6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shares of Common Stock or as a stockholder of the Company, whether such liability is asserted by the Company or by creditors of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43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53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56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of this Warrant, on the other hand.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5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1" w:name="page22"/>
    <w:bookmarkEnd w:id="21"/>
    <w:p>
      <w:pPr>
        <w:ind w:left="1680" w:hanging="1024"/>
        <w:spacing w:after="0"/>
        <w:tabs>
          <w:tab w:leader="none" w:pos="1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of this Warrant.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2" w:name="page23"/>
    <w:bookmarkEnd w:id="22"/>
    <w:p>
      <w:pPr>
        <w:ind w:right="20" w:firstLine="116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BAKKT HOLDINGS, INC</w:t>
      </w:r>
      <w:r>
        <w:rPr>
          <w:rFonts w:ascii="Times New Roman" w:cs="Times New Roman" w:eastAsia="Times New Roman" w:hAnsi="Times New Roman"/>
          <w:sz w:val="21"/>
          <w:szCs w:val="21"/>
          <w:b w:val="1"/>
          <w:bCs w:val="1"/>
          <w:color w:val="auto"/>
        </w:rPr>
        <w:t>.</w:t>
      </w:r>
    </w:p>
    <w:p>
      <w:pPr>
        <w:spacing w:after="0" w:line="239" w:lineRule="exact"/>
        <w:rPr>
          <w:sz w:val="20"/>
          <w:szCs w:val="20"/>
          <w:color w:val="auto"/>
        </w:rPr>
      </w:pPr>
    </w:p>
    <w:tbl>
      <w:tblPr>
        <w:tblLayout w:type="fixed"/>
        <w:tblInd w:w="5200" w:type="dxa"/>
        <w:tblCellMar>
          <w:top w:w="0" w:type="dxa"/>
          <w:left w:w="0" w:type="dxa"/>
          <w:bottom w:w="0" w:type="dxa"/>
          <w:right w:w="0" w:type="dxa"/>
        </w:tblCellMar>
      </w:tblPr>
      <w:tr>
        <w:trPr>
          <w:trHeight w:val="253"/>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 Andrew Main</w:t>
            </w: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5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0" w:type="dxa"/>
            <w:vAlign w:val="bottom"/>
            <w:vMerge w:val="continue"/>
          </w:tcPr>
          <w:p>
            <w:pPr>
              <w:spacing w:after="0"/>
              <w:rPr>
                <w:sz w:val="18"/>
                <w:szCs w:val="18"/>
                <w:color w:val="auto"/>
              </w:rPr>
            </w:pPr>
          </w:p>
        </w:tc>
        <w:tc>
          <w:tcPr>
            <w:tcW w:w="534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Andrew Main</w:t>
            </w: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Title:</w:t>
            </w:r>
          </w:p>
        </w:tc>
        <w:tc>
          <w:tcPr>
            <w:tcW w:w="5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vMerge w:val="continue"/>
          </w:tcPr>
          <w:p>
            <w:pPr>
              <w:spacing w:after="0"/>
              <w:rPr>
                <w:sz w:val="20"/>
                <w:szCs w:val="20"/>
                <w:color w:val="auto"/>
              </w:rPr>
            </w:pPr>
          </w:p>
        </w:tc>
        <w:tc>
          <w:tcPr>
            <w:tcW w:w="534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President and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Common Stock Purchase Warrant (Class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firstLine="656"/>
        <w:spacing w:after="0" w:line="282" w:lineRule="auto"/>
        <w:tabs>
          <w:tab w:leader="none" w:pos="91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660" w:firstLine="644"/>
        <w:spacing w:after="0" w:line="266" w:lineRule="auto"/>
        <w:tabs>
          <w:tab w:leader="none" w:pos="142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permitted the cancellation of such number of Warrant Shares as is necessary, in accordance with the formula set forth in Section 2(c), to exercise this Warrant with respect to the maximum number of Warrant Shares purchasable pursuant to the cashless exercise procedure set forth in Section 2(c).</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192849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0">
                      <a:extLst>
                        <a:ext uri="{28A0092B-C50C-407E-A947-70E740481C1C}"/>
                      </a:extLst>
                    </a:blip>
                    <a:srcRect/>
                    <a:stretch>
                      <a:fillRect/>
                    </a:stretch>
                  </pic:blipFill>
                  <pic:spPr bwMode="auto">
                    <a:xfrm>
                      <a:off x="0" y="0"/>
                      <a:ext cx="19284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192849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1">
                      <a:extLst>
                        <a:ext uri="{28A0092B-C50C-407E-A947-70E740481C1C}"/>
                      </a:extLst>
                    </a:blip>
                    <a:srcRect/>
                    <a:stretch>
                      <a:fillRect/>
                    </a:stretch>
                  </pic:blipFill>
                  <pic:spPr bwMode="auto">
                    <a:xfrm>
                      <a:off x="0" y="0"/>
                      <a:ext cx="192849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192849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2">
                      <a:extLst>
                        <a:ext uri="{28A0092B-C50C-407E-A947-70E740481C1C}"/>
                      </a:extLst>
                    </a:blip>
                    <a:srcRect/>
                    <a:stretch>
                      <a:fillRect/>
                    </a:stretch>
                  </pic:blipFill>
                  <pic:spPr bwMode="auto">
                    <a:xfrm>
                      <a:off x="0" y="0"/>
                      <a:ext cx="192849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763270</wp:posOffset>
            </wp:positionV>
            <wp:extent cx="192849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3">
                      <a:extLst>
                        <a:ext uri="{28A0092B-C50C-407E-A947-70E740481C1C}"/>
                      </a:extLst>
                    </a:blip>
                    <a:srcRect/>
                    <a:stretch>
                      <a:fillRect/>
                    </a:stretch>
                  </pic:blipFill>
                  <pic:spPr bwMode="auto">
                    <a:xfrm>
                      <a:off x="0" y="0"/>
                      <a:ext cx="192849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925830</wp:posOffset>
            </wp:positionV>
            <wp:extent cx="192849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4">
                      <a:extLst>
                        <a:ext uri="{28A0092B-C50C-407E-A947-70E740481C1C}"/>
                      </a:extLst>
                    </a:blip>
                    <a:srcRect/>
                    <a:stretch>
                      <a:fillRect/>
                    </a:stretch>
                  </pic:blipFill>
                  <pic:spPr bwMode="auto">
                    <a:xfrm>
                      <a:off x="0" y="0"/>
                      <a:ext cx="19284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0294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5">
                      <a:extLst>
                        <a:ext uri="{28A0092B-C50C-407E-A947-70E740481C1C}"/>
                      </a:extLst>
                    </a:blip>
                    <a:srcRect/>
                    <a:stretch>
                      <a:fillRect/>
                    </a:stretch>
                  </pic:blipFill>
                  <pic:spPr bwMode="auto">
                    <a:xfrm>
                      <a:off x="0" y="0"/>
                      <a:ext cx="7029450" cy="171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69608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695198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7">
                      <a:extLst>
                        <a:ext uri="{28A0092B-C50C-407E-A947-70E740481C1C}"/>
                      </a:extLst>
                    </a:blip>
                    <a:srcRect/>
                    <a:stretch>
                      <a:fillRect/>
                    </a:stretch>
                  </pic:blipFill>
                  <pic:spPr bwMode="auto">
                    <a:xfrm>
                      <a:off x="0" y="0"/>
                      <a:ext cx="69519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92849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8">
                      <a:extLst>
                        <a:ext uri="{28A0092B-C50C-407E-A947-70E740481C1C}"/>
                      </a:extLst>
                    </a:blip>
                    <a:srcRect/>
                    <a:stretch>
                      <a:fillRect/>
                    </a:stretch>
                  </pic:blipFill>
                  <pic:spPr bwMode="auto">
                    <a:xfrm>
                      <a:off x="0" y="0"/>
                      <a:ext cx="192849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spacing w:after="0" w:line="534"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exercise the Warrant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17145</wp:posOffset>
            </wp:positionV>
            <wp:extent cx="18599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0">
                      <a:extLst>
                        <a:ext uri="{28A0092B-C50C-407E-A947-70E740481C1C}"/>
                      </a:extLst>
                    </a:blip>
                    <a:srcRect/>
                    <a:stretch>
                      <a:fillRect/>
                    </a:stretch>
                  </pic:blipFill>
                  <pic:spPr bwMode="auto">
                    <a:xfrm>
                      <a:off x="0" y="0"/>
                      <a:ext cx="1859915" cy="17145"/>
                    </a:xfrm>
                    <a:prstGeom prst="rect">
                      <a:avLst/>
                    </a:prstGeom>
                    <a:noFill/>
                  </pic:spPr>
                </pic:pic>
              </a:graphicData>
            </a:graphic>
          </wp:anchor>
        </w:drawing>
      </w:r>
    </w:p>
    <w:p>
      <w:pPr>
        <w:spacing w:after="0" w:line="16"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17145</wp:posOffset>
            </wp:positionV>
            <wp:extent cx="18599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1">
                      <a:extLst>
                        <a:ext uri="{28A0092B-C50C-407E-A947-70E740481C1C}"/>
                      </a:extLst>
                    </a:blip>
                    <a:srcRect/>
                    <a:stretch>
                      <a:fillRect/>
                    </a:stretch>
                  </pic:blipFill>
                  <pic:spPr bwMode="auto">
                    <a:xfrm>
                      <a:off x="0" y="0"/>
                      <a:ext cx="1859915" cy="17145"/>
                    </a:xfrm>
                    <a:prstGeom prst="rect">
                      <a:avLst/>
                    </a:prstGeom>
                    <a:noFill/>
                  </pic:spPr>
                </pic:pic>
              </a:graphicData>
            </a:graphic>
          </wp:anchor>
        </w:drawing>
      </w:r>
    </w:p>
    <w:p>
      <w:pPr>
        <w:spacing w:after="0" w:line="16"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17145</wp:posOffset>
            </wp:positionV>
            <wp:extent cx="18599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2">
                      <a:extLst>
                        <a:ext uri="{28A0092B-C50C-407E-A947-70E740481C1C}"/>
                      </a:extLst>
                    </a:blip>
                    <a:srcRect/>
                    <a:stretch>
                      <a:fillRect/>
                    </a:stretch>
                  </pic:blipFill>
                  <pic:spPr bwMode="auto">
                    <a:xfrm>
                      <a:off x="0" y="0"/>
                      <a:ext cx="185991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17145</wp:posOffset>
            </wp:positionV>
            <wp:extent cx="18599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3">
                      <a:extLst>
                        <a:ext uri="{28A0092B-C50C-407E-A947-70E740481C1C}"/>
                      </a:extLst>
                    </a:blip>
                    <a:srcRect/>
                    <a:stretch>
                      <a:fillRect/>
                    </a:stretch>
                  </pic:blipFill>
                  <pic:spPr bwMode="auto">
                    <a:xfrm>
                      <a:off x="0" y="0"/>
                      <a:ext cx="185991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Dated: </w:t>
      </w:r>
      <w:r>
        <w:rPr>
          <w:rFonts w:ascii="Times New Roman" w:cs="Times New Roman" w:eastAsia="Times New Roman" w:hAnsi="Times New Roman"/>
          <w:sz w:val="18"/>
          <w:szCs w:val="18"/>
          <w:u w:val="single" w:color="auto"/>
          <w:color w:val="auto"/>
        </w:rPr>
        <w:t>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17145</wp:posOffset>
            </wp:positionV>
            <wp:extent cx="196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4">
                      <a:extLst>
                        <a:ext uri="{28A0092B-C50C-407E-A947-70E740481C1C}"/>
                      </a:extLst>
                    </a:blip>
                    <a:srcRect/>
                    <a:stretch>
                      <a:fillRect/>
                    </a:stretch>
                  </pic:blipFill>
                  <pic:spPr bwMode="auto">
                    <a:xfrm>
                      <a:off x="0" y="0"/>
                      <a:ext cx="19685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17145</wp:posOffset>
            </wp:positionV>
            <wp:extent cx="196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5">
                      <a:extLst>
                        <a:ext uri="{28A0092B-C50C-407E-A947-70E740481C1C}"/>
                      </a:extLst>
                    </a:blip>
                    <a:srcRect/>
                    <a:stretch>
                      <a:fillRect/>
                    </a:stretch>
                  </pic:blipFill>
                  <pic:spPr bwMode="auto">
                    <a:xfrm>
                      <a:off x="0" y="0"/>
                      <a:ext cx="196850" cy="171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1008" w:right="7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PURCHASE WARRANT</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ectPr>
          <w:pgSz w:w="11900" w:h="16838" w:orient="portrait"/>
          <w:cols w:equalWidth="0" w:num="1">
            <w:col w:w="11240"/>
          </w:cols>
          <w:pgMar w:left="320" w:top="117"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Warrant Shares: 4,386,008</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Original Issuance Date</w:t>
      </w:r>
      <w:r>
        <w:rPr>
          <w:rFonts w:ascii="Times New Roman" w:cs="Times New Roman" w:eastAsia="Times New Roman" w:hAnsi="Times New Roman"/>
          <w:sz w:val="18"/>
          <w:szCs w:val="18"/>
          <w:color w:val="auto"/>
        </w:rPr>
        <w:t>: April 25, 2024</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Initial Exercise Date</w:t>
      </w:r>
      <w:r>
        <w:rPr>
          <w:rFonts w:ascii="Times New Roman" w:cs="Times New Roman" w:eastAsia="Times New Roman" w:hAnsi="Times New Roman"/>
          <w:sz w:val="17"/>
          <w:szCs w:val="17"/>
          <w:color w:val="auto"/>
        </w:rPr>
        <w:t>: September 4, 2024</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September 4, 2029</w:t>
      </w:r>
    </w:p>
    <w:p>
      <w:pPr>
        <w:spacing w:after="0" w:line="200" w:lineRule="exact"/>
        <w:rPr>
          <w:sz w:val="20"/>
          <w:szCs w:val="20"/>
          <w:color w:val="auto"/>
        </w:rPr>
      </w:pPr>
    </w:p>
    <w:p>
      <w:pPr>
        <w:sectPr>
          <w:pgSz w:w="11900" w:h="16838" w:orient="portrait"/>
          <w:cols w:equalWidth="0" w:num="2">
            <w:col w:w="7500" w:space="720"/>
            <w:col w:w="3020"/>
          </w:cols>
          <w:pgMar w:left="320" w:top="117" w:right="339" w:bottom="1440" w:gutter="0" w:footer="0" w:header="0"/>
          <w:type w:val="continuous"/>
        </w:sectPr>
      </w:pPr>
    </w:p>
    <w:p>
      <w:pPr>
        <w:spacing w:after="0" w:line="7" w:lineRule="exact"/>
        <w:rPr>
          <w:sz w:val="20"/>
          <w:szCs w:val="20"/>
          <w:color w:val="auto"/>
        </w:rPr>
      </w:pPr>
    </w:p>
    <w:p>
      <w:pPr>
        <w:jc w:val="both"/>
        <w:ind w:firstLine="1166"/>
        <w:spacing w:after="0" w:line="256" w:lineRule="auto"/>
        <w:rPr>
          <w:sz w:val="20"/>
          <w:szCs w:val="20"/>
          <w:color w:val="auto"/>
        </w:rPr>
      </w:pPr>
      <w:r>
        <w:rPr>
          <w:rFonts w:ascii="Times New Roman" w:cs="Times New Roman" w:eastAsia="Times New Roman" w:hAnsi="Times New Roman"/>
          <w:sz w:val="18"/>
          <w:szCs w:val="18"/>
          <w:color w:val="auto"/>
        </w:rPr>
        <w:t>THIS COMMON STOCK PURCHASE WARRANT (Class 2)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Intercontinental Exchange Holdings, Inc.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March 4, 2024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September 4, 2029 (the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but not thereafter, to subscribe for and purchase from BAKKT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4,386,008 shares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the Company’s Class A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The purchase price of one share of Common Stock under this Warrant shall be equal to the Exercise Price, as defined in Section 2(b).</w:t>
      </w:r>
    </w:p>
    <w:p>
      <w:pPr>
        <w:spacing w:after="0" w:line="187" w:lineRule="exact"/>
        <w:rPr>
          <w:sz w:val="20"/>
          <w:szCs w:val="20"/>
          <w:color w:val="auto"/>
        </w:rPr>
      </w:pPr>
    </w:p>
    <w:p>
      <w:pPr>
        <w:jc w:val="both"/>
        <w:ind w:right="20" w:firstLine="583"/>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February 29, 2024, among the Company and the purchaser signatory thereto.</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5" w:lineRule="auto"/>
        <w:tabs>
          <w:tab w:leader="none" w:pos="125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two (2) Trading Days (as defined in Section 2(c) herein) and (ii) the number of Trading Days comprising the Standard Settlement Period (as defined in Section 2(e)</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herein) following the date of exercise as aforesaid, the Holder shall deliver the aggregate Exercise Price for the number of Warrant Shares specified in the applicable Notice of Exercise by wire transfer or cashier’s check drawn on a United States bank unless the cashless exercise or alternative cashless exercise procedure specified in Section 2(c) or Section 2(d)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9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$1.02, subject to adjustment hereunder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This Warrant may also be exercised, in whole or in part, at any time or times on or after the Initial Exercise Date and on or before the Termination Date by means of a “cashless exercise” in which the Holder shall be entitled to receive a number of Warrant Shares equal to the quotient obtained by dividing [(A-B) (X)] by (A), 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 w:name="page27"/>
    <w:bookmarkEnd w:id="26"/>
    <w:p>
      <w:pPr>
        <w:jc w:val="both"/>
        <w:ind w:firstLine="591"/>
        <w:spacing w:after="0" w:line="254" w:lineRule="auto"/>
        <w:tabs>
          <w:tab w:leader="none" w:pos="90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8" w:lineRule="exact"/>
        <w:rPr>
          <w:rFonts w:ascii="Times New Roman" w:cs="Times New Roman" w:eastAsia="Times New Roman" w:hAnsi="Times New Roman"/>
          <w:sz w:val="18"/>
          <w:szCs w:val="18"/>
          <w:color w:val="auto"/>
        </w:rPr>
      </w:pPr>
    </w:p>
    <w:p>
      <w:pPr>
        <w:ind w:left="880" w:hanging="289"/>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right="20" w:firstLine="591"/>
        <w:spacing w:after="0" w:line="282" w:lineRule="auto"/>
        <w:tabs>
          <w:tab w:leader="none" w:pos="89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both"/>
        <w:ind w:firstLine="58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the Common Stock is then not listed on a Trading Market and if the Shares are listed or quoted for trading on the OTC Market Group’s OTCQB exchange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OTCQX exchange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Trading Market is open for trading, including any day on which the Trading Market is open for trading for a period of time less than the customary time.</w:t>
      </w:r>
    </w:p>
    <w:p>
      <w:pPr>
        <w:spacing w:after="0" w:line="162" w:lineRule="exact"/>
        <w:rPr>
          <w:sz w:val="20"/>
          <w:szCs w:val="20"/>
          <w:color w:val="auto"/>
        </w:rPr>
      </w:pPr>
    </w:p>
    <w:p>
      <w:pPr>
        <w:jc w:val="both"/>
        <w:ind w:right="100" w:firstLine="58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shares of Common Stock are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firstLine="58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is not then listed or quoted on a Trading Market and if the Shares are listed or quoted for trading on OTCQB or OTCQX,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7" w:name="page28"/>
    <w:bookmarkEnd w:id="27"/>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76" w:lineRule="exact"/>
        <w:rPr>
          <w:sz w:val="20"/>
          <w:szCs w:val="20"/>
          <w:color w:val="auto"/>
        </w:rPr>
      </w:pPr>
    </w:p>
    <w:p>
      <w:pPr>
        <w:jc w:val="both"/>
        <w:ind w:firstLine="656"/>
        <w:spacing w:after="0" w:line="253" w:lineRule="auto"/>
        <w:tabs>
          <w:tab w:leader="none" w:pos="12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Alternative Cashless Exercise</w:t>
      </w:r>
      <w:r>
        <w:rPr>
          <w:rFonts w:ascii="Times New Roman" w:cs="Times New Roman" w:eastAsia="Times New Roman" w:hAnsi="Times New Roman"/>
          <w:sz w:val="18"/>
          <w:szCs w:val="18"/>
          <w:color w:val="auto"/>
        </w:rPr>
        <w:t>. After the Company has obtained Stockholder Approval, then, while the Warrant remains outstanding, if at any time during the period beginning on Initial Exercise Date the Reference Value is less than the Exercise Price (the “</w:t>
      </w:r>
      <w:r>
        <w:rPr>
          <w:rFonts w:ascii="Times New Roman" w:cs="Times New Roman" w:eastAsia="Times New Roman" w:hAnsi="Times New Roman"/>
          <w:sz w:val="18"/>
          <w:szCs w:val="18"/>
          <w:u w:val="single" w:color="auto"/>
          <w:color w:val="auto"/>
        </w:rPr>
        <w:t>Trigger Event</w:t>
      </w:r>
      <w:r>
        <w:rPr>
          <w:rFonts w:ascii="Times New Roman" w:cs="Times New Roman" w:eastAsia="Times New Roman" w:hAnsi="Times New Roman"/>
          <w:sz w:val="18"/>
          <w:szCs w:val="18"/>
          <w:color w:val="auto"/>
        </w:rPr>
        <w:t>”), then the Holder shall have the option, exercisable at any time when the Trigger Event shall have occurred or shall be continuing to occur, to effect an “alternative cashless exercise” by providing the Company with a Notice of Exercise specifying the aggregate number of Warrant Shares subject to such alternative cashless exercise with the number of shares issuable upon such alternative cashless exercise being equal to the product of (x) the aggregate number of Warrant Shares subject to the alternative cashless exercise Notice of Exercise (up to the full number of shares that would be issuable upon exercise of this Warrant in accordance with the terms of this Warrant if such exercise were by means of a cash exercise rather than a cashless exercise) and (y) 0.5. For purposes of this Warrant, the “Reference Value” shall mean the last reported sales price of the Common Stock for each of the three (3) Trading Days ending on the Trading Day prior to the date on which Notice of Exercise is given. If Warrant Shares are issued in such an alternative cashless exercise, the parties acknowledge and agree that in accordance with Section 3(a)(9) of the Securities Act, the Warrant Shares shall take on the registered characteristics of the Warrants being exercised.</w:t>
      </w:r>
    </w:p>
    <w:p>
      <w:pPr>
        <w:spacing w:after="0" w:line="19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both"/>
        <w:ind w:firstLine="1952"/>
        <w:spacing w:after="0" w:line="252" w:lineRule="auto"/>
        <w:tabs>
          <w:tab w:leader="none" w:pos="27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or alternative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(A) the earlier of (i) two (2) Trading Days and (ii) the number of days comprising the Standard Settlement Period, in each case after the delivery to the Company of the Notice of Exercise and (B) one (1) Trading Day after delivery of the aggregate Exercise Price to the Company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or alternative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such liquidated damages begin to accrue) for each Trading Day after such Warrant Share Delivery Date until such Warrant Shares are delivered or Holder rescinds such exercise. The Company agrees to maintain a transfer agent that is a participant in the Fast Automated Securities Transfer (“</w:t>
      </w:r>
      <w:r>
        <w:rPr>
          <w:rFonts w:ascii="Times New Roman" w:cs="Times New Roman" w:eastAsia="Times New Roman" w:hAnsi="Times New Roman"/>
          <w:sz w:val="18"/>
          <w:szCs w:val="18"/>
          <w:u w:val="single" w:color="auto"/>
          <w:color w:val="auto"/>
        </w:rPr>
        <w:t>FAST</w:t>
      </w:r>
      <w:r>
        <w:rPr>
          <w:rFonts w:ascii="Times New Roman" w:cs="Times New Roman" w:eastAsia="Times New Roman" w:hAnsi="Times New Roman"/>
          <w:sz w:val="18"/>
          <w:szCs w:val="18"/>
          <w:color w:val="auto"/>
        </w:rPr>
        <w: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190"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0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firstLine="1952"/>
        <w:spacing w:after="0" w:line="282" w:lineRule="auto"/>
        <w:tabs>
          <w:tab w:leader="none" w:pos="289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2(e)(i) by the Warrant Share Delivery Date, then the Holder will have the right to rescind such exercise.</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8" w:name="page29"/>
    <w:bookmarkEnd w:id="28"/>
    <w:p>
      <w:pPr>
        <w:jc w:val="both"/>
        <w:ind w:firstLine="1952"/>
        <w:spacing w:after="0" w:line="254" w:lineRule="auto"/>
        <w:tabs>
          <w:tab w:leader="none" w:pos="272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2(e)(i)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w:t>
      </w:r>
    </w:p>
    <w:p>
      <w:pPr>
        <w:spacing w:after="0" w:line="3" w:lineRule="exact"/>
        <w:rPr>
          <w:rFonts w:ascii="Times New Roman" w:cs="Times New Roman" w:eastAsia="Times New Roman" w:hAnsi="Times New Roman"/>
          <w:sz w:val="18"/>
          <w:szCs w:val="18"/>
          <w:color w:val="auto"/>
        </w:rPr>
      </w:pPr>
    </w:p>
    <w:p>
      <w:pPr>
        <w:jc w:val="both"/>
        <w:ind w:firstLine="8"/>
        <w:spacing w:after="0" w:line="250" w:lineRule="auto"/>
        <w:tabs>
          <w:tab w:leader="none" w:pos="29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30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this Warrant to purchase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reasonably satisfactory to the Company with respect to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92" w:lineRule="exact"/>
        <w:rPr>
          <w:rFonts w:ascii="Times New Roman" w:cs="Times New Roman" w:eastAsia="Times New Roman" w:hAnsi="Times New Roman"/>
          <w:sz w:val="18"/>
          <w:szCs w:val="18"/>
          <w:color w:val="auto"/>
        </w:rPr>
      </w:pPr>
    </w:p>
    <w:p>
      <w:pPr>
        <w:jc w:val="both"/>
        <w:ind w:firstLine="1952"/>
        <w:spacing w:after="0" w:line="258" w:lineRule="auto"/>
        <w:tabs>
          <w:tab w:leader="none" w:pos="283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 As to any fraction of a share which the Holder would otherwise be entitled to upon an alternative cashless exercise pursuant to Section 2(d), the Company shall round down the number of shares deliverable upon redemption to the next whole share.</w:t>
      </w:r>
    </w:p>
    <w:p>
      <w:pPr>
        <w:spacing w:after="0" w:line="183" w:lineRule="exact"/>
        <w:rPr>
          <w:rFonts w:ascii="Times New Roman" w:cs="Times New Roman" w:eastAsia="Times New Roman" w:hAnsi="Times New Roman"/>
          <w:sz w:val="18"/>
          <w:szCs w:val="18"/>
          <w:color w:val="auto"/>
        </w:rPr>
      </w:pPr>
    </w:p>
    <w:p>
      <w:pPr>
        <w:jc w:val="both"/>
        <w:ind w:firstLine="1952"/>
        <w:spacing w:after="0" w:line="254" w:lineRule="auto"/>
        <w:tabs>
          <w:tab w:leader="none" w:pos="269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and delivery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91" w:lineRule="exact"/>
        <w:rPr>
          <w:rFonts w:ascii="Times New Roman" w:cs="Times New Roman" w:eastAsia="Times New Roman" w:hAnsi="Times New Roman"/>
          <w:sz w:val="18"/>
          <w:szCs w:val="18"/>
          <w:color w:val="auto"/>
        </w:rPr>
      </w:pPr>
    </w:p>
    <w:p>
      <w:pPr>
        <w:ind w:firstLine="1952"/>
        <w:spacing w:after="0" w:line="282" w:lineRule="auto"/>
        <w:tabs>
          <w:tab w:leader="none" w:pos="28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9" w:name="page30"/>
    <w:bookmarkEnd w:id="29"/>
    <w:p>
      <w:pPr>
        <w:jc w:val="both"/>
        <w:ind w:firstLine="656"/>
        <w:spacing w:after="0" w:line="251" w:lineRule="auto"/>
        <w:tabs>
          <w:tab w:leader="none" w:pos="122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2(f),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2(f)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(other than to the extent that information on the number of outstanding shares of Common Stock is provided by the Company, either directly or through one or more public filings, and relied upon by the Holder).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exercises of this Warrant that are not in compliance with the Beneficial Ownership Limitation (other than to the extent that information on the number of outstanding shares of Common Stock is provided by the Company, either directly or through one or more public filings, and relied upon by the Holder). For purposes of this Section 2(f),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(or, at the election of the Holder prior to the issuance of this Warrant, 9.99%) of the number of shares of the Common Stock outstanding immediately after giving effect to the issuance of shares of Common Stock issuable upon exercise of this Warrant. The Holder, upon written notice to the Company, may increase or decrease the Beneficial Ownership Limitation provisions of this Section 2(f),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2(f)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2(f)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this Warrant is unexercisable as a result of the Holder’s Beneficial Ownership Limitation, no alternate consideration is owing to the Holder. For the avoidance of doubt, the restrictions on exercise of any portion of this Warrant in this Section 2(f), the restrictions on participation in any Purchase Right in Section 3(b) and the restrictions on participation in any Distribution in Section 3(c) shall not prevent or limit any such exercise or participation by the Holder if the number of shares of Common Stock beneficially owned by the Holder and its Affiliates and Attribution Parties immediately prior to giving effect to such exercise or participation exceeds 9.99% of the number of shares of the Common Stock outstanding immediately prior to giving effect to such exercise or participation.</w:t>
      </w:r>
    </w:p>
    <w:p>
      <w:pPr>
        <w:spacing w:after="0" w:line="19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 Rights Offering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127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0" w:name="page31"/>
    <w:bookmarkEnd w:id="30"/>
    <w:p>
      <w:pPr>
        <w:jc w:val="both"/>
        <w:ind w:firstLine="656"/>
        <w:spacing w:after="0" w:line="253" w:lineRule="auto"/>
        <w:tabs>
          <w:tab w:leader="none" w:pos="160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If at any time this Warrant is outstanding the Company grants, issues or sells any Common Stock Equivalents or rights to purchase shares, warrants, securities or other property pro rata to all of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141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1" w:name="page32"/>
    <w:bookmarkEnd w:id="31"/>
    <w:p>
      <w:pPr>
        <w:jc w:val="both"/>
        <w:ind w:firstLine="656"/>
        <w:spacing w:after="0" w:line="250" w:lineRule="auto"/>
        <w:tabs>
          <w:tab w:leader="none" w:pos="130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of the Company), directly or indirectly, effects any sale, lease, license, assignment, transfer, conveyance or other disposition of all or substantially all of the Company’s consolidated assets in one or a series of related transactions (provided that, for the avoidance of doubt, the sale by the Company of its loyalty and travel redemption business comprised of certain entities and any assets thereof shall not be deemed to be a sale or other disposition of all or substantially all of the Company’s assets),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voting power of the common equity of the Company, (iv) the Company, directly or indirectly, in one or more related transactions effects any reclassification, reorganization or recapitalization of shares of Common Stock or any compulsory share exchange pursuant to which the shares of Common Stock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2(f)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2(f)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use commercially reasonable efforts to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Notwithstanding anything to the contrary, the alternative cashless exercise rights contemplated under Section 2(d) shall cease upon the consummation of a Fundamental Transaction. To the extent the Holder is entitled and elects to have this Warrant exercised in accordance with Section 2(d) prior to the consummation of a Fundamental Transaction, the Holder may condition such exercise on the consummation of a Fundamental Transaction, such that the alternative cashless exercise is effected immediately prior to the consummation of a Fundamental Transaction. Notwithstanding anything to the contrary, in the event of a Fundamental Transaction, the Company or any Successor Entity (as defined below) shall, at the Holder’s option, exercisable at any time concurrently with, or within thirty (30) days after, the consummation of the Fundamental Transaction (or, if later, the date of the public announcement of the applicable Fundamental Transaction), purchase this Warrant from the Holder by paying to the Holder, as described below,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board of directors of the Company, Holder shall only be entitled to receive from the Company or any Successor Entity, as of the date of the consummation of such Fundamental Transaction the same type or form of consideration (and in the same proportion), valued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shares of the Successor Entity (which Successor Entity may be the Company following such Fundamental Transaction) in such Fundamental Transaction.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announcement of the applicable Fundamental Transaction (or the consummation of the applicable Fundamental Transaction, if earlier) and ending on the Trading Day of the Holder’s request pursuant to this Section 3(d)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within five Business Days of the Holder’s election (or, if later, on the effective date of the Fundamental Transaction). For the avoidance of doubt, the Holder shall be entitled to the benefits of the provisions of this Section 3(d) regardless of whether the Company has sufficient authorized shares of Common Stock for the issuance of the Warrant Shares.</w:t>
      </w:r>
    </w:p>
    <w:p>
      <w:pPr>
        <w:spacing w:after="0" w:line="2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582" w:gutter="0" w:footer="0" w:header="0"/>
        </w:sectPr>
      </w:pPr>
    </w:p>
    <w:bookmarkStart w:id="32" w:name="page33"/>
    <w:bookmarkEnd w:id="32"/>
    <w:p>
      <w:pPr>
        <w:jc w:val="both"/>
        <w:ind w:right="20" w:firstLine="656"/>
        <w:spacing w:after="0" w:line="225" w:lineRule="auto"/>
        <w:tabs>
          <w:tab w:leader="none" w:pos="129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200"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65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75" w:lineRule="exact"/>
        <w:rPr>
          <w:rFonts w:ascii="Times New Roman" w:cs="Times New Roman" w:eastAsia="Times New Roman" w:hAnsi="Times New Roman"/>
          <w:sz w:val="18"/>
          <w:szCs w:val="18"/>
          <w:color w:val="auto"/>
        </w:rPr>
      </w:pPr>
    </w:p>
    <w:p>
      <w:pPr>
        <w:jc w:val="both"/>
        <w:ind w:firstLine="1952"/>
        <w:spacing w:after="0" w:line="252" w:lineRule="auto"/>
        <w:tabs>
          <w:tab w:leader="none" w:pos="260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shares of Common Stock rights or warrants to subscribe for or purchase any shares of capital stock of any class or any rights, (D) the approval of any stockholders of the Company shall be required in connection with a Fundamental Transaction,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Company’s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93" w:lineRule="exact"/>
        <w:rPr>
          <w:rFonts w:ascii="Times New Roman" w:cs="Times New Roman" w:eastAsia="Times New Roman" w:hAnsi="Times New Roman"/>
          <w:sz w:val="18"/>
          <w:szCs w:val="18"/>
          <w:color w:val="auto"/>
        </w:rPr>
      </w:pPr>
    </w:p>
    <w:p>
      <w:pPr>
        <w:jc w:val="both"/>
        <w:ind w:firstLine="656"/>
        <w:spacing w:after="0" w:line="266" w:lineRule="auto"/>
        <w:tabs>
          <w:tab w:leader="none" w:pos="130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Trading Market, the Company may at any time while this Warrant is outstanding, reduce (temporarily or permanently) the then-current Exercise Price to any amount and for any period of time deemed appropriate by the board of directors of the Company in its sole discretion.</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132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3" w:name="page34"/>
    <w:bookmarkEnd w:id="33"/>
    <w:p>
      <w:pPr>
        <w:jc w:val="both"/>
        <w:ind w:firstLine="656"/>
        <w:spacing w:after="0" w:line="256" w:lineRule="auto"/>
        <w:tabs>
          <w:tab w:leader="none" w:pos="14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maintain the Original Issuance Date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25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1" w:lineRule="auto"/>
        <w:tabs>
          <w:tab w:leader="none" w:pos="110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2(e)(i), except as expressly set forth in Section 3. Without limiting the rights of a Holder to receive Warrant Shares on a “cashless exercise” or an “alternative cashless exercise”, and to receive the cash payments contemplated pursuant to Sections 2(e)(i) and 2(e)(iv), in no event will the Company be required to net cash settle an exercise of this Warrant.</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18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and in case of loss, theft or destruction, of indemnity or security reasonably satisfactory to it (which shall not include the posting of any bond), and upon surrender and cancellation of such Warrant, if mutilated, the Company will make and deliver a new Warrant of like tenor and dated as of such cancellation, in lieu of such Warrant. The applicant for a new certificate or instrument under such circumstances shall pay any reasonable third-party costs (including customary indemnity) associated with the issuance of such replacement warrant.</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1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61" w:lineRule="exact"/>
        <w:rPr>
          <w:rFonts w:ascii="Times New Roman" w:cs="Times New Roman" w:eastAsia="Times New Roman" w:hAnsi="Times New Roman"/>
          <w:sz w:val="18"/>
          <w:szCs w:val="18"/>
          <w:color w:val="auto"/>
        </w:rPr>
      </w:pPr>
    </w:p>
    <w:p>
      <w:pPr>
        <w:jc w:val="both"/>
        <w:ind w:firstLine="656"/>
        <w:spacing w:after="0" w:line="271" w:lineRule="auto"/>
        <w:tabs>
          <w:tab w:leader="none" w:pos="1359"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Authorized Shares</w:t>
      </w:r>
      <w:r>
        <w:rPr>
          <w:rFonts w:ascii="Times New Roman" w:cs="Times New Roman" w:eastAsia="Times New Roman" w:hAnsi="Times New Roman"/>
          <w:sz w:val="17"/>
          <w:szCs w:val="17"/>
          <w:color w:val="auto"/>
        </w:rPr>
        <w:t>. The Company covenants that, at all times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that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4" w:name="page35"/>
    <w:bookmarkEnd w:id="3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firstLine="656"/>
        <w:spacing w:after="0" w:line="282" w:lineRule="auto"/>
        <w:tabs>
          <w:tab w:leader="none" w:pos="12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05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or alternative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11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For the avoidance of doubt, the foregoing shall in no way modify or qualify the right to exercise this Warrant terminating on the Termination Date. Without limiting any other provision of this Warrant, if the Company willfully and knowingly fails to comply with any provision of this Warrant or the Purchase Agreement,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23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1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shares of Common Stock or as a stockholder of the Company, whether such liability is asserted by the Company or by creditors of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09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0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15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of this Warrant, on the other hand.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5" w:name="page36"/>
    <w:bookmarkEnd w:id="35"/>
    <w:p>
      <w:pPr>
        <w:ind w:left="1140" w:hanging="484"/>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6" w:name="page37"/>
    <w:bookmarkEnd w:id="36"/>
    <w:p>
      <w:pPr>
        <w:ind w:right="20" w:firstLine="116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200" w:lineRule="exact"/>
        <w:rPr>
          <w:sz w:val="20"/>
          <w:szCs w:val="20"/>
          <w:color w:val="auto"/>
        </w:rPr>
      </w:pP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BAKKT HOLDINGS, INC</w:t>
      </w:r>
      <w:r>
        <w:rPr>
          <w:rFonts w:ascii="Times New Roman" w:cs="Times New Roman" w:eastAsia="Times New Roman" w:hAnsi="Times New Roman"/>
          <w:sz w:val="21"/>
          <w:szCs w:val="21"/>
          <w:b w:val="1"/>
          <w:bCs w:val="1"/>
          <w:color w:val="auto"/>
        </w:rPr>
        <w:t>.</w:t>
      </w:r>
    </w:p>
    <w:p>
      <w:pPr>
        <w:spacing w:after="0" w:line="239" w:lineRule="exact"/>
        <w:rPr>
          <w:sz w:val="20"/>
          <w:szCs w:val="20"/>
          <w:color w:val="auto"/>
        </w:rPr>
      </w:pPr>
    </w:p>
    <w:tbl>
      <w:tblPr>
        <w:tblLayout w:type="fixed"/>
        <w:tblInd w:w="5200" w:type="dxa"/>
        <w:tblCellMar>
          <w:top w:w="0" w:type="dxa"/>
          <w:left w:w="0" w:type="dxa"/>
          <w:bottom w:w="0" w:type="dxa"/>
          <w:right w:w="0" w:type="dxa"/>
        </w:tblCellMar>
      </w:tblPr>
      <w:tr>
        <w:trPr>
          <w:trHeight w:val="253"/>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 Andrew Main</w:t>
            </w: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5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0" w:type="dxa"/>
            <w:vAlign w:val="bottom"/>
            <w:vMerge w:val="continue"/>
          </w:tcPr>
          <w:p>
            <w:pPr>
              <w:spacing w:after="0"/>
              <w:rPr>
                <w:sz w:val="18"/>
                <w:szCs w:val="18"/>
                <w:color w:val="auto"/>
              </w:rPr>
            </w:pPr>
          </w:p>
        </w:tc>
        <w:tc>
          <w:tcPr>
            <w:tcW w:w="534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Andrew Main</w:t>
            </w: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Title:</w:t>
            </w:r>
          </w:p>
        </w:tc>
        <w:tc>
          <w:tcPr>
            <w:tcW w:w="5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vMerge w:val="continue"/>
          </w:tcPr>
          <w:p>
            <w:pPr>
              <w:spacing w:after="0"/>
              <w:rPr>
                <w:sz w:val="20"/>
                <w:szCs w:val="20"/>
                <w:color w:val="auto"/>
              </w:rPr>
            </w:pPr>
          </w:p>
        </w:tc>
        <w:tc>
          <w:tcPr>
            <w:tcW w:w="534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President and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Common Stock Purchase Warrant (Class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firstLine="656"/>
        <w:spacing w:after="0" w:line="282" w:lineRule="auto"/>
        <w:tabs>
          <w:tab w:leader="none" w:pos="91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 in lawful money of the United States;</w:t>
      </w:r>
    </w:p>
    <w:p>
      <w:pPr>
        <w:spacing w:after="0" w:line="225" w:lineRule="exact"/>
        <w:rPr>
          <w:sz w:val="20"/>
          <w:szCs w:val="20"/>
          <w:color w:val="auto"/>
        </w:rPr>
      </w:pPr>
    </w:p>
    <w:p>
      <w:pPr>
        <w:jc w:val="both"/>
        <w:ind w:left="660" w:firstLine="644"/>
        <w:spacing w:after="0" w:line="266" w:lineRule="auto"/>
        <w:tabs>
          <w:tab w:leader="none" w:pos="142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permitted the cancellation of such number of Warrant Shares as is necessary, in accordance with the formula set forth in Section 2(c), to exercise this Warrant with respect to the maximum number of Warrant Shares purchasable pursuant to the cashless exercise procedure set forth in Section 2(c); or</w:t>
      </w:r>
    </w:p>
    <w:p>
      <w:pPr>
        <w:spacing w:after="0" w:line="176" w:lineRule="exact"/>
        <w:rPr>
          <w:sz w:val="20"/>
          <w:szCs w:val="20"/>
          <w:color w:val="auto"/>
        </w:rPr>
      </w:pPr>
    </w:p>
    <w:p>
      <w:pPr>
        <w:jc w:val="both"/>
        <w:ind w:left="660" w:firstLine="644"/>
        <w:spacing w:after="0" w:line="266" w:lineRule="auto"/>
        <w:tabs>
          <w:tab w:leader="none" w:pos="1429"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permitted the cancellation of such number of Warrant Shares as is necessary, in accordance with the formula set forth in Section 2(d), to exercise this Warrant with respect to the maximum number of Warrant Shares purchasable pursuant to the alternative cashless exercise procedure set forth in Section 2(d).</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92849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9">
                      <a:extLst>
                        <a:ext uri="{28A0092B-C50C-407E-A947-70E740481C1C}"/>
                      </a:extLst>
                    </a:blip>
                    <a:srcRect/>
                    <a:stretch>
                      <a:fillRect/>
                    </a:stretch>
                  </pic:blipFill>
                  <pic:spPr bwMode="auto">
                    <a:xfrm>
                      <a:off x="0" y="0"/>
                      <a:ext cx="192849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192849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0">
                      <a:extLst>
                        <a:ext uri="{28A0092B-C50C-407E-A947-70E740481C1C}"/>
                      </a:extLst>
                    </a:blip>
                    <a:srcRect/>
                    <a:stretch>
                      <a:fillRect/>
                    </a:stretch>
                  </pic:blipFill>
                  <pic:spPr bwMode="auto">
                    <a:xfrm>
                      <a:off x="0" y="0"/>
                      <a:ext cx="192849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192849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1">
                      <a:extLst>
                        <a:ext uri="{28A0092B-C50C-407E-A947-70E740481C1C}"/>
                      </a:extLst>
                    </a:blip>
                    <a:srcRect/>
                    <a:stretch>
                      <a:fillRect/>
                    </a:stretch>
                  </pic:blipFill>
                  <pic:spPr bwMode="auto">
                    <a:xfrm>
                      <a:off x="0" y="0"/>
                      <a:ext cx="192849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763270</wp:posOffset>
            </wp:positionV>
            <wp:extent cx="192849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2">
                      <a:extLst>
                        <a:ext uri="{28A0092B-C50C-407E-A947-70E740481C1C}"/>
                      </a:extLst>
                    </a:blip>
                    <a:srcRect/>
                    <a:stretch>
                      <a:fillRect/>
                    </a:stretch>
                  </pic:blipFill>
                  <pic:spPr bwMode="auto">
                    <a:xfrm>
                      <a:off x="0" y="0"/>
                      <a:ext cx="192849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925830</wp:posOffset>
            </wp:positionV>
            <wp:extent cx="192849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3">
                      <a:extLst>
                        <a:ext uri="{28A0092B-C50C-407E-A947-70E740481C1C}"/>
                      </a:extLst>
                    </a:blip>
                    <a:srcRect/>
                    <a:stretch>
                      <a:fillRect/>
                    </a:stretch>
                  </pic:blipFill>
                  <pic:spPr bwMode="auto">
                    <a:xfrm>
                      <a:off x="0" y="0"/>
                      <a:ext cx="19284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0294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4">
                      <a:extLst>
                        <a:ext uri="{28A0092B-C50C-407E-A947-70E740481C1C}"/>
                      </a:extLst>
                    </a:blip>
                    <a:srcRect/>
                    <a:stretch>
                      <a:fillRect/>
                    </a:stretch>
                  </pic:blipFill>
                  <pic:spPr bwMode="auto">
                    <a:xfrm>
                      <a:off x="0" y="0"/>
                      <a:ext cx="7029450" cy="171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696087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695198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6">
                      <a:extLst>
                        <a:ext uri="{28A0092B-C50C-407E-A947-70E740481C1C}"/>
                      </a:extLst>
                    </a:blip>
                    <a:srcRect/>
                    <a:stretch>
                      <a:fillRect/>
                    </a:stretch>
                  </pic:blipFill>
                  <pic:spPr bwMode="auto">
                    <a:xfrm>
                      <a:off x="0" y="0"/>
                      <a:ext cx="69519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92849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7">
                      <a:extLst>
                        <a:ext uri="{28A0092B-C50C-407E-A947-70E740481C1C}"/>
                      </a:extLst>
                    </a:blip>
                    <a:srcRect/>
                    <a:stretch>
                      <a:fillRect/>
                    </a:stretch>
                  </pic:blipFill>
                  <pic:spPr bwMode="auto">
                    <a:xfrm>
                      <a:off x="0" y="0"/>
                      <a:ext cx="19284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8" w:name="page39"/>
    <w:bookmarkEnd w:id="38"/>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spacing w:after="0" w:line="534"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exercise the Warrant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17145</wp:posOffset>
            </wp:positionV>
            <wp:extent cx="18599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9">
                      <a:extLst>
                        <a:ext uri="{28A0092B-C50C-407E-A947-70E740481C1C}"/>
                      </a:extLst>
                    </a:blip>
                    <a:srcRect/>
                    <a:stretch>
                      <a:fillRect/>
                    </a:stretch>
                  </pic:blipFill>
                  <pic:spPr bwMode="auto">
                    <a:xfrm>
                      <a:off x="0" y="0"/>
                      <a:ext cx="1859915" cy="17145"/>
                    </a:xfrm>
                    <a:prstGeom prst="rect">
                      <a:avLst/>
                    </a:prstGeom>
                    <a:noFill/>
                  </pic:spPr>
                </pic:pic>
              </a:graphicData>
            </a:graphic>
          </wp:anchor>
        </w:drawing>
      </w:r>
    </w:p>
    <w:p>
      <w:pPr>
        <w:spacing w:after="0" w:line="16"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17145</wp:posOffset>
            </wp:positionV>
            <wp:extent cx="18599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0">
                      <a:extLst>
                        <a:ext uri="{28A0092B-C50C-407E-A947-70E740481C1C}"/>
                      </a:extLst>
                    </a:blip>
                    <a:srcRect/>
                    <a:stretch>
                      <a:fillRect/>
                    </a:stretch>
                  </pic:blipFill>
                  <pic:spPr bwMode="auto">
                    <a:xfrm>
                      <a:off x="0" y="0"/>
                      <a:ext cx="1859915" cy="17145"/>
                    </a:xfrm>
                    <a:prstGeom prst="rect">
                      <a:avLst/>
                    </a:prstGeom>
                    <a:noFill/>
                  </pic:spPr>
                </pic:pic>
              </a:graphicData>
            </a:graphic>
          </wp:anchor>
        </w:drawing>
      </w:r>
    </w:p>
    <w:p>
      <w:pPr>
        <w:spacing w:after="0" w:line="16"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17145</wp:posOffset>
            </wp:positionV>
            <wp:extent cx="18599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1">
                      <a:extLst>
                        <a:ext uri="{28A0092B-C50C-407E-A947-70E740481C1C}"/>
                      </a:extLst>
                    </a:blip>
                    <a:srcRect/>
                    <a:stretch>
                      <a:fillRect/>
                    </a:stretch>
                  </pic:blipFill>
                  <pic:spPr bwMode="auto">
                    <a:xfrm>
                      <a:off x="0" y="0"/>
                      <a:ext cx="185991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17145</wp:posOffset>
            </wp:positionV>
            <wp:extent cx="18599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2">
                      <a:extLst>
                        <a:ext uri="{28A0092B-C50C-407E-A947-70E740481C1C}"/>
                      </a:extLst>
                    </a:blip>
                    <a:srcRect/>
                    <a:stretch>
                      <a:fillRect/>
                    </a:stretch>
                  </pic:blipFill>
                  <pic:spPr bwMode="auto">
                    <a:xfrm>
                      <a:off x="0" y="0"/>
                      <a:ext cx="185991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Dated: </w:t>
      </w:r>
      <w:r>
        <w:rPr>
          <w:rFonts w:ascii="Times New Roman" w:cs="Times New Roman" w:eastAsia="Times New Roman" w:hAnsi="Times New Roman"/>
          <w:sz w:val="18"/>
          <w:szCs w:val="18"/>
          <w:u w:val="single" w:color="auto"/>
          <w:color w:val="auto"/>
        </w:rPr>
        <w:t>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17145</wp:posOffset>
            </wp:positionV>
            <wp:extent cx="196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3">
                      <a:extLst>
                        <a:ext uri="{28A0092B-C50C-407E-A947-70E740481C1C}"/>
                      </a:extLst>
                    </a:blip>
                    <a:srcRect/>
                    <a:stretch>
                      <a:fillRect/>
                    </a:stretch>
                  </pic:blipFill>
                  <pic:spPr bwMode="auto">
                    <a:xfrm>
                      <a:off x="0" y="0"/>
                      <a:ext cx="19685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17145</wp:posOffset>
            </wp:positionV>
            <wp:extent cx="196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4">
                      <a:extLst>
                        <a:ext uri="{28A0092B-C50C-407E-A947-70E740481C1C}"/>
                      </a:extLst>
                    </a:blip>
                    <a:srcRect/>
                    <a:stretch>
                      <a:fillRect/>
                    </a:stretch>
                  </pic:blipFill>
                  <pic:spPr bwMode="auto">
                    <a:xfrm>
                      <a:off x="0" y="0"/>
                      <a:ext cx="196850" cy="17145"/>
                    </a:xfrm>
                    <a:prstGeom prst="rect">
                      <a:avLst/>
                    </a:prstGeom>
                    <a:noFill/>
                  </pic:spPr>
                </pic:pic>
              </a:graphicData>
            </a:graphic>
          </wp:anchor>
        </w:drawing>
      </w:r>
    </w:p>
    <w:p>
      <w:pPr>
        <w:spacing w:after="0" w:line="34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60"/>
      </w:cols>
      <w:pgMar w:left="320" w:top="576"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bullet"/>
      <w:start w:val="1"/>
    </w:lvl>
  </w:abstractNum>
  <w:abstractNum w:abstractNumId="2">
    <w:nsid w:val="3A95F874"/>
    <w:multiLevelType w:val="hybridMultilevel"/>
    <w:lvl w:ilvl="0">
      <w:lvlJc w:val="left"/>
      <w:lvlText w:val="2"/>
      <w:numFmt w:val="bullet"/>
      <w:start w:val="1"/>
    </w:lvl>
    <w:lvl w:ilvl="1">
      <w:lvlJc w:val="left"/>
      <w:lvlText w:val="(%2)"/>
      <w:numFmt w:val="lowerLetter"/>
      <w:start w:val="1"/>
    </w:lvl>
  </w:abstractNum>
  <w:abstractNum w:abstractNumId="3">
    <w:nsid w:val="8138641"/>
    <w:multiLevelType w:val="hybridMultilevel"/>
    <w:lvl w:ilvl="0">
      <w:lvlJc w:val="left"/>
      <w:lvlText w:val="3"/>
      <w:numFmt w:val="bullet"/>
      <w:start w:val="1"/>
    </w:lvl>
  </w:abstractNum>
  <w:abstractNum w:abstractNumId="4">
    <w:nsid w:val="1E7FF521"/>
    <w:multiLevelType w:val="hybridMultilevel"/>
    <w:lvl w:ilvl="0">
      <w:lvlJc w:val="left"/>
      <w:lvlText w:val="4"/>
      <w:numFmt w:val="bullet"/>
      <w:start w:val="1"/>
    </w:lvl>
  </w:abstractNum>
  <w:abstractNum w:abstractNumId="5">
    <w:nsid w:val="7C3DBD3D"/>
    <w:multiLevelType w:val="hybridMultilevel"/>
    <w:lvl w:ilvl="0">
      <w:lvlJc w:val="left"/>
      <w:lvlText w:val="5"/>
      <w:numFmt w:val="bullet"/>
      <w:start w:val="1"/>
    </w:lvl>
  </w:abstractNum>
  <w:abstractNum w:abstractNumId="6">
    <w:nsid w:val="737B8DDC"/>
    <w:multiLevelType w:val="hybridMultilevel"/>
    <w:lvl w:ilvl="0">
      <w:lvlJc w:val="left"/>
      <w:lvlText w:val="6"/>
      <w:numFmt w:val="bullet"/>
      <w:start w:val="1"/>
    </w:lvl>
  </w:abstractNum>
  <w:abstractNum w:abstractNumId="7">
    <w:nsid w:val="6CEAF087"/>
    <w:multiLevelType w:val="hybridMultilevel"/>
    <w:lvl w:ilvl="0">
      <w:lvlJc w:val="left"/>
      <w:lvlText w:val="1"/>
      <w:numFmt w:val="bullet"/>
      <w:start w:val="1"/>
    </w:lvl>
  </w:abstractNum>
  <w:abstractNum w:abstractNumId="8">
    <w:nsid w:val="22221A70"/>
    <w:multiLevelType w:val="hybridMultilevel"/>
    <w:lvl w:ilvl="0">
      <w:lvlJc w:val="left"/>
      <w:lvlText w:val="2"/>
      <w:numFmt w:val="bullet"/>
      <w:start w:val="1"/>
    </w:lvl>
    <w:lvl w:ilvl="1">
      <w:lvlJc w:val="left"/>
      <w:lvlText w:val="(%2)"/>
      <w:numFmt w:val="lowerLetter"/>
      <w:start w:val="1"/>
    </w:lvl>
  </w:abstractNum>
  <w:abstractNum w:abstractNumId="9">
    <w:nsid w:val="4516DDE9"/>
    <w:multiLevelType w:val="hybridMultilevel"/>
    <w:lvl w:ilvl="0">
      <w:lvlJc w:val="left"/>
      <w:lvlText w:val="3"/>
      <w:numFmt w:val="bullet"/>
      <w:start w:val="1"/>
    </w:lvl>
  </w:abstractNum>
  <w:abstractNum w:abstractNumId="10">
    <w:nsid w:val="3006C83E"/>
    <w:multiLevelType w:val="hybridMultilevel"/>
    <w:lvl w:ilvl="0">
      <w:lvlJc w:val="left"/>
      <w:lvlText w:val="4"/>
      <w:numFmt w:val="bullet"/>
      <w:start w:val="1"/>
    </w:lvl>
  </w:abstractNum>
  <w:abstractNum w:abstractNumId="11">
    <w:nsid w:val="614FD4A1"/>
    <w:multiLevelType w:val="hybridMultilevel"/>
    <w:lvl w:ilvl="0">
      <w:lvlJc w:val="left"/>
      <w:lvlText w:val="5"/>
      <w:numFmt w:val="bullet"/>
      <w:start w:val="1"/>
    </w:lvl>
  </w:abstractNum>
  <w:abstractNum w:abstractNumId="12">
    <w:nsid w:val="419AC241"/>
    <w:multiLevelType w:val="hybridMultilevel"/>
    <w:lvl w:ilvl="0">
      <w:lvlJc w:val="left"/>
      <w:lvlText w:val="6"/>
      <w:numFmt w:val="bullet"/>
      <w:start w:val="1"/>
    </w:lvl>
  </w:abstractNum>
  <w:abstractNum w:abstractNumId="13">
    <w:nsid w:val="5577F8E1"/>
    <w:multiLevelType w:val="hybridMultilevel"/>
    <w:lvl w:ilvl="0">
      <w:lvlJc w:val="left"/>
      <w:lvlText w:val="(%1)"/>
      <w:numFmt w:val="lowerLetter"/>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1)"/>
      <w:numFmt w:val="lowerLetter"/>
      <w:start w:val="3"/>
    </w:lvl>
  </w:abstractNum>
  <w:abstractNum w:abstractNumId="16">
    <w:nsid w:val="3804823E"/>
    <w:multiLevelType w:val="hybridMultilevel"/>
    <w:lvl w:ilvl="0">
      <w:lvlJc w:val="left"/>
      <w:lvlText w:val="%1"/>
      <w:numFmt w:val="lowerRoman"/>
      <w:start w:val="1"/>
    </w:lvl>
    <w:lvl w:ilvl="1">
      <w:lvlJc w:val="left"/>
      <w:lvlText w:val="%2."/>
      <w:numFmt w:val="lowerLetter"/>
      <w:start w:val="1"/>
    </w:lvl>
  </w:abstractNum>
  <w:abstractNum w:abstractNumId="17">
    <w:nsid w:val="77465F01"/>
    <w:multiLevelType w:val="hybridMultilevel"/>
    <w:lvl w:ilvl="0">
      <w:lvlJc w:val="left"/>
      <w:lvlText w:val="(%1)"/>
      <w:numFmt w:val="lowerRoman"/>
      <w:start w:val="1"/>
    </w:lvl>
    <w:lvl w:ilvl="1">
      <w:lvlJc w:val="left"/>
      <w:lvlText w:val="%2."/>
      <w:numFmt w:val="lowerLetter"/>
      <w:start w:val="2"/>
    </w:lvl>
  </w:abstractNum>
  <w:abstractNum w:abstractNumId="18">
    <w:nsid w:val="7724C67E"/>
    <w:multiLevelType w:val="hybridMultilevel"/>
    <w:lvl w:ilvl="0">
      <w:lvlJc w:val="left"/>
      <w:lvlText w:val="(%1)"/>
      <w:numFmt w:val="upperLetter"/>
      <w:start w:val="1"/>
    </w:lvl>
  </w:abstractNum>
  <w:abstractNum w:abstractNumId="19">
    <w:nsid w:val="5C482A97"/>
    <w:multiLevelType w:val="hybridMultilevel"/>
    <w:lvl w:ilvl="0">
      <w:lvlJc w:val="left"/>
      <w:lvlText w:val="(%1)"/>
      <w:numFmt w:val="upperLetter"/>
      <w:start w:val="24"/>
    </w:lvl>
  </w:abstractNum>
  <w:abstractNum w:abstractNumId="20">
    <w:nsid w:val="2463B9EA"/>
    <w:multiLevelType w:val="hybridMultilevel"/>
    <w:lvl w:ilvl="0">
      <w:lvlJc w:val="left"/>
      <w:lvlText w:val="%1."/>
      <w:numFmt w:val="lowerLetter"/>
      <w:start w:val="4"/>
    </w:lvl>
    <w:lvl w:ilvl="1">
      <w:lvlJc w:val="left"/>
      <w:lvlText w:val="%2."/>
      <w:numFmt w:val="lowerRoman"/>
      <w:start w:val="1"/>
    </w:lvl>
  </w:abstractNum>
  <w:abstractNum w:abstractNumId="21">
    <w:nsid w:val="5E884ADC"/>
    <w:multiLevelType w:val="hybridMultilevel"/>
    <w:lvl w:ilvl="0">
      <w:lvlJc w:val="left"/>
      <w:lvlText w:val="%1"/>
      <w:numFmt w:val="upperLetter"/>
      <w:start w:val="1"/>
    </w:lvl>
    <w:lvl w:ilvl="1">
      <w:lvlJc w:val="left"/>
      <w:lvlText w:val="%2."/>
      <w:numFmt w:val="lowerRoman"/>
      <w:start w:val="4"/>
    </w:lvl>
  </w:abstractNum>
  <w:abstractNum w:abstractNumId="22">
    <w:nsid w:val="51EAD36B"/>
    <w:multiLevelType w:val="hybridMultilevel"/>
    <w:lvl w:ilvl="0">
      <w:lvlJc w:val="left"/>
      <w:lvlText w:val="(%1)"/>
      <w:numFmt w:val="upperLetter"/>
      <w:start w:val="1"/>
    </w:lvl>
    <w:lvl w:ilvl="1">
      <w:lvlJc w:val="left"/>
      <w:lvlText w:val="%2."/>
      <w:numFmt w:val="lowerRoman"/>
      <w:start w:val="5"/>
    </w:lvl>
  </w:abstractNum>
  <w:abstractNum w:abstractNumId="23">
    <w:nsid w:val="2D517796"/>
    <w:multiLevelType w:val="hybridMultilevel"/>
    <w:lvl w:ilvl="0">
      <w:lvlJc w:val="left"/>
      <w:lvlText w:val="%1."/>
      <w:numFmt w:val="lowerLetter"/>
      <w:start w:val="6"/>
    </w:lvl>
  </w:abstractNum>
  <w:abstractNum w:abstractNumId="24">
    <w:nsid w:val="580BD78F"/>
    <w:multiLevelType w:val="hybridMultilevel"/>
    <w:lvl w:ilvl="0">
      <w:lvlJc w:val="left"/>
      <w:lvlText w:val="%1."/>
      <w:numFmt w:val="lowerLetter"/>
      <w:start w:val="1"/>
    </w:lvl>
  </w:abstractNum>
  <w:abstractNum w:abstractNumId="25">
    <w:nsid w:val="153EA438"/>
    <w:multiLevelType w:val="hybridMultilevel"/>
    <w:lvl w:ilvl="0">
      <w:lvlJc w:val="left"/>
      <w:lvlText w:val="%1."/>
      <w:numFmt w:val="lowerLetter"/>
      <w:start w:val="2"/>
    </w:lvl>
  </w:abstractNum>
  <w:abstractNum w:abstractNumId="26">
    <w:nsid w:val="3855585C"/>
    <w:multiLevelType w:val="hybridMultilevel"/>
    <w:lvl w:ilvl="0">
      <w:lvlJc w:val="left"/>
      <w:lvlText w:val="%1."/>
      <w:numFmt w:val="lowerLetter"/>
      <w:start w:val="4"/>
    </w:lvl>
  </w:abstractNum>
  <w:abstractNum w:abstractNumId="27">
    <w:nsid w:val="70A64E2A"/>
    <w:multiLevelType w:val="hybridMultilevel"/>
    <w:lvl w:ilvl="0">
      <w:lvlJc w:val="left"/>
      <w:lvlText w:val="%1."/>
      <w:numFmt w:val="lowerLetter"/>
      <w:start w:val="5"/>
    </w:lvl>
    <w:lvl w:ilvl="1">
      <w:lvlJc w:val="left"/>
      <w:lvlText w:val="%2."/>
      <w:numFmt w:val="lowerRoman"/>
      <w:start w:val="1"/>
    </w:lvl>
  </w:abstractNum>
  <w:abstractNum w:abstractNumId="28">
    <w:nsid w:val="6A2342EC"/>
    <w:multiLevelType w:val="hybridMultilevel"/>
    <w:lvl w:ilvl="0">
      <w:lvlJc w:val="left"/>
      <w:lvlText w:val="%1."/>
      <w:numFmt w:val="lowerLetter"/>
      <w:start w:val="1"/>
    </w:lvl>
  </w:abstractNum>
  <w:abstractNum w:abstractNumId="29">
    <w:nsid w:val="2A487CB0"/>
    <w:multiLevelType w:val="hybridMultilevel"/>
    <w:lvl w:ilvl="0">
      <w:lvlJc w:val="left"/>
      <w:lvlText w:val="%1."/>
      <w:numFmt w:val="lowerLetter"/>
      <w:start w:val="2"/>
    </w:lvl>
  </w:abstractNum>
  <w:abstractNum w:abstractNumId="30">
    <w:nsid w:val="1D4ED43B"/>
    <w:multiLevelType w:val="hybridMultilevel"/>
    <w:lvl w:ilvl="0">
      <w:lvlJc w:val="left"/>
      <w:lvlText w:val="%1"/>
      <w:numFmt w:val="decimal"/>
      <w:start w:val="1"/>
    </w:lvl>
    <w:lvl w:ilvl="1">
      <w:lvlJc w:val="left"/>
      <w:lvlText w:val="%2."/>
      <w:numFmt w:val="lowerLetter"/>
      <w:start w:val="1"/>
    </w:lvl>
  </w:abstractNum>
  <w:abstractNum w:abstractNumId="31">
    <w:nsid w:val="725A06FB"/>
    <w:multiLevelType w:val="hybridMultilevel"/>
    <w:lvl w:ilvl="0">
      <w:lvlJc w:val="left"/>
      <w:lvlText w:val="%1."/>
      <w:numFmt w:val="decimal"/>
      <w:start w:val="3"/>
    </w:lvl>
    <w:lvl w:ilvl="1">
      <w:lvlJc w:val="left"/>
      <w:lvlText w:val="%2."/>
      <w:numFmt w:val="lowerLetter"/>
      <w:start w:val="2"/>
    </w:lvl>
  </w:abstractNum>
  <w:abstractNum w:abstractNumId="32">
    <w:nsid w:val="2CD89A32"/>
    <w:multiLevelType w:val="hybridMultilevel"/>
    <w:lvl w:ilvl="0">
      <w:lvlJc w:val="left"/>
      <w:lvlText w:val="%1."/>
      <w:numFmt w:val="lowerLetter"/>
      <w:start w:val="5"/>
    </w:lvl>
  </w:abstractNum>
  <w:abstractNum w:abstractNumId="33">
    <w:nsid w:val="57E4CCAF"/>
    <w:multiLevelType w:val="hybridMultilevel"/>
    <w:lvl w:ilvl="0">
      <w:lvlJc w:val="left"/>
      <w:lvlText w:val="%1."/>
      <w:numFmt w:val="lowerLetter"/>
      <w:start w:val="14"/>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decimal"/>
      <w:start w:val="2"/>
    </w:lvl>
    <w:lvl w:ilvl="1">
      <w:lvlJc w:val="left"/>
      <w:lvlText w:val="["/>
      <w:numFmt w:val="bullet"/>
      <w:start w:val="1"/>
    </w:lvl>
  </w:abstractNum>
  <w:abstractNum w:abstractNumId="36">
    <w:nsid w:val="542289EC"/>
    <w:multiLevelType w:val="hybridMultilevel"/>
    <w:lvl w:ilvl="0">
      <w:lvlJc w:val="left"/>
      <w:lvlText w:val="%1"/>
      <w:numFmt w:val="lowerRoman"/>
      <w:start w:val="1"/>
    </w:lvl>
    <w:lvl w:ilvl="1">
      <w:lvlJc w:val="left"/>
      <w:lvlText w:val="%2."/>
      <w:numFmt w:val="lowerLetter"/>
      <w:start w:val="1"/>
    </w:lvl>
  </w:abstractNum>
  <w:abstractNum w:abstractNumId="37">
    <w:nsid w:val="6DE91B18"/>
    <w:multiLevelType w:val="hybridMultilevel"/>
    <w:lvl w:ilvl="0">
      <w:lvlJc w:val="left"/>
      <w:lvlText w:val="(%1)"/>
      <w:numFmt w:val="lowerRoman"/>
      <w:start w:val="1"/>
    </w:lvl>
    <w:lvl w:ilvl="1">
      <w:lvlJc w:val="left"/>
      <w:lvlText w:val="%2."/>
      <w:numFmt w:val="lowerLetter"/>
      <w:start w:val="2"/>
    </w:lvl>
  </w:abstractNum>
  <w:abstractNum w:abstractNumId="38">
    <w:nsid w:val="38437FDB"/>
    <w:multiLevelType w:val="hybridMultilevel"/>
    <w:lvl w:ilvl="0">
      <w:lvlJc w:val="left"/>
      <w:lvlText w:val="(%1)"/>
      <w:numFmt w:val="upperLetter"/>
      <w:start w:val="1"/>
    </w:lvl>
  </w:abstractNum>
  <w:abstractNum w:abstractNumId="39">
    <w:nsid w:val="7644A45C"/>
    <w:multiLevelType w:val="hybridMultilevel"/>
    <w:lvl w:ilvl="0">
      <w:lvlJc w:val="left"/>
      <w:lvlText w:val="(%1)"/>
      <w:numFmt w:val="upperLetter"/>
      <w:start w:val="24"/>
    </w:lvl>
  </w:abstractNum>
  <w:abstractNum w:abstractNumId="40">
    <w:nsid w:val="32FFF902"/>
    <w:multiLevelType w:val="hybridMultilevel"/>
    <w:lvl w:ilvl="0">
      <w:lvlJc w:val="left"/>
      <w:lvlText w:val="%1."/>
      <w:numFmt w:val="lowerLetter"/>
      <w:start w:val="4"/>
    </w:lvl>
    <w:lvl w:ilvl="1">
      <w:lvlJc w:val="left"/>
      <w:lvlText w:val="%2."/>
      <w:numFmt w:val="lowerRoman"/>
      <w:start w:val="1"/>
    </w:lvl>
  </w:abstractNum>
  <w:abstractNum w:abstractNumId="41">
    <w:nsid w:val="684A481A"/>
    <w:multiLevelType w:val="hybridMultilevel"/>
    <w:lvl w:ilvl="0">
      <w:lvlJc w:val="left"/>
      <w:lvlText w:val="%1"/>
      <w:numFmt w:val="upperLetter"/>
      <w:start w:val="1"/>
    </w:lvl>
    <w:lvl w:ilvl="1">
      <w:lvlJc w:val="left"/>
      <w:lvlText w:val="%2."/>
      <w:numFmt w:val="lowerRoman"/>
      <w:start w:val="4"/>
    </w:lvl>
  </w:abstractNum>
  <w:abstractNum w:abstractNumId="42">
    <w:nsid w:val="579478FE"/>
    <w:multiLevelType w:val="hybridMultilevel"/>
    <w:lvl w:ilvl="0">
      <w:lvlJc w:val="left"/>
      <w:lvlText w:val="(%1)"/>
      <w:numFmt w:val="upperLetter"/>
      <w:start w:val="1"/>
    </w:lvl>
    <w:lvl w:ilvl="1">
      <w:lvlJc w:val="left"/>
      <w:lvlText w:val="%2."/>
      <w:numFmt w:val="lowerRoman"/>
      <w:start w:val="5"/>
    </w:lvl>
  </w:abstractNum>
  <w:abstractNum w:abstractNumId="43">
    <w:nsid w:val="749ABB43"/>
    <w:multiLevelType w:val="hybridMultilevel"/>
    <w:lvl w:ilvl="0">
      <w:lvlJc w:val="left"/>
      <w:lvlText w:val="%1."/>
      <w:numFmt w:val="lowerLetter"/>
      <w:start w:val="6"/>
    </w:lvl>
  </w:abstractNum>
  <w:abstractNum w:abstractNumId="44">
    <w:nsid w:val="3DC240FB"/>
    <w:multiLevelType w:val="hybridMultilevel"/>
    <w:lvl w:ilvl="0">
      <w:lvlJc w:val="left"/>
      <w:lvlText w:val="%1."/>
      <w:numFmt w:val="lowerLetter"/>
      <w:start w:val="1"/>
    </w:lvl>
  </w:abstractNum>
  <w:abstractNum w:abstractNumId="45">
    <w:nsid w:val="1BA026FA"/>
    <w:multiLevelType w:val="hybridMultilevel"/>
    <w:lvl w:ilvl="0">
      <w:lvlJc w:val="left"/>
      <w:lvlText w:val="%1."/>
      <w:numFmt w:val="lowerLetter"/>
      <w:start w:val="2"/>
    </w:lvl>
  </w:abstractNum>
  <w:abstractNum w:abstractNumId="46">
    <w:nsid w:val="79A1DEAA"/>
    <w:multiLevelType w:val="hybridMultilevel"/>
    <w:lvl w:ilvl="0">
      <w:lvlJc w:val="left"/>
      <w:lvlText w:val="%1."/>
      <w:numFmt w:val="lowerLetter"/>
      <w:start w:val="4"/>
    </w:lvl>
  </w:abstractNum>
  <w:abstractNum w:abstractNumId="47">
    <w:nsid w:val="75C6C33A"/>
    <w:multiLevelType w:val="hybridMultilevel"/>
    <w:lvl w:ilvl="0">
      <w:lvlJc w:val="left"/>
      <w:lvlText w:val="%1."/>
      <w:numFmt w:val="lowerLetter"/>
      <w:start w:val="5"/>
    </w:lvl>
    <w:lvl w:ilvl="1">
      <w:lvlJc w:val="left"/>
      <w:lvlText w:val="%2."/>
      <w:numFmt w:val="lowerRoman"/>
      <w:start w:val="1"/>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lowerLetter"/>
      <w:start w:val="2"/>
    </w:lvl>
  </w:abstractNum>
  <w:abstractNum w:abstractNumId="50">
    <w:nsid w:val="520EEDD1"/>
    <w:multiLevelType w:val="hybridMultilevel"/>
    <w:lvl w:ilvl="0">
      <w:lvlJc w:val="left"/>
      <w:lvlText w:val="%1."/>
      <w:numFmt w:val="lowerLetter"/>
      <w:start w:val="1"/>
    </w:lvl>
  </w:abstractNum>
  <w:abstractNum w:abstractNumId="51">
    <w:nsid w:val="374A3FE6"/>
    <w:multiLevelType w:val="hybridMultilevel"/>
    <w:lvl w:ilvl="0">
      <w:lvlJc w:val="left"/>
      <w:lvlText w:val="%1."/>
      <w:numFmt w:val="lowerLetter"/>
      <w:start w:val="5"/>
    </w:lvl>
  </w:abstractNum>
  <w:abstractNum w:abstractNumId="52">
    <w:nsid w:val="4F4EF005"/>
    <w:multiLevelType w:val="hybridMultilevel"/>
    <w:lvl w:ilvl="0">
      <w:lvlJc w:val="left"/>
      <w:lvlText w:val="%1."/>
      <w:numFmt w:val="lowerLetter"/>
      <w:start w:val="14"/>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48" Type="http://schemas.openxmlformats.org/officeDocument/2006/relationships/image" Target="media/image22.png"/><Relationship Id="rId49" Type="http://schemas.openxmlformats.org/officeDocument/2006/relationships/image" Target="media/image23.png"/><Relationship Id="rId50" Type="http://schemas.openxmlformats.org/officeDocument/2006/relationships/image" Target="media/image24.png"/><Relationship Id="rId51" Type="http://schemas.openxmlformats.org/officeDocument/2006/relationships/image" Target="media/image25.png"/><Relationship Id="rId52" Type="http://schemas.openxmlformats.org/officeDocument/2006/relationships/image" Target="media/image26.png"/><Relationship Id="rId53" Type="http://schemas.openxmlformats.org/officeDocument/2006/relationships/image" Target="media/image27.png"/><Relationship Id="rId54" Type="http://schemas.openxmlformats.org/officeDocument/2006/relationships/image" Target="media/image28.png"/><Relationship Id="rId55" Type="http://schemas.openxmlformats.org/officeDocument/2006/relationships/image" Target="media/image29.png"/><Relationship Id="rId56" Type="http://schemas.openxmlformats.org/officeDocument/2006/relationships/image" Target="media/image30.png"/><Relationship Id="rId57" Type="http://schemas.openxmlformats.org/officeDocument/2006/relationships/image" Target="media/image31.png"/><Relationship Id="rId58" Type="http://schemas.openxmlformats.org/officeDocument/2006/relationships/image" Target="media/image32.png"/><Relationship Id="rId59" Type="http://schemas.openxmlformats.org/officeDocument/2006/relationships/image" Target="media/image33.png"/><Relationship Id="rId60" Type="http://schemas.openxmlformats.org/officeDocument/2006/relationships/image" Target="media/image34.png"/><Relationship Id="rId61" Type="http://schemas.openxmlformats.org/officeDocument/2006/relationships/image" Target="media/image35.png"/><Relationship Id="rId62" Type="http://schemas.openxmlformats.org/officeDocument/2006/relationships/image" Target="media/image36.png"/><Relationship Id="rId63" Type="http://schemas.openxmlformats.org/officeDocument/2006/relationships/image" Target="media/image37.png"/><Relationship Id="rId64" Type="http://schemas.openxmlformats.org/officeDocument/2006/relationships/image" Target="media/image38.png"/><Relationship Id="rId65" Type="http://schemas.openxmlformats.org/officeDocument/2006/relationships/image" Target="media/image39.png"/><Relationship Id="rId66" Type="http://schemas.openxmlformats.org/officeDocument/2006/relationships/image" Target="media/image40.png"/><Relationship Id="rId67" Type="http://schemas.openxmlformats.org/officeDocument/2006/relationships/image" Target="media/image41.png"/><Relationship Id="rId68" Type="http://schemas.openxmlformats.org/officeDocument/2006/relationships/image" Target="media/image42.png"/><Relationship Id="rId69" Type="http://schemas.openxmlformats.org/officeDocument/2006/relationships/image" Target="media/image43.png"/><Relationship Id="rId70" Type="http://schemas.openxmlformats.org/officeDocument/2006/relationships/image" Target="media/image44.png"/><Relationship Id="rId71" Type="http://schemas.openxmlformats.org/officeDocument/2006/relationships/image" Target="media/image45.png"/><Relationship Id="rId72" Type="http://schemas.openxmlformats.org/officeDocument/2006/relationships/image" Target="media/image46.png"/><Relationship Id="rId73" Type="http://schemas.openxmlformats.org/officeDocument/2006/relationships/image" Target="media/image47.png"/><Relationship Id="rId74" Type="http://schemas.openxmlformats.org/officeDocument/2006/relationships/image" Target="media/image48.png"/><Relationship Id="rId75" Type="http://schemas.openxmlformats.org/officeDocument/2006/relationships/image" Target="media/image49.png"/><Relationship Id="rId76" Type="http://schemas.openxmlformats.org/officeDocument/2006/relationships/image" Target="media/image50.png"/><Relationship Id="rId77" Type="http://schemas.openxmlformats.org/officeDocument/2006/relationships/image" Target="media/image51.png"/><Relationship Id="rId78" Type="http://schemas.openxmlformats.org/officeDocument/2006/relationships/image" Target="media/image52.png"/><Relationship Id="rId79" Type="http://schemas.openxmlformats.org/officeDocument/2006/relationships/image" Target="media/image53.png"/><Relationship Id="rId80" Type="http://schemas.openxmlformats.org/officeDocument/2006/relationships/image" Target="media/image54.png"/><Relationship Id="rId81" Type="http://schemas.openxmlformats.org/officeDocument/2006/relationships/image" Target="media/image55.png"/><Relationship Id="rId82" Type="http://schemas.openxmlformats.org/officeDocument/2006/relationships/image" Target="media/image56.png"/><Relationship Id="rId83" Type="http://schemas.openxmlformats.org/officeDocument/2006/relationships/image" Target="media/image57.png"/><Relationship Id="rId84" Type="http://schemas.openxmlformats.org/officeDocument/2006/relationships/image" Target="media/image58.png"/><Relationship Id="rId85" Type="http://schemas.openxmlformats.org/officeDocument/2006/relationships/image" Target="media/image59.png"/><Relationship Id="rId86" Type="http://schemas.openxmlformats.org/officeDocument/2006/relationships/image" Target="media/image60.png"/><Relationship Id="rId87" Type="http://schemas.openxmlformats.org/officeDocument/2006/relationships/image" Target="media/image61.png"/><Relationship Id="rId88" Type="http://schemas.openxmlformats.org/officeDocument/2006/relationships/image" Target="media/image62.png"/><Relationship Id="rId89" Type="http://schemas.openxmlformats.org/officeDocument/2006/relationships/image" Target="media/image63.png"/><Relationship Id="rId90" Type="http://schemas.openxmlformats.org/officeDocument/2006/relationships/image" Target="media/image64.png"/><Relationship Id="rId91" Type="http://schemas.openxmlformats.org/officeDocument/2006/relationships/image" Target="media/image65.png"/><Relationship Id="rId92" Type="http://schemas.openxmlformats.org/officeDocument/2006/relationships/image" Target="media/image66.png"/><Relationship Id="rId93" Type="http://schemas.openxmlformats.org/officeDocument/2006/relationships/image" Target="media/image67.png"/><Relationship Id="rId94" Type="http://schemas.openxmlformats.org/officeDocument/2006/relationships/image" Target="media/image68.png"/><Relationship Id="rId95" Type="http://schemas.openxmlformats.org/officeDocument/2006/relationships/image" Target="media/image69.png"/><Relationship Id="rId96" Type="http://schemas.openxmlformats.org/officeDocument/2006/relationships/image" Target="media/image70.png"/><Relationship Id="rId97" Type="http://schemas.openxmlformats.org/officeDocument/2006/relationships/image" Target="media/image71.png"/><Relationship Id="rId98" Type="http://schemas.openxmlformats.org/officeDocument/2006/relationships/image" Target="media/image72.png"/><Relationship Id="rId99" Type="http://schemas.openxmlformats.org/officeDocument/2006/relationships/image" Target="media/image73.png"/><Relationship Id="rId100" Type="http://schemas.openxmlformats.org/officeDocument/2006/relationships/image" Target="media/image74.png"/><Relationship Id="rId101" Type="http://schemas.openxmlformats.org/officeDocument/2006/relationships/image" Target="media/image75.png"/><Relationship Id="rId102" Type="http://schemas.openxmlformats.org/officeDocument/2006/relationships/image" Target="media/image76.png"/><Relationship Id="rId103" Type="http://schemas.openxmlformats.org/officeDocument/2006/relationships/image" Target="media/image77.png"/><Relationship Id="rId104" Type="http://schemas.openxmlformats.org/officeDocument/2006/relationships/image" Target="media/image78.png"/><Relationship Id="rId105" Type="http://schemas.openxmlformats.org/officeDocument/2006/relationships/image" Target="media/image79.png"/><Relationship Id="rId29" Type="http://schemas.openxmlformats.org/officeDocument/2006/relationships/hyperlink" Target="https://www.sec.gov/Archives/edgar/data/1571949/000119312521304172/d367825dex991.htm" TargetMode="External"/><Relationship Id="rId30" Type="http://schemas.openxmlformats.org/officeDocument/2006/relationships/hyperlink" Target="https://www.sec.gov/Archives/edgar/data/1820302/000119312521005832/d913171dex21.htm" TargetMode="External"/><Relationship Id="rId31" Type="http://schemas.openxmlformats.org/officeDocument/2006/relationships/hyperlink" Target="https://www.sec.gov/Archives/edgar/data/1820302/000119312521101249/d107545dex21.htm" TargetMode="External"/><Relationship Id="rId32" Type="http://schemas.openxmlformats.org/officeDocument/2006/relationships/hyperlink" Target="https://www.sec.gov/Archives/edgar/data/1820302/000119312521286927/d204551dex21.htm" TargetMode="External"/><Relationship Id="rId33" Type="http://schemas.openxmlformats.org/officeDocument/2006/relationships/hyperlink" Target="https://www.sec.gov/Archives/edgar/data/1820302/000119312521303985/d219325dex31.htm" TargetMode="External"/><Relationship Id="rId34" Type="http://schemas.openxmlformats.org/officeDocument/2006/relationships/hyperlink" Target="https://www.sec.gov/Archives/edgar/data/1820302/000119312521303985/d219325dex104.htm" TargetMode="External"/><Relationship Id="rId35" Type="http://schemas.openxmlformats.org/officeDocument/2006/relationships/hyperlink" Target="https://www.sec.gov/Archives/edgar/data/1820302/000119312521303985/d219325dex43.htm" TargetMode="External"/><Relationship Id="rId36" Type="http://schemas.openxmlformats.org/officeDocument/2006/relationships/hyperlink" Target="https://www.sec.gov/Archives/edgar/data/1820302/000119312521303985/d219325dex103.htm" TargetMode="External"/><Relationship Id="rId37" Type="http://schemas.openxmlformats.org/officeDocument/2006/relationships/hyperlink" Target="https://www.sec.gov/Archives/edgar/data/1820302/000119312521303985/d219325dex102.htm" TargetMode="External"/><Relationship Id="rId38" Type="http://schemas.openxmlformats.org/officeDocument/2006/relationships/hyperlink" Target="https://www.sec.gov/Archives/edgar/data/1820302/000119312521303985/d219325dex101.htm" TargetMode="External"/><Relationship Id="rId39" Type="http://schemas.openxmlformats.org/officeDocument/2006/relationships/hyperlink" Target="https://www.sec.gov/Archives/edgar/data/1820302/000119312521303985/d219325dex105.htm" TargetMode="External"/><Relationship Id="rId40" Type="http://schemas.openxmlformats.org/officeDocument/2006/relationships/hyperlink" Target="https://www.sec.gov/Archives/edgar/data/1571949/000119312521304172/d367825dex9912.htm" TargetMode="External"/><Relationship Id="rId41" Type="http://schemas.openxmlformats.org/officeDocument/2006/relationships/hyperlink" Target="https://www.sec.gov/Archives/edgar/data/1820302/000119312521303985/d219325dex106.htm" TargetMode="External"/><Relationship Id="rId42" Type="http://schemas.openxmlformats.org/officeDocument/2006/relationships/hyperlink" Target="https://www.sec.gov/Archives/edgar/data/1820302/000182030222000015/a101amendedandrestatedexch.htm" TargetMode="External"/><Relationship Id="rId43" Type="http://schemas.openxmlformats.org/officeDocument/2006/relationships/hyperlink" Target="https://www.sec.gov/Archives/edgar/data/1571949/000094787124000253/ss3098627_ex9915.htm" TargetMode="External"/><Relationship Id="rId44" Type="http://schemas.openxmlformats.org/officeDocument/2006/relationships/hyperlink" Target="https://www.sec.gov/Archives/edgar/data/1571949/000094787124000253/ss3098627_ex9916.htm" TargetMode="External"/><Relationship Id="rId45" Type="http://schemas.openxmlformats.org/officeDocument/2006/relationships/hyperlink" Target="https://www.sec.gov/Archives/edgar/data/1571949/000094787124000253/ss3098627_ex9917.htm" TargetMode="External"/><Relationship Id="rId46" Type="http://schemas.openxmlformats.org/officeDocument/2006/relationships/hyperlink" Target="https://www.sec.gov/Archives/edgar/data/1571949/000094787124000253/ss3098627_ex9918.htm" TargetMode="External"/><Relationship Id="rId47" Type="http://schemas.openxmlformats.org/officeDocument/2006/relationships/hyperlink" Target="https://www.sec.gov/Archives/edgar/data/1820302/000182030224000080/ex41firstamendmentto3rda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2024-04-29T20:18:45Z</dcterms:created>
  <dcterms:modified xsi:type="dcterms:W3CDTF">2024-04-29T20:18:45Z</dcterms:modified>
</cp:coreProperties>
</file>