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This current report on Form 8-K/A (the “Amendment”) amends the current report on Form 8-K filed on September 12, 2022 by Bakkt Holdings, Inc. (the “Company”) with the U.S. Securities and Exchange Commission (the “Original Form 8-K”). The Original Form 8-K had typographical errors relating to the number of PSUs (as defined below) that were awarded to Karen Alexander, the Company’s Chief Financial Officer and Principal Financial Officer. The sole purpose of this Amendment is to correct such typographical errors. No other changes have been made to the Original Form 8-K.</w:t>
      </w:r>
    </w:p>
    <w:p>
      <w:pPr>
        <w:spacing w:after="0" w:line="332" w:lineRule="exact"/>
        <w:rPr>
          <w:sz w:val="20"/>
          <w:szCs w:val="20"/>
          <w:color w:val="auto"/>
        </w:rPr>
      </w:pPr>
    </w:p>
    <w:p>
      <w:pPr>
        <w:ind w:left="980" w:right="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Accounting Officer</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appointed Charles “Chip” Goodroe, 38, as Vice President, Chief Accounting Officer and Principal Accounting Officer of the Company, effective September 12, 2022. Prior to joining the Company, Mr. Goodroe served roles of increasing responsibility at Grant Thornton LLP from 2012 to September 2022, most recently serving as Senior Manager, Audit Services. Mr. Goodroe holds a B.B.A in Accountancy from the University of Georgia, Terry College of Business and an M.S. in Accountancy from the University of Georgia, Terry College of Business.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Mr. Goodroe’s appointment as Vice President, Chief Accounting Officer and Principal Accounting Officer, the Compensation Committee of the Company’s board of directors granted Mr. Goodroe a one-time equity award of restricted stock units valued at approximately $70,000, which vest in equal yearly installments through the third anniversary of the grant date, subject to Mr. Goodroe’s continued employment with the Company on the applicable vesting dates. Mr. Goodroe’s annual base salary will be $220,000.</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no arrangements or understandings between Mr. Goodroe and any other person pursuant to which Mr. Goodroe was appointed to serve as Chief Accounting Officer and Principal Accounting Officer of the Company. There are no family relationships between Mr. Goodroe and any director or executive officer of the Company, and Mr. Goodroe does not have any direct or indirect material interest in any transaction required to be disclosed pursuant to Item 404(a) of Regulation 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Mr. Goodroe’s appointment, the Company plans to enter into its standard form of director and officer indemnification agreement with Mr. Goodroe,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September 12, 2022, the Company issued a press release announcing the appointment of Mr. Goodroe as Vice President, Chief Accounting Officer and Principal Accounting Officer of the Company. A copy of the press release is attached as Exhibit 99.1 to this Current Report on Form 8-K.</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Effective upon the appointment of Mr. Goodroe, Karen Alexander, the Company’s Chief Financial Officer, Principal Financial Officer, Chief Accounting Officer and Principal Accounting Officer, will step down as Chief Accounting Officer and Principal Accounting Officer. Ms. Alexander will continue to serve as the Company’s Chief Financial Officer and Principal Financial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Grants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September 12, 2022, Karen Alexander, the Company’s Chief Financial Officer and Principal Financial Officer, received the following equity compensation grants, which were approved by the Compensation Committee of the Company’s board of directors in accordance with the applicable Performance-Based Restricted Stock Unit Agreement (the “PSU Agreement”) under the Company’s 2021 Omnibus Employee Incentive Plan (the “Plan”) and Restricted Stock Unit Agreement (the “RSU Agreement”) under the Plan:</w:t>
      </w: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RSUs(1)</w:t>
            </w:r>
          </w:p>
        </w:tc>
        <w:tc>
          <w:tcPr>
            <w:tcW w:w="66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PSUs(2)</w:t>
            </w:r>
          </w:p>
        </w:tc>
      </w:tr>
      <w:tr>
        <w:trPr>
          <w:trHeight w:val="142"/>
        </w:trPr>
        <w:tc>
          <w:tcPr>
            <w:tcW w:w="6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At Target</w:t>
            </w:r>
          </w:p>
        </w:tc>
        <w:tc>
          <w:tcPr>
            <w:tcW w:w="1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150% of Target</w:t>
            </w:r>
          </w:p>
        </w:tc>
        <w:tc>
          <w:tcPr>
            <w:tcW w:w="6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Karen Alexander</w:t>
            </w:r>
          </w:p>
        </w:tc>
        <w:tc>
          <w:tcPr>
            <w:tcW w:w="6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6"/>
              </w:rPr>
              <w:t>100,000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ind w:left="424" w:right="120" w:hanging="424"/>
        <w:spacing w:after="0" w:line="254"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restricted stock unit award (“RSU”) will vest, subject to the grantee’s continued employment with the Company, in three equal annual installments on the first three anniversaries of August 26, 2022. The foregoing description of the RSU Agreement is qualified in its entirety by reference to the full text of such agreement, the form of which was filed as Exhibit 10.1 to the Original Form 8-K and is incorporated in this Item 5.02 by reference.</w:t>
      </w:r>
    </w:p>
    <w:p>
      <w:pPr>
        <w:spacing w:after="0" w:line="2" w:lineRule="exact"/>
        <w:rPr>
          <w:rFonts w:ascii="Arial" w:cs="Arial" w:eastAsia="Arial" w:hAnsi="Arial"/>
          <w:sz w:val="18"/>
          <w:szCs w:val="18"/>
          <w:color w:val="auto"/>
        </w:rPr>
      </w:pPr>
    </w:p>
    <w:p>
      <w:pPr>
        <w:ind w:left="424" w:hanging="424"/>
        <w:spacing w:after="0" w:line="267"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numbers included in the table reflect the aggregate number of shares of Class A common stock that may be issuable to the grantee based on a “target” performance. The actual number of shares will vary between and 0% and 150% of the target amount. The performance-based restricted stock unit awards (“PSUs”) provide a scale for the number of shares of Class A common stock issuable to the grantee based (i) 50% on the Company’s net revenue and (ii) 50% on the Company’s transacting accounts, in each case, during the applicable performance period, pursuant to which, in each case, the grantee may earn between 0% of the “target” award (if the Company’s net revenue or transacting accounts, as applicable, achieved with respect to such performance period is below 25% of the “target” performance goal) and 150% of the target award (if the performance level achieved with respect to such performance period equals or exceeds 150% of the “target” performance goal). The performance periods for the PSUs are the years ending December 31, 2023, 2024 and 2025. One-third of the PSUs will be determined based on the performance for each year in the performance period. Each PSU will vest, subject to the grantee’s continued employment with the Company, in three equal annual installments on the first three anniversaries of August 26, 2022. The foregoing description of the PSU Agreement is qualified in its entirety by reference to the full text of such agreement, the form of which was filed as Exhibit 10.2 to the Original Form 8-K and is incorporated in this Item 5.02 by reference.</w:t>
      </w:r>
    </w:p>
    <w:p>
      <w:pPr>
        <w:sectPr>
          <w:pgSz w:w="11900" w:h="16838" w:orient="portrait"/>
          <w:cols w:equalWidth="0" w:num="1">
            <w:col w:w="11004"/>
          </w:cols>
          <w:pgMar w:left="436" w:top="301" w:right="4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 and Secretary</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2022-10-13T05:14:15Z</dcterms:created>
  <dcterms:modified xsi:type="dcterms:W3CDTF">2022-10-13T05:14:15Z</dcterms:modified>
</cp:coreProperties>
</file>