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February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584"/>
        <w:spacing w:after="0"/>
        <w:rPr>
          <w:sz w:val="20"/>
          <w:szCs w:val="20"/>
          <w:color w:val="auto"/>
        </w:rPr>
      </w:pPr>
      <w:r>
        <w:rPr>
          <w:rFonts w:ascii="Arial" w:cs="Arial" w:eastAsia="Arial" w:hAnsi="Arial"/>
          <w:sz w:val="16"/>
          <w:szCs w:val="16"/>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30009</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180"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8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4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Conditions.</w:t>
      </w:r>
    </w:p>
    <w:p>
      <w:pPr>
        <w:spacing w:after="0" w:line="121" w:lineRule="exact"/>
        <w:rPr>
          <w:sz w:val="20"/>
          <w:szCs w:val="20"/>
          <w:color w:val="auto"/>
        </w:rPr>
      </w:pPr>
    </w:p>
    <w:p>
      <w:pPr>
        <w:ind w:right="480" w:firstLine="440"/>
        <w:spacing w:after="0" w:line="342" w:lineRule="auto"/>
        <w:rPr>
          <w:sz w:val="20"/>
          <w:szCs w:val="20"/>
          <w:color w:val="auto"/>
        </w:rPr>
      </w:pPr>
      <w:r>
        <w:rPr>
          <w:rFonts w:ascii="Arial" w:cs="Arial" w:eastAsia="Arial" w:hAnsi="Arial"/>
          <w:sz w:val="16"/>
          <w:szCs w:val="16"/>
          <w:color w:val="auto"/>
        </w:rPr>
        <w:t>On February 17, 2022, Bakkt Holdings, Inc. (the “Company”) issued a press release regarding the Company’s financial results for the fourth quarter and year ended December 31, 2021. A copy of the press release is attached hereto as Exhibit 99.1 and incorporated herein by reference.</w:t>
      </w:r>
    </w:p>
    <w:p>
      <w:pPr>
        <w:spacing w:after="0" w:line="12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The information in this Item 2.02, including the Exhibit 99.1 attached hereto, is being furnished and shall not be deemed “filed” for purposes of Section 18 of the Securities Exchange Act of 1934, as amended (the “Exchange Act”), or otherwise subject to the liabilities of such section, nor shall it be deemed incorporated by reference in any filing under the Exchange Act or the Securities Act of 1933, as amended, except as shall be expressly set forth by specific reference in such filing.</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60" w:type="dxa"/>
            <w:vAlign w:val="bottom"/>
            <w:gridSpan w:val="3"/>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96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5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405"/>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500" w:type="dxa"/>
            <w:vAlign w:val="bottom"/>
          </w:tcPr>
          <w:p>
            <w:pPr>
              <w:spacing w:after="0"/>
              <w:rPr>
                <w:sz w:val="24"/>
                <w:szCs w:val="24"/>
                <w:color w:val="auto"/>
              </w:rPr>
            </w:pPr>
          </w:p>
        </w:tc>
        <w:tc>
          <w:tcPr>
            <w:tcW w:w="9560" w:type="dxa"/>
            <w:vAlign w:val="bottom"/>
            <w:gridSpan w:val="2"/>
          </w:tcPr>
          <w:p>
            <w:pPr>
              <w:ind w:left="4420"/>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780" w:type="dxa"/>
            <w:vAlign w:val="bottom"/>
            <w:tcBorders>
              <w:top w:val="single" w:sz="8" w:color="auto"/>
              <w:bottom w:val="single" w:sz="8" w:color="0000EE"/>
            </w:tcBorders>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Press release issued by Bakkt Holdings, Inc, on February 17, 2022</w:t>
              </w:r>
            </w:hyperlink>
          </w:p>
        </w:tc>
        <w:tc>
          <w:tcPr>
            <w:tcW w:w="4780" w:type="dxa"/>
            <w:vAlign w:val="bottom"/>
            <w:tcBorders>
              <w:top w:val="single" w:sz="8" w:color="auto"/>
            </w:tcBorders>
          </w:tcPr>
          <w:p>
            <w:pPr>
              <w:spacing w:after="0"/>
              <w:rPr>
                <w:sz w:val="22"/>
                <w:szCs w:val="22"/>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20"/>
          </w:cols>
          <w:pgMar w:left="440" w:top="297"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17,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Marc D’Annunzio</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General Counsel and Secretary</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Reports Fourth Quarter and Full Year 2021 Results</w:t>
      </w:r>
    </w:p>
    <w:p>
      <w:pPr>
        <w:spacing w:after="0" w:line="229"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Fourth Quarter 2021 net revenue of $2.2 million for Predecessor, $11.5 million for Successor and $13.7 million for Combined (non-GAAP); Combined net revenue (non-GAAP) increased 45% over prior year quarter</w:t>
      </w:r>
    </w:p>
    <w:p>
      <w:pPr>
        <w:spacing w:after="0" w:line="170"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i w:val="1"/>
          <w:iCs w:val="1"/>
          <w:color w:val="auto"/>
        </w:rPr>
        <w:t>Net revenue expected to grow to $60 million - $80 million in 2022, an increase of approximately 50% to 100% compared to 2021 Combined net revenue,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Over $390 million of available cash provides significant growth capital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Signed partnerships across crypto services, loyalty and payments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Activated point conversion capabilities for Wyndham Rewards customers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Financial results include significant non-cash charges related to the closing of business combination with VPC Impact Acquisition Holdings (VIH)</w:t>
      </w:r>
    </w:p>
    <w:p>
      <w:pPr>
        <w:spacing w:after="0" w:line="23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ALPHARETTA, GA – February 17, 2022 </w:t>
      </w:r>
      <w:r>
        <w:rPr>
          <w:rFonts w:ascii="Arial" w:cs="Arial" w:eastAsia="Arial" w:hAnsi="Arial"/>
          <w:sz w:val="18"/>
          <w:szCs w:val="18"/>
          <w:color w:val="auto"/>
        </w:rPr>
        <w:t>– Bakkt Holdings, Inc. (“Bakkt”) (NYSE: BKKT) announced its financial results for the fourth quarter and</w:t>
      </w:r>
      <w:r>
        <w:rPr>
          <w:rFonts w:ascii="Arial" w:cs="Arial" w:eastAsia="Arial" w:hAnsi="Arial"/>
          <w:sz w:val="18"/>
          <w:szCs w:val="18"/>
          <w:b w:val="1"/>
          <w:bCs w:val="1"/>
          <w:color w:val="auto"/>
        </w:rPr>
        <w:t xml:space="preserve"> </w:t>
      </w:r>
      <w:r>
        <w:rPr>
          <w:rFonts w:ascii="Arial" w:cs="Arial" w:eastAsia="Arial" w:hAnsi="Arial"/>
          <w:sz w:val="18"/>
          <w:szCs w:val="18"/>
          <w:color w:val="auto"/>
        </w:rPr>
        <w:t>full year ended December 31, 2021.</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impressive revenue growth in the fourth quarter and full year reflects the strong momentum we are seeing across our platform as we continue to diversify our future revenue streams,” said Gavin Michael, CEO of Bakkt. “We are excited to provide crypto services, loyalty and payments to our growing list of signed partners. We’re working closely with our partners to launch new solutions such as crypto rewards and crypto disbursements in the near-term. In addition, we will be expanding on our offerings to enable open loop crypto wallets and offer additional cryptos on our platform</w:t>
      </w:r>
      <w:r>
        <w:rPr>
          <w:rFonts w:ascii="Arial" w:cs="Arial" w:eastAsia="Arial" w:hAnsi="Arial"/>
          <w:sz w:val="15"/>
          <w:szCs w:val="15"/>
          <w:color w:val="auto"/>
        </w:rPr>
        <w:t>1</w:t>
      </w:r>
      <w:r>
        <w:rPr>
          <w:rFonts w:ascii="Arial" w:cs="Arial" w:eastAsia="Arial" w:hAnsi="Arial"/>
          <w:sz w:val="18"/>
          <w:szCs w:val="18"/>
          <w:color w:val="auto"/>
        </w:rPr>
        <w:t>. We have a strong balance sheet and are well-capitalized to grow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Strategic Highlights</w:t>
      </w:r>
    </w:p>
    <w:p>
      <w:pPr>
        <w:spacing w:after="0" w:line="131" w:lineRule="exact"/>
        <w:rPr>
          <w:sz w:val="20"/>
          <w:szCs w:val="20"/>
          <w:color w:val="auto"/>
        </w:rPr>
      </w:pPr>
    </w:p>
    <w:p>
      <w:pPr>
        <w:ind w:left="960" w:right="160" w:hanging="419"/>
        <w:spacing w:after="0" w:line="314" w:lineRule="auto"/>
        <w:tabs>
          <w:tab w:leader="none" w:pos="9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 xml:space="preserve">Crypto Services: Manasquan Bank, Hanover Bank and Valliance Bank </w:t>
      </w:r>
      <w:r>
        <w:rPr>
          <w:rFonts w:ascii="Arial" w:cs="Arial" w:eastAsia="Arial" w:hAnsi="Arial"/>
          <w:sz w:val="16"/>
          <w:szCs w:val="16"/>
          <w:color w:val="auto"/>
        </w:rPr>
        <w:t>– These new partners, signed through our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platform partnerships, will enable their retail clients to buy, sell and hold cryptocurrency within their existing, trusted banking environment. Our secure, stable, regulated and trusted platform provides simple access to crypto for a growing number of consumers.</w:t>
      </w:r>
    </w:p>
    <w:p>
      <w:pPr>
        <w:spacing w:after="0" w:line="47" w:lineRule="exact"/>
        <w:rPr>
          <w:sz w:val="20"/>
          <w:szCs w:val="20"/>
          <w:color w:val="auto"/>
        </w:rPr>
      </w:pPr>
    </w:p>
    <w:p>
      <w:pPr>
        <w:ind w:left="960" w:right="220" w:hanging="419"/>
        <w:spacing w:after="0" w:line="289" w:lineRule="auto"/>
        <w:tabs>
          <w:tab w:leader="none" w:pos="9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b w:val="1"/>
          <w:bCs w:val="1"/>
          <w:color w:val="auto"/>
        </w:rPr>
        <w:t xml:space="preserve">Disbursements &amp; Crypto Rewards: BringMeThat.com – </w:t>
      </w:r>
      <w:r>
        <w:rPr>
          <w:rFonts w:ascii="Arial" w:cs="Arial" w:eastAsia="Arial" w:hAnsi="Arial"/>
          <w:sz w:val="17"/>
          <w:szCs w:val="17"/>
          <w:color w:val="auto"/>
        </w:rPr>
        <w:t>Our partnership connects crypto to the gig economy, working with a food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service operating in thousands of US cities. Bakkt will enable customers to pay with participating points, or with crypto held on our platform. The crypto payout feature will allow drivers to receive a portion of their earnings in crypto.</w:t>
      </w:r>
    </w:p>
    <w:p>
      <w:pPr>
        <w:spacing w:after="0" w:line="63" w:lineRule="exact"/>
        <w:rPr>
          <w:sz w:val="20"/>
          <w:szCs w:val="20"/>
          <w:color w:val="auto"/>
        </w:rPr>
      </w:pPr>
    </w:p>
    <w:p>
      <w:pPr>
        <w:jc w:val="both"/>
        <w:ind w:left="960" w:right="300" w:hanging="419"/>
        <w:spacing w:after="0" w:line="266" w:lineRule="auto"/>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color w:val="auto"/>
        </w:rPr>
        <w:t xml:space="preserve">Crypto Custody: Nexo – </w:t>
      </w:r>
      <w:r>
        <w:rPr>
          <w:rFonts w:ascii="Arial" w:cs="Arial" w:eastAsia="Arial" w:hAnsi="Arial"/>
          <w:sz w:val="18"/>
          <w:szCs w:val="18"/>
          <w:color w:val="auto"/>
        </w:rPr>
        <w:t>We will provide cryptocurrency custody services to Nexo. Our warehouse allows for safe and secure storage,</w:t>
      </w:r>
      <w:r>
        <w:rPr>
          <w:rFonts w:ascii="Arial" w:cs="Arial" w:eastAsia="Arial" w:hAnsi="Arial"/>
          <w:sz w:val="18"/>
          <w:szCs w:val="18"/>
          <w:b w:val="1"/>
          <w:bCs w:val="1"/>
          <w:color w:val="auto"/>
        </w:rPr>
        <w:t xml:space="preserve"> </w:t>
      </w:r>
      <w:r>
        <w:rPr>
          <w:rFonts w:ascii="Arial" w:cs="Arial" w:eastAsia="Arial" w:hAnsi="Arial"/>
          <w:sz w:val="18"/>
          <w:szCs w:val="18"/>
          <w:color w:val="auto"/>
        </w:rPr>
        <w:t>leveraging state-of-the-art physical and cyber security, institutional grade technology and governance, and is backed by cold and warm wallet insurance.</w:t>
      </w:r>
    </w:p>
    <w:p>
      <w:pPr>
        <w:spacing w:after="0" w:line="81" w:lineRule="exact"/>
        <w:rPr>
          <w:sz w:val="20"/>
          <w:szCs w:val="20"/>
          <w:color w:val="auto"/>
        </w:rPr>
      </w:pPr>
    </w:p>
    <w:p>
      <w:pPr>
        <w:ind w:left="960" w:right="440" w:hanging="419"/>
        <w:spacing w:after="0" w:line="347" w:lineRule="auto"/>
        <w:tabs>
          <w:tab w:leader="none" w:pos="9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 xml:space="preserve">Powering Loyalty: Wyndham Rewards – </w:t>
      </w:r>
      <w:r>
        <w:rPr>
          <w:rFonts w:ascii="Arial" w:cs="Arial" w:eastAsia="Arial" w:hAnsi="Arial"/>
          <w:sz w:val="16"/>
          <w:szCs w:val="16"/>
          <w:color w:val="auto"/>
        </w:rPr>
        <w:t>We activated point conversion capabilities for Wyndham Rewards points customers. This</w:t>
      </w:r>
      <w:r>
        <w:rPr>
          <w:rFonts w:ascii="Arial" w:cs="Arial" w:eastAsia="Arial" w:hAnsi="Arial"/>
          <w:sz w:val="16"/>
          <w:szCs w:val="16"/>
          <w:b w:val="1"/>
          <w:bCs w:val="1"/>
          <w:color w:val="auto"/>
        </w:rPr>
        <w:t xml:space="preserve"> </w:t>
      </w:r>
      <w:r>
        <w:rPr>
          <w:rFonts w:ascii="Arial" w:cs="Arial" w:eastAsia="Arial" w:hAnsi="Arial"/>
          <w:sz w:val="16"/>
          <w:szCs w:val="16"/>
          <w:color w:val="auto"/>
        </w:rPr>
        <w:t>partnership demonstrates the power of our B2B2C model with higher customer engagement levels and more efficient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33655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3" w:lineRule="exact"/>
        <w:rPr>
          <w:sz w:val="20"/>
          <w:szCs w:val="20"/>
          <w:color w:val="auto"/>
        </w:rPr>
      </w:pPr>
    </w:p>
    <w:p>
      <w:pPr>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Subject to regulatory approval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Fourth Quarter Financial Highlights</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35"/>
        </w:trPr>
        <w:tc>
          <w:tcPr>
            <w:tcW w:w="7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1"/>
              </w:rPr>
              <w:t>$ in millions</w:t>
            </w:r>
          </w:p>
        </w:tc>
        <w:tc>
          <w:tcPr>
            <w:tcW w:w="2260" w:type="dxa"/>
            <w:vAlign w:val="bottom"/>
            <w:vMerge w:val="restart"/>
          </w:tcPr>
          <w:p>
            <w:pPr>
              <w:spacing w:after="0"/>
              <w:rPr>
                <w:sz w:val="3"/>
                <w:szCs w:val="3"/>
                <w:color w:val="auto"/>
              </w:rPr>
            </w:pPr>
          </w:p>
        </w:tc>
        <w:tc>
          <w:tcPr>
            <w:tcW w:w="1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9"/>
              </w:rPr>
              <w:t>Predecessor</w:t>
            </w:r>
          </w:p>
        </w:tc>
        <w:tc>
          <w:tcPr>
            <w:tcW w:w="20" w:type="dxa"/>
            <w:vAlign w:val="bottom"/>
          </w:tcPr>
          <w:p>
            <w:pPr>
              <w:spacing w:after="0"/>
              <w:rPr>
                <w:sz w:val="3"/>
                <w:szCs w:val="3"/>
                <w:color w:val="auto"/>
              </w:rPr>
            </w:pPr>
          </w:p>
        </w:tc>
        <w:tc>
          <w:tcPr>
            <w:tcW w:w="1100" w:type="dxa"/>
            <w:vAlign w:val="bottom"/>
            <w:vMerge w:val="restart"/>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line="20" w:lineRule="exact"/>
              <w:rPr>
                <w:sz w:val="1"/>
                <w:szCs w:val="1"/>
                <w:color w:val="auto"/>
              </w:rPr>
            </w:pPr>
          </w:p>
        </w:tc>
      </w:tr>
      <w:tr>
        <w:trPr>
          <w:trHeight w:val="126"/>
        </w:trPr>
        <w:tc>
          <w:tcPr>
            <w:tcW w:w="760" w:type="dxa"/>
            <w:vAlign w:val="bottom"/>
            <w:vMerge w:val="continue"/>
          </w:tcPr>
          <w:p>
            <w:pPr>
              <w:spacing w:after="0"/>
              <w:rPr>
                <w:sz w:val="10"/>
                <w:szCs w:val="10"/>
                <w:color w:val="auto"/>
              </w:rPr>
            </w:pPr>
          </w:p>
        </w:tc>
        <w:tc>
          <w:tcPr>
            <w:tcW w:w="226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1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280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(10/1/21 -10/14/21)</w:t>
            </w:r>
          </w:p>
        </w:tc>
        <w:tc>
          <w:tcPr>
            <w:tcW w:w="10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4"/>
              </w:rPr>
              <w:t>(10/15/21 -12/31/21)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revenue</w:t>
            </w:r>
          </w:p>
        </w:tc>
        <w:tc>
          <w:tcPr>
            <w:tcW w:w="16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gridSpan w:val="2"/>
          </w:tcPr>
          <w:p>
            <w:pPr>
              <w:spacing w:after="0"/>
              <w:rPr>
                <w:sz w:val="20"/>
                <w:szCs w:val="20"/>
                <w:color w:val="auto"/>
              </w:rPr>
            </w:pPr>
            <w:r>
              <w:rPr>
                <w:rFonts w:ascii="Arial" w:cs="Arial" w:eastAsia="Arial" w:hAnsi="Arial"/>
                <w:sz w:val="18"/>
                <w:szCs w:val="18"/>
                <w:color w:val="auto"/>
              </w:rPr>
              <w:t>Operating expense</w:t>
            </w:r>
          </w:p>
        </w:tc>
        <w:tc>
          <w:tcPr>
            <w:tcW w:w="1940" w:type="dxa"/>
            <w:vAlign w:val="bottom"/>
            <w:gridSpan w:val="2"/>
          </w:tcPr>
          <w:p>
            <w:pPr>
              <w:ind w:left="16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20" w:type="dxa"/>
            <w:vAlign w:val="bottom"/>
            <w:shd w:val="clear" w:color="auto" w:fill="000000"/>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loss </w:t>
            </w:r>
            <w:r>
              <w:rPr>
                <w:rFonts w:ascii="Arial" w:cs="Arial" w:eastAsia="Arial" w:hAnsi="Arial"/>
                <w:sz w:val="18"/>
                <w:szCs w:val="18"/>
                <w:i w:val="1"/>
                <w:iCs w:val="1"/>
                <w:color w:val="auto"/>
              </w:rPr>
              <w:t>(1)</w:t>
            </w:r>
          </w:p>
        </w:tc>
        <w:tc>
          <w:tcPr>
            <w:tcW w:w="19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w:t>
            </w:r>
          </w:p>
        </w:tc>
        <w:tc>
          <w:tcPr>
            <w:tcW w:w="20" w:type="dxa"/>
            <w:vAlign w:val="bottom"/>
            <w:shd w:val="clear" w:color="auto" w:fill="000000"/>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460" w:hanging="424"/>
        <w:spacing w:after="0" w:line="277" w:lineRule="auto"/>
        <w:tabs>
          <w:tab w:leader="none" w:pos="424"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Net loss for the Successor reflects management’s current estimate for income tax benefit (expense), which is subject to change. See “Basis of Presentation” below.</w:t>
      </w:r>
    </w:p>
    <w:p>
      <w:pPr>
        <w:spacing w:after="0" w:line="75" w:lineRule="exact"/>
        <w:rPr>
          <w:rFonts w:ascii="Arial" w:cs="Arial" w:eastAsia="Arial" w:hAnsi="Arial"/>
          <w:sz w:val="18"/>
          <w:szCs w:val="18"/>
          <w:i w:val="1"/>
          <w:iCs w:val="1"/>
          <w:color w:val="auto"/>
        </w:rPr>
      </w:pPr>
    </w:p>
    <w:p>
      <w:pPr>
        <w:ind w:left="964" w:right="820" w:hanging="424"/>
        <w:spacing w:after="0" w:line="277"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Transacting accounts of 867,000 in the fourth quarter of 2021 increased 13% year-over-year. Digital asset conversion volume of $222 million increased 34% year-over-year due to strong growth, led by travel.</w:t>
      </w:r>
    </w:p>
    <w:p>
      <w:pPr>
        <w:spacing w:after="0" w:line="75" w:lineRule="exact"/>
        <w:rPr>
          <w:rFonts w:ascii="Arial" w:cs="Arial" w:eastAsia="Arial" w:hAnsi="Arial"/>
          <w:sz w:val="18"/>
          <w:szCs w:val="18"/>
          <w:color w:val="auto"/>
        </w:rPr>
      </w:pPr>
    </w:p>
    <w:p>
      <w:pPr>
        <w:ind w:left="964" w:right="340" w:hanging="424"/>
        <w:spacing w:after="0" w:line="277"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Combined net revenue (non-GAAP) of $13.7 million increased $4.2 million or 45% over prior year quarter, primarily driven by strong transaction revenue growth from loyalty redemption.</w:t>
      </w:r>
    </w:p>
    <w:p>
      <w:pPr>
        <w:spacing w:after="0" w:line="75" w:lineRule="exact"/>
        <w:rPr>
          <w:rFonts w:ascii="Arial" w:cs="Arial" w:eastAsia="Arial" w:hAnsi="Arial"/>
          <w:sz w:val="18"/>
          <w:szCs w:val="18"/>
          <w:color w:val="auto"/>
        </w:rPr>
      </w:pPr>
    </w:p>
    <w:p>
      <w:pPr>
        <w:ind w:left="964" w:hanging="424"/>
        <w:spacing w:after="0" w:line="263" w:lineRule="auto"/>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Operating expense of $52.6 million for the Predecessor and $86.0 million for the Successor were driven by $43.3 million and $48.7 million of significant items related to the business combination, respectively. These expenses include non-cash compensation charges triggered by the transaction and other acquisition-related expenses.</w:t>
      </w:r>
    </w:p>
    <w:p>
      <w:pPr>
        <w:spacing w:after="0" w:line="89" w:lineRule="exact"/>
        <w:rPr>
          <w:rFonts w:ascii="Arial" w:cs="Arial" w:eastAsia="Arial" w:hAnsi="Arial"/>
          <w:sz w:val="18"/>
          <w:szCs w:val="18"/>
          <w:color w:val="auto"/>
        </w:rPr>
      </w:pPr>
    </w:p>
    <w:p>
      <w:pPr>
        <w:ind w:left="964" w:hanging="424"/>
        <w:spacing w:after="0"/>
        <w:tabs>
          <w:tab w:leader="none" w:pos="964" w:val="left"/>
        </w:tabs>
        <w:numPr>
          <w:ilvl w:val="1"/>
          <w:numId w:val="2"/>
        </w:numPr>
        <w:rPr>
          <w:rFonts w:ascii="Arial" w:cs="Arial" w:eastAsia="Arial" w:hAnsi="Arial"/>
          <w:sz w:val="18"/>
          <w:szCs w:val="18"/>
          <w:color w:val="auto"/>
        </w:rPr>
      </w:pPr>
      <w:r>
        <w:rPr>
          <w:rFonts w:ascii="Arial" w:cs="Arial" w:eastAsia="Arial" w:hAnsi="Arial"/>
          <w:sz w:val="18"/>
          <w:szCs w:val="18"/>
          <w:color w:val="auto"/>
        </w:rPr>
        <w:t>Adjusted EBITDA (non-GAAP) was $0.3 million for the Predecessor and ($21.8 million) for the Successor.</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Significant items related to the business combination</w:t>
      </w:r>
    </w:p>
    <w:p>
      <w:pPr>
        <w:spacing w:after="0" w:line="121"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The fourth quarter 2021 Predecessor and Successor results included certain significant items related to the business combination, which are largely non-cash, including:</w:t>
      </w:r>
    </w:p>
    <w:p>
      <w:pPr>
        <w:spacing w:after="0" w:line="76" w:lineRule="exact"/>
        <w:rPr>
          <w:sz w:val="20"/>
          <w:szCs w:val="20"/>
          <w:color w:val="auto"/>
        </w:rPr>
      </w:pPr>
    </w:p>
    <w:p>
      <w:pPr>
        <w:ind w:left="964" w:right="100" w:hanging="424"/>
        <w:spacing w:after="0" w:line="277" w:lineRule="auto"/>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non-cash mark-to-market expense of $79.4 million in the Successor related to the fair value of warrant liabilities issued by VIH prior to the business combination.</w:t>
      </w:r>
    </w:p>
    <w:p>
      <w:pPr>
        <w:spacing w:after="0" w:line="75" w:lineRule="exact"/>
        <w:rPr>
          <w:rFonts w:ascii="Arial" w:cs="Arial" w:eastAsia="Arial" w:hAnsi="Arial"/>
          <w:sz w:val="18"/>
          <w:szCs w:val="18"/>
          <w:color w:val="auto"/>
        </w:rPr>
      </w:pPr>
    </w:p>
    <w:p>
      <w:pPr>
        <w:ind w:left="964" w:right="420" w:hanging="424"/>
        <w:spacing w:after="0" w:line="263" w:lineRule="auto"/>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A non-cash compensation charge of $30.6 million for Predecessor and $47.2 million for Successor related to the issuance of Class V common stock of Bakkt and common units of the former Bakkt parent company in exchange for legacy interests in that former parent company using an initial aggregate valuation of $2.1 billion.</w:t>
      </w:r>
    </w:p>
    <w:p>
      <w:pPr>
        <w:spacing w:after="0" w:line="89" w:lineRule="exact"/>
        <w:rPr>
          <w:rFonts w:ascii="Arial" w:cs="Arial" w:eastAsia="Arial" w:hAnsi="Arial"/>
          <w:sz w:val="18"/>
          <w:szCs w:val="18"/>
          <w:color w:val="auto"/>
        </w:rPr>
      </w:pPr>
    </w:p>
    <w:p>
      <w:pPr>
        <w:ind w:left="964" w:hanging="424"/>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Acquisition-related expense of $12.7 million for Predecessor and $1.5 million for Successor.</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Full Year 2021 Financial Highlights</w:t>
      </w:r>
    </w:p>
    <w:p>
      <w:pPr>
        <w:spacing w:after="0" w:line="235" w:lineRule="exact"/>
        <w:rPr>
          <w:sz w:val="20"/>
          <w:szCs w:val="20"/>
          <w:color w:val="auto"/>
        </w:rPr>
      </w:pPr>
    </w:p>
    <w:tbl>
      <w:tblPr>
        <w:tblLayout w:type="fixed"/>
        <w:tblInd w:w="1324" w:type="dxa"/>
        <w:tblCellMar>
          <w:top w:w="0" w:type="dxa"/>
          <w:left w:w="0" w:type="dxa"/>
          <w:bottom w:w="0" w:type="dxa"/>
          <w:right w:w="0" w:type="dxa"/>
        </w:tblCellMar>
      </w:tblPr>
      <w:tr>
        <w:trPr>
          <w:trHeight w:val="35"/>
        </w:trPr>
        <w:tc>
          <w:tcPr>
            <w:tcW w:w="7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w w:val="91"/>
              </w:rPr>
              <w:t>$ in millions</w:t>
            </w:r>
          </w:p>
        </w:tc>
        <w:tc>
          <w:tcPr>
            <w:tcW w:w="3960" w:type="dxa"/>
            <w:vAlign w:val="bottom"/>
            <w:vMerge w:val="restart"/>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9"/>
              </w:rPr>
              <w:t>Predecessor</w:t>
            </w:r>
          </w:p>
        </w:tc>
        <w:tc>
          <w:tcPr>
            <w:tcW w:w="20" w:type="dxa"/>
            <w:vAlign w:val="bottom"/>
          </w:tcPr>
          <w:p>
            <w:pPr>
              <w:spacing w:after="0"/>
              <w:rPr>
                <w:sz w:val="3"/>
                <w:szCs w:val="3"/>
                <w:color w:val="auto"/>
              </w:rPr>
            </w:pPr>
          </w:p>
        </w:tc>
        <w:tc>
          <w:tcPr>
            <w:tcW w:w="1060" w:type="dxa"/>
            <w:vAlign w:val="bottom"/>
            <w:vMerge w:val="restart"/>
          </w:tcPr>
          <w:p>
            <w:pPr>
              <w:spacing w:after="0"/>
              <w:rPr>
                <w:sz w:val="3"/>
                <w:szCs w:val="3"/>
                <w:color w:val="auto"/>
              </w:rPr>
            </w:pPr>
          </w:p>
        </w:tc>
        <w:tc>
          <w:tcPr>
            <w:tcW w:w="400" w:type="dxa"/>
            <w:vAlign w:val="bottom"/>
          </w:tcPr>
          <w:p>
            <w:pPr>
              <w:spacing w:after="0"/>
              <w:rPr>
                <w:sz w:val="3"/>
                <w:szCs w:val="3"/>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line="20" w:lineRule="exact"/>
              <w:rPr>
                <w:sz w:val="1"/>
                <w:szCs w:val="1"/>
                <w:color w:val="auto"/>
              </w:rPr>
            </w:pPr>
          </w:p>
        </w:tc>
      </w:tr>
      <w:tr>
        <w:trPr>
          <w:trHeight w:val="126"/>
        </w:trPr>
        <w:tc>
          <w:tcPr>
            <w:tcW w:w="760" w:type="dxa"/>
            <w:vAlign w:val="bottom"/>
            <w:vMerge w:val="continue"/>
          </w:tcPr>
          <w:p>
            <w:pPr>
              <w:spacing w:after="0"/>
              <w:rPr>
                <w:sz w:val="10"/>
                <w:szCs w:val="10"/>
                <w:color w:val="auto"/>
              </w:rPr>
            </w:pPr>
          </w:p>
        </w:tc>
        <w:tc>
          <w:tcPr>
            <w:tcW w:w="39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106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76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3"/>
              </w:rPr>
              <w:t>(1/1/21 - 10/14/21)</w:t>
            </w:r>
          </w:p>
        </w:tc>
        <w:tc>
          <w:tcPr>
            <w:tcW w:w="10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93"/>
              </w:rPr>
              <w:t>(10/15/21 - 12/31/21)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revenue</w:t>
            </w: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Operating expense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168.0</w:t>
            </w:r>
          </w:p>
        </w:tc>
        <w:tc>
          <w:tcPr>
            <w:tcW w:w="20" w:type="dxa"/>
            <w:vAlign w:val="bottom"/>
            <w:shd w:val="clear" w:color="auto" w:fill="000000"/>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loss </w:t>
            </w:r>
            <w:r>
              <w:rPr>
                <w:rFonts w:ascii="Arial" w:cs="Arial" w:eastAsia="Arial" w:hAnsi="Arial"/>
                <w:sz w:val="18"/>
                <w:szCs w:val="18"/>
                <w:i w:val="1"/>
                <w:iCs w:val="1"/>
                <w:color w:val="auto"/>
              </w:rPr>
              <w:t>(1)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w:t>
            </w:r>
          </w:p>
        </w:tc>
        <w:tc>
          <w:tcPr>
            <w:tcW w:w="20" w:type="dxa"/>
            <w:vAlign w:val="bottom"/>
            <w:shd w:val="clear" w:color="auto" w:fill="000000"/>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440" w:hanging="424"/>
        <w:spacing w:after="0" w:line="277" w:lineRule="auto"/>
        <w:tabs>
          <w:tab w:leader="none" w:pos="4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Net loss for the Successor reflects management’s current estimate for income tax benefit (expense), which is subject to change. See “Basis of Presentation” below.</w:t>
      </w:r>
    </w:p>
    <w:p>
      <w:pPr>
        <w:spacing w:after="0" w:line="75" w:lineRule="exact"/>
        <w:rPr>
          <w:rFonts w:ascii="Arial" w:cs="Arial" w:eastAsia="Arial" w:hAnsi="Arial"/>
          <w:sz w:val="18"/>
          <w:szCs w:val="18"/>
          <w:i w:val="1"/>
          <w:iCs w:val="1"/>
          <w:color w:val="auto"/>
        </w:rPr>
      </w:pPr>
    </w:p>
    <w:p>
      <w:pPr>
        <w:ind w:left="964" w:right="780" w:hanging="424"/>
        <w:spacing w:after="0" w:line="277"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Combined net revenue (non-GAAP) of $39.4 million increased $10.9 million or 38% over prior year, primarily driven by strong transaction revenue growth from loyalty redemption.</w:t>
      </w:r>
    </w:p>
    <w:p>
      <w:pPr>
        <w:spacing w:after="0" w:line="75" w:lineRule="exact"/>
        <w:rPr>
          <w:rFonts w:ascii="Arial" w:cs="Arial" w:eastAsia="Arial" w:hAnsi="Arial"/>
          <w:sz w:val="18"/>
          <w:szCs w:val="18"/>
          <w:color w:val="auto"/>
        </w:rPr>
      </w:pPr>
    </w:p>
    <w:p>
      <w:pPr>
        <w:ind w:left="964" w:hanging="424"/>
        <w:spacing w:after="0" w:line="277" w:lineRule="auto"/>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Operating expense of $168.0 million for the Predecessor and $86.0 million for the Successor were driven by significant items related to the business combination, as described above.</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4"/>
        </w:numPr>
        <w:rPr>
          <w:rFonts w:ascii="Arial" w:cs="Arial" w:eastAsia="Arial" w:hAnsi="Arial"/>
          <w:sz w:val="18"/>
          <w:szCs w:val="18"/>
          <w:color w:val="auto"/>
        </w:rPr>
      </w:pPr>
      <w:r>
        <w:rPr>
          <w:rFonts w:ascii="Arial" w:cs="Arial" w:eastAsia="Arial" w:hAnsi="Arial"/>
          <w:sz w:val="18"/>
          <w:szCs w:val="18"/>
          <w:color w:val="auto"/>
        </w:rPr>
        <w:t>Adjusted EBITDA (non-GAAP) was ($65.6 million) for the Predecessor and ($21.8 million) for the Successor.</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Guidance for FY 2022</w:t>
      </w:r>
      <w:r>
        <w:rPr>
          <w:rFonts w:ascii="Arial" w:cs="Arial" w:eastAsia="Arial" w:hAnsi="Arial"/>
          <w:sz w:val="15"/>
          <w:szCs w:val="15"/>
          <w:b w:val="1"/>
          <w:bCs w:val="1"/>
          <w:color w:val="auto"/>
        </w:rPr>
        <w:t>2</w:t>
      </w:r>
    </w:p>
    <w:p>
      <w:pPr>
        <w:spacing w:after="0" w:line="135" w:lineRule="exact"/>
        <w:rPr>
          <w:sz w:val="20"/>
          <w:szCs w:val="20"/>
          <w:color w:val="auto"/>
        </w:rPr>
      </w:pPr>
    </w:p>
    <w:p>
      <w:pPr>
        <w:ind w:left="964" w:right="680" w:hanging="424"/>
        <w:spacing w:after="0" w:line="277"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expected to grow to $60 million - $80 million in 2022, an increase of approximately 50% to 100% compared to 2021 Combined net revenue, respectively.</w:t>
      </w:r>
    </w:p>
    <w:p>
      <w:pPr>
        <w:spacing w:after="0" w:line="75" w:lineRule="exact"/>
        <w:rPr>
          <w:rFonts w:ascii="Arial" w:cs="Arial" w:eastAsia="Arial" w:hAnsi="Arial"/>
          <w:sz w:val="18"/>
          <w:szCs w:val="18"/>
          <w:color w:val="auto"/>
        </w:rPr>
      </w:pPr>
    </w:p>
    <w:p>
      <w:pPr>
        <w:ind w:left="964" w:right="200" w:hanging="424"/>
        <w:spacing w:after="0" w:line="277"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 to use $150 million - $170 million of cash during 2022 as we continue to invest for future growth; strong available liquidity with more than $390 million of available cash on hand as of 12/31/21.</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expect to recognize quarterly net losses during 2022 as we invest in and ramp up the business.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121"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Bakkt will host a conference call at 9:00AM ET, February 17, 2022. The live webcast of Bakkt’s earnings conference call can be accessed at https://investors.bakkt.com, along with the earnings press release and accompanying slide presentation. Investors and analysts interested in participating in the call are invited to dial (844) 200-6205 or (646) 904-5544, and reference participant access code 814008 approximately ten minutes prior to the start of the call. A replay will be available promptly after the call and can be accessed by dialing (866) 813-9403 and entering the access code 644535. The replay will be available through March 19, 2022.</w:t>
      </w:r>
    </w:p>
    <w:p>
      <w:pPr>
        <w:spacing w:after="0" w:line="18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71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ind w:left="424" w:right="120" w:hanging="424"/>
        <w:spacing w:after="0" w:line="263" w:lineRule="auto"/>
        <w:tabs>
          <w:tab w:leader="none" w:pos="424" w:val="left"/>
        </w:tabs>
        <w:numPr>
          <w:ilvl w:val="0"/>
          <w:numId w:val="6"/>
        </w:numPr>
        <w:rPr>
          <w:rFonts w:ascii="Arial" w:cs="Arial" w:eastAsia="Arial" w:hAnsi="Arial"/>
          <w:sz w:val="15"/>
          <w:szCs w:val="15"/>
          <w:color w:val="auto"/>
        </w:rPr>
      </w:pPr>
      <w:r>
        <w:rPr>
          <w:rFonts w:ascii="Arial" w:cs="Arial" w:eastAsia="Arial" w:hAnsi="Arial"/>
          <w:sz w:val="18"/>
          <w:szCs w:val="18"/>
          <w:color w:val="auto"/>
        </w:rPr>
        <w:t>Guidance assumes no further significant disruptions from COVID-19 pandemic; potential acquisitions and other significant opportunities are not included in this guidance. See disclaimers for more information regarding forward-looking statements, which includes all guidance provided herein</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Bakkt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Bakkt is a trusted digital asset platform that enables consumers to buy, sell, store and spend digital assets. Bakkt’s platform, now available through the Bakkt App and to partners, amplifies consumer spending and bolsters loyalty programs, adding value for all key stakeholders within the Bakkt payments and digital assets ecosystem. Launched in 2018, Bakkt is headquartered in Alpharetta, GA. For more information, visit: https://www.bakkt.com/ | Twitter @Bakkt | LinkedIn https://www.linkedin.com/company/bakkt/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Bakkt-E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Bakkt Holdings, Inc.</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Ann DeVries,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Ann.DeVries@bakkt.com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Lauren Post, Head of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Lauren.Post@bakkt.com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“Predecessor” information represents the results of Bakkt Holdings, LLC prior to the business combination with VPC Impact Acquisition Holdings (VIH), which closed on October 15, 2021. “Successor” information represents the results of Bakkt Holdings, Inc. from the date the business combination closed through the end of the applicable period. “Combined” information represents the combination of Predecessor and Successor for the applicable period. Combined information has not been calculated in accordance with generally accepted accounting principles (“GAAP”). Bakkt has provided the Combined information as an additional non-GAAP financial measure as management uses such information when evaluating the company’s results for periods that straddle the closing of the business combination.</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Presentation of net loss for the Successor reflects management’s current estimate for income tax benefit (expense), which is subject to change pending finalization of purchase accounting estimates related to the business combination as permitted under Accounting Standards Codification 805 – Business Combinations.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on Forward-Looking Statements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as amended, and Section 21E of the Securities Exchange Act of 1934, as amended. Such statements include, but are not limited to, Bakkt’s guidance for 2022 and statements regarding Bakkt’s plans, objectives, expectations and intentions with respect to future operations, products, services and use of proceeds from the business combination, among others. Forward-looking statements can be identified by words such as “will,” “likely,” “expect,” “continue,” “anticipate,” “estimate,” “believe,” “intend,” “plan,” “projection,” “outlook”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7" w:name="page8"/>
    <w:bookmarkEnd w:id="7"/>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spacing w:after="0" w:line="18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following factors, among others, could cause actual results and the timing of events to differ materially from the anticipated results or other expectations expressed in such forward-looking statements: (i) a delay or failure to realize the expected benefits from the business combination; (ii) risks related to disruption of management time from ongoing business operations due to post-closing business combination matters; (iii) the impact of the ongoing COVID-19 pandemic; (iv) changes in the markets in which Bakkt competes, including with respect to its competitive landscape, technology evolution or regulatory changes; (v) changes in the markets that Bakkt targets; (vi) risk that Bakkt may not be able to execute its growth strategies, including identifying and executing acquisitions; (vii) risks relating to data security; and (viii) risk that Bakkt may not be able to develop and maintain effective internal controls. The foregoing list of factors is not exhaustive. You should carefully consider the foregoing factors and the other risks and uncertainties described in the “Risk Factors” section of the definitive proxy statement/prospectus filed by Bakkt (under the name VPC Impact Acquisition Holdings) on September 17, 2021 and other filings that Bakkt may, from time-to-time, make with the Securities and Exchange Commission.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Digital asset conversion volume: </w:t>
      </w:r>
      <w:r>
        <w:rPr>
          <w:rFonts w:ascii="Arial" w:cs="Arial" w:eastAsia="Arial" w:hAnsi="Arial"/>
          <w:sz w:val="18"/>
          <w:szCs w:val="18"/>
          <w:color w:val="auto"/>
        </w:rPr>
        <w:t>Dollar value of transaction volume across loyalty redemption, crypto buy/sell and gift card 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Transacting accounts: </w:t>
      </w:r>
      <w:r>
        <w:rPr>
          <w:rFonts w:ascii="Arial" w:cs="Arial" w:eastAsia="Arial" w:hAnsi="Arial"/>
          <w:sz w:val="18"/>
          <w:szCs w:val="18"/>
          <w:color w:val="auto"/>
        </w:rPr>
        <w:t>Unique accounts that perform transactions on the Bakkt platform each month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Adjusted EBITDA is a non-GAAP financial measure, which we define as earnings before interest, income taxes, depreciation, amortization, certain non-cash and/or non-recurring items (which items do not contribute directly to our evaluation of operating results), and interest income, other income and income tax benefit (which items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Adjusted EBITDA is not a measure of our financial performance under GAAP and should not be considered as an alternative to net income (loss) or other performance measures derived in accordance with GAAP and has certain limitations, including:</w:t>
      </w:r>
    </w:p>
    <w:p>
      <w:pPr>
        <w:spacing w:after="0" w:line="100" w:lineRule="exact"/>
        <w:rPr>
          <w:sz w:val="20"/>
          <w:szCs w:val="20"/>
          <w:color w:val="auto"/>
        </w:rPr>
      </w:pPr>
    </w:p>
    <w:p>
      <w:pPr>
        <w:ind w:left="960" w:right="100" w:hanging="424"/>
        <w:spacing w:after="0" w:line="286"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unit-based compensation expense, which has been excluded from 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8" w:name="page9"/>
    <w:bookmarkEnd w:id="8"/>
    <w:p>
      <w:pPr>
        <w:ind w:left="964" w:right="140" w:hanging="424"/>
        <w:spacing w:after="0" w:line="263" w:lineRule="auto"/>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intangible assets being amortized, and property and equipment being depreciated, may have to be replaced in the future, and the non-GAAP financial measures do not reflect cash capital expenditure requirements for such replacements or for new capital expenditures or other capital commitments; and</w:t>
      </w:r>
    </w:p>
    <w:p>
      <w:pPr>
        <w:spacing w:after="0" w:line="89" w:lineRule="exact"/>
        <w:rPr>
          <w:rFonts w:ascii="Arial" w:cs="Arial" w:eastAsia="Arial" w:hAnsi="Arial"/>
          <w:sz w:val="18"/>
          <w:szCs w:val="18"/>
          <w:color w:val="auto"/>
        </w:rPr>
      </w:pPr>
    </w:p>
    <w:p>
      <w:pPr>
        <w:ind w:left="964" w:hanging="424"/>
        <w:spacing w:after="0"/>
        <w:tabs>
          <w:tab w:leader="none" w:pos="964"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non-GAAP measures do not reflect changes in, or cash requirements for, our working capital needs.</w:t>
      </w:r>
    </w:p>
    <w:p>
      <w:pPr>
        <w:spacing w:after="0" w:line="225" w:lineRule="exact"/>
        <w:rPr>
          <w:sz w:val="20"/>
          <w:szCs w:val="20"/>
          <w:color w:val="auto"/>
        </w:rPr>
      </w:pPr>
    </w:p>
    <w:p>
      <w:pPr>
        <w:jc w:val="both"/>
        <w:ind w:left="4" w:right="120"/>
        <w:spacing w:after="0" w:line="263"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net loss and our other financial results presented in accordance with GAAP. Our definition of Adjusted EBITDA may not be comparable to similarly titled measures used by other companies.</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Reconciliation of GAAP Net Income / (Loss) to Non-GAAP Adjusted EBITDA ($ in millions)</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23"/>
        </w:trPr>
        <w:tc>
          <w:tcPr>
            <w:tcW w:w="3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Successor</w:t>
            </w:r>
          </w:p>
        </w:tc>
        <w:tc>
          <w:tcPr>
            <w:tcW w:w="20" w:type="dxa"/>
            <w:vAlign w:val="bottom"/>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Predecessor</w:t>
            </w: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600" w:type="dxa"/>
            <w:vAlign w:val="bottom"/>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7"/>
              </w:rPr>
              <w:t>$</w:t>
            </w:r>
            <w:r>
              <w:rPr>
                <w:rFonts w:ascii="Arial" w:cs="Arial" w:eastAsia="Arial" w:hAnsi="Arial"/>
                <w:sz w:val="14"/>
                <w:szCs w:val="14"/>
                <w:i w:val="1"/>
                <w:iCs w:val="1"/>
                <w:color w:val="auto"/>
                <w:w w:val="87"/>
              </w:rPr>
              <w:t>mm’s</w:t>
            </w:r>
          </w:p>
        </w:tc>
        <w:tc>
          <w:tcPr>
            <w:tcW w:w="4020" w:type="dxa"/>
            <w:vAlign w:val="bottom"/>
            <w:vMerge w:val="restart"/>
          </w:tcPr>
          <w:p>
            <w:pPr>
              <w:spacing w:after="0"/>
              <w:rPr>
                <w:sz w:val="10"/>
                <w:szCs w:val="10"/>
                <w:color w:val="auto"/>
              </w:rPr>
            </w:pPr>
          </w:p>
        </w:tc>
        <w:tc>
          <w:tcPr>
            <w:tcW w:w="12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10/15/21-</w:t>
            </w:r>
          </w:p>
        </w:tc>
        <w:tc>
          <w:tcPr>
            <w:tcW w:w="10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10/1/21-</w:t>
            </w:r>
          </w:p>
        </w:tc>
        <w:tc>
          <w:tcPr>
            <w:tcW w:w="720" w:type="dxa"/>
            <w:vAlign w:val="bottom"/>
          </w:tcPr>
          <w:p>
            <w:pPr>
              <w:spacing w:after="0"/>
              <w:rPr>
                <w:sz w:val="10"/>
                <w:szCs w:val="10"/>
                <w:color w:val="auto"/>
              </w:rPr>
            </w:pPr>
          </w:p>
        </w:tc>
        <w:tc>
          <w:tcPr>
            <w:tcW w:w="136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Three Months</w:t>
            </w:r>
          </w:p>
        </w:tc>
        <w:tc>
          <w:tcPr>
            <w:tcW w:w="320" w:type="dxa"/>
            <w:vAlign w:val="bottom"/>
          </w:tcPr>
          <w:p>
            <w:pPr>
              <w:spacing w:after="0"/>
              <w:rPr>
                <w:sz w:val="10"/>
                <w:szCs w:val="10"/>
                <w:color w:val="auto"/>
              </w:rPr>
            </w:pPr>
          </w:p>
        </w:tc>
        <w:tc>
          <w:tcPr>
            <w:tcW w:w="7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7"/>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80" w:type="dxa"/>
            <w:vAlign w:val="bottom"/>
            <w:tcBorders>
              <w:bottom w:val="single" w:sz="8" w:color="auto"/>
            </w:tcBorders>
            <w:vMerge w:val="continue"/>
          </w:tcPr>
          <w:p>
            <w:pPr>
              <w:spacing w:after="0"/>
              <w:rPr>
                <w:sz w:val="13"/>
                <w:szCs w:val="13"/>
                <w:color w:val="auto"/>
              </w:rPr>
            </w:pPr>
          </w:p>
        </w:tc>
        <w:tc>
          <w:tcPr>
            <w:tcW w:w="4020" w:type="dxa"/>
            <w:vAlign w:val="bottom"/>
            <w:vMerge w:val="continue"/>
          </w:tcPr>
          <w:p>
            <w:pPr>
              <w:spacing w:after="0"/>
              <w:rPr>
                <w:sz w:val="13"/>
                <w:szCs w:val="13"/>
                <w:color w:val="auto"/>
              </w:rPr>
            </w:pPr>
          </w:p>
        </w:tc>
        <w:tc>
          <w:tcPr>
            <w:tcW w:w="12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12/31/21</w:t>
            </w:r>
          </w:p>
        </w:tc>
        <w:tc>
          <w:tcPr>
            <w:tcW w:w="100" w:type="dxa"/>
            <w:vAlign w:val="bottom"/>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1"/>
              </w:rPr>
              <w:t>10/14/21</w:t>
            </w:r>
          </w:p>
        </w:tc>
        <w:tc>
          <w:tcPr>
            <w:tcW w:w="720" w:type="dxa"/>
            <w:vAlign w:val="bottom"/>
          </w:tcPr>
          <w:p>
            <w:pPr>
              <w:spacing w:after="0"/>
              <w:rPr>
                <w:sz w:val="13"/>
                <w:szCs w:val="13"/>
                <w:color w:val="auto"/>
              </w:rPr>
            </w:pPr>
          </w:p>
        </w:tc>
        <w:tc>
          <w:tcPr>
            <w:tcW w:w="13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Ended 12/31/20</w:t>
            </w:r>
          </w:p>
        </w:tc>
        <w:tc>
          <w:tcPr>
            <w:tcW w:w="1060" w:type="dxa"/>
            <w:vAlign w:val="bottom"/>
            <w:gridSpan w:val="3"/>
          </w:tcPr>
          <w:p>
            <w:pPr>
              <w:jc w:val="right"/>
              <w:ind w:right="30"/>
              <w:spacing w:after="0" w:line="158" w:lineRule="exact"/>
              <w:rPr>
                <w:sz w:val="20"/>
                <w:szCs w:val="20"/>
                <w:color w:val="auto"/>
              </w:rPr>
            </w:pPr>
            <w:r>
              <w:rPr>
                <w:rFonts w:ascii="Arial" w:cs="Arial" w:eastAsia="Arial" w:hAnsi="Arial"/>
                <w:sz w:val="14"/>
                <w:szCs w:val="14"/>
                <w:b w:val="1"/>
                <w:bCs w:val="1"/>
                <w:color w:val="auto"/>
              </w:rPr>
              <w:t>12/31/20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6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2"/>
              </w:rPr>
              <w:t>153.1)</w:t>
            </w:r>
          </w:p>
        </w:tc>
        <w:tc>
          <w:tcPr>
            <w:tcW w:w="100" w:type="dxa"/>
            <w:vAlign w:val="bottom"/>
            <w:vMerge w:val="continue"/>
            <w:shd w:val="clear" w:color="auto" w:fill="CCEEFF"/>
          </w:tcPr>
          <w:p>
            <w:pPr>
              <w:spacing w:after="0"/>
              <w:rPr>
                <w:sz w:val="17"/>
                <w:szCs w:val="17"/>
                <w:color w:val="auto"/>
              </w:rPr>
            </w:pPr>
          </w:p>
        </w:tc>
        <w:tc>
          <w:tcPr>
            <w:tcW w:w="20" w:type="dxa"/>
            <w:vAlign w:val="bottom"/>
            <w:vMerge w:val="continue"/>
            <w:shd w:val="clear" w:color="auto" w:fill="000000"/>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0"/>
              </w:rPr>
              <w:t>($ 49.7)</w:t>
            </w:r>
          </w:p>
        </w:tc>
        <w:tc>
          <w:tcPr>
            <w:tcW w:w="7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b w:val="1"/>
                <w:bCs w:val="1"/>
                <w:color w:val="auto"/>
              </w:rPr>
              <w:t>29.6)</w:t>
            </w:r>
          </w:p>
        </w:tc>
        <w:tc>
          <w:tcPr>
            <w:tcW w:w="32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79.6)</w:t>
            </w:r>
          </w:p>
        </w:tc>
        <w:tc>
          <w:tcPr>
            <w:tcW w:w="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 expense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 xml:space="preserve">Income tax (benefit) expense </w:t>
            </w:r>
            <w:r>
              <w:rPr>
                <w:rFonts w:ascii="Arial" w:cs="Arial" w:eastAsia="Arial" w:hAnsi="Arial"/>
                <w:sz w:val="18"/>
                <w:szCs w:val="18"/>
                <w:i w:val="1"/>
                <w:iCs w:val="1"/>
                <w:color w:val="auto"/>
              </w:rPr>
              <w:t>(1)</w:t>
            </w:r>
          </w:p>
        </w:tc>
        <w:tc>
          <w:tcPr>
            <w:tcW w:w="6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0.1</w:t>
            </w:r>
          </w:p>
        </w:tc>
        <w:tc>
          <w:tcPr>
            <w:tcW w:w="20" w:type="dxa"/>
            <w:vAlign w:val="bottom"/>
            <w:tcBorders>
              <w:bottom w:val="single" w:sz="8" w:color="auto"/>
            </w:tcBorders>
            <w:shd w:val="clear" w:color="auto" w:fill="000000"/>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w w:val="9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147.6)</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90"/>
              </w:rPr>
              <w:t>($ 49.9)</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26.5)</w:t>
            </w:r>
          </w:p>
        </w:tc>
        <w:tc>
          <w:tcPr>
            <w:tcW w:w="6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71.2)</w:t>
            </w:r>
          </w:p>
        </w:tc>
        <w:tc>
          <w:tcPr>
            <w:tcW w:w="0" w:type="dxa"/>
            <w:vAlign w:val="bottom"/>
          </w:tcPr>
          <w:p>
            <w:pPr>
              <w:spacing w:after="0"/>
              <w:rPr>
                <w:sz w:val="1"/>
                <w:szCs w:val="1"/>
                <w:color w:val="auto"/>
              </w:rPr>
            </w:pPr>
          </w:p>
        </w:tc>
      </w:tr>
      <w:tr>
        <w:trPr>
          <w:trHeight w:val="216"/>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Acquisition-related transaction costs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6"/>
              </w:rPr>
              <w:t>Share-based and unit-based compensation expense</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33.9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400" w:type="dxa"/>
            <w:vAlign w:val="bottom"/>
            <w:gridSpan w:val="2"/>
          </w:tcPr>
          <w:p>
            <w:pPr>
              <w:ind w:left="360"/>
              <w:spacing w:after="0"/>
              <w:rPr>
                <w:sz w:val="20"/>
                <w:szCs w:val="20"/>
                <w:color w:val="auto"/>
              </w:rPr>
            </w:pPr>
            <w:r>
              <w:rPr>
                <w:rFonts w:ascii="Arial" w:cs="Arial" w:eastAsia="Arial" w:hAnsi="Arial"/>
                <w:sz w:val="18"/>
                <w:szCs w:val="18"/>
                <w:color w:val="auto"/>
              </w:rPr>
              <w:t>Loss from change in fair value of warrant liability</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79.4</w:t>
            </w: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i w:val="1"/>
                <w:iCs w:val="1"/>
                <w:color w:val="auto"/>
              </w:rPr>
              <w:t>(2)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20" w:type="dxa"/>
            <w:vAlign w:val="bottom"/>
            <w:shd w:val="clear" w:color="auto" w:fill="000000"/>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800" w:type="dxa"/>
            <w:vAlign w:val="bottom"/>
            <w:gridSpan w:val="2"/>
          </w:tcPr>
          <w:p>
            <w:pPr>
              <w:ind w:left="620"/>
              <w:spacing w:after="0"/>
              <w:rPr>
                <w:sz w:val="20"/>
                <w:szCs w:val="20"/>
                <w:color w:val="auto"/>
              </w:rPr>
            </w:pPr>
            <w:r>
              <w:rPr>
                <w:rFonts w:ascii="Arial" w:cs="Arial" w:eastAsia="Arial" w:hAnsi="Arial"/>
                <w:sz w:val="18"/>
                <w:szCs w:val="18"/>
                <w:b w:val="1"/>
                <w:bCs w:val="1"/>
                <w:color w:val="auto"/>
                <w:w w:val="9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21.8)</w:t>
            </w:r>
          </w:p>
        </w:tc>
        <w:tc>
          <w:tcPr>
            <w:tcW w:w="20" w:type="dxa"/>
            <w:vAlign w:val="bottom"/>
            <w:shd w:val="clear" w:color="auto" w:fill="000000"/>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  0.3</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11.0)</w:t>
            </w:r>
          </w:p>
        </w:tc>
        <w:tc>
          <w:tcPr>
            <w:tcW w:w="62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20" w:hanging="424"/>
        <w:spacing w:after="0" w:line="258" w:lineRule="auto"/>
        <w:tabs>
          <w:tab w:leader="none" w:pos="42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Income tax (benefit) expense for Successor reflects management’s current estimate. See “Basis of Presentation.” As a result, Income tax benefit (expense) and items derived from it are subject to change.</w:t>
      </w:r>
    </w:p>
    <w:p>
      <w:pPr>
        <w:spacing w:after="0" w:line="1" w:lineRule="exact"/>
        <w:rPr>
          <w:rFonts w:ascii="Arial" w:cs="Arial" w:eastAsia="Arial" w:hAnsi="Arial"/>
          <w:sz w:val="18"/>
          <w:szCs w:val="18"/>
          <w:i w:val="1"/>
          <w:iCs w:val="1"/>
          <w:color w:val="auto"/>
        </w:rPr>
      </w:pPr>
    </w:p>
    <w:p>
      <w:pPr>
        <w:ind w:left="424" w:hanging="424"/>
        <w:spacing w:after="0" w:line="260" w:lineRule="auto"/>
        <w:tabs>
          <w:tab w:leader="none" w:pos="424"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restructuring charges, impairment of long-lived assets, cancellation of common units, gain on extinguishment of software license liability, ICE transition services expense, non-recurring bitcoin sale income, net and transition services to Bakkt clearing</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Condensed Balance Sheet ($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mm’s</w:t>
            </w:r>
          </w:p>
        </w:tc>
        <w:tc>
          <w:tcPr>
            <w:tcW w:w="4140" w:type="dxa"/>
            <w:vAlign w:val="bottom"/>
          </w:tcPr>
          <w:p>
            <w:pPr>
              <w:spacing w:after="0" w:line="20" w:lineRule="exact"/>
              <w:rPr>
                <w:sz w:val="1"/>
                <w:szCs w:val="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7"/>
              </w:rPr>
              <w:t>Successor</w:t>
            </w:r>
          </w:p>
        </w:tc>
        <w:tc>
          <w:tcPr>
            <w:tcW w:w="440" w:type="dxa"/>
            <w:vAlign w:val="bottom"/>
          </w:tcPr>
          <w:p>
            <w:pPr>
              <w:spacing w:after="0" w:line="20" w:lineRule="exact"/>
              <w:rPr>
                <w:sz w:val="1"/>
                <w:szCs w:val="1"/>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line="20" w:lineRule="exact"/>
              <w:rPr>
                <w:sz w:val="1"/>
                <w:szCs w:val="1"/>
                <w:color w:val="auto"/>
              </w:rPr>
            </w:pPr>
          </w:p>
        </w:tc>
      </w:tr>
      <w:tr>
        <w:trPr>
          <w:trHeight w:val="148"/>
        </w:trPr>
        <w:tc>
          <w:tcPr>
            <w:tcW w:w="4960" w:type="dxa"/>
            <w:vAlign w:val="bottom"/>
            <w:gridSpan w:val="2"/>
            <w:vMerge w:val="continue"/>
          </w:tcPr>
          <w:p>
            <w:pPr>
              <w:spacing w:after="0"/>
              <w:rPr>
                <w:sz w:val="12"/>
                <w:szCs w:val="12"/>
                <w:color w:val="auto"/>
              </w:rPr>
            </w:pPr>
          </w:p>
        </w:tc>
        <w:tc>
          <w:tcPr>
            <w:tcW w:w="4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440" w:type="dxa"/>
            <w:vAlign w:val="bottom"/>
            <w:tcBorders>
              <w:left w:val="single" w:sz="8" w:color="auto"/>
            </w:tcBorders>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960" w:type="dxa"/>
            <w:vAlign w:val="bottom"/>
            <w:gridSpan w:val="2"/>
            <w:vMerge w:val="continue"/>
          </w:tcPr>
          <w:p>
            <w:pPr>
              <w:spacing w:after="0"/>
              <w:rPr>
                <w:sz w:val="11"/>
                <w:szCs w:val="11"/>
                <w:color w:val="auto"/>
              </w:rPr>
            </w:pPr>
          </w:p>
        </w:tc>
        <w:tc>
          <w:tcPr>
            <w:tcW w:w="414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30"/>
              <w:spacing w:after="0" w:line="129" w:lineRule="exact"/>
              <w:rPr>
                <w:sz w:val="20"/>
                <w:szCs w:val="20"/>
                <w:color w:val="auto"/>
              </w:rPr>
            </w:pPr>
            <w:r>
              <w:rPr>
                <w:rFonts w:ascii="Arial" w:cs="Arial" w:eastAsia="Arial" w:hAnsi="Arial"/>
                <w:sz w:val="14"/>
                <w:szCs w:val="14"/>
                <w:b w:val="1"/>
                <w:bCs w:val="1"/>
                <w:color w:val="auto"/>
                <w:w w:val="99"/>
              </w:rPr>
              <w:t>12/31/21</w:t>
            </w:r>
          </w:p>
        </w:tc>
        <w:tc>
          <w:tcPr>
            <w:tcW w:w="440" w:type="dxa"/>
            <w:vAlign w:val="bottom"/>
            <w:tcBorders>
              <w:left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31"/>
              <w:spacing w:after="0" w:line="129" w:lineRule="exact"/>
              <w:rPr>
                <w:sz w:val="20"/>
                <w:szCs w:val="20"/>
                <w:color w:val="auto"/>
              </w:rPr>
            </w:pPr>
            <w:r>
              <w:rPr>
                <w:rFonts w:ascii="Arial" w:cs="Arial" w:eastAsia="Arial" w:hAnsi="Arial"/>
                <w:sz w:val="14"/>
                <w:szCs w:val="14"/>
                <w:b w:val="1"/>
                <w:bCs w:val="1"/>
                <w:color w:val="auto"/>
                <w:w w:val="91"/>
              </w:rPr>
              <w:t>12/31/20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Borders>
              <w:left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4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4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Cash and cash equivalents</w:t>
            </w:r>
          </w:p>
        </w:tc>
        <w:tc>
          <w:tcPr>
            <w:tcW w:w="4220" w:type="dxa"/>
            <w:vAlign w:val="bottom"/>
            <w:gridSpan w:val="2"/>
          </w:tcPr>
          <w:p>
            <w:pPr>
              <w:ind w:left="41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391.4</w:t>
            </w:r>
          </w:p>
        </w:tc>
        <w:tc>
          <w:tcPr>
            <w:tcW w:w="54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4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4220" w:type="dxa"/>
            <w:vAlign w:val="bottom"/>
            <w:gridSpan w:val="2"/>
          </w:tcPr>
          <w:p>
            <w:pPr>
              <w:ind w:left="414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463.5</w:t>
            </w:r>
          </w:p>
        </w:tc>
        <w:tc>
          <w:tcPr>
            <w:tcW w:w="54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132.1</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1,527.1</w:t>
            </w:r>
          </w:p>
        </w:tc>
        <w:tc>
          <w:tcPr>
            <w:tcW w:w="4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16"/>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Intangible assets, net</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388.5</w:t>
            </w:r>
          </w:p>
        </w:tc>
        <w:tc>
          <w:tcPr>
            <w:tcW w:w="4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4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34"/>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4220" w:type="dxa"/>
            <w:vAlign w:val="bottom"/>
            <w:gridSpan w:val="2"/>
          </w:tcPr>
          <w:p>
            <w:pPr>
              <w:ind w:left="414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6"/>
              </w:rPr>
              <w:t>2,414.3</w:t>
            </w:r>
          </w:p>
        </w:tc>
        <w:tc>
          <w:tcPr>
            <w:tcW w:w="54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468.4</w:t>
            </w:r>
          </w:p>
        </w:tc>
        <w:tc>
          <w:tcPr>
            <w:tcW w:w="0" w:type="dxa"/>
            <w:vAlign w:val="bottom"/>
          </w:tcPr>
          <w:p>
            <w:pPr>
              <w:spacing w:after="0"/>
              <w:rPr>
                <w:sz w:val="1"/>
                <w:szCs w:val="1"/>
                <w:color w:val="auto"/>
              </w:rPr>
            </w:pPr>
          </w:p>
        </w:tc>
      </w:tr>
      <w:tr>
        <w:trPr>
          <w:trHeight w:val="90"/>
        </w:trPr>
        <w:tc>
          <w:tcPr>
            <w:tcW w:w="380" w:type="dxa"/>
            <w:vAlign w:val="bottom"/>
          </w:tcPr>
          <w:p>
            <w:pPr>
              <w:spacing w:after="0"/>
              <w:rPr>
                <w:sz w:val="7"/>
                <w:szCs w:val="7"/>
                <w:color w:val="auto"/>
              </w:rPr>
            </w:pPr>
          </w:p>
        </w:tc>
        <w:tc>
          <w:tcPr>
            <w:tcW w:w="4580" w:type="dxa"/>
            <w:vAlign w:val="bottom"/>
          </w:tcPr>
          <w:p>
            <w:pPr>
              <w:spacing w:after="0"/>
              <w:rPr>
                <w:sz w:val="7"/>
                <w:szCs w:val="7"/>
                <w:color w:val="auto"/>
              </w:rPr>
            </w:pPr>
          </w:p>
        </w:tc>
        <w:tc>
          <w:tcPr>
            <w:tcW w:w="4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Stockholders’ Equity and Members’ Equity</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Current liabilities</w:t>
            </w:r>
          </w:p>
        </w:tc>
        <w:tc>
          <w:tcPr>
            <w:tcW w:w="4220" w:type="dxa"/>
            <w:vAlign w:val="bottom"/>
            <w:gridSpan w:val="2"/>
          </w:tcPr>
          <w:p>
            <w:pPr>
              <w:ind w:left="414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73.5</w:t>
            </w:r>
          </w:p>
        </w:tc>
        <w:tc>
          <w:tcPr>
            <w:tcW w:w="54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Noncurrent liabilities</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4220" w:type="dxa"/>
            <w:vAlign w:val="bottom"/>
            <w:gridSpan w:val="2"/>
          </w:tcPr>
          <w:p>
            <w:pPr>
              <w:ind w:left="414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108.5</w:t>
            </w:r>
          </w:p>
        </w:tc>
        <w:tc>
          <w:tcPr>
            <w:tcW w:w="540" w:type="dxa"/>
            <w:vAlign w:val="bottom"/>
            <w:tcBorders>
              <w:left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58.6</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and members’ equity</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Noncontrolling interest</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1,826.1</w:t>
            </w:r>
          </w:p>
        </w:tc>
        <w:tc>
          <w:tcPr>
            <w:tcW w:w="4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Mezzanine equity</w:t>
            </w:r>
          </w:p>
        </w:tc>
        <w:tc>
          <w:tcPr>
            <w:tcW w:w="4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4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Total equity</w:t>
            </w:r>
          </w:p>
        </w:tc>
        <w:tc>
          <w:tcPr>
            <w:tcW w:w="4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479.8</w:t>
            </w:r>
          </w:p>
        </w:tc>
        <w:tc>
          <w:tcPr>
            <w:tcW w:w="4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388.3</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Total liabilities, stockholders’ equity and members’ equity</w:t>
            </w:r>
          </w:p>
        </w:tc>
        <w:tc>
          <w:tcPr>
            <w:tcW w:w="4220" w:type="dxa"/>
            <w:vAlign w:val="bottom"/>
            <w:gridSpan w:val="2"/>
            <w:shd w:val="clear" w:color="auto" w:fill="CCEEFF"/>
          </w:tcPr>
          <w:p>
            <w:pPr>
              <w:ind w:left="4140"/>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2,414.3</w:t>
            </w:r>
          </w:p>
        </w:tc>
        <w:tc>
          <w:tcPr>
            <w:tcW w:w="540" w:type="dxa"/>
            <w:vAlign w:val="bottom"/>
            <w:tcBorders>
              <w:left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468.4</w:t>
            </w: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140" w:type="dxa"/>
            <w:vAlign w:val="bottom"/>
          </w:tcPr>
          <w:p>
            <w:pPr>
              <w:ind w:left="5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Statement of Operations ($ in millions)</w:t>
      </w:r>
    </w:p>
    <w:p>
      <w:pPr>
        <w:spacing w:after="0" w:line="248" w:lineRule="exact"/>
        <w:rPr>
          <w:sz w:val="20"/>
          <w:szCs w:val="20"/>
          <w:color w:val="auto"/>
        </w:rPr>
      </w:pPr>
    </w:p>
    <w:tbl>
      <w:tblPr>
        <w:tblLayout w:type="fixed"/>
        <w:tblInd w:w="444" w:type="dxa"/>
        <w:tblCellMar>
          <w:top w:w="0" w:type="dxa"/>
          <w:left w:w="0" w:type="dxa"/>
          <w:bottom w:w="0" w:type="dxa"/>
          <w:right w:w="0" w:type="dxa"/>
        </w:tblCellMar>
      </w:tblPr>
      <w:tr>
        <w:trPr>
          <w:trHeight w:val="23"/>
        </w:trPr>
        <w:tc>
          <w:tcPr>
            <w:tcW w:w="38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84"/>
              </w:rPr>
              <w:t>Successor</w:t>
            </w: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Predecessor</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620" w:type="dxa"/>
            <w:vAlign w:val="bottom"/>
            <w:tcBorders>
              <w:left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0" w:type="dxa"/>
            <w:vAlign w:val="bottom"/>
            <w:vMerge w:val="restart"/>
          </w:tcPr>
          <w:p>
            <w:pPr>
              <w:spacing w:after="0"/>
              <w:rPr>
                <w:sz w:val="20"/>
                <w:szCs w:val="20"/>
                <w:color w:val="auto"/>
              </w:rPr>
            </w:pPr>
            <w:r>
              <w:rPr>
                <w:rFonts w:ascii="Arial" w:cs="Arial" w:eastAsia="Arial" w:hAnsi="Arial"/>
                <w:sz w:val="14"/>
                <w:szCs w:val="14"/>
                <w:i w:val="1"/>
                <w:iCs w:val="1"/>
                <w:u w:val="single" w:color="auto"/>
                <w:color w:val="auto"/>
                <w:w w:val="87"/>
              </w:rPr>
              <w:t>$</w:t>
            </w:r>
            <w:r>
              <w:rPr>
                <w:rFonts w:ascii="Arial" w:cs="Arial" w:eastAsia="Arial" w:hAnsi="Arial"/>
                <w:sz w:val="14"/>
                <w:szCs w:val="14"/>
                <w:i w:val="1"/>
                <w:iCs w:val="1"/>
                <w:color w:val="auto"/>
                <w:w w:val="87"/>
              </w:rPr>
              <w:t>mm’s</w:t>
            </w:r>
          </w:p>
        </w:tc>
        <w:tc>
          <w:tcPr>
            <w:tcW w:w="4000" w:type="dxa"/>
            <w:vAlign w:val="bottom"/>
            <w:vMerge w:val="restart"/>
          </w:tcPr>
          <w:p>
            <w:pPr>
              <w:spacing w:after="0"/>
              <w:rPr>
                <w:sz w:val="10"/>
                <w:szCs w:val="10"/>
                <w:color w:val="auto"/>
              </w:rPr>
            </w:pPr>
          </w:p>
        </w:tc>
        <w:tc>
          <w:tcPr>
            <w:tcW w:w="12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10/15/21-</w:t>
            </w:r>
          </w:p>
        </w:tc>
        <w:tc>
          <w:tcPr>
            <w:tcW w:w="100" w:type="dxa"/>
            <w:vAlign w:val="bottom"/>
          </w:tcPr>
          <w:p>
            <w:pPr>
              <w:spacing w:after="0"/>
              <w:rPr>
                <w:sz w:val="10"/>
                <w:szCs w:val="10"/>
                <w:color w:val="auto"/>
              </w:rPr>
            </w:pPr>
          </w:p>
        </w:tc>
        <w:tc>
          <w:tcPr>
            <w:tcW w:w="620" w:type="dxa"/>
            <w:vAlign w:val="bottom"/>
            <w:tcBorders>
              <w:left w:val="single" w:sz="8" w:color="auto"/>
            </w:tcBorders>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10/1/21-</w:t>
            </w:r>
          </w:p>
        </w:tc>
        <w:tc>
          <w:tcPr>
            <w:tcW w:w="720" w:type="dxa"/>
            <w:vAlign w:val="bottom"/>
          </w:tcPr>
          <w:p>
            <w:pPr>
              <w:spacing w:after="0"/>
              <w:rPr>
                <w:sz w:val="10"/>
                <w:szCs w:val="10"/>
                <w:color w:val="auto"/>
              </w:rPr>
            </w:pPr>
          </w:p>
        </w:tc>
        <w:tc>
          <w:tcPr>
            <w:tcW w:w="136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Three Months</w:t>
            </w:r>
          </w:p>
        </w:tc>
        <w:tc>
          <w:tcPr>
            <w:tcW w:w="320" w:type="dxa"/>
            <w:vAlign w:val="bottom"/>
          </w:tcPr>
          <w:p>
            <w:pPr>
              <w:spacing w:after="0"/>
              <w:rPr>
                <w:sz w:val="10"/>
                <w:szCs w:val="10"/>
                <w:color w:val="auto"/>
              </w:rPr>
            </w:pPr>
          </w:p>
        </w:tc>
        <w:tc>
          <w:tcPr>
            <w:tcW w:w="7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000" w:type="dxa"/>
            <w:vAlign w:val="bottom"/>
            <w:vMerge w:val="continue"/>
          </w:tcPr>
          <w:p>
            <w:pPr>
              <w:spacing w:after="0"/>
              <w:rPr>
                <w:sz w:val="15"/>
                <w:szCs w:val="15"/>
                <w:color w:val="auto"/>
              </w:rPr>
            </w:pPr>
          </w:p>
        </w:tc>
        <w:tc>
          <w:tcPr>
            <w:tcW w:w="126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12/31/21</w:t>
            </w:r>
          </w:p>
        </w:tc>
        <w:tc>
          <w:tcPr>
            <w:tcW w:w="100" w:type="dxa"/>
            <w:vAlign w:val="bottom"/>
          </w:tcPr>
          <w:p>
            <w:pPr>
              <w:spacing w:after="0"/>
              <w:rPr>
                <w:sz w:val="15"/>
                <w:szCs w:val="15"/>
                <w:color w:val="auto"/>
              </w:rPr>
            </w:pPr>
          </w:p>
        </w:tc>
        <w:tc>
          <w:tcPr>
            <w:tcW w:w="1140" w:type="dxa"/>
            <w:vAlign w:val="bottom"/>
            <w:tcBorders>
              <w:left w:val="single" w:sz="8" w:color="auto"/>
            </w:tcBorders>
            <w:gridSpan w:val="2"/>
          </w:tcPr>
          <w:p>
            <w:pPr>
              <w:jc w:val="right"/>
              <w:spacing w:after="0" w:line="158" w:lineRule="exact"/>
              <w:rPr>
                <w:sz w:val="20"/>
                <w:szCs w:val="20"/>
                <w:color w:val="auto"/>
              </w:rPr>
            </w:pPr>
            <w:r>
              <w:rPr>
                <w:rFonts w:ascii="Arial" w:cs="Arial" w:eastAsia="Arial" w:hAnsi="Arial"/>
                <w:sz w:val="14"/>
                <w:szCs w:val="14"/>
                <w:b w:val="1"/>
                <w:bCs w:val="1"/>
                <w:color w:val="auto"/>
              </w:rPr>
              <w:t>10/14/21</w:t>
            </w:r>
          </w:p>
        </w:tc>
        <w:tc>
          <w:tcPr>
            <w:tcW w:w="720" w:type="dxa"/>
            <w:vAlign w:val="bottom"/>
          </w:tcPr>
          <w:p>
            <w:pPr>
              <w:spacing w:after="0"/>
              <w:rPr>
                <w:sz w:val="15"/>
                <w:szCs w:val="15"/>
                <w:color w:val="auto"/>
              </w:rPr>
            </w:pPr>
          </w:p>
        </w:tc>
        <w:tc>
          <w:tcPr>
            <w:tcW w:w="1360" w:type="dxa"/>
            <w:vAlign w:val="bottom"/>
            <w:gridSpan w:val="3"/>
          </w:tcPr>
          <w:p>
            <w:pPr>
              <w:jc w:val="right"/>
              <w:ind w:right="400"/>
              <w:spacing w:after="0" w:line="158" w:lineRule="exact"/>
              <w:rPr>
                <w:sz w:val="20"/>
                <w:szCs w:val="20"/>
                <w:color w:val="auto"/>
              </w:rPr>
            </w:pPr>
            <w:r>
              <w:rPr>
                <w:rFonts w:ascii="Arial" w:cs="Arial" w:eastAsia="Arial" w:hAnsi="Arial"/>
                <w:sz w:val="14"/>
                <w:szCs w:val="14"/>
                <w:b w:val="1"/>
                <w:bCs w:val="1"/>
                <w:color w:val="auto"/>
                <w:w w:val="92"/>
              </w:rPr>
              <w:t>Ended 12/31/20</w:t>
            </w:r>
          </w:p>
        </w:tc>
        <w:tc>
          <w:tcPr>
            <w:tcW w:w="1060" w:type="dxa"/>
            <w:vAlign w:val="bottom"/>
            <w:gridSpan w:val="3"/>
          </w:tcPr>
          <w:p>
            <w:pPr>
              <w:jc w:val="right"/>
              <w:ind w:right="30"/>
              <w:spacing w:after="0" w:line="158" w:lineRule="exact"/>
              <w:rPr>
                <w:sz w:val="20"/>
                <w:szCs w:val="20"/>
                <w:color w:val="auto"/>
              </w:rPr>
            </w:pPr>
            <w:r>
              <w:rPr>
                <w:rFonts w:ascii="Arial" w:cs="Arial" w:eastAsia="Arial" w:hAnsi="Arial"/>
                <w:sz w:val="14"/>
                <w:szCs w:val="14"/>
                <w:b w:val="1"/>
                <w:bCs w:val="1"/>
                <w:color w:val="auto"/>
              </w:rPr>
              <w:t>12/31/20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revenue</w:t>
            </w: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11.5</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left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2.2</w:t>
            </w: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Compensation and benefits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62.2</w:t>
            </w:r>
          </w:p>
        </w:tc>
        <w:tc>
          <w:tcPr>
            <w:tcW w:w="1860" w:type="dxa"/>
            <w:vAlign w:val="bottom"/>
            <w:tcBorders>
              <w:left w:val="single" w:sz="8" w:color="auto"/>
            </w:tcBorders>
            <w:gridSpan w:val="3"/>
          </w:tcPr>
          <w:p>
            <w:pPr>
              <w:jc w:val="right"/>
              <w:ind w:right="720"/>
              <w:spacing w:after="0"/>
              <w:rPr>
                <w:sz w:val="20"/>
                <w:szCs w:val="20"/>
                <w:color w:val="auto"/>
              </w:rPr>
            </w:pPr>
            <w:r>
              <w:rPr>
                <w:rFonts w:ascii="Arial" w:cs="Arial" w:eastAsia="Arial" w:hAnsi="Arial"/>
                <w:sz w:val="18"/>
                <w:szCs w:val="18"/>
                <w:color w:val="auto"/>
              </w:rPr>
              <w:t>33.9</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SG&amp;A</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1860" w:type="dxa"/>
            <w:vAlign w:val="bottom"/>
            <w:tcBorders>
              <w:left w:val="single" w:sz="8" w:color="auto"/>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Other expense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1860" w:type="dxa"/>
            <w:vAlign w:val="bottom"/>
            <w:tcBorders>
              <w:left w:val="single" w:sz="8" w:color="auto"/>
            </w:tcBorders>
            <w:gridSpan w:val="3"/>
          </w:tcPr>
          <w:p>
            <w:pPr>
              <w:jc w:val="right"/>
              <w:ind w:right="72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w:t>
            </w:r>
          </w:p>
        </w:tc>
        <w:tc>
          <w:tcPr>
            <w:tcW w:w="6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c>
          <w:tcPr>
            <w:tcW w:w="1860" w:type="dxa"/>
            <w:vAlign w:val="bottom"/>
            <w:tcBorders>
              <w:left w:val="single" w:sz="8" w:color="auto"/>
              <w:bottom w:val="single" w:sz="8" w:color="auto"/>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52.6</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38.2</w:t>
            </w:r>
          </w:p>
        </w:tc>
        <w:tc>
          <w:tcPr>
            <w:tcW w:w="3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0"/>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780" w:type="dxa"/>
            <w:vAlign w:val="bottom"/>
            <w:gridSpan w:val="2"/>
          </w:tcPr>
          <w:p>
            <w:pPr>
              <w:ind w:left="620"/>
              <w:spacing w:after="0"/>
              <w:rPr>
                <w:sz w:val="20"/>
                <w:szCs w:val="20"/>
                <w:color w:val="auto"/>
              </w:rPr>
            </w:pPr>
            <w:r>
              <w:rPr>
                <w:rFonts w:ascii="Arial" w:cs="Arial" w:eastAsia="Arial" w:hAnsi="Arial"/>
                <w:sz w:val="18"/>
                <w:szCs w:val="18"/>
                <w:b w:val="1"/>
                <w:bCs w:val="1"/>
                <w:color w:val="auto"/>
                <w:w w:val="87"/>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74.5)</w:t>
            </w:r>
          </w:p>
        </w:tc>
        <w:tc>
          <w:tcPr>
            <w:tcW w:w="1860" w:type="dxa"/>
            <w:vAlign w:val="bottom"/>
            <w:tcBorders>
              <w:left w:val="single" w:sz="8" w:color="auto"/>
            </w:tcBorders>
            <w:gridSpan w:val="3"/>
          </w:tcPr>
          <w:p>
            <w:pPr>
              <w:jc w:val="right"/>
              <w:ind w:right="660"/>
              <w:spacing w:after="0"/>
              <w:rPr>
                <w:sz w:val="20"/>
                <w:szCs w:val="20"/>
                <w:color w:val="auto"/>
              </w:rPr>
            </w:pPr>
            <w:r>
              <w:rPr>
                <w:rFonts w:ascii="Arial" w:cs="Arial" w:eastAsia="Arial" w:hAnsi="Arial"/>
                <w:sz w:val="18"/>
                <w:szCs w:val="18"/>
                <w:b w:val="1"/>
                <w:bCs w:val="1"/>
                <w:color w:val="auto"/>
              </w:rPr>
              <w:t>($ 50.5)</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28.7)</w:t>
            </w:r>
          </w:p>
        </w:tc>
        <w:tc>
          <w:tcPr>
            <w:tcW w:w="56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79.1)</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6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(78.5)</w:t>
            </w:r>
          </w:p>
        </w:tc>
        <w:tc>
          <w:tcPr>
            <w:tcW w:w="1860" w:type="dxa"/>
            <w:vAlign w:val="bottom"/>
            <w:tcBorders>
              <w:left w:val="single" w:sz="8" w:color="auto"/>
              <w:bottom w:val="single" w:sz="8" w:color="auto"/>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0.0</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13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($ 153.0)</w:t>
            </w:r>
          </w:p>
        </w:tc>
        <w:tc>
          <w:tcPr>
            <w:tcW w:w="1860" w:type="dxa"/>
            <w:vAlign w:val="bottom"/>
            <w:tcBorders>
              <w:left w:val="single" w:sz="8" w:color="auto"/>
            </w:tcBorders>
            <w:gridSpan w:val="3"/>
          </w:tcPr>
          <w:p>
            <w:pPr>
              <w:jc w:val="right"/>
              <w:ind w:right="660"/>
              <w:spacing w:after="0"/>
              <w:rPr>
                <w:sz w:val="20"/>
                <w:szCs w:val="20"/>
                <w:color w:val="auto"/>
              </w:rPr>
            </w:pPr>
            <w:r>
              <w:rPr>
                <w:rFonts w:ascii="Arial" w:cs="Arial" w:eastAsia="Arial" w:hAnsi="Arial"/>
                <w:sz w:val="18"/>
                <w:szCs w:val="18"/>
                <w:b w:val="1"/>
                <w:bCs w:val="1"/>
                <w:color w:val="auto"/>
              </w:rPr>
              <w:t>($ 50.5)</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29.2)</w:t>
            </w:r>
          </w:p>
        </w:tc>
        <w:tc>
          <w:tcPr>
            <w:tcW w:w="56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79.2)</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Income tax benefit (expense) </w:t>
            </w:r>
            <w:r>
              <w:rPr>
                <w:rFonts w:ascii="Arial" w:cs="Arial" w:eastAsia="Arial" w:hAnsi="Arial"/>
                <w:sz w:val="18"/>
                <w:szCs w:val="18"/>
                <w:i w:val="1"/>
                <w:iCs w:val="1"/>
                <w:color w:val="auto"/>
              </w:rPr>
              <w:t>(1)</w:t>
            </w:r>
          </w:p>
        </w:tc>
        <w:tc>
          <w:tcPr>
            <w:tcW w:w="6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1860" w:type="dxa"/>
            <w:vAlign w:val="bottom"/>
            <w:tcBorders>
              <w:left w:val="single" w:sz="8" w:color="auto"/>
              <w:bottom w:val="single" w:sz="8" w:color="auto"/>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0.8</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3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3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($ 153.1)</w:t>
            </w:r>
          </w:p>
        </w:tc>
        <w:tc>
          <w:tcPr>
            <w:tcW w:w="1860" w:type="dxa"/>
            <w:vAlign w:val="bottom"/>
            <w:tcBorders>
              <w:left w:val="single" w:sz="8" w:color="auto"/>
            </w:tcBorders>
            <w:gridSpan w:val="3"/>
          </w:tcPr>
          <w:p>
            <w:pPr>
              <w:jc w:val="right"/>
              <w:ind w:right="660"/>
              <w:spacing w:after="0"/>
              <w:rPr>
                <w:sz w:val="20"/>
                <w:szCs w:val="20"/>
                <w:color w:val="auto"/>
              </w:rPr>
            </w:pPr>
            <w:r>
              <w:rPr>
                <w:rFonts w:ascii="Arial" w:cs="Arial" w:eastAsia="Arial" w:hAnsi="Arial"/>
                <w:sz w:val="18"/>
                <w:szCs w:val="18"/>
                <w:b w:val="1"/>
                <w:bCs w:val="1"/>
                <w:color w:val="auto"/>
              </w:rPr>
              <w:t>($ 49.7)</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29.6)</w:t>
            </w:r>
          </w:p>
        </w:tc>
        <w:tc>
          <w:tcPr>
            <w:tcW w:w="56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79.6)</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Net loss for noncontrolling interest</w:t>
            </w:r>
          </w:p>
        </w:tc>
        <w:tc>
          <w:tcPr>
            <w:tcW w:w="136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($ 120.7)</w:t>
            </w:r>
          </w:p>
        </w:tc>
        <w:tc>
          <w:tcPr>
            <w:tcW w:w="620" w:type="dxa"/>
            <w:vAlign w:val="bottom"/>
            <w:tcBorders>
              <w:left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Bakkt Holdings, Inc.</w:t>
            </w:r>
          </w:p>
        </w:tc>
        <w:tc>
          <w:tcPr>
            <w:tcW w:w="780" w:type="dxa"/>
            <w:vAlign w:val="bottom"/>
            <w:gridSpan w:val="2"/>
          </w:tcPr>
          <w:p>
            <w:pPr>
              <w:ind w:left="620"/>
              <w:spacing w:after="0"/>
              <w:rPr>
                <w:sz w:val="20"/>
                <w:szCs w:val="20"/>
                <w:color w:val="auto"/>
              </w:rPr>
            </w:pPr>
            <w:r>
              <w:rPr>
                <w:rFonts w:ascii="Arial" w:cs="Arial" w:eastAsia="Arial" w:hAnsi="Arial"/>
                <w:sz w:val="18"/>
                <w:szCs w:val="18"/>
                <w:b w:val="1"/>
                <w:bCs w:val="1"/>
                <w:color w:val="auto"/>
                <w:w w:val="87"/>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32.4)</w:t>
            </w:r>
          </w:p>
        </w:tc>
        <w:tc>
          <w:tcPr>
            <w:tcW w:w="620" w:type="dxa"/>
            <w:vAlign w:val="bottom"/>
            <w:tcBorders>
              <w:lef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Currency translation adjustment, net of tax</w:t>
            </w:r>
          </w:p>
        </w:tc>
        <w:tc>
          <w:tcPr>
            <w:tcW w:w="6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1860" w:type="dxa"/>
            <w:vAlign w:val="bottom"/>
            <w:tcBorders>
              <w:left w:val="single" w:sz="8" w:color="auto"/>
              <w:bottom w:val="single" w:sz="8" w:color="auto"/>
            </w:tcBorders>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0.3</w:t>
            </w: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3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0"/>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w:t>
            </w:r>
          </w:p>
        </w:tc>
        <w:tc>
          <w:tcPr>
            <w:tcW w:w="13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($ 153.4)</w:t>
            </w:r>
          </w:p>
        </w:tc>
        <w:tc>
          <w:tcPr>
            <w:tcW w:w="1860" w:type="dxa"/>
            <w:vAlign w:val="bottom"/>
            <w:tcBorders>
              <w:left w:val="single" w:sz="8" w:color="auto"/>
            </w:tcBorders>
            <w:gridSpan w:val="3"/>
          </w:tcPr>
          <w:p>
            <w:pPr>
              <w:jc w:val="right"/>
              <w:ind w:right="660"/>
              <w:spacing w:after="0"/>
              <w:rPr>
                <w:sz w:val="20"/>
                <w:szCs w:val="20"/>
                <w:color w:val="auto"/>
              </w:rPr>
            </w:pPr>
            <w:r>
              <w:rPr>
                <w:rFonts w:ascii="Arial" w:cs="Arial" w:eastAsia="Arial" w:hAnsi="Arial"/>
                <w:sz w:val="18"/>
                <w:szCs w:val="18"/>
                <w:b w:val="1"/>
                <w:bCs w:val="1"/>
                <w:color w:val="auto"/>
              </w:rPr>
              <w:t>($ 49.4)</w:t>
            </w:r>
          </w:p>
        </w:tc>
        <w:tc>
          <w:tcPr>
            <w:tcW w:w="18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29.3)</w:t>
            </w:r>
          </w:p>
        </w:tc>
        <w:tc>
          <w:tcPr>
            <w:tcW w:w="56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79.4)</w:t>
            </w:r>
          </w:p>
        </w:tc>
        <w:tc>
          <w:tcPr>
            <w:tcW w:w="0" w:type="dxa"/>
            <w:vAlign w:val="bottom"/>
          </w:tcPr>
          <w:p>
            <w:pPr>
              <w:spacing w:after="0"/>
              <w:rPr>
                <w:sz w:val="1"/>
                <w:szCs w:val="1"/>
                <w:color w:val="auto"/>
              </w:rPr>
            </w:pPr>
          </w:p>
        </w:tc>
      </w:tr>
      <w:tr>
        <w:trPr>
          <w:trHeight w:val="202"/>
        </w:trPr>
        <w:tc>
          <w:tcPr>
            <w:tcW w:w="43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Less: Comprehensive income (loss) for noncontrolling</w:t>
            </w: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left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w:t>
            </w:r>
          </w:p>
        </w:tc>
        <w:tc>
          <w:tcPr>
            <w:tcW w:w="6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(120.9)</w:t>
            </w:r>
          </w:p>
        </w:tc>
        <w:tc>
          <w:tcPr>
            <w:tcW w:w="620" w:type="dxa"/>
            <w:vAlign w:val="bottom"/>
            <w:tcBorders>
              <w:left w:val="single" w:sz="8" w:color="auto"/>
            </w:tcBorders>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38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rPr>
              <w:t>Comprehensive income (loss) attributable to Bakkt</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lef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80" w:type="dxa"/>
            <w:vAlign w:val="bottom"/>
            <w:gridSpan w:val="2"/>
          </w:tcPr>
          <w:p>
            <w:pPr>
              <w:ind w:left="180"/>
              <w:spacing w:after="0"/>
              <w:rPr>
                <w:sz w:val="20"/>
                <w:szCs w:val="20"/>
                <w:color w:val="auto"/>
              </w:rPr>
            </w:pPr>
            <w:r>
              <w:rPr>
                <w:rFonts w:ascii="Arial" w:cs="Arial" w:eastAsia="Arial" w:hAnsi="Arial"/>
                <w:sz w:val="18"/>
                <w:szCs w:val="18"/>
                <w:b w:val="1"/>
                <w:bCs w:val="1"/>
                <w:color w:val="auto"/>
              </w:rPr>
              <w:t>Holdings, Inc.</w:t>
            </w:r>
          </w:p>
        </w:tc>
        <w:tc>
          <w:tcPr>
            <w:tcW w:w="780" w:type="dxa"/>
            <w:vAlign w:val="bottom"/>
            <w:gridSpan w:val="2"/>
          </w:tcPr>
          <w:p>
            <w:pPr>
              <w:ind w:left="620"/>
              <w:spacing w:after="0"/>
              <w:rPr>
                <w:sz w:val="20"/>
                <w:szCs w:val="20"/>
                <w:color w:val="auto"/>
              </w:rPr>
            </w:pPr>
            <w:r>
              <w:rPr>
                <w:rFonts w:ascii="Arial" w:cs="Arial" w:eastAsia="Arial" w:hAnsi="Arial"/>
                <w:sz w:val="18"/>
                <w:szCs w:val="18"/>
                <w:b w:val="1"/>
                <w:bCs w:val="1"/>
                <w:color w:val="auto"/>
                <w:w w:val="87"/>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32.4)</w:t>
            </w:r>
          </w:p>
        </w:tc>
        <w:tc>
          <w:tcPr>
            <w:tcW w:w="620" w:type="dxa"/>
            <w:vAlign w:val="bottom"/>
            <w:tcBorders>
              <w:left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line="277" w:lineRule="auto"/>
        <w:tabs>
          <w:tab w:leader="none" w:pos="424"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Income tax (benefit) expense for Successor reflects management’s current estimate. See “Basis of Presentation.” As a result, Income tax benefit (expense) and items derived from it are subject to change.</w:t>
      </w:r>
    </w:p>
    <w:p>
      <w:pPr>
        <w:spacing w:after="0" w:line="103" w:lineRule="exact"/>
        <w:rPr>
          <w:sz w:val="20"/>
          <w:szCs w:val="20"/>
          <w:color w:val="auto"/>
        </w:rPr>
      </w:pPr>
    </w:p>
    <w:p>
      <w:pPr>
        <w:jc w:val="center"/>
        <w:ind w:right="-263"/>
        <w:spacing w:after="0"/>
        <w:rPr>
          <w:sz w:val="20"/>
          <w:szCs w:val="20"/>
          <w:color w:val="auto"/>
        </w:rPr>
      </w:pPr>
      <w:r>
        <w:rPr>
          <w:rFonts w:ascii="Arial" w:cs="Arial" w:eastAsia="Arial" w:hAnsi="Arial"/>
          <w:sz w:val="18"/>
          <w:szCs w:val="18"/>
          <w:color w:val="auto"/>
        </w:rPr>
        <w:t>8</w:t>
      </w:r>
    </w:p>
    <w:sectPr>
      <w:pgSz w:w="11900" w:h="16838" w:orient="portrait"/>
      <w:cols w:equalWidth="0" w:num="1">
        <w:col w:w="10764"/>
      </w:cols>
      <w:pgMar w:left="436" w:top="27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lvl w:ilvl="1">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lvl w:ilvl="1">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2022-02-17T06:49:03Z</dcterms:created>
  <dcterms:modified xsi:type="dcterms:W3CDTF">2022-02-17T06:49:03Z</dcterms:modified>
</cp:coreProperties>
</file>