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441960</wp:posOffset>
            </wp:positionH>
            <wp:positionV relativeFrom="page">
              <wp:posOffset>162560</wp:posOffset>
            </wp:positionV>
            <wp:extent cx="6664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4960" cy="8255"/>
                    </a:xfrm>
                    <a:prstGeom prst="rect">
                      <a:avLst/>
                    </a:prstGeom>
                    <a:noFill/>
                  </pic:spPr>
                </pic:pic>
              </a:graphicData>
            </a:graphic>
          </wp:anchor>
        </w:drawing>
        <w:drawing>
          <wp:anchor simplePos="0" relativeHeight="251657728" behindDoc="1" locked="0" layoutInCell="0" allowOverlap="1">
            <wp:simplePos x="0" y="0"/>
            <wp:positionH relativeFrom="page">
              <wp:posOffset>441960</wp:posOffset>
            </wp:positionH>
            <wp:positionV relativeFrom="page">
              <wp:posOffset>203200</wp:posOffset>
            </wp:positionV>
            <wp:extent cx="6664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4960" cy="8255"/>
                    </a:xfrm>
                    <a:prstGeom prst="rect">
                      <a:avLst/>
                    </a:prstGeom>
                    <a:noFill/>
                  </pic:spPr>
                </pic:pic>
              </a:graphicData>
            </a:graphic>
          </wp:anchor>
        </w:drawing>
        <w:t>UNITED STATES</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6"/>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2630170</wp:posOffset>
            </wp:positionH>
            <wp:positionV relativeFrom="paragraph">
              <wp:posOffset>159385</wp:posOffset>
            </wp:positionV>
            <wp:extent cx="1404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31" w:lineRule="exact"/>
        <w:rPr>
          <w:sz w:val="24"/>
          <w:szCs w:val="24"/>
          <w:color w:val="auto"/>
        </w:rPr>
      </w:pPr>
    </w:p>
    <w:p>
      <w:pPr>
        <w:jc w:val="center"/>
        <w:ind w:right="16"/>
        <w:spacing w:after="0"/>
        <w:rPr>
          <w:sz w:val="20"/>
          <w:szCs w:val="20"/>
          <w:color w:val="auto"/>
        </w:rPr>
      </w:pPr>
      <w:r>
        <w:rPr>
          <w:rFonts w:ascii="Arial" w:cs="Arial" w:eastAsia="Arial" w:hAnsi="Arial"/>
          <w:sz w:val="31"/>
          <w:szCs w:val="31"/>
          <w:b w:val="1"/>
          <w:bCs w:val="1"/>
          <w:color w:val="auto"/>
        </w:rPr>
        <w:t>FORM 8-K/A</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31"/>
          <w:szCs w:val="3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2630170</wp:posOffset>
            </wp:positionH>
            <wp:positionV relativeFrom="paragraph">
              <wp:posOffset>160655</wp:posOffset>
            </wp:positionV>
            <wp:extent cx="1404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47"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Pursuant to Section 13 OR 15(d)</w:t>
      </w:r>
    </w:p>
    <w:p>
      <w:pPr>
        <w:jc w:val="center"/>
        <w:ind w:right="16"/>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08" w:lineRule="exact"/>
        <w:rPr>
          <w:sz w:val="24"/>
          <w:szCs w:val="24"/>
          <w:color w:val="auto"/>
        </w:rPr>
      </w:pPr>
    </w:p>
    <w:p>
      <w:pPr>
        <w:jc w:val="center"/>
        <w:ind w:right="16"/>
        <w:spacing w:after="0"/>
        <w:rPr>
          <w:sz w:val="20"/>
          <w:szCs w:val="20"/>
          <w:color w:val="auto"/>
        </w:rPr>
      </w:pPr>
      <w:r>
        <w:rPr>
          <w:rFonts w:ascii="Arial" w:cs="Arial" w:eastAsia="Arial" w:hAnsi="Arial"/>
          <w:sz w:val="17"/>
          <w:szCs w:val="17"/>
          <w:b w:val="1"/>
          <w:bCs w:val="1"/>
          <w:color w:val="auto"/>
        </w:rPr>
        <w:t>Date of Report (Date of earliest event reported): November 12, 2021 (October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2630170</wp:posOffset>
            </wp:positionH>
            <wp:positionV relativeFrom="paragraph">
              <wp:posOffset>195580</wp:posOffset>
            </wp:positionV>
            <wp:extent cx="140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400" w:lineRule="exact"/>
        <w:rPr>
          <w:sz w:val="24"/>
          <w:szCs w:val="24"/>
          <w:color w:val="auto"/>
        </w:rPr>
      </w:pPr>
    </w:p>
    <w:p>
      <w:pPr>
        <w:jc w:val="center"/>
        <w:ind w:right="16"/>
        <w:spacing w:after="0"/>
        <w:rPr>
          <w:sz w:val="20"/>
          <w:szCs w:val="20"/>
          <w:color w:val="auto"/>
        </w:rPr>
      </w:pPr>
      <w:r>
        <w:rPr>
          <w:rFonts w:ascii="Arial" w:cs="Arial" w:eastAsia="Arial" w:hAnsi="Arial"/>
          <w:sz w:val="41"/>
          <w:szCs w:val="41"/>
          <w:b w:val="1"/>
          <w:bCs w:val="1"/>
          <w:color w:val="auto"/>
        </w:rPr>
        <w:t>Bakkt Holdings, Inc.</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2630170</wp:posOffset>
            </wp:positionH>
            <wp:positionV relativeFrom="paragraph">
              <wp:posOffset>160655</wp:posOffset>
            </wp:positionV>
            <wp:extent cx="140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ectPr>
          <w:pgSz w:w="11900" w:h="16838" w:orient="portrait"/>
          <w:cols w:equalWidth="0" w:num="1">
            <w:col w:w="10504"/>
          </w:cols>
          <w:pgMar w:left="696" w:top="356" w:right="699" w:bottom="1440" w:gutter="0" w:footer="0" w:header="0"/>
        </w:sectPr>
      </w:pPr>
    </w:p>
    <w:p>
      <w:pPr>
        <w:spacing w:after="0" w:line="200" w:lineRule="exact"/>
        <w:rPr>
          <w:sz w:val="24"/>
          <w:szCs w:val="24"/>
          <w:color w:val="auto"/>
        </w:rPr>
      </w:pPr>
    </w:p>
    <w:p>
      <w:pPr>
        <w:spacing w:after="0" w:line="228" w:lineRule="exact"/>
        <w:rPr>
          <w:sz w:val="24"/>
          <w:szCs w:val="24"/>
          <w:color w:val="auto"/>
        </w:rPr>
      </w:pPr>
    </w:p>
    <w:p>
      <w:pPr>
        <w:ind w:left="1444"/>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jc w:val="center"/>
        <w:ind w:right="1960"/>
        <w:spacing w:after="0"/>
        <w:rPr>
          <w:sz w:val="20"/>
          <w:szCs w:val="20"/>
          <w:color w:val="auto"/>
        </w:rPr>
      </w:pPr>
      <w:r>
        <w:rPr>
          <w:rFonts w:ascii="Arial" w:cs="Arial" w:eastAsia="Arial" w:hAnsi="Arial"/>
          <w:sz w:val="15"/>
          <w:szCs w:val="15"/>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98-1550750</w:t>
      </w:r>
    </w:p>
    <w:p>
      <w:pPr>
        <w:spacing w:after="0" w:line="26" w:lineRule="exact"/>
        <w:rPr>
          <w:sz w:val="24"/>
          <w:szCs w:val="24"/>
          <w:color w:val="auto"/>
        </w:rPr>
      </w:pPr>
    </w:p>
    <w:p>
      <w:pPr>
        <w:sectPr>
          <w:pgSz w:w="11900" w:h="16838" w:orient="portrait"/>
          <w:cols w:equalWidth="0" w:num="3">
            <w:col w:w="4264" w:space="720"/>
            <w:col w:w="2700" w:space="720"/>
            <w:col w:w="2100"/>
          </w:cols>
          <w:pgMar w:left="696" w:top="356" w:right="699" w:bottom="1440" w:gutter="0" w:footer="0" w:header="0"/>
          <w:type w:val="continuous"/>
        </w:sectPr>
      </w:pPr>
    </w:p>
    <w:p>
      <w:pPr>
        <w:spacing w:after="0" w:line="24" w:lineRule="exact"/>
        <w:rPr>
          <w:sz w:val="24"/>
          <w:szCs w:val="24"/>
          <w:color w:val="auto"/>
        </w:rPr>
      </w:pPr>
    </w:p>
    <w:p>
      <w:pPr>
        <w:jc w:val="center"/>
        <w:ind w:right="676"/>
        <w:spacing w:after="0"/>
        <w:rPr>
          <w:sz w:val="20"/>
          <w:szCs w:val="20"/>
          <w:color w:val="auto"/>
        </w:rPr>
      </w:pPr>
      <w:r>
        <w:rPr>
          <w:rFonts w:ascii="Arial" w:cs="Arial" w:eastAsia="Arial" w:hAnsi="Arial"/>
          <w:sz w:val="11"/>
          <w:szCs w:val="11"/>
          <w:b w:val="1"/>
          <w:bCs w:val="1"/>
          <w:color w:val="auto"/>
        </w:rPr>
        <w:t>(State or other jurisdiction</w:t>
      </w:r>
    </w:p>
    <w:p>
      <w:pPr>
        <w:spacing w:after="0" w:line="10" w:lineRule="exact"/>
        <w:rPr>
          <w:sz w:val="24"/>
          <w:szCs w:val="24"/>
          <w:color w:val="auto"/>
        </w:rPr>
      </w:pPr>
    </w:p>
    <w:p>
      <w:pPr>
        <w:jc w:val="center"/>
        <w:ind w:right="6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line="1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1"/>
          <w:szCs w:val="11"/>
          <w:b w:val="1"/>
          <w:bCs w:val="1"/>
          <w:color w:val="auto"/>
        </w:rPr>
        <w:t>Identification No.)</w:t>
      </w:r>
    </w:p>
    <w:p>
      <w:pPr>
        <w:spacing w:after="0" w:line="157" w:lineRule="exact"/>
        <w:rPr>
          <w:sz w:val="24"/>
          <w:szCs w:val="24"/>
          <w:color w:val="auto"/>
        </w:rPr>
      </w:pPr>
    </w:p>
    <w:p>
      <w:pPr>
        <w:sectPr>
          <w:pgSz w:w="11900" w:h="16838" w:orient="portrait"/>
          <w:cols w:equalWidth="0" w:num="3">
            <w:col w:w="4244" w:space="720"/>
            <w:col w:w="2600" w:space="720"/>
            <w:col w:w="2220"/>
          </w:cols>
          <w:pgMar w:left="696" w:top="356" w:right="699" w:bottom="1440" w:gutter="0" w:footer="0" w:header="0"/>
          <w:type w:val="continuous"/>
        </w:sectPr>
      </w:pPr>
    </w:p>
    <w:p>
      <w:pPr>
        <w:ind w:left="564"/>
        <w:spacing w:after="0"/>
        <w:rPr>
          <w:sz w:val="20"/>
          <w:szCs w:val="20"/>
          <w:color w:val="auto"/>
        </w:rPr>
      </w:pPr>
      <w:r>
        <w:rPr>
          <w:rFonts w:ascii="Arial" w:cs="Arial" w:eastAsia="Arial" w:hAnsi="Arial"/>
          <w:sz w:val="15"/>
          <w:szCs w:val="15"/>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50" w:lineRule="exact"/>
        <w:rPr>
          <w:sz w:val="24"/>
          <w:szCs w:val="24"/>
          <w:color w:val="auto"/>
        </w:rPr>
      </w:pPr>
    </w:p>
    <w:p>
      <w:pPr>
        <w:sectPr>
          <w:pgSz w:w="11900" w:h="16838" w:orient="portrait"/>
          <w:cols w:equalWidth="0" w:num="2">
            <w:col w:w="7024" w:space="720"/>
            <w:col w:w="2760"/>
          </w:cols>
          <w:pgMar w:left="696" w:top="356" w:right="699" w:bottom="1440" w:gutter="0" w:footer="0" w:header="0"/>
          <w:type w:val="continuous"/>
        </w:sectPr>
      </w:pPr>
    </w:p>
    <w:p>
      <w:pPr>
        <w:ind w:left="1524"/>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40" w:lineRule="exact"/>
        <w:rPr>
          <w:sz w:val="24"/>
          <w:szCs w:val="24"/>
          <w:color w:val="auto"/>
        </w:rPr>
      </w:pPr>
    </w:p>
    <w:p>
      <w:pPr>
        <w:sectPr>
          <w:pgSz w:w="11900" w:h="16838" w:orient="portrait"/>
          <w:cols w:equalWidth="0" w:num="2">
            <w:col w:w="6904" w:space="720"/>
            <w:col w:w="2880"/>
          </w:cols>
          <w:pgMar w:left="696" w:top="356" w:right="699" w:bottom="1440" w:gutter="0" w:footer="0" w:header="0"/>
          <w:type w:val="continuous"/>
        </w:sectPr>
      </w:pPr>
    </w:p>
    <w:p>
      <w:pPr>
        <w:jc w:val="center"/>
        <w:ind w:right="-3"/>
        <w:spacing w:after="0"/>
        <w:rPr>
          <w:sz w:val="20"/>
          <w:szCs w:val="20"/>
          <w:color w:val="auto"/>
        </w:rPr>
      </w:pPr>
      <w:r>
        <w:rPr>
          <w:rFonts w:ascii="Arial" w:cs="Arial" w:eastAsia="Arial" w:hAnsi="Arial"/>
          <w:sz w:val="17"/>
          <w:szCs w:val="17"/>
          <w:b w:val="1"/>
          <w:bCs w:val="1"/>
          <w:color w:val="auto"/>
        </w:rPr>
        <w:t>Registrant’s telephone number, including area code (678) 534-5849</w:t>
      </w: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2630170</wp:posOffset>
            </wp:positionH>
            <wp:positionV relativeFrom="paragraph">
              <wp:posOffset>156845</wp:posOffset>
            </wp:positionV>
            <wp:extent cx="1404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69" w:lineRule="exact"/>
        <w:rPr>
          <w:sz w:val="24"/>
          <w:szCs w:val="24"/>
          <w:color w:val="auto"/>
        </w:rPr>
      </w:pPr>
    </w:p>
    <w:p>
      <w:pPr>
        <w:ind w:left="4" w:right="460"/>
        <w:spacing w:after="0" w:line="27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w:t>
      </w:r>
      <w:r>
        <w:rPr>
          <w:rFonts w:ascii="Arial" w:cs="Arial" w:eastAsia="Arial" w:hAnsi="Arial"/>
          <w:sz w:val="17"/>
          <w:szCs w:val="17"/>
          <w:u w:val="single" w:color="auto"/>
          <w:color w:val="auto"/>
        </w:rPr>
        <w:t>see</w:t>
      </w:r>
      <w:r>
        <w:rPr>
          <w:rFonts w:ascii="Arial" w:cs="Arial" w:eastAsia="Arial" w:hAnsi="Arial"/>
          <w:sz w:val="17"/>
          <w:szCs w:val="17"/>
          <w:color w:val="auto"/>
        </w:rPr>
        <w:t xml:space="preserve"> General Instruction A.2. below):</w:t>
      </w:r>
    </w:p>
    <w:p>
      <w:pPr>
        <w:spacing w:after="0" w:line="75" w:lineRule="exact"/>
        <w:rPr>
          <w:sz w:val="24"/>
          <w:szCs w:val="24"/>
          <w:color w:val="auto"/>
        </w:rPr>
      </w:pPr>
    </w:p>
    <w:p>
      <w:pPr>
        <w:ind w:left="404" w:hanging="404"/>
        <w:spacing w:after="0"/>
        <w:tabs>
          <w:tab w:leader="none" w:pos="40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 pursuant to Rule 425 under the Securities Act (17 CFR 230.425)</w:t>
      </w:r>
    </w:p>
    <w:p>
      <w:pPr>
        <w:spacing w:after="0" w:line="126" w:lineRule="exact"/>
        <w:rPr>
          <w:rFonts w:ascii="MS PGothic" w:cs="MS PGothic" w:eastAsia="MS PGothic" w:hAnsi="MS PGothic"/>
          <w:sz w:val="17"/>
          <w:szCs w:val="17"/>
          <w:color w:val="auto"/>
        </w:rPr>
      </w:pPr>
    </w:p>
    <w:p>
      <w:pPr>
        <w:ind w:left="404" w:hanging="404"/>
        <w:spacing w:after="0"/>
        <w:tabs>
          <w:tab w:leader="none" w:pos="40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26" w:lineRule="exact"/>
        <w:rPr>
          <w:rFonts w:ascii="MS PGothic" w:cs="MS PGothic" w:eastAsia="MS PGothic" w:hAnsi="MS PGothic"/>
          <w:sz w:val="17"/>
          <w:szCs w:val="17"/>
          <w:color w:val="auto"/>
        </w:rPr>
      </w:pPr>
    </w:p>
    <w:p>
      <w:pPr>
        <w:ind w:left="404" w:hanging="404"/>
        <w:spacing w:after="0"/>
        <w:tabs>
          <w:tab w:leader="none" w:pos="40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6" w:lineRule="exact"/>
        <w:rPr>
          <w:rFonts w:ascii="MS PGothic" w:cs="MS PGothic" w:eastAsia="MS PGothic" w:hAnsi="MS PGothic"/>
          <w:sz w:val="17"/>
          <w:szCs w:val="17"/>
          <w:color w:val="auto"/>
        </w:rPr>
      </w:pPr>
    </w:p>
    <w:p>
      <w:pPr>
        <w:ind w:left="4" w:right="2440" w:hanging="4"/>
        <w:spacing w:after="0" w:line="420" w:lineRule="auto"/>
        <w:tabs>
          <w:tab w:leader="none" w:pos="41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2"/>
        </w:trPr>
        <w:tc>
          <w:tcPr>
            <w:tcW w:w="3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Title of each class</w:t>
            </w:r>
          </w:p>
        </w:tc>
        <w:tc>
          <w:tcPr>
            <w:tcW w:w="34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Trading</w:t>
            </w:r>
          </w:p>
        </w:tc>
        <w:tc>
          <w:tcPr>
            <w:tcW w:w="3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Name of each exchange</w:t>
            </w:r>
          </w:p>
        </w:tc>
        <w:tc>
          <w:tcPr>
            <w:tcW w:w="0" w:type="dxa"/>
            <w:vAlign w:val="bottom"/>
          </w:tcPr>
          <w:p>
            <w:pPr>
              <w:spacing w:after="0"/>
              <w:rPr>
                <w:sz w:val="1"/>
                <w:szCs w:val="1"/>
                <w:color w:val="auto"/>
              </w:rPr>
            </w:pPr>
          </w:p>
        </w:tc>
      </w:tr>
      <w:tr>
        <w:trPr>
          <w:trHeight w:val="177"/>
        </w:trPr>
        <w:tc>
          <w:tcPr>
            <w:tcW w:w="3680" w:type="dxa"/>
            <w:vAlign w:val="bottom"/>
            <w:gridSpan w:val="2"/>
            <w:vMerge w:val="continue"/>
          </w:tcPr>
          <w:p>
            <w:pPr>
              <w:spacing w:after="0"/>
              <w:rPr>
                <w:sz w:val="15"/>
                <w:szCs w:val="15"/>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Symbol(s)</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86"/>
              </w:rPr>
              <w:t>on which registered</w:t>
            </w:r>
          </w:p>
        </w:tc>
        <w:tc>
          <w:tcPr>
            <w:tcW w:w="0" w:type="dxa"/>
            <w:vAlign w:val="bottom"/>
          </w:tcPr>
          <w:p>
            <w:pPr>
              <w:spacing w:after="0"/>
              <w:rPr>
                <w:sz w:val="1"/>
                <w:szCs w:val="1"/>
                <w:color w:val="auto"/>
              </w:rPr>
            </w:pPr>
          </w:p>
        </w:tc>
      </w:tr>
      <w:tr>
        <w:trPr>
          <w:trHeight w:val="180"/>
        </w:trPr>
        <w:tc>
          <w:tcPr>
            <w:tcW w:w="356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91"/>
              </w:rPr>
              <w:t>Class A Common Stock, par value $0.0001 per</w:t>
            </w:r>
          </w:p>
        </w:tc>
        <w:tc>
          <w:tcPr>
            <w:tcW w:w="120" w:type="dxa"/>
            <w:vAlign w:val="bottom"/>
          </w:tcPr>
          <w:p>
            <w:pPr>
              <w:spacing w:after="0"/>
              <w:rPr>
                <w:sz w:val="15"/>
                <w:szCs w:val="15"/>
                <w:color w:val="auto"/>
              </w:rPr>
            </w:pPr>
          </w:p>
        </w:tc>
        <w:tc>
          <w:tcPr>
            <w:tcW w:w="336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rPr>
              <w:t>BKKT</w:t>
            </w:r>
          </w:p>
        </w:tc>
        <w:tc>
          <w:tcPr>
            <w:tcW w:w="100" w:type="dxa"/>
            <w:vAlign w:val="bottom"/>
          </w:tcPr>
          <w:p>
            <w:pPr>
              <w:spacing w:after="0"/>
              <w:rPr>
                <w:sz w:val="15"/>
                <w:szCs w:val="15"/>
                <w:color w:val="auto"/>
              </w:rPr>
            </w:pPr>
          </w:p>
        </w:tc>
        <w:tc>
          <w:tcPr>
            <w:tcW w:w="336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r>
        <w:trPr>
          <w:trHeight w:val="206"/>
        </w:trPr>
        <w:tc>
          <w:tcPr>
            <w:tcW w:w="3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share</w:t>
            </w: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Warrants to purchase Class A Common Stock</w:t>
            </w:r>
          </w:p>
        </w:tc>
        <w:tc>
          <w:tcPr>
            <w:tcW w:w="3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BKKT WS</w:t>
            </w:r>
          </w:p>
        </w:tc>
        <w:tc>
          <w:tcPr>
            <w:tcW w:w="3360" w:type="dxa"/>
            <w:vAlign w:val="bottom"/>
          </w:tcPr>
          <w:p>
            <w:pPr>
              <w:jc w:val="center"/>
              <w:spacing w:after="0"/>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 w:right="30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8" w:lineRule="exact"/>
        <w:rPr>
          <w:sz w:val="24"/>
          <w:szCs w:val="24"/>
          <w:color w:val="auto"/>
        </w:rPr>
      </w:pPr>
    </w:p>
    <w:p>
      <w:pPr>
        <w:ind w:left="4"/>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4" w:lineRule="exact"/>
        <w:rPr>
          <w:sz w:val="24"/>
          <w:szCs w:val="24"/>
          <w:color w:val="auto"/>
        </w:rPr>
      </w:pPr>
    </w:p>
    <w:p>
      <w:pPr>
        <w:ind w:left="4" w:right="280"/>
        <w:spacing w:after="0" w:line="22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664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49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664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sectPr>
          <w:pgSz w:w="11900" w:h="16838" w:orient="portrait"/>
          <w:cols w:equalWidth="0" w:num="1">
            <w:col w:w="10504"/>
          </w:cols>
          <w:pgMar w:left="696" w:top="356" w:right="69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Introductory Note</w:t>
      </w:r>
    </w:p>
    <w:p>
      <w:pPr>
        <w:spacing w:after="0" w:line="119" w:lineRule="exact"/>
        <w:rPr>
          <w:sz w:val="20"/>
          <w:szCs w:val="20"/>
          <w:color w:val="auto"/>
        </w:rPr>
      </w:pPr>
    </w:p>
    <w:p>
      <w:pPr>
        <w:ind w:left="4" w:firstLine="420"/>
        <w:spacing w:after="0" w:line="265" w:lineRule="auto"/>
        <w:rPr>
          <w:sz w:val="20"/>
          <w:szCs w:val="20"/>
          <w:color w:val="auto"/>
        </w:rPr>
      </w:pPr>
      <w:r>
        <w:rPr>
          <w:rFonts w:ascii="Arial" w:cs="Arial" w:eastAsia="Arial" w:hAnsi="Arial"/>
          <w:sz w:val="17"/>
          <w:szCs w:val="17"/>
          <w:color w:val="auto"/>
        </w:rPr>
        <w:t>This Amendment No. 1 on Form 8-K/A (“Amendment No. 1”) amends the Current Report on Form 8-K of Bakkt Holdings, Inc., a Delaware corporation (the “Company”), filed on October 21, 2021 (the “Original Report”), in which the Company reported, among other events, the completion of the Business Combination (as defined in the Original Report).</w:t>
      </w:r>
    </w:p>
    <w:p>
      <w:pPr>
        <w:spacing w:after="0" w:line="176" w:lineRule="exact"/>
        <w:rPr>
          <w:sz w:val="20"/>
          <w:szCs w:val="20"/>
          <w:color w:val="auto"/>
        </w:rPr>
      </w:pPr>
    </w:p>
    <w:p>
      <w:pPr>
        <w:ind w:left="4" w:right="60" w:firstLine="420"/>
        <w:spacing w:after="0" w:line="259" w:lineRule="auto"/>
        <w:rPr>
          <w:sz w:val="20"/>
          <w:szCs w:val="20"/>
          <w:color w:val="auto"/>
        </w:rPr>
      </w:pPr>
      <w:r>
        <w:rPr>
          <w:rFonts w:ascii="Arial" w:cs="Arial" w:eastAsia="Arial" w:hAnsi="Arial"/>
          <w:sz w:val="17"/>
          <w:szCs w:val="17"/>
          <w:color w:val="auto"/>
        </w:rPr>
        <w:t>This Amendment No. 1 is being filed in order to include (1) the unaudited consolidated financial statements of Bakkt Opco Holdings, LLC (“Opco”), as of September 30, 2021 and for the three and nine months ended September 30, 2021 and 2020, (2) Management’s Discussion and Analysis of Financial Condition and Results of Operations of Opco for the three and nine months ended September 30, 2021 and 2020 and (3) the unaudited pro forma condensed combined financial information of the Company as of and for the nine months ended September 30, 2021 and for the year ended December 31, 2020.</w:t>
      </w:r>
    </w:p>
    <w:p>
      <w:pPr>
        <w:spacing w:after="0" w:line="180" w:lineRule="exact"/>
        <w:rPr>
          <w:sz w:val="20"/>
          <w:szCs w:val="20"/>
          <w:color w:val="auto"/>
        </w:rPr>
      </w:pPr>
    </w:p>
    <w:p>
      <w:pPr>
        <w:ind w:left="4" w:right="20" w:firstLine="420"/>
        <w:spacing w:after="0" w:line="265" w:lineRule="auto"/>
        <w:rPr>
          <w:sz w:val="20"/>
          <w:szCs w:val="20"/>
          <w:color w:val="auto"/>
        </w:rPr>
      </w:pPr>
      <w:r>
        <w:rPr>
          <w:rFonts w:ascii="Arial" w:cs="Arial" w:eastAsia="Arial" w:hAnsi="Arial"/>
          <w:sz w:val="17"/>
          <w:szCs w:val="17"/>
          <w:color w:val="auto"/>
        </w:rPr>
        <w:t>This Amendment No. 1 does not amend any other item of the Original Report or purport to provide an update or a discussion of any developments at the Company or its subsidiaries, including Opco, subsequent to the filing date of the Original Report. The information previously reported in or filed with the Original Report is hereby incorporated by reference to this Form 8-K/A.</w:t>
      </w:r>
    </w:p>
    <w:p>
      <w:pPr>
        <w:spacing w:after="0" w:line="311" w:lineRule="exact"/>
        <w:rPr>
          <w:sz w:val="20"/>
          <w:szCs w:val="20"/>
          <w:color w:val="auto"/>
        </w:rPr>
      </w:pPr>
    </w:p>
    <w:p>
      <w:pPr>
        <w:ind w:left="4"/>
        <w:spacing w:after="0"/>
        <w:tabs>
          <w:tab w:leader="none" w:pos="1124"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32" w:lineRule="exact"/>
        <w:rPr>
          <w:sz w:val="20"/>
          <w:szCs w:val="20"/>
          <w:color w:val="auto"/>
        </w:rPr>
      </w:pPr>
    </w:p>
    <w:p>
      <w:pPr>
        <w:ind w:left="924" w:hanging="512"/>
        <w:spacing w:after="0"/>
        <w:tabs>
          <w:tab w:leader="none" w:pos="924"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statements of businesses acquired.</w:t>
      </w:r>
    </w:p>
    <w:p>
      <w:pPr>
        <w:spacing w:after="0" w:line="113" w:lineRule="exact"/>
        <w:rPr>
          <w:sz w:val="20"/>
          <w:szCs w:val="20"/>
          <w:color w:val="auto"/>
        </w:rPr>
      </w:pPr>
    </w:p>
    <w:p>
      <w:pPr>
        <w:ind w:left="4" w:right="20" w:firstLine="420"/>
        <w:spacing w:after="0" w:line="293" w:lineRule="auto"/>
        <w:rPr>
          <w:sz w:val="20"/>
          <w:szCs w:val="20"/>
          <w:color w:val="auto"/>
        </w:rPr>
      </w:pPr>
      <w:r>
        <w:rPr>
          <w:rFonts w:ascii="Arial" w:cs="Arial" w:eastAsia="Arial" w:hAnsi="Arial"/>
          <w:sz w:val="15"/>
          <w:szCs w:val="15"/>
          <w:color w:val="auto"/>
        </w:rPr>
        <w:t>Included as Exhibit 99.1 and 99.2, respectively, and incorporated herein by reference are the (1) the unaudited consolidated financial statements of Opco as of September 30, 2021 and for the three and nine months ended September 30, 2021 and 2020, and the related notes thereto; and</w:t>
      </w:r>
    </w:p>
    <w:p>
      <w:pPr>
        <w:spacing w:after="0" w:line="1" w:lineRule="exact"/>
        <w:rPr>
          <w:sz w:val="20"/>
          <w:szCs w:val="20"/>
          <w:color w:val="auto"/>
        </w:rPr>
      </w:pPr>
    </w:p>
    <w:p>
      <w:pPr>
        <w:ind w:left="4" w:right="980" w:hanging="4"/>
        <w:spacing w:after="0" w:line="265" w:lineRule="auto"/>
        <w:tabs>
          <w:tab w:leader="none" w:pos="247"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of Opco for the three and nine months ended September 30, 2021 and 2020.</w:t>
      </w:r>
    </w:p>
    <w:p>
      <w:pPr>
        <w:spacing w:after="0" w:line="201" w:lineRule="exact"/>
        <w:rPr>
          <w:sz w:val="20"/>
          <w:szCs w:val="20"/>
          <w:color w:val="auto"/>
        </w:rPr>
      </w:pPr>
    </w:p>
    <w:p>
      <w:pPr>
        <w:ind w:left="924" w:hanging="512"/>
        <w:spacing w:after="0"/>
        <w:tabs>
          <w:tab w:leader="none" w:pos="92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 forma financial information.</w:t>
      </w:r>
    </w:p>
    <w:p>
      <w:pPr>
        <w:spacing w:after="0" w:line="113" w:lineRule="exact"/>
        <w:rPr>
          <w:sz w:val="20"/>
          <w:szCs w:val="20"/>
          <w:color w:val="auto"/>
        </w:rPr>
      </w:pPr>
    </w:p>
    <w:p>
      <w:pPr>
        <w:ind w:left="4" w:right="20" w:firstLine="420"/>
        <w:spacing w:after="0" w:line="278" w:lineRule="auto"/>
        <w:rPr>
          <w:sz w:val="20"/>
          <w:szCs w:val="20"/>
          <w:color w:val="auto"/>
        </w:rPr>
      </w:pPr>
      <w:r>
        <w:rPr>
          <w:rFonts w:ascii="Arial" w:cs="Arial" w:eastAsia="Arial" w:hAnsi="Arial"/>
          <w:sz w:val="17"/>
          <w:szCs w:val="17"/>
          <w:color w:val="auto"/>
        </w:rPr>
        <w:t>The unaudited pro forma condensed combined financial information of the Company as of and for the nine months ended September 30, 2021 and for the year ended December 31, 2020 is attached hereto as Exhibit 99.3 and is incorporated herein by reference.</w:t>
      </w:r>
    </w:p>
    <w:p>
      <w:pPr>
        <w:spacing w:after="0" w:line="190" w:lineRule="exact"/>
        <w:rPr>
          <w:sz w:val="20"/>
          <w:szCs w:val="20"/>
          <w:color w:val="auto"/>
        </w:rPr>
      </w:pPr>
    </w:p>
    <w:p>
      <w:pPr>
        <w:ind w:left="924" w:hanging="512"/>
        <w:spacing w:after="0"/>
        <w:tabs>
          <w:tab w:leader="none" w:pos="924" w:val="left"/>
        </w:tabs>
        <w:numPr>
          <w:ilvl w:val="0"/>
          <w:numId w:val="5"/>
        </w:numPr>
        <w:rPr>
          <w:rFonts w:ascii="Arial" w:cs="Arial" w:eastAsia="Arial" w:hAnsi="Arial"/>
          <w:sz w:val="17"/>
          <w:szCs w:val="17"/>
          <w:color w:val="auto"/>
        </w:rPr>
      </w:pPr>
      <w:r>
        <w:rPr>
          <w:rFonts w:ascii="Arial" w:cs="Arial" w:eastAsia="Arial" w:hAnsi="Arial"/>
          <w:sz w:val="17"/>
          <w:szCs w:val="17"/>
          <w:color w:val="auto"/>
        </w:rPr>
        <w:t>Exhibits.</w:t>
      </w:r>
    </w:p>
    <w:p>
      <w:pPr>
        <w:sectPr>
          <w:pgSz w:w="11900" w:h="16838" w:orient="portrait"/>
          <w:cols w:equalWidth="0" w:num="1">
            <w:col w:w="10484"/>
          </w:cols>
          <w:pgMar w:left="696" w:top="288" w:right="719" w:bottom="1440" w:gutter="0" w:footer="0" w:header="0"/>
        </w:sectPr>
      </w:pPr>
    </w:p>
    <w:p>
      <w:pPr>
        <w:spacing w:after="0" w:line="232" w:lineRule="exact"/>
        <w:rPr>
          <w:sz w:val="20"/>
          <w:szCs w:val="20"/>
          <w:color w:val="auto"/>
        </w:rPr>
      </w:pPr>
    </w:p>
    <w:p>
      <w:pPr>
        <w:jc w:val="center"/>
        <w:ind w:left="24"/>
        <w:spacing w:after="0"/>
        <w:rPr>
          <w:sz w:val="20"/>
          <w:szCs w:val="20"/>
          <w:color w:val="auto"/>
        </w:rPr>
      </w:pPr>
      <w:r>
        <w:rPr>
          <w:rFonts w:ascii="Arial" w:cs="Arial" w:eastAsia="Arial" w:hAnsi="Arial"/>
          <w:sz w:val="13"/>
          <w:szCs w:val="13"/>
          <w:b w:val="1"/>
          <w:bCs w:val="1"/>
          <w:color w:val="auto"/>
        </w:rPr>
        <w:t>Exhibit</w:t>
      </w:r>
    </w:p>
    <w:p>
      <w:pPr>
        <w:spacing w:after="0" w:line="8" w:lineRule="exact"/>
        <w:rPr>
          <w:sz w:val="20"/>
          <w:szCs w:val="20"/>
          <w:color w:val="auto"/>
        </w:rPr>
      </w:pPr>
    </w:p>
    <w:p>
      <w:pPr>
        <w:jc w:val="center"/>
        <w:ind w:left="24"/>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10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96" w:lineRule="exact"/>
        <w:rPr>
          <w:sz w:val="20"/>
          <w:szCs w:val="20"/>
          <w:color w:val="auto"/>
        </w:rPr>
      </w:pPr>
    </w:p>
    <w:p>
      <w:pPr>
        <w:ind w:left="4"/>
        <w:spacing w:after="0"/>
        <w:rPr>
          <w:sz w:val="20"/>
          <w:szCs w:val="20"/>
          <w:color w:val="auto"/>
        </w:rPr>
      </w:pPr>
      <w:r>
        <w:rPr>
          <w:rFonts w:ascii="Arial" w:cs="Arial" w:eastAsia="Arial" w:hAnsi="Arial"/>
          <w:sz w:val="17"/>
          <w:szCs w:val="17"/>
          <w:color w:val="auto"/>
        </w:rPr>
        <w:t>99.1</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06" w:lineRule="exact"/>
        <w:rPr>
          <w:sz w:val="20"/>
          <w:szCs w:val="20"/>
          <w:color w:val="auto"/>
        </w:rPr>
      </w:pPr>
    </w:p>
    <w:p>
      <w:pPr>
        <w:ind w:right="140"/>
        <w:spacing w:after="0" w:line="278" w:lineRule="auto"/>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Unaudited Consolidated Financial Statements of Opco as of September 30, 2021 and for the three and nine months ended September 30,</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2021 and 2020.</w:t>
        </w:r>
      </w:hyperlink>
    </w:p>
    <w:p>
      <w:pPr>
        <w:spacing w:after="0" w:line="46" w:lineRule="exact"/>
        <w:rPr>
          <w:sz w:val="20"/>
          <w:szCs w:val="20"/>
          <w:color w:val="auto"/>
        </w:rPr>
      </w:pPr>
    </w:p>
    <w:p>
      <w:pPr>
        <w:sectPr>
          <w:pgSz w:w="11900" w:h="16838" w:orient="portrait"/>
          <w:cols w:equalWidth="0" w:num="2">
            <w:col w:w="464" w:space="520"/>
            <w:col w:w="9500"/>
          </w:cols>
          <w:pgMar w:left="696" w:top="288" w:right="719" w:bottom="1440" w:gutter="0" w:footer="0" w:header="0"/>
          <w:type w:val="continuous"/>
        </w:sectPr>
      </w:pPr>
    </w:p>
    <w:tbl>
      <w:tblPr>
        <w:tblLayout w:type="fixed"/>
        <w:tblInd w:w="4" w:type="dxa"/>
        <w:tblCellMar>
          <w:top w:w="0" w:type="dxa"/>
          <w:left w:w="0" w:type="dxa"/>
          <w:bottom w:w="0" w:type="dxa"/>
          <w:right w:w="0" w:type="dxa"/>
        </w:tblCellMar>
      </w:tblPr>
      <w:tr>
        <w:trPr>
          <w:trHeight w:val="195"/>
        </w:trPr>
        <w:tc>
          <w:tcPr>
            <w:tcW w:w="980" w:type="dxa"/>
            <w:vAlign w:val="bottom"/>
          </w:tcPr>
          <w:p>
            <w:pPr>
              <w:jc w:val="right"/>
              <w:ind w:right="594"/>
              <w:spacing w:after="0"/>
              <w:rPr>
                <w:sz w:val="20"/>
                <w:szCs w:val="20"/>
                <w:color w:val="auto"/>
              </w:rPr>
            </w:pPr>
            <w:r>
              <w:rPr>
                <w:rFonts w:ascii="Arial" w:cs="Arial" w:eastAsia="Arial" w:hAnsi="Arial"/>
                <w:sz w:val="17"/>
                <w:szCs w:val="17"/>
                <w:color w:val="auto"/>
                <w:w w:val="84"/>
              </w:rPr>
              <w:t>99.2</w:t>
            </w:r>
          </w:p>
        </w:tc>
        <w:tc>
          <w:tcPr>
            <w:tcW w:w="9260" w:type="dxa"/>
            <w:vAlign w:val="bottom"/>
            <w:tcBorders>
              <w:bottom w:val="single" w:sz="8" w:color="0000EE"/>
            </w:tcBorders>
            <w:gridSpan w:val="4"/>
          </w:tcPr>
          <w:p>
            <w:pPr>
              <w:spacing w:after="0"/>
              <w:rPr>
                <w:rFonts w:ascii="Arial" w:cs="Arial" w:eastAsia="Arial" w:hAnsi="Arial"/>
                <w:sz w:val="17"/>
                <w:szCs w:val="17"/>
                <w:color w:val="0000EE"/>
                <w:w w:val="91"/>
              </w:rPr>
            </w:pPr>
            <w:hyperlink w:anchor="page34">
              <w:r>
                <w:rPr>
                  <w:rFonts w:ascii="Arial" w:cs="Arial" w:eastAsia="Arial" w:hAnsi="Arial"/>
                  <w:sz w:val="17"/>
                  <w:szCs w:val="17"/>
                  <w:color w:val="0000EE"/>
                  <w:w w:val="91"/>
                </w:rPr>
                <w:t>Management’s Discussion and Analysis of Financial Condition and Results of Operations of Opco for the three and nine months ended</w:t>
              </w:r>
            </w:hyperlink>
          </w:p>
        </w:tc>
      </w:tr>
      <w:tr>
        <w:trPr>
          <w:trHeight w:val="186"/>
        </w:trPr>
        <w:tc>
          <w:tcPr>
            <w:tcW w:w="980" w:type="dxa"/>
            <w:vAlign w:val="bottom"/>
          </w:tcPr>
          <w:p>
            <w:pPr>
              <w:spacing w:after="0"/>
              <w:rPr>
                <w:sz w:val="16"/>
                <w:szCs w:val="16"/>
                <w:color w:val="auto"/>
              </w:rPr>
            </w:pPr>
          </w:p>
        </w:tc>
        <w:tc>
          <w:tcPr>
            <w:tcW w:w="9260" w:type="dxa"/>
            <w:vAlign w:val="bottom"/>
            <w:gridSpan w:val="4"/>
          </w:tcPr>
          <w:p>
            <w:pPr>
              <w:spacing w:after="0" w:line="186" w:lineRule="exact"/>
              <w:rPr>
                <w:rFonts w:ascii="Arial" w:cs="Arial" w:eastAsia="Arial" w:hAnsi="Arial"/>
                <w:sz w:val="17"/>
                <w:szCs w:val="17"/>
                <w:color w:val="0000EE"/>
              </w:rPr>
            </w:pPr>
            <w:hyperlink w:anchor="page34">
              <w:r>
                <w:rPr>
                  <w:rFonts w:ascii="Arial" w:cs="Arial" w:eastAsia="Arial" w:hAnsi="Arial"/>
                  <w:sz w:val="17"/>
                  <w:szCs w:val="17"/>
                  <w:color w:val="0000EE"/>
                </w:rPr>
                <w:t>September 30, 2021 and 2020.</w:t>
              </w:r>
            </w:hyperlink>
          </w:p>
        </w:tc>
      </w:tr>
      <w:tr>
        <w:trPr>
          <w:trHeight w:val="20"/>
        </w:trPr>
        <w:tc>
          <w:tcPr>
            <w:tcW w:w="9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980" w:type="dxa"/>
            <w:vAlign w:val="bottom"/>
          </w:tcPr>
          <w:p>
            <w:pPr>
              <w:jc w:val="right"/>
              <w:ind w:right="594"/>
              <w:spacing w:after="0"/>
              <w:rPr>
                <w:sz w:val="20"/>
                <w:szCs w:val="20"/>
                <w:color w:val="auto"/>
              </w:rPr>
            </w:pPr>
            <w:r>
              <w:rPr>
                <w:rFonts w:ascii="Arial" w:cs="Arial" w:eastAsia="Arial" w:hAnsi="Arial"/>
                <w:sz w:val="17"/>
                <w:szCs w:val="17"/>
                <w:color w:val="auto"/>
                <w:w w:val="84"/>
              </w:rPr>
              <w:t>99.3</w:t>
            </w:r>
          </w:p>
        </w:tc>
        <w:tc>
          <w:tcPr>
            <w:tcW w:w="9260" w:type="dxa"/>
            <w:vAlign w:val="bottom"/>
            <w:gridSpan w:val="4"/>
          </w:tcPr>
          <w:p>
            <w:pPr>
              <w:spacing w:after="0"/>
              <w:rPr>
                <w:rFonts w:ascii="Arial" w:cs="Arial" w:eastAsia="Arial" w:hAnsi="Arial"/>
                <w:sz w:val="17"/>
                <w:szCs w:val="17"/>
                <w:color w:val="0000EE"/>
                <w:w w:val="90"/>
              </w:rPr>
            </w:pPr>
            <w:hyperlink w:anchor="page66">
              <w:r>
                <w:rPr>
                  <w:rFonts w:ascii="Arial" w:cs="Arial" w:eastAsia="Arial" w:hAnsi="Arial"/>
                  <w:sz w:val="17"/>
                  <w:szCs w:val="17"/>
                  <w:color w:val="0000EE"/>
                  <w:w w:val="90"/>
                </w:rPr>
                <w:t>Unaudited Pro Forma Condensed Combined Financial Statements of the Company as of and for the nine months ended September 30,</w:t>
              </w:r>
            </w:hyperlink>
          </w:p>
        </w:tc>
      </w:tr>
      <w:tr>
        <w:trPr>
          <w:trHeight w:val="186"/>
        </w:trPr>
        <w:tc>
          <w:tcPr>
            <w:tcW w:w="98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89"/>
              </w:rPr>
            </w:pPr>
            <w:hyperlink w:anchor="page66">
              <w:r>
                <w:rPr>
                  <w:rFonts w:ascii="Arial" w:cs="Arial" w:eastAsia="Arial" w:hAnsi="Arial"/>
                  <w:sz w:val="17"/>
                  <w:szCs w:val="17"/>
                  <w:color w:val="0000EE"/>
                  <w:w w:val="89"/>
                </w:rPr>
                <w:t>2021 and for the year ended December 31, 2020.</w:t>
              </w:r>
            </w:hyperlink>
          </w:p>
        </w:tc>
        <w:tc>
          <w:tcPr>
            <w:tcW w:w="58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r>
    </w:tbl>
    <w:p>
      <w:pPr>
        <w:spacing w:after="0" w:line="116" w:lineRule="exact"/>
        <w:rPr>
          <w:sz w:val="20"/>
          <w:szCs w:val="20"/>
          <w:color w:val="auto"/>
        </w:rPr>
      </w:pPr>
    </w:p>
    <w:p>
      <w:pPr>
        <w:ind w:left="5204" w:right="4000" w:hanging="5204"/>
        <w:spacing w:after="0" w:line="452" w:lineRule="auto"/>
        <w:tabs>
          <w:tab w:leader="none" w:pos="989"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2</w:t>
      </w:r>
    </w:p>
    <w:p>
      <w:pPr>
        <w:sectPr>
          <w:pgSz w:w="11900" w:h="16838" w:orient="portrait"/>
          <w:cols w:equalWidth="0" w:num="1">
            <w:col w:w="10484"/>
          </w:cols>
          <w:pgMar w:left="696" w:top="288" w:right="719" w:bottom="1440" w:gutter="0" w:footer="0" w:header="0"/>
          <w:type w:val="continuous"/>
        </w:sectPr>
      </w:pPr>
    </w:p>
    <w:bookmarkStart w:id="2" w:name="page3"/>
    <w:bookmarkEnd w:id="2"/>
    <w:p>
      <w:pPr>
        <w:ind w:left="47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SIGNATURES</w:t>
      </w:r>
    </w:p>
    <w:p>
      <w:pPr>
        <w:spacing w:after="0" w:line="22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Dated: November 12, 2021</w:t>
      </w:r>
    </w:p>
    <w:p>
      <w:pPr>
        <w:spacing w:after="0" w:line="236" w:lineRule="exact"/>
        <w:rPr>
          <w:sz w:val="20"/>
          <w:szCs w:val="20"/>
          <w:color w:val="auto"/>
        </w:rPr>
      </w:pPr>
    </w:p>
    <w:p>
      <w:pPr>
        <w:ind w:left="6300"/>
        <w:spacing w:after="0"/>
        <w:rPr>
          <w:sz w:val="20"/>
          <w:szCs w:val="20"/>
          <w:color w:val="auto"/>
        </w:rPr>
      </w:pPr>
      <w:r>
        <w:rPr>
          <w:rFonts w:ascii="Arial" w:cs="Arial" w:eastAsia="Arial" w:hAnsi="Arial"/>
          <w:sz w:val="17"/>
          <w:szCs w:val="17"/>
          <w:b w:val="1"/>
          <w:bCs w:val="1"/>
          <w:color w:val="auto"/>
        </w:rPr>
        <w:t>BAKKT HOLDINGS, INC.</w:t>
      </w:r>
    </w:p>
    <w:p>
      <w:pPr>
        <w:spacing w:after="0" w:line="222"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311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Name: Gavin Michael</w:t>
      </w:r>
    </w:p>
    <w:p>
      <w:pPr>
        <w:spacing w:after="0" w:line="21"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7"/>
          <w:szCs w:val="17"/>
          <w:color w:val="auto"/>
        </w:rPr>
        <w:t>Title:</w:t>
        <w:tab/>
        <w:t>Chief Executive Officer</w:t>
      </w:r>
    </w:p>
    <w:p>
      <w:pPr>
        <w:spacing w:after="0" w:line="14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80"/>
          </w:cols>
          <w:pgMar w:left="700" w:top="288" w:right="1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7"/>
                <w:szCs w:val="17"/>
                <w:b w:val="1"/>
                <w:bCs w:val="1"/>
                <w:color w:val="auto"/>
                <w:w w:val="93"/>
              </w:rPr>
              <w:t>Exhibit 99.1</w:t>
            </w:r>
          </w:p>
        </w:tc>
        <w:tc>
          <w:tcPr>
            <w:tcW w:w="0" w:type="dxa"/>
            <w:vAlign w:val="bottom"/>
          </w:tcPr>
          <w:p>
            <w:pPr>
              <w:spacing w:after="0"/>
              <w:rPr>
                <w:sz w:val="1"/>
                <w:szCs w:val="1"/>
                <w:color w:val="auto"/>
              </w:rPr>
            </w:pPr>
          </w:p>
        </w:tc>
      </w:tr>
      <w:tr>
        <w:trPr>
          <w:trHeight w:val="395"/>
        </w:trPr>
        <w:tc>
          <w:tcPr>
            <w:tcW w:w="8340" w:type="dxa"/>
            <w:vAlign w:val="bottom"/>
          </w:tcPr>
          <w:p>
            <w:pPr>
              <w:jc w:val="center"/>
              <w:ind w:left="2074"/>
              <w:spacing w:after="0"/>
              <w:rPr>
                <w:sz w:val="20"/>
                <w:szCs w:val="20"/>
                <w:color w:val="auto"/>
              </w:rPr>
            </w:pPr>
            <w:r>
              <w:rPr>
                <w:rFonts w:ascii="Arial" w:cs="Arial" w:eastAsia="Arial" w:hAnsi="Arial"/>
                <w:sz w:val="17"/>
                <w:szCs w:val="17"/>
                <w:b w:val="1"/>
                <w:bCs w:val="1"/>
                <w:color w:val="auto"/>
                <w:w w:val="95"/>
              </w:rPr>
              <w:t>Bakkt Holdings, LLC</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340" w:type="dxa"/>
            <w:vAlign w:val="bottom"/>
          </w:tcPr>
          <w:p>
            <w:pPr>
              <w:jc w:val="center"/>
              <w:ind w:left="2074"/>
              <w:spacing w:after="0"/>
              <w:rPr>
                <w:sz w:val="20"/>
                <w:szCs w:val="20"/>
                <w:color w:val="auto"/>
              </w:rPr>
            </w:pPr>
            <w:r>
              <w:rPr>
                <w:rFonts w:ascii="Arial" w:cs="Arial" w:eastAsia="Arial" w:hAnsi="Arial"/>
                <w:sz w:val="17"/>
                <w:szCs w:val="17"/>
                <w:b w:val="1"/>
                <w:bCs w:val="1"/>
                <w:color w:val="auto"/>
                <w:w w:val="88"/>
              </w:rPr>
              <w:t>Consolidated Balance Sheets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40" w:type="dxa"/>
            <w:vAlign w:val="bottom"/>
          </w:tcPr>
          <w:p>
            <w:pPr>
              <w:jc w:val="center"/>
              <w:ind w:left="2074"/>
              <w:spacing w:after="0"/>
              <w:rPr>
                <w:sz w:val="20"/>
                <w:szCs w:val="20"/>
                <w:color w:val="auto"/>
              </w:rPr>
            </w:pPr>
            <w:r>
              <w:rPr>
                <w:rFonts w:ascii="Arial" w:cs="Arial" w:eastAsia="Arial" w:hAnsi="Arial"/>
                <w:sz w:val="17"/>
                <w:szCs w:val="17"/>
                <w:b w:val="1"/>
                <w:bCs w:val="1"/>
                <w:color w:val="auto"/>
                <w:w w:val="89"/>
              </w:rPr>
              <w:t>(in thousands, except unit data)</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83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4"/>
        </w:trPr>
        <w:tc>
          <w:tcPr>
            <w:tcW w:w="83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5"/>
              <w:spacing w:after="0" w:line="13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2"/>
              </w:rPr>
              <w:t>(Unaudited)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22,106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75,361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16,500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16,500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funds</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13,280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10,408</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 shares of affiliate stock, current</w:t>
            </w: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1,823</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Deposits with clearinghouse affiliate, current</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20,200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132,063</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28,067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19,957</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233,429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233,429</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57,336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62,199</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Deposits with clearinghouse affiliate, noncurrent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15,151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15,150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57,286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42,915</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Customer funds payable</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4,282</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Due to affiliates</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1,943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66,590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51,077</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4,103</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73,975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58,594</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Mezzanine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w w:val="94"/>
              </w:rPr>
              <w:t>Incentive units (156,000,000 authorized, 100,192,510 unvested units and 85,875,000 unvested units issued and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520"/>
              <w:spacing w:after="0"/>
              <w:rPr>
                <w:sz w:val="20"/>
                <w:szCs w:val="20"/>
                <w:color w:val="auto"/>
              </w:rPr>
            </w:pPr>
            <w:r>
              <w:rPr>
                <w:rFonts w:ascii="Arial" w:cs="Arial" w:eastAsia="Arial" w:hAnsi="Arial"/>
                <w:sz w:val="17"/>
                <w:szCs w:val="17"/>
                <w:color w:val="auto"/>
              </w:rPr>
              <w:t>outstanding as of September 30, 2021 and December 31, 2020, respectively)</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21,452</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rPr>
              <w:t>Class A voting units (413,000,000 units authorized, 400,000,000 units issued and outstanding as of</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3,071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2,613</w:t>
            </w: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5"/>
              </w:rPr>
              <w:t>Class B voting units (212,500,000 units authorized, 192,453,454 and 182,500,000 units issued and outstanding</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as of September 30, 2021 and December 31, 2020, respectively)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187,926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182,500</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B warrant (see Note 8)</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5,426</w:t>
            </w: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Class C voting units (284,000,000 units authorized, 270,270,270 units issued and outstanding as of</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310,104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310,104</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C warrant (see Note 8)</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(202,062)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(112,504)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300,181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388,330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Total liabilities and members’ equity</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0500"/>
          </w:cols>
          <w:pgMar w:left="700" w:top="121" w:right="6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4"/>
        </w:trPr>
        <w:tc>
          <w:tcPr>
            <w:tcW w:w="6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97"/>
              <w:spacing w:after="0" w:line="13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7"/>
              <w:spacing w:after="0" w:line="13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9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w w:val="97"/>
              </w:rPr>
              <w:t>Net revenues (net revenues from affiliate of $111, $1,149, $154 and $2,153,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9,142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6,629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25,773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$ 19,067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22,225</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12,637</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57,375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30,508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3,334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2,392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4,657</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3,148</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2,311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9,851</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6,958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4,449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1,664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19,514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3,472</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1,766</w:t>
            </w:r>
          </w:p>
        </w:tc>
        <w:tc>
          <w:tcPr>
            <w:tcW w:w="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12,075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11,477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3,270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2,232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5,536</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1,413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2,611</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2,450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3,843</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1,038</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39,004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9"/>
              </w:rPr>
              <w:t>24,337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115,370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69,448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(29,862)</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(17,708)</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(89,597)</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(50,381)</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1,123</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(28,835)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(17,960)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(89,363)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(49,980)</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(89,558)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(50,016)</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Currency translation adjustment, net of tax</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(29,038)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(17,884)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(89,576)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(50,096)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500"/>
          </w:cols>
          <w:pgMar w:left="700" w:top="263" w:right="699" w:bottom="1440" w:gutter="0" w:footer="0" w:header="0"/>
        </w:sectPr>
      </w:pPr>
    </w:p>
    <w:bookmarkStart w:id="5" w:name="page6"/>
    <w:bookmarkEnd w:id="5"/>
    <w:p>
      <w:pPr>
        <w:jc w:val="center"/>
        <w:ind w:right="4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B</w:t>
            </w:r>
          </w:p>
        </w:tc>
        <w:tc>
          <w:tcPr>
            <w:tcW w:w="60" w:type="dxa"/>
            <w:vAlign w:val="bottom"/>
          </w:tcPr>
          <w:p>
            <w:pPr>
              <w:spacing w:after="0"/>
              <w:rPr>
                <w:sz w:val="13"/>
                <w:szCs w:val="13"/>
                <w:color w:val="auto"/>
              </w:rPr>
            </w:pPr>
          </w:p>
        </w:tc>
        <w:tc>
          <w:tcPr>
            <w:tcW w:w="142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9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5"/>
                <w:szCs w:val="5"/>
                <w:color w:val="auto"/>
              </w:rPr>
            </w:pP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7"/>
                <w:szCs w:val="7"/>
                <w:color w:val="auto"/>
              </w:rPr>
            </w:pPr>
          </w:p>
        </w:tc>
        <w:tc>
          <w:tcPr>
            <w:tcW w:w="980" w:type="dxa"/>
            <w:vAlign w:val="bottom"/>
            <w:gridSpan w:val="3"/>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6"/>
              </w:rPr>
              <w:t>Comprehensive</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900" w:type="dxa"/>
            <w:vAlign w:val="bottom"/>
            <w:gridSpan w:val="4"/>
            <w:vMerge w:val="continue"/>
          </w:tcPr>
          <w:p>
            <w:pPr>
              <w:spacing w:after="0"/>
              <w:rPr>
                <w:sz w:val="7"/>
                <w:szCs w:val="7"/>
                <w:color w:val="auto"/>
              </w:rPr>
            </w:pPr>
          </w:p>
        </w:tc>
        <w:tc>
          <w:tcPr>
            <w:tcW w:w="580" w:type="dxa"/>
            <w:vAlign w:val="bottom"/>
            <w:gridSpan w:val="2"/>
            <w:vMerge w:val="restart"/>
          </w:tcPr>
          <w:p>
            <w:pPr>
              <w:ind w:left="20"/>
              <w:spacing w:after="0" w:line="142" w:lineRule="exact"/>
              <w:rPr>
                <w:sz w:val="20"/>
                <w:szCs w:val="20"/>
                <w:color w:val="auto"/>
              </w:rPr>
            </w:pPr>
            <w:r>
              <w:rPr>
                <w:rFonts w:ascii="Arial" w:cs="Arial" w:eastAsia="Arial" w:hAnsi="Arial"/>
                <w:sz w:val="13"/>
                <w:szCs w:val="13"/>
                <w:b w:val="1"/>
                <w:bCs w:val="1"/>
                <w:color w:val="auto"/>
                <w:w w:val="82"/>
              </w:rPr>
              <w:t>Mezzanine</w:t>
            </w:r>
          </w:p>
        </w:tc>
        <w:tc>
          <w:tcPr>
            <w:tcW w:w="0" w:type="dxa"/>
            <w:vAlign w:val="bottom"/>
          </w:tcPr>
          <w:p>
            <w:pPr>
              <w:spacing w:after="0"/>
              <w:rPr>
                <w:sz w:val="1"/>
                <w:szCs w:val="1"/>
                <w:color w:val="auto"/>
              </w:rPr>
            </w:pPr>
          </w:p>
        </w:tc>
      </w:tr>
      <w:tr>
        <w:trPr>
          <w:trHeight w:val="31"/>
        </w:trPr>
        <w:tc>
          <w:tcPr>
            <w:tcW w:w="9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92"/>
              </w:rPr>
              <w:t>June 30, 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$2,897</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(173,215)</w:t>
            </w:r>
          </w:p>
        </w:tc>
        <w:tc>
          <w:tcPr>
            <w:tcW w:w="12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364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$ 328,076</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$ 23,192</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23,192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174</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174</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ind w:left="320"/>
              <w:spacing w:after="0" w:line="160" w:lineRule="exact"/>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73"/>
              </w:rPr>
              <w:t>382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969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969</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(191)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9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(28,847)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(28,847)</w:t>
            </w: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4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spacing w:after="0" w:line="160" w:lineRule="exact"/>
              <w:rPr>
                <w:sz w:val="20"/>
                <w:szCs w:val="20"/>
                <w:color w:val="auto"/>
              </w:rPr>
            </w:pPr>
            <w:r>
              <w:rPr>
                <w:rFonts w:ascii="Arial" w:cs="Arial" w:eastAsia="Arial" w:hAnsi="Arial"/>
                <w:sz w:val="14"/>
                <w:szCs w:val="14"/>
                <w:color w:val="auto"/>
              </w:rPr>
              <w:t>(202,062) $</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173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$ 300,181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$ 23,574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23,574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960"/>
          </w:cols>
          <w:pgMar w:left="700" w:top="263" w:right="239" w:bottom="1440" w:gutter="0" w:footer="0" w:header="0"/>
        </w:sectPr>
      </w:pPr>
    </w:p>
    <w:bookmarkStart w:id="6" w:name="page7"/>
    <w:bookmarkEnd w:id="6"/>
    <w:p>
      <w:pPr>
        <w:jc w:val="center"/>
        <w:ind w:right="4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Class B</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Accumulated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7"/>
              </w:rPr>
              <w:t>Other</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Total</w:t>
            </w:r>
          </w:p>
        </w:tc>
        <w:tc>
          <w:tcPr>
            <w:tcW w:w="92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vMerge w:val="restart"/>
          </w:tcPr>
          <w:p>
            <w:pPr>
              <w:jc w:val="right"/>
              <w:spacing w:after="0" w:line="142" w:lineRule="exact"/>
              <w:rPr>
                <w:sz w:val="20"/>
                <w:szCs w:val="20"/>
                <w:color w:val="auto"/>
              </w:rPr>
            </w:pPr>
            <w:r>
              <w:rPr>
                <w:rFonts w:ascii="Arial" w:cs="Arial" w:eastAsia="Arial" w:hAnsi="Arial"/>
                <w:sz w:val="13"/>
                <w:szCs w:val="13"/>
                <w:b w:val="1"/>
                <w:bCs w:val="1"/>
                <w:color w:val="auto"/>
              </w:rPr>
              <w:t>Tot</w:t>
            </w: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Voting Units</w:t>
            </w:r>
          </w:p>
        </w:tc>
        <w:tc>
          <w:tcPr>
            <w:tcW w:w="11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Class B Warrant</w:t>
            </w:r>
          </w:p>
        </w:tc>
        <w:tc>
          <w:tcPr>
            <w:tcW w:w="140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11"/>
              <w:spacing w:after="0"/>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7"/>
                <w:szCs w:val="7"/>
                <w:color w:val="auto"/>
              </w:rPr>
            </w:pPr>
          </w:p>
        </w:tc>
        <w:tc>
          <w:tcPr>
            <w:tcW w:w="98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88"/>
              </w:rPr>
              <w:t>Comprehensive</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Members’</w:t>
            </w:r>
          </w:p>
        </w:tc>
        <w:tc>
          <w:tcPr>
            <w:tcW w:w="920" w:type="dxa"/>
            <w:vAlign w:val="bottom"/>
            <w:gridSpan w:val="4"/>
            <w:vMerge w:val="continue"/>
          </w:tcPr>
          <w:p>
            <w:pPr>
              <w:spacing w:after="0"/>
              <w:rPr>
                <w:sz w:val="7"/>
                <w:szCs w:val="7"/>
                <w:color w:val="auto"/>
              </w:rPr>
            </w:pPr>
          </w:p>
        </w:tc>
        <w:tc>
          <w:tcPr>
            <w:tcW w:w="360" w:type="dxa"/>
            <w:vAlign w:val="bottom"/>
            <w:gridSpan w:val="2"/>
            <w:vMerge w:val="restart"/>
          </w:tcPr>
          <w:p>
            <w:pPr>
              <w:spacing w:after="0" w:line="142" w:lineRule="exact"/>
              <w:rPr>
                <w:sz w:val="20"/>
                <w:szCs w:val="20"/>
                <w:color w:val="auto"/>
              </w:rPr>
            </w:pPr>
            <w:r>
              <w:rPr>
                <w:rFonts w:ascii="Arial" w:cs="Arial" w:eastAsia="Arial" w:hAnsi="Arial"/>
                <w:sz w:val="13"/>
                <w:szCs w:val="13"/>
                <w:b w:val="1"/>
                <w:bCs w:val="1"/>
                <w:color w:val="auto"/>
                <w:w w:val="88"/>
              </w:rPr>
              <w:t>Mezza</w:t>
            </w:r>
          </w:p>
        </w:tc>
        <w:tc>
          <w:tcPr>
            <w:tcW w:w="0" w:type="dxa"/>
            <w:vAlign w:val="bottom"/>
          </w:tcPr>
          <w:p>
            <w:pPr>
              <w:spacing w:after="0"/>
              <w:rPr>
                <w:sz w:val="1"/>
                <w:szCs w:val="1"/>
                <w:color w:val="auto"/>
              </w:rPr>
            </w:pPr>
          </w:p>
        </w:tc>
      </w:tr>
      <w:tr>
        <w:trPr>
          <w:trHeight w:val="31"/>
        </w:trPr>
        <w:tc>
          <w:tcPr>
            <w:tcW w:w="9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right"/>
              <w:ind w:right="15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50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right"/>
              <w:ind w:right="13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92"/>
              </w:rPr>
              <w:t>Equi</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3"/>
              </w:rPr>
              <w:t>December 31,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72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$2,613</w:t>
            </w:r>
          </w:p>
        </w:tc>
        <w:tc>
          <w:tcPr>
            <w:tcW w:w="82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2"/>
              </w:rPr>
              <w:t>182,500,000</w:t>
            </w:r>
          </w:p>
        </w:tc>
        <w:tc>
          <w:tcPr>
            <w:tcW w:w="6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5"/>
              </w:rPr>
              <w:t>$182,500</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$ 5,426</w:t>
            </w:r>
          </w:p>
        </w:tc>
        <w:tc>
          <w:tcPr>
            <w:tcW w:w="80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shd w:val="clear" w:color="auto" w:fill="CCEEFF"/>
          </w:tcPr>
          <w:p>
            <w:pPr>
              <w:jc w:val="center"/>
              <w:ind w:right="60"/>
              <w:spacing w:after="0" w:line="160" w:lineRule="exact"/>
              <w:rPr>
                <w:sz w:val="20"/>
                <w:szCs w:val="20"/>
                <w:color w:val="auto"/>
              </w:rPr>
            </w:pPr>
            <w:r>
              <w:rPr>
                <w:rFonts w:ascii="Arial" w:cs="Arial" w:eastAsia="Arial" w:hAnsi="Arial"/>
                <w:sz w:val="14"/>
                <w:szCs w:val="14"/>
                <w:color w:val="auto"/>
                <w:w w:val="92"/>
              </w:rPr>
              <w:t>$310,104</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(112,504)</w:t>
            </w:r>
          </w:p>
        </w:tc>
        <w:tc>
          <w:tcPr>
            <w:tcW w:w="1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w w:val="89"/>
              </w:rPr>
              <w:t>$ 388,330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5"/>
              </w:rPr>
              <w:t>$ 21,452</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458</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458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2,122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Exercise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voting units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9,953,454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969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969</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20"/>
              <w:spacing w:after="0" w:line="160" w:lineRule="exact"/>
              <w:rPr>
                <w:sz w:val="20"/>
                <w:szCs w:val="20"/>
                <w:color w:val="auto"/>
              </w:rPr>
            </w:pPr>
            <w:r>
              <w:rPr>
                <w:rFonts w:ascii="Arial" w:cs="Arial" w:eastAsia="Arial" w:hAnsi="Arial"/>
                <w:sz w:val="14"/>
                <w:szCs w:val="14"/>
                <w:color w:val="auto"/>
              </w:rPr>
              <w:t>(18)</w:t>
            </w:r>
          </w:p>
        </w:tc>
        <w:tc>
          <w:tcPr>
            <w:tcW w:w="7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(18)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(89,558)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(89,558)</w:t>
            </w:r>
          </w:p>
        </w:tc>
        <w:tc>
          <w:tcPr>
            <w:tcW w:w="3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line="129"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2021</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tcPr>
          <w:p>
            <w:pPr>
              <w:spacing w:after="0"/>
              <w:rPr>
                <w:sz w:val="13"/>
                <w:szCs w:val="13"/>
                <w:color w:val="auto"/>
              </w:rPr>
            </w:pPr>
          </w:p>
        </w:tc>
        <w:tc>
          <w:tcPr>
            <w:tcW w:w="460" w:type="dxa"/>
            <w:vAlign w:val="bottom"/>
            <w:gridSpan w:val="2"/>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w w:val="92"/>
              </w:rPr>
              <w:t>192,453,454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187,926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0"/>
              <w:spacing w:after="0" w:line="160" w:lineRule="exact"/>
              <w:rPr>
                <w:sz w:val="20"/>
                <w:szCs w:val="20"/>
                <w:color w:val="auto"/>
              </w:rPr>
            </w:pPr>
            <w:r>
              <w:rPr>
                <w:rFonts w:ascii="Arial" w:cs="Arial" w:eastAsia="Arial" w:hAnsi="Arial"/>
                <w:sz w:val="14"/>
                <w:szCs w:val="14"/>
                <w:color w:val="auto"/>
              </w:rPr>
              <w:t>$   —</w:t>
            </w:r>
          </w:p>
        </w:tc>
        <w:tc>
          <w:tcPr>
            <w:tcW w:w="800" w:type="dxa"/>
            <w:vAlign w:val="bottom"/>
            <w:gridSpan w:val="2"/>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tcPr>
          <w:p>
            <w:pPr>
              <w:jc w:val="center"/>
              <w:ind w:right="60"/>
              <w:spacing w:after="0" w:line="160"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310,104</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tcPr>
          <w:p>
            <w:pPr>
              <w:ind w:left="8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line="160" w:lineRule="exact"/>
              <w:rPr>
                <w:sz w:val="20"/>
                <w:szCs w:val="20"/>
                <w:color w:val="auto"/>
              </w:rPr>
            </w:pPr>
            <w:r>
              <w:rPr>
                <w:rFonts w:ascii="Arial" w:cs="Arial" w:eastAsia="Arial" w:hAnsi="Arial"/>
                <w:sz w:val="14"/>
                <w:szCs w:val="14"/>
                <w:color w:val="auto"/>
              </w:rPr>
              <w:t>(202,062) $</w:t>
            </w: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173</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w w:val="89"/>
              </w:rPr>
              <w:t>$ 300,181</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w w:val="95"/>
              </w:rPr>
              <w:t>$ 23,574</w:t>
            </w:r>
          </w:p>
        </w:tc>
        <w:tc>
          <w:tcPr>
            <w:tcW w:w="80" w:type="dxa"/>
            <w:vAlign w:val="bottom"/>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60"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960"/>
          </w:cols>
          <w:pgMar w:left="700" w:top="263"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84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10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Class B</w:t>
            </w:r>
          </w:p>
        </w:tc>
        <w:tc>
          <w:tcPr>
            <w:tcW w:w="140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C</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Accumulated</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0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jc w:val="right"/>
              <w:ind w:right="360"/>
              <w:spacing w:after="0" w:line="142"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6"/>
                <w:szCs w:val="6"/>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4"/>
        </w:trPr>
        <w:tc>
          <w:tcPr>
            <w:tcW w:w="1080" w:type="dxa"/>
            <w:vAlign w:val="bottom"/>
          </w:tcPr>
          <w:p>
            <w:pPr>
              <w:spacing w:after="0"/>
              <w:rPr>
                <w:sz w:val="5"/>
                <w:szCs w:val="5"/>
                <w:color w:val="auto"/>
              </w:rPr>
            </w:pPr>
          </w:p>
        </w:tc>
        <w:tc>
          <w:tcPr>
            <w:tcW w:w="1220" w:type="dxa"/>
            <w:vAlign w:val="bottom"/>
            <w:gridSpan w:val="3"/>
            <w:vMerge w:val="restart"/>
          </w:tcPr>
          <w:p>
            <w:pPr>
              <w:jc w:val="center"/>
              <w:spacing w:after="0" w:line="134" w:lineRule="exact"/>
              <w:rPr>
                <w:sz w:val="20"/>
                <w:szCs w:val="20"/>
                <w:color w:val="auto"/>
              </w:rPr>
            </w:pPr>
            <w:r>
              <w:rPr>
                <w:rFonts w:ascii="Arial" w:cs="Arial" w:eastAsia="Arial" w:hAnsi="Arial"/>
                <w:sz w:val="13"/>
                <w:szCs w:val="13"/>
                <w:b w:val="1"/>
                <w:bCs w:val="1"/>
                <w:color w:val="auto"/>
                <w:w w:val="88"/>
              </w:rPr>
              <w:t>Voting Units</w:t>
            </w:r>
          </w:p>
        </w:tc>
        <w:tc>
          <w:tcPr>
            <w:tcW w:w="80" w:type="dxa"/>
            <w:vAlign w:val="bottom"/>
          </w:tcPr>
          <w:p>
            <w:pPr>
              <w:spacing w:after="0"/>
              <w:rPr>
                <w:sz w:val="5"/>
                <w:szCs w:val="5"/>
                <w:color w:val="auto"/>
              </w:rPr>
            </w:pPr>
          </w:p>
        </w:tc>
        <w:tc>
          <w:tcPr>
            <w:tcW w:w="1360" w:type="dxa"/>
            <w:vAlign w:val="bottom"/>
            <w:gridSpan w:val="3"/>
            <w:vMerge w:val="restart"/>
          </w:tcPr>
          <w:p>
            <w:pPr>
              <w:ind w:left="340"/>
              <w:spacing w:after="0" w:line="134" w:lineRule="exact"/>
              <w:rPr>
                <w:sz w:val="20"/>
                <w:szCs w:val="20"/>
                <w:color w:val="auto"/>
              </w:rPr>
            </w:pPr>
            <w:r>
              <w:rPr>
                <w:rFonts w:ascii="Arial" w:cs="Arial" w:eastAsia="Arial" w:hAnsi="Arial"/>
                <w:sz w:val="13"/>
                <w:szCs w:val="13"/>
                <w:b w:val="1"/>
                <w:bCs w:val="1"/>
                <w:color w:val="auto"/>
              </w:rPr>
              <w:t>Voting Units</w:t>
            </w:r>
          </w:p>
        </w:tc>
        <w:tc>
          <w:tcPr>
            <w:tcW w:w="80" w:type="dxa"/>
            <w:vAlign w:val="bottom"/>
          </w:tcPr>
          <w:p>
            <w:pPr>
              <w:spacing w:after="0"/>
              <w:rPr>
                <w:sz w:val="5"/>
                <w:szCs w:val="5"/>
                <w:color w:val="auto"/>
              </w:rPr>
            </w:pPr>
          </w:p>
        </w:tc>
        <w:tc>
          <w:tcPr>
            <w:tcW w:w="980" w:type="dxa"/>
            <w:vAlign w:val="bottom"/>
            <w:gridSpan w:val="3"/>
            <w:vMerge w:val="restart"/>
          </w:tcPr>
          <w:p>
            <w:pPr>
              <w:ind w:left="260"/>
              <w:spacing w:after="0" w:line="134" w:lineRule="exact"/>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5"/>
                <w:szCs w:val="5"/>
                <w:color w:val="auto"/>
              </w:rPr>
            </w:pPr>
          </w:p>
        </w:tc>
        <w:tc>
          <w:tcPr>
            <w:tcW w:w="1360" w:type="dxa"/>
            <w:vAlign w:val="bottom"/>
            <w:gridSpan w:val="3"/>
            <w:vMerge w:val="restart"/>
          </w:tcPr>
          <w:p>
            <w:pPr>
              <w:ind w:left="340"/>
              <w:spacing w:after="0" w:line="134" w:lineRule="exact"/>
              <w:rPr>
                <w:sz w:val="20"/>
                <w:szCs w:val="20"/>
                <w:color w:val="auto"/>
              </w:rPr>
            </w:pPr>
            <w:r>
              <w:rPr>
                <w:rFonts w:ascii="Arial" w:cs="Arial" w:eastAsia="Arial" w:hAnsi="Arial"/>
                <w:sz w:val="13"/>
                <w:szCs w:val="13"/>
                <w:b w:val="1"/>
                <w:bCs w:val="1"/>
                <w:color w:val="auto"/>
              </w:rPr>
              <w:t>Voting Units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3"/>
            <w:vMerge w:val="restart"/>
          </w:tcPr>
          <w:p>
            <w:pPr>
              <w:ind w:left="20"/>
              <w:spacing w:after="0" w:line="134" w:lineRule="exact"/>
              <w:rPr>
                <w:sz w:val="20"/>
                <w:szCs w:val="20"/>
                <w:color w:val="auto"/>
              </w:rPr>
            </w:pPr>
            <w:r>
              <w:rPr>
                <w:rFonts w:ascii="Arial" w:cs="Arial" w:eastAsia="Arial" w:hAnsi="Arial"/>
                <w:sz w:val="13"/>
                <w:szCs w:val="13"/>
                <w:b w:val="1"/>
                <w:bCs w:val="1"/>
                <w:color w:val="auto"/>
                <w:w w:val="88"/>
              </w:rPr>
              <w:t>Incentive Units</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7"/>
                <w:szCs w:val="7"/>
                <w:color w:val="auto"/>
              </w:rPr>
            </w:pPr>
          </w:p>
        </w:tc>
        <w:tc>
          <w:tcPr>
            <w:tcW w:w="122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w w:val="96"/>
              </w:rPr>
              <w:t>Comprehensive</w:t>
            </w:r>
          </w:p>
        </w:tc>
        <w:tc>
          <w:tcPr>
            <w:tcW w:w="40" w:type="dxa"/>
            <w:vAlign w:val="bottom"/>
          </w:tcPr>
          <w:p>
            <w:pPr>
              <w:spacing w:after="0"/>
              <w:rPr>
                <w:sz w:val="7"/>
                <w:szCs w:val="7"/>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86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Mezzanine</w:t>
            </w: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8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380" w:type="dxa"/>
            <w:vAlign w:val="bottom"/>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4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2"/>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86"/>
              </w:rPr>
              <w:t>Units</w:t>
            </w:r>
          </w:p>
        </w:tc>
        <w:tc>
          <w:tcPr>
            <w:tcW w:w="56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10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 June</w:t>
            </w: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30, 2020</w:t>
            </w:r>
          </w:p>
        </w:tc>
        <w:tc>
          <w:tcPr>
            <w:tcW w:w="74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w w:val="92"/>
              </w:rPr>
              <w:t>400,000,000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$2,099</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$182,500</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93"/>
              </w:rPr>
              <w:t>$5,426</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92"/>
              </w:rPr>
              <w:t>$310,104</w:t>
            </w:r>
          </w:p>
        </w:tc>
        <w:tc>
          <w:tcPr>
            <w:tcW w:w="18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(64,944)</w:t>
            </w:r>
          </w:p>
        </w:tc>
        <w:tc>
          <w:tcPr>
            <w:tcW w:w="1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4"/>
                <w:szCs w:val="14"/>
                <w:color w:val="auto"/>
              </w:rPr>
              <w:t>(167)</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3"/>
              </w:rPr>
              <w:t>$ 435,018</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4"/>
              </w:rPr>
              <w:t>$ 19,584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40"/>
              <w:spacing w:after="0" w:line="160" w:lineRule="exact"/>
              <w:rPr>
                <w:sz w:val="20"/>
                <w:szCs w:val="20"/>
                <w:color w:val="auto"/>
              </w:rPr>
            </w:pPr>
            <w:r>
              <w:rPr>
                <w:rFonts w:ascii="Arial" w:cs="Arial" w:eastAsia="Arial" w:hAnsi="Arial"/>
                <w:sz w:val="14"/>
                <w:szCs w:val="14"/>
                <w:color w:val="auto"/>
                <w:w w:val="93"/>
              </w:rPr>
              <w:t>19,584</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Class A voting</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units in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334</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334</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 units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(see Note 9)</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ind w:left="360"/>
              <w:spacing w:after="0" w:line="160" w:lineRule="exact"/>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Currency</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translation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6"/>
              </w:rPr>
              <w:t>adjustment, net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of tax</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87</w:t>
            </w:r>
          </w:p>
        </w:tc>
        <w:tc>
          <w:tcPr>
            <w:tcW w:w="60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87</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(17,971)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(17,971)</w:t>
            </w:r>
          </w:p>
        </w:tc>
        <w:tc>
          <w:tcPr>
            <w:tcW w:w="3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1080" w:type="dxa"/>
            <w:vAlign w:val="bottom"/>
          </w:tcPr>
          <w:p>
            <w:pPr>
              <w:spacing w:after="0" w:line="129" w:lineRule="exact"/>
              <w:rPr>
                <w:sz w:val="20"/>
                <w:szCs w:val="20"/>
                <w:color w:val="auto"/>
              </w:rPr>
            </w:pPr>
            <w:r>
              <w:rPr>
                <w:rFonts w:ascii="Arial" w:cs="Arial" w:eastAsia="Arial" w:hAnsi="Arial"/>
                <w:sz w:val="14"/>
                <w:szCs w:val="14"/>
                <w:color w:val="auto"/>
              </w:rPr>
              <w:t>Balance as of</w:t>
            </w: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September 30,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2020</w:t>
            </w:r>
          </w:p>
        </w:tc>
        <w:tc>
          <w:tcPr>
            <w:tcW w:w="740" w:type="dxa"/>
            <w:vAlign w:val="bottom"/>
          </w:tcPr>
          <w:p>
            <w:pPr>
              <w:jc w:val="right"/>
              <w:spacing w:after="0" w:line="160" w:lineRule="exact"/>
              <w:rPr>
                <w:sz w:val="20"/>
                <w:szCs w:val="20"/>
                <w:color w:val="auto"/>
              </w:rPr>
            </w:pPr>
            <w:r>
              <w:rPr>
                <w:rFonts w:ascii="Arial" w:cs="Arial" w:eastAsia="Arial" w:hAnsi="Arial"/>
                <w:sz w:val="14"/>
                <w:szCs w:val="14"/>
                <w:color w:val="auto"/>
                <w:w w:val="92"/>
              </w:rPr>
              <w:t>400,000,000</w:t>
            </w:r>
          </w:p>
        </w:tc>
        <w:tc>
          <w:tcPr>
            <w:tcW w:w="100" w:type="dxa"/>
            <w:vAlign w:val="bottom"/>
          </w:tcPr>
          <w:p>
            <w:pPr>
              <w:spacing w:after="0"/>
              <w:rPr>
                <w:sz w:val="13"/>
                <w:szCs w:val="13"/>
                <w:color w:val="auto"/>
              </w:rPr>
            </w:pPr>
          </w:p>
        </w:tc>
        <w:tc>
          <w:tcPr>
            <w:tcW w:w="460" w:type="dxa"/>
            <w:vAlign w:val="bottom"/>
            <w:gridSpan w:val="2"/>
          </w:tcPr>
          <w:p>
            <w:pPr>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2,433</w:t>
            </w:r>
          </w:p>
        </w:tc>
        <w:tc>
          <w:tcPr>
            <w:tcW w:w="740" w:type="dxa"/>
            <w:vAlign w:val="bottom"/>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tcPr>
          <w:p>
            <w:pPr>
              <w:jc w:val="center"/>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182,500</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center"/>
              <w:spacing w:after="0" w:line="160"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5,426</w:t>
            </w:r>
          </w:p>
        </w:tc>
        <w:tc>
          <w:tcPr>
            <w:tcW w:w="740" w:type="dxa"/>
            <w:vAlign w:val="bottom"/>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tcPr>
          <w:p>
            <w:pPr>
              <w:jc w:val="center"/>
              <w:spacing w:after="0" w:line="160"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310,104</w:t>
            </w:r>
          </w:p>
        </w:tc>
        <w:tc>
          <w:tcPr>
            <w:tcW w:w="180" w:type="dxa"/>
            <w:vAlign w:val="bottom"/>
            <w:gridSpan w:val="2"/>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(82,915)</w:t>
            </w:r>
          </w:p>
        </w:tc>
        <w:tc>
          <w:tcPr>
            <w:tcW w:w="14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60" w:lineRule="exact"/>
              <w:rPr>
                <w:sz w:val="20"/>
                <w:szCs w:val="20"/>
                <w:color w:val="auto"/>
              </w:rPr>
            </w:pPr>
            <w:r>
              <w:rPr>
                <w:rFonts w:ascii="Arial" w:cs="Arial" w:eastAsia="Arial" w:hAnsi="Arial"/>
                <w:sz w:val="14"/>
                <w:szCs w:val="14"/>
                <w:color w:val="auto"/>
              </w:rPr>
              <w:t>(80)</w:t>
            </w:r>
          </w:p>
        </w:tc>
        <w:tc>
          <w:tcPr>
            <w:tcW w:w="740" w:type="dxa"/>
            <w:vAlign w:val="bottom"/>
            <w:gridSpan w:val="3"/>
          </w:tcPr>
          <w:p>
            <w:pPr>
              <w:jc w:val="right"/>
              <w:ind w:right="140"/>
              <w:spacing w:after="0" w:line="160" w:lineRule="exact"/>
              <w:rPr>
                <w:sz w:val="20"/>
                <w:szCs w:val="20"/>
                <w:color w:val="auto"/>
              </w:rPr>
            </w:pPr>
            <w:r>
              <w:rPr>
                <w:rFonts w:ascii="Arial" w:cs="Arial" w:eastAsia="Arial" w:hAnsi="Arial"/>
                <w:sz w:val="14"/>
                <w:szCs w:val="14"/>
                <w:color w:val="auto"/>
                <w:w w:val="93"/>
              </w:rPr>
              <w:t>$ 417,468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tcPr>
          <w:p>
            <w:pPr>
              <w:jc w:val="center"/>
              <w:spacing w:after="0" w:line="160" w:lineRule="exact"/>
              <w:rPr>
                <w:sz w:val="20"/>
                <w:szCs w:val="20"/>
                <w:color w:val="auto"/>
              </w:rPr>
            </w:pPr>
            <w:r>
              <w:rPr>
                <w:rFonts w:ascii="Arial" w:cs="Arial" w:eastAsia="Arial" w:hAnsi="Arial"/>
                <w:sz w:val="14"/>
                <w:szCs w:val="14"/>
                <w:color w:val="auto"/>
                <w:w w:val="84"/>
              </w:rPr>
              <w:t>$ 20,314</w:t>
            </w:r>
          </w:p>
        </w:tc>
        <w:tc>
          <w:tcPr>
            <w:tcW w:w="10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140"/>
              <w:spacing w:after="0" w:line="160" w:lineRule="exact"/>
              <w:rPr>
                <w:sz w:val="20"/>
                <w:szCs w:val="20"/>
                <w:color w:val="auto"/>
              </w:rPr>
            </w:pPr>
            <w:r>
              <w:rPr>
                <w:rFonts w:ascii="Arial" w:cs="Arial" w:eastAsia="Arial" w:hAnsi="Arial"/>
                <w:sz w:val="14"/>
                <w:szCs w:val="14"/>
                <w:color w:val="auto"/>
                <w:w w:val="93"/>
              </w:rPr>
              <w:t>20,314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500"/>
          </w:cols>
          <w:pgMar w:left="700" w:top="263" w:right="6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800" w:type="dxa"/>
            <w:vAlign w:val="bottom"/>
            <w:gridSpan w:val="2"/>
            <w:vMerge w:val="restart"/>
          </w:tcPr>
          <w:p>
            <w:pPr>
              <w:jc w:val="center"/>
              <w:ind w:left="291"/>
              <w:spacing w:after="0"/>
              <w:rPr>
                <w:sz w:val="20"/>
                <w:szCs w:val="20"/>
                <w:color w:val="auto"/>
              </w:rPr>
            </w:pPr>
            <w:r>
              <w:rPr>
                <w:rFonts w:ascii="Arial" w:cs="Arial" w:eastAsia="Arial" w:hAnsi="Arial"/>
                <w:sz w:val="14"/>
                <w:szCs w:val="14"/>
                <w:b w:val="1"/>
                <w:bCs w:val="1"/>
                <w:color w:val="auto"/>
                <w:w w:val="85"/>
              </w:rPr>
              <w:t>Class 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Class B</w:t>
            </w:r>
          </w:p>
        </w:tc>
        <w:tc>
          <w:tcPr>
            <w:tcW w:w="10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Class B</w:t>
            </w:r>
          </w:p>
        </w:tc>
        <w:tc>
          <w:tcPr>
            <w:tcW w:w="14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4"/>
                <w:szCs w:val="14"/>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Incentive</w:t>
            </w:r>
          </w:p>
        </w:tc>
        <w:tc>
          <w:tcPr>
            <w:tcW w:w="8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20"/>
              <w:spacing w:after="0" w:line="141"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98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Voting Units</w:t>
            </w:r>
          </w:p>
        </w:tc>
        <w:tc>
          <w:tcPr>
            <w:tcW w:w="1420" w:type="dxa"/>
            <w:vAlign w:val="bottom"/>
            <w:gridSpan w:val="4"/>
          </w:tcPr>
          <w:p>
            <w:pPr>
              <w:ind w:left="320"/>
              <w:spacing w:after="0"/>
              <w:rPr>
                <w:sz w:val="20"/>
                <w:szCs w:val="20"/>
                <w:color w:val="auto"/>
              </w:rPr>
            </w:pPr>
            <w:r>
              <w:rPr>
                <w:rFonts w:ascii="Arial" w:cs="Arial" w:eastAsia="Arial" w:hAnsi="Arial"/>
                <w:sz w:val="14"/>
                <w:szCs w:val="14"/>
                <w:b w:val="1"/>
                <w:bCs w:val="1"/>
                <w:color w:val="auto"/>
              </w:rPr>
              <w:t>Voting Units</w:t>
            </w:r>
          </w:p>
        </w:tc>
        <w:tc>
          <w:tcPr>
            <w:tcW w:w="1060" w:type="dxa"/>
            <w:vAlign w:val="bottom"/>
            <w:gridSpan w:val="4"/>
          </w:tcPr>
          <w:p>
            <w:pPr>
              <w:ind w:left="240"/>
              <w:spacing w:after="0"/>
              <w:rPr>
                <w:sz w:val="20"/>
                <w:szCs w:val="20"/>
                <w:color w:val="auto"/>
              </w:rPr>
            </w:pPr>
            <w:r>
              <w:rPr>
                <w:rFonts w:ascii="Arial" w:cs="Arial" w:eastAsia="Arial" w:hAnsi="Arial"/>
                <w:sz w:val="14"/>
                <w:szCs w:val="14"/>
                <w:b w:val="1"/>
                <w:bCs w:val="1"/>
                <w:color w:val="auto"/>
              </w:rPr>
              <w:t>Warrant</w:t>
            </w: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Voting Units</w:t>
            </w: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Comprehensive</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Members’</w:t>
            </w:r>
          </w:p>
        </w:tc>
        <w:tc>
          <w:tcPr>
            <w:tcW w:w="980" w:type="dxa"/>
            <w:vAlign w:val="bottom"/>
            <w:gridSpan w:val="4"/>
          </w:tcPr>
          <w:p>
            <w:pPr>
              <w:ind w:left="280"/>
              <w:spacing w:after="0"/>
              <w:rPr>
                <w:sz w:val="20"/>
                <w:szCs w:val="20"/>
                <w:color w:val="auto"/>
              </w:rPr>
            </w:pPr>
            <w:r>
              <w:rPr>
                <w:rFonts w:ascii="Arial" w:cs="Arial" w:eastAsia="Arial" w:hAnsi="Arial"/>
                <w:sz w:val="14"/>
                <w:szCs w:val="14"/>
                <w:b w:val="1"/>
                <w:bCs w:val="1"/>
                <w:color w:val="auto"/>
              </w:rPr>
              <w:t>Units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4"/>
              </w:rPr>
              <w:t>Mezzanine</w:t>
            </w:r>
          </w:p>
        </w:tc>
        <w:tc>
          <w:tcPr>
            <w:tcW w:w="0" w:type="dxa"/>
            <w:vAlign w:val="bottom"/>
          </w:tcPr>
          <w:p>
            <w:pPr>
              <w:spacing w:after="0"/>
              <w:rPr>
                <w:sz w:val="1"/>
                <w:szCs w:val="1"/>
                <w:color w:val="auto"/>
              </w:rPr>
            </w:pPr>
          </w:p>
        </w:tc>
      </w:tr>
      <w:tr>
        <w:trPr>
          <w:trHeight w:val="134"/>
        </w:trPr>
        <w:tc>
          <w:tcPr>
            <w:tcW w:w="98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Units</w:t>
            </w:r>
          </w:p>
        </w:tc>
        <w:tc>
          <w:tcPr>
            <w:tcW w:w="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Units</w:t>
            </w:r>
          </w:p>
        </w:tc>
        <w:tc>
          <w:tcPr>
            <w:tcW w:w="5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94"/>
              </w:rPr>
              <w:t>Warrant</w:t>
            </w:r>
          </w:p>
        </w:tc>
        <w:tc>
          <w:tcPr>
            <w:tcW w:w="460" w:type="dxa"/>
            <w:vAlign w:val="bottom"/>
            <w:tcBorders>
              <w:top w:val="single" w:sz="8" w:color="auto"/>
            </w:tcBorders>
            <w:gridSpan w:val="2"/>
          </w:tcPr>
          <w:p>
            <w:pPr>
              <w:jc w:val="right"/>
              <w:ind w:right="91"/>
              <w:spacing w:after="0" w:line="13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720" w:type="dxa"/>
            <w:vAlign w:val="bottom"/>
            <w:tcBorders>
              <w:top w:val="single" w:sz="8" w:color="auto"/>
            </w:tcBorders>
          </w:tcPr>
          <w:p>
            <w:pPr>
              <w:ind w:left="200"/>
              <w:spacing w:after="0" w:line="135" w:lineRule="exact"/>
              <w:rPr>
                <w:sz w:val="20"/>
                <w:szCs w:val="20"/>
                <w:color w:val="auto"/>
              </w:rPr>
            </w:pPr>
            <w:r>
              <w:rPr>
                <w:rFonts w:ascii="Arial" w:cs="Arial" w:eastAsia="Arial" w:hAnsi="Arial"/>
                <w:sz w:val="14"/>
                <w:szCs w:val="14"/>
                <w:b w:val="1"/>
                <w:bCs w:val="1"/>
                <w:color w:val="auto"/>
              </w:rPr>
              <w:t>Units</w:t>
            </w:r>
          </w:p>
        </w:tc>
        <w:tc>
          <w:tcPr>
            <w:tcW w:w="620" w:type="dxa"/>
            <w:vAlign w:val="bottom"/>
            <w:tcBorders>
              <w:top w:val="single" w:sz="8" w:color="auto"/>
            </w:tcBorders>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1"/>
                <w:szCs w:val="11"/>
                <w:color w:val="auto"/>
              </w:rPr>
            </w:pP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3"/>
              </w:rPr>
              <w:t>Equity</w:t>
            </w:r>
          </w:p>
        </w:tc>
        <w:tc>
          <w:tcPr>
            <w:tcW w:w="3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w w:val="79"/>
              </w:rPr>
              <w:t>Units</w:t>
            </w:r>
          </w:p>
        </w:tc>
        <w:tc>
          <w:tcPr>
            <w:tcW w:w="560" w:type="dxa"/>
            <w:vAlign w:val="bottom"/>
            <w:tcBorders>
              <w:top w:val="single" w:sz="8" w:color="auto"/>
            </w:tcBorders>
            <w:gridSpan w:val="2"/>
          </w:tcPr>
          <w:p>
            <w:pPr>
              <w:jc w:val="right"/>
              <w:ind w:right="131"/>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3"/>
              </w:rPr>
              <w:t>December 31,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2019</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$1,916</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182,500,000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$182,500</w:t>
            </w:r>
          </w:p>
        </w:tc>
        <w:tc>
          <w:tcPr>
            <w:tcW w:w="520" w:type="dxa"/>
            <w:vAlign w:val="bottom"/>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  —</w:t>
            </w:r>
          </w:p>
        </w:tc>
        <w:tc>
          <w:tcPr>
            <w:tcW w:w="720" w:type="dxa"/>
            <w:vAlign w:val="bottom"/>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40"/>
              <w:spacing w:after="0" w:line="160" w:lineRule="exact"/>
              <w:rPr>
                <w:sz w:val="20"/>
                <w:szCs w:val="20"/>
                <w:color w:val="auto"/>
              </w:rPr>
            </w:pPr>
            <w:r>
              <w:rPr>
                <w:rFonts w:ascii="Arial" w:cs="Arial" w:eastAsia="Arial" w:hAnsi="Arial"/>
                <w:sz w:val="14"/>
                <w:szCs w:val="14"/>
                <w:color w:val="auto"/>
                <w:w w:val="91"/>
              </w:rPr>
              <w:t>(32,899)</w:t>
            </w:r>
          </w:p>
        </w:tc>
        <w:tc>
          <w:tcPr>
            <w:tcW w:w="12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8"/>
              </w:rPr>
              <w:t>151,517</w:t>
            </w:r>
          </w:p>
        </w:tc>
        <w:tc>
          <w:tcPr>
            <w:tcW w:w="32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w w:val="99"/>
              </w:rPr>
              <w:t>$ 10,515</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10,515</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1"/>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517</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720" w:type="dxa"/>
            <w:vAlign w:val="bottom"/>
          </w:tcPr>
          <w:p>
            <w:pPr>
              <w:ind w:left="52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ind w:left="4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517</w:t>
            </w:r>
          </w:p>
        </w:tc>
        <w:tc>
          <w:tcPr>
            <w:tcW w:w="32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ind w:left="34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1"/>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9,799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9,799</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(see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tcPr>
          <w:p>
            <w:pPr>
              <w:jc w:val="center"/>
              <w:ind w:left="311"/>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60" w:lineRule="exact"/>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720" w:type="dxa"/>
            <w:vAlign w:val="bottom"/>
          </w:tcPr>
          <w:p>
            <w:pPr>
              <w:ind w:left="52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ind w:left="4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5,426</w:t>
            </w:r>
          </w:p>
        </w:tc>
        <w:tc>
          <w:tcPr>
            <w:tcW w:w="32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ind w:left="34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voting units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(see Note 8)</w:t>
            </w:r>
          </w:p>
        </w:tc>
        <w:tc>
          <w:tcPr>
            <w:tcW w:w="800" w:type="dxa"/>
            <w:vAlign w:val="bottom"/>
            <w:gridSpan w:val="2"/>
            <w:shd w:val="clear" w:color="auto" w:fill="CCEEFF"/>
          </w:tcPr>
          <w:p>
            <w:pPr>
              <w:jc w:val="center"/>
              <w:ind w:left="311"/>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0"/>
              <w:spacing w:after="0" w:line="160" w:lineRule="exact"/>
              <w:rPr>
                <w:sz w:val="20"/>
                <w:szCs w:val="20"/>
                <w:color w:val="auto"/>
              </w:rPr>
            </w:pPr>
            <w:r>
              <w:rPr>
                <w:rFonts w:ascii="Arial" w:cs="Arial" w:eastAsia="Arial" w:hAnsi="Arial"/>
                <w:sz w:val="14"/>
                <w:szCs w:val="14"/>
                <w:color w:val="auto"/>
                <w:w w:val="84"/>
              </w:rPr>
              <w:t>270,270,270</w:t>
            </w:r>
          </w:p>
        </w:tc>
        <w:tc>
          <w:tcPr>
            <w:tcW w:w="70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8"/>
              </w:rPr>
              <w:t>300,000</w:t>
            </w:r>
          </w:p>
        </w:tc>
        <w:tc>
          <w:tcPr>
            <w:tcW w:w="32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Pushdown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3"/>
              </w:rPr>
              <w:t>accounting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deferred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liabilities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6"/>
              </w:rPr>
              <w:t>resulting from</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Bridge2</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Solutions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acquisition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4)</w:t>
            </w:r>
          </w:p>
        </w:tc>
        <w:tc>
          <w:tcPr>
            <w:tcW w:w="800" w:type="dxa"/>
            <w:vAlign w:val="bottom"/>
            <w:gridSpan w:val="2"/>
          </w:tcPr>
          <w:p>
            <w:pPr>
              <w:jc w:val="center"/>
              <w:ind w:left="311"/>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720" w:type="dxa"/>
            <w:vAlign w:val="bottom"/>
          </w:tcPr>
          <w:p>
            <w:pPr>
              <w:ind w:left="52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10,104</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10,104</w:t>
            </w:r>
          </w:p>
        </w:tc>
        <w:tc>
          <w:tcPr>
            <w:tcW w:w="320" w:type="dxa"/>
            <w:vAlign w:val="bottom"/>
          </w:tcPr>
          <w:p>
            <w:pPr>
              <w:ind w:left="12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ind w:left="34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shd w:val="clear" w:color="auto" w:fill="CCEEFF"/>
          </w:tcPr>
          <w:p>
            <w:pPr>
              <w:jc w:val="center"/>
              <w:ind w:left="311"/>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(80)</w:t>
            </w:r>
          </w:p>
        </w:tc>
        <w:tc>
          <w:tcPr>
            <w:tcW w:w="32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9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center"/>
              <w:ind w:left="311"/>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720" w:type="dxa"/>
            <w:vAlign w:val="bottom"/>
          </w:tcPr>
          <w:p>
            <w:pPr>
              <w:ind w:left="5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ind w:left="240"/>
              <w:spacing w:after="0" w:line="141" w:lineRule="exact"/>
              <w:rPr>
                <w:sz w:val="20"/>
                <w:szCs w:val="20"/>
                <w:color w:val="auto"/>
              </w:rPr>
            </w:pPr>
            <w:r>
              <w:rPr>
                <w:rFonts w:ascii="Arial" w:cs="Arial" w:eastAsia="Arial" w:hAnsi="Arial"/>
                <w:sz w:val="14"/>
                <w:szCs w:val="14"/>
                <w:color w:val="auto"/>
                <w:w w:val="91"/>
              </w:rPr>
              <w:t>(50,016)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(50,016)</w:t>
            </w:r>
          </w:p>
        </w:tc>
        <w:tc>
          <w:tcPr>
            <w:tcW w:w="320" w:type="dxa"/>
            <w:vAlign w:val="bottom"/>
          </w:tcPr>
          <w:p>
            <w:pPr>
              <w:ind w:left="12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34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2,433</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182,500,000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182,500</w:t>
            </w:r>
          </w:p>
        </w:tc>
        <w:tc>
          <w:tcPr>
            <w:tcW w:w="520" w:type="dxa"/>
            <w:vAlign w:val="bottom"/>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5,426</w:t>
            </w:r>
          </w:p>
        </w:tc>
        <w:tc>
          <w:tcPr>
            <w:tcW w:w="720" w:type="dxa"/>
            <w:vAlign w:val="bottom"/>
            <w:shd w:val="clear" w:color="auto" w:fill="CCEEFF"/>
          </w:tcPr>
          <w:p>
            <w:pPr>
              <w:ind w:left="40"/>
              <w:spacing w:after="0" w:line="160" w:lineRule="exact"/>
              <w:rPr>
                <w:sz w:val="20"/>
                <w:szCs w:val="20"/>
                <w:color w:val="auto"/>
              </w:rPr>
            </w:pPr>
            <w:r>
              <w:rPr>
                <w:rFonts w:ascii="Arial" w:cs="Arial" w:eastAsia="Arial" w:hAnsi="Arial"/>
                <w:sz w:val="14"/>
                <w:szCs w:val="14"/>
                <w:color w:val="auto"/>
                <w:w w:val="84"/>
              </w:rPr>
              <w:t>270,270,270</w:t>
            </w:r>
          </w:p>
        </w:tc>
        <w:tc>
          <w:tcPr>
            <w:tcW w:w="70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310,104</w:t>
            </w:r>
          </w:p>
        </w:tc>
        <w:tc>
          <w:tcPr>
            <w:tcW w:w="1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40"/>
              <w:spacing w:after="0" w:line="160" w:lineRule="exact"/>
              <w:rPr>
                <w:sz w:val="20"/>
                <w:szCs w:val="20"/>
                <w:color w:val="auto"/>
              </w:rPr>
            </w:pPr>
            <w:r>
              <w:rPr>
                <w:rFonts w:ascii="Arial" w:cs="Arial" w:eastAsia="Arial" w:hAnsi="Arial"/>
                <w:sz w:val="14"/>
                <w:szCs w:val="14"/>
                <w:color w:val="auto"/>
                <w:w w:val="91"/>
              </w:rPr>
              <w:t>(82,915)</w:t>
            </w:r>
          </w:p>
        </w:tc>
        <w:tc>
          <w:tcPr>
            <w:tcW w:w="12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8"/>
              </w:rPr>
              <w:t>417,468</w:t>
            </w:r>
          </w:p>
        </w:tc>
        <w:tc>
          <w:tcPr>
            <w:tcW w:w="32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w w:val="99"/>
              </w:rPr>
              <w:t>$ 20,314</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20,314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500"/>
          </w:cols>
          <w:pgMar w:left="700" w:top="263" w:right="6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34"/>
        </w:trPr>
        <w:tc>
          <w:tcPr>
            <w:tcW w:w="77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71"/>
              <w:spacing w:after="0" w:line="13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r>
      <w:tr>
        <w:trPr>
          <w:trHeight w:val="121"/>
        </w:trPr>
        <w:tc>
          <w:tcPr>
            <w:tcW w:w="772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(89,558)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(50,016)</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8,995</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5,385</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1,027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Unit-based compensation expense (see Note 9)</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3,116</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9,937</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Recognition of affiliate capital contribution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Amortization of Class B warrant asset (see Note 8)</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1,743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Impairment of long-lived assets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3,843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Acquisition-related expenses paid by affiliate</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1,378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Unrealized loss (gain) on investment in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(387)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Loss on sale of shares of affiliate stock</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Vesting of Class C warrant for professional services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969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347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(2,872)</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345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Other receivables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115</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Deposits with clearinghouse affiliate</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20,199</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11,002</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Accounts payable and accrued liabilities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12,956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Due to affiliates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456</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(8,372)</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Deferred revenues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(3,703)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(799)</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(873)</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Customer funds payable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 assets and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(1,025)</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(730)</w:t>
            </w: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(43,777)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(29,545)</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Capitalized internal-use software development costs and other capital expenditures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(10,874)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(16,868)</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10,652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sale of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1,759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Short-term investments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1,988</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(9,087)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(4,228)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Payment of finance lease liability</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(282)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issuance of Class C voting units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37,800</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37,518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(80)</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Net increase (decrease) in cash, cash equivalents, restricted cash and customer funds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(52,980)</w:t>
            </w: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3,665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Cash, cash equivalents, restricted cash and customer funds at the beginning of the year</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91,943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93,134</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Cash, cash equivalents, restricted cash and customer funds at the end of the quarter</w:t>
            </w:r>
          </w:p>
        </w:tc>
        <w:tc>
          <w:tcPr>
            <w:tcW w:w="200" w:type="dxa"/>
            <w:vAlign w:val="bottom"/>
            <w:tcBorders>
              <w:top w:val="single" w:sz="8" w:color="auto"/>
              <w:bottom w:val="single" w:sz="8" w:color="auto"/>
            </w:tcBorders>
          </w:tcPr>
          <w:p>
            <w:pPr>
              <w:jc w:val="right"/>
              <w:ind w:right="51"/>
              <w:spacing w:after="0" w:line="147"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38,963</w:t>
            </w:r>
          </w:p>
        </w:tc>
        <w:tc>
          <w:tcPr>
            <w:tcW w:w="7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96,799</w:t>
            </w:r>
          </w:p>
        </w:tc>
        <w:tc>
          <w:tcPr>
            <w:tcW w:w="100" w:type="dxa"/>
            <w:vAlign w:val="bottom"/>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77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A voting units in exchange of capital contribution</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tcPr>
          <w:p>
            <w:pPr>
              <w:spacing w:after="0"/>
              <w:rPr>
                <w:sz w:val="12"/>
                <w:szCs w:val="12"/>
                <w:color w:val="auto"/>
              </w:rPr>
            </w:pPr>
          </w:p>
        </w:tc>
      </w:tr>
      <w:tr>
        <w:trPr>
          <w:trHeight w:val="123"/>
        </w:trPr>
        <w:tc>
          <w:tcPr>
            <w:tcW w:w="7720" w:type="dxa"/>
            <w:vAlign w:val="bottom"/>
            <w:shd w:val="clear" w:color="auto" w:fill="CCEEFF"/>
          </w:tcPr>
          <w:p>
            <w:pPr>
              <w:ind w:left="280"/>
              <w:spacing w:after="0" w:line="123" w:lineRule="exact"/>
              <w:rPr>
                <w:sz w:val="20"/>
                <w:szCs w:val="20"/>
                <w:color w:val="auto"/>
              </w:rPr>
            </w:pPr>
            <w:r>
              <w:rPr>
                <w:rFonts w:ascii="Arial" w:cs="Arial" w:eastAsia="Arial" w:hAnsi="Arial"/>
                <w:sz w:val="14"/>
                <w:szCs w:val="14"/>
                <w:color w:val="auto"/>
              </w:rPr>
              <w:t>Capitalized internal-use software development costs and other capital expenditures included in accounts payable and</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0"/>
        </w:trPr>
        <w:tc>
          <w:tcPr>
            <w:tcW w:w="7720" w:type="dxa"/>
            <w:vAlign w:val="bottom"/>
            <w:shd w:val="clear" w:color="auto" w:fill="CCEEFF"/>
          </w:tcPr>
          <w:p>
            <w:pPr>
              <w:ind w:left="400"/>
              <w:spacing w:after="0" w:line="160"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jc w:val="right"/>
              <w:ind w:right="51"/>
              <w:spacing w:after="0" w:line="160"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60" w:lineRule="exact"/>
              <w:rPr>
                <w:sz w:val="20"/>
                <w:szCs w:val="20"/>
                <w:color w:val="auto"/>
              </w:rPr>
            </w:pPr>
            <w:r>
              <w:rPr>
                <w:rFonts w:ascii="Arial" w:cs="Arial" w:eastAsia="Arial" w:hAnsi="Arial"/>
                <w:sz w:val="14"/>
                <w:szCs w:val="14"/>
                <w:color w:val="auto"/>
              </w:rPr>
              <w:t>2,980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1,733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B warrant</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5,426</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Exercise of Class B warrant for Class B voting units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5,426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Non-cash contribution of Bridge2 Holdings by affiliate</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260,811</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Reconciliation of cash, cash equivalents, restricted cash and customer funds to consolidated balance sheets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22,106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80,298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16,500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16,500</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Customer funds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357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Total cash, cash equivalents, restricted cash and customer funds</w:t>
            </w:r>
          </w:p>
        </w:tc>
        <w:tc>
          <w:tcPr>
            <w:tcW w:w="200" w:type="dxa"/>
            <w:vAlign w:val="bottom"/>
            <w:shd w:val="clear" w:color="auto" w:fill="CCEEFF"/>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38,963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96,799</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500"/>
          </w:cols>
          <w:pgMar w:left="700" w:top="263" w:right="69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4"/>
          <w:szCs w:val="14"/>
          <w:b w:val="1"/>
          <w:bCs w:val="1"/>
          <w:color w:val="auto"/>
        </w:rPr>
        <w:t>Description of Business</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Bakkt Holdings, LLC (“Bakkt” or “the Company”) and Bakkt, LLC, a wholly owned subsidiary of Bakkt, were formed on July 31, 2018 and each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Until October 15, 2021, the date of closing of the business combination described below, Bakkt was a majority-owned subsidiary of Intercontinental Exchange Holdings, Inc. (“ICEH”), which itself is a wholly-owned subsidiary of Intercontinental Exchange, Inc. (“ICE”). All of Bakkt’s Class A voting units were held by ICE and its Class B and Class C voting units were held by ICE and minority investors.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Bakkt owns the following entities: Bakkt Trust Company LLC (“Bakkt Trust”), Bakkt Marketplace, LLC (“Bakkt Marketplace”), DACC Technologies, Inc. and Digital Asset Custody Company, Inc. (collectively with DACC Technologies, Inc., “DACC”), and Bakkt Clearing, LLC (“Bakkt Clearing”). Bakkt also acquired Bridge2 Solutions, LLC and certain of its affiliated companies (collectively, “Bridge2 Solutions”) during the three months ended March 31, 2020 (see Note 4). All subsidiaries of the Company, other than DACC and two foreign legal entities acquired as part of the Bridge2 Solutions acquisition, are structured as limited liability companies.</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NYSDFS to, and does, offer non-trading-related, standalone custody of Bitcoin to institutional customers and certain high net worth individuals in cryptoassets, subject to NYSDFS regulatory oversight. On November 2, 2021, Bakkt Trust, in accordance with its internal coin listing policy (as approved by the NYSDFS), self-certified the addition of ether (ETH) to its non-trading-related, standalone custody service.</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cryptocurrency functionality within the consumer app.</w:t>
      </w:r>
    </w:p>
    <w:p>
      <w:pPr>
        <w:spacing w:after="0" w:line="16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transaction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480"/>
          </w:cols>
          <w:pgMar w:left="700" w:top="263" w:right="719" w:bottom="1440" w:gutter="0" w:footer="0" w:header="0"/>
        </w:sectPr>
      </w:pPr>
    </w:p>
    <w:bookmarkStart w:id="11" w:name="page12"/>
    <w:bookmarkEnd w:id="11"/>
    <w:p>
      <w:pPr>
        <w:jc w:val="center"/>
        <w:ind w:right="-4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4" w:right="40"/>
        <w:spacing w:after="0" w:line="296" w:lineRule="auto"/>
        <w:rPr>
          <w:sz w:val="20"/>
          <w:szCs w:val="20"/>
          <w:color w:val="auto"/>
        </w:rPr>
      </w:pPr>
      <w:r>
        <w:rPr>
          <w:rFonts w:ascii="Arial" w:cs="Arial" w:eastAsia="Arial" w:hAnsi="Arial"/>
          <w:sz w:val="15"/>
          <w:szCs w:val="15"/>
          <w:color w:val="auto"/>
        </w:rPr>
        <w:t>closed on October 15, 2021. The business combination between Bakkt and VIH resulted in approximately $479 million of cash (net of transaction expenses) on the combined company’s balance sheet, reflecting a contribution of $123 million of cash held in VIH’s trust account, net of redemptions and transaction expenses, and a $325 million concurrent private placement of Class A common stock of the combined company, priced at $10.00 per share, including a $47 million commitment from ICE, and $31 million cash held in Bakkt accounts as of the transaction date. As a result of the business combination, the Company also incurred a $12,143,000 success fee for an investment bank advising Bakkt. The newly combined company has been renamed Bakkt Holdings, Inc. and has its Class A common stock and warrants listed on the New York Stock Exchange under the ticker symbols “BKKT” and “BKKT WS,” respectively. Following the transaction closing, the Company is no longer a consolidated subsidiary of ICE.</w:t>
      </w:r>
    </w:p>
    <w:p>
      <w:pPr>
        <w:spacing w:after="0" w:line="254" w:lineRule="exact"/>
        <w:rPr>
          <w:sz w:val="20"/>
          <w:szCs w:val="20"/>
          <w:color w:val="auto"/>
        </w:rPr>
      </w:pPr>
    </w:p>
    <w:p>
      <w:pPr>
        <w:ind w:left="4" w:right="6920" w:hanging="4"/>
        <w:spacing w:after="0" w:line="433" w:lineRule="auto"/>
        <w:tabs>
          <w:tab w:leader="none" w:pos="304"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left="4" w:right="200"/>
        <w:spacing w:after="0" w:line="289" w:lineRule="auto"/>
        <w:rPr>
          <w:sz w:val="20"/>
          <w:szCs w:val="20"/>
          <w:color w:val="auto"/>
        </w:rPr>
      </w:pPr>
      <w:r>
        <w:rPr>
          <w:rFonts w:ascii="Arial" w:cs="Arial" w:eastAsia="Arial" w:hAnsi="Arial"/>
          <w:sz w:val="16"/>
          <w:szCs w:val="16"/>
          <w:color w:val="auto"/>
        </w:rPr>
        <w:t>The accompanying unaudited interim consolidated financial statements (“interim consolidated financial statements”) are prepared in accordance with United States generally accepted accounting principles (“U.S. GAAP”) assuming the Company will continue as a going concern and include the accounts of Bakkt Holdings, LLC and its subsidiaries. All intercompany balances and transactions have been eliminated in consolidation.</w:t>
      </w:r>
    </w:p>
    <w:p>
      <w:pPr>
        <w:spacing w:after="0" w:line="159" w:lineRule="exact"/>
        <w:rPr>
          <w:sz w:val="20"/>
          <w:szCs w:val="20"/>
          <w:color w:val="auto"/>
        </w:rPr>
      </w:pPr>
    </w:p>
    <w:p>
      <w:pPr>
        <w:ind w:left="4" w:right="20"/>
        <w:spacing w:after="0" w:line="301" w:lineRule="auto"/>
        <w:rPr>
          <w:sz w:val="20"/>
          <w:szCs w:val="20"/>
          <w:color w:val="auto"/>
        </w:rPr>
      </w:pPr>
      <w:r>
        <w:rPr>
          <w:rFonts w:ascii="Arial" w:cs="Arial" w:eastAsia="Arial" w:hAnsi="Arial"/>
          <w:sz w:val="15"/>
          <w:szCs w:val="15"/>
          <w:color w:val="auto"/>
        </w:rPr>
        <w:t>The accompanying interim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All intercompany transactions and balances have been eliminated in consolidation. The interim results for the three and nine months ended September 30, 2021 are not necessarily indicative of the results that may be expected for the year ending December 31, 2021, or for any other future annual or interim period.</w:t>
      </w:r>
    </w:p>
    <w:p>
      <w:pPr>
        <w:spacing w:after="0" w:line="153" w:lineRule="exact"/>
        <w:rPr>
          <w:sz w:val="20"/>
          <w:szCs w:val="20"/>
          <w:color w:val="auto"/>
        </w:rPr>
      </w:pPr>
    </w:p>
    <w:p>
      <w:pPr>
        <w:ind w:left="4"/>
        <w:spacing w:after="0" w:line="259" w:lineRule="auto"/>
        <w:rPr>
          <w:sz w:val="20"/>
          <w:szCs w:val="20"/>
          <w:color w:val="auto"/>
        </w:rPr>
      </w:pPr>
      <w:r>
        <w:rPr>
          <w:rFonts w:ascii="Arial" w:cs="Arial" w:eastAsia="Arial" w:hAnsi="Arial"/>
          <w:sz w:val="17"/>
          <w:szCs w:val="17"/>
          <w:color w:val="auto"/>
        </w:rPr>
        <w:t>The going concern assumption contemplates the realization of assets and satisfaction of liabilities in the normal course of business. As of September 30, 2021, the Company’s liquidity position raised substantial doubt about its ability to continue as a going concern for the 12 months following the issuance of the September 30, 2021 unaudited interim consolidated financial statements without additional capital investment. The closing of the business combination with VIH on October 15, 2021, which resulted in approximately $479 million of cash on the combined company’s balance sheet, alleviated the concern about the ability of the Company to continue as a going concern.</w:t>
      </w:r>
    </w:p>
    <w:p>
      <w:pPr>
        <w:spacing w:after="0" w:line="180" w:lineRule="exact"/>
        <w:rPr>
          <w:sz w:val="20"/>
          <w:szCs w:val="20"/>
          <w:color w:val="auto"/>
        </w:rPr>
      </w:pPr>
    </w:p>
    <w:p>
      <w:pPr>
        <w:ind w:left="4" w:right="180"/>
        <w:spacing w:after="0" w:line="265" w:lineRule="auto"/>
        <w:rPr>
          <w:sz w:val="20"/>
          <w:szCs w:val="20"/>
          <w:color w:val="auto"/>
        </w:rPr>
      </w:pPr>
      <w:r>
        <w:rPr>
          <w:rFonts w:ascii="Arial" w:cs="Arial" w:eastAsia="Arial" w:hAnsi="Arial"/>
          <w:sz w:val="17"/>
          <w:szCs w:val="17"/>
          <w:color w:val="auto"/>
        </w:rPr>
        <w:t>The information included in these interim consolidated financial statements should be read in conjunction with the Company’s audited consolidated financial statements and related notes for the year ended December 31, 2020, which financial statements were included within VIH’s definitive proxy statement filed with the Securities and Exchange Commission on September 17, 2021.</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4" w:right="160"/>
        <w:spacing w:after="0" w:line="282" w:lineRule="auto"/>
        <w:rPr>
          <w:sz w:val="20"/>
          <w:szCs w:val="20"/>
          <w:color w:val="auto"/>
        </w:rPr>
      </w:pPr>
      <w:r>
        <w:rPr>
          <w:rFonts w:ascii="Arial" w:cs="Arial" w:eastAsia="Arial" w:hAnsi="Arial"/>
          <w:sz w:val="16"/>
          <w:szCs w:val="16"/>
          <w:color w:val="auto"/>
        </w:rPr>
        <w:t>The preparation of interim consolidated financial statements in conformity with U.S. GAAP requires management to make estimates and assumptions that affect the amounts reported in the interim consolidated financial statements and accompanying notes. The Company bases its estimates and assumptions on various judgments that it believes to be reasonable under the circumstances. The significant estimates and assumptions that affect the Company’s interim consolidated financial statements may include, but are not limited to, estimates</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444"/>
          </w:cols>
          <w:pgMar w:left="696" w:top="263" w:right="759" w:bottom="1440" w:gutter="0" w:footer="0" w:header="0"/>
        </w:sectPr>
      </w:pPr>
    </w:p>
    <w:bookmarkStart w:id="12" w:name="page13"/>
    <w:bookmarkEnd w:id="12"/>
    <w:p>
      <w:pPr>
        <w:jc w:val="center"/>
        <w:ind w:right="-2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4" w:right="200"/>
        <w:spacing w:after="0" w:line="306" w:lineRule="auto"/>
        <w:rPr>
          <w:sz w:val="20"/>
          <w:szCs w:val="20"/>
          <w:color w:val="auto"/>
        </w:rPr>
      </w:pPr>
      <w:r>
        <w:rPr>
          <w:rFonts w:ascii="Arial" w:cs="Arial" w:eastAsia="Arial" w:hAnsi="Arial"/>
          <w:sz w:val="15"/>
          <w:szCs w:val="15"/>
          <w:color w:val="auto"/>
        </w:rPr>
        <w:t>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interim consolidated financial statements.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4" w:right="20"/>
        <w:spacing w:after="0" w:line="291" w:lineRule="auto"/>
        <w:rPr>
          <w:sz w:val="20"/>
          <w:szCs w:val="20"/>
          <w:color w:val="auto"/>
        </w:rPr>
      </w:pPr>
      <w:r>
        <w:rPr>
          <w:rFonts w:ascii="Arial" w:cs="Arial" w:eastAsia="Arial" w:hAnsi="Arial"/>
          <w:sz w:val="15"/>
          <w:szCs w:val="15"/>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Bakkt’s business during the year ended December 31, 2020, primarily in that it (i) decreased revenue from our loyalty and travel businesses, and</w:t>
      </w:r>
    </w:p>
    <w:p>
      <w:pPr>
        <w:spacing w:after="0" w:line="1" w:lineRule="exact"/>
        <w:rPr>
          <w:sz w:val="20"/>
          <w:szCs w:val="20"/>
          <w:color w:val="auto"/>
        </w:rPr>
      </w:pPr>
    </w:p>
    <w:p>
      <w:pPr>
        <w:ind w:left="4" w:right="500" w:hanging="4"/>
        <w:spacing w:after="0" w:line="309" w:lineRule="auto"/>
        <w:tabs>
          <w:tab w:leader="none" w:pos="256" w:val="left"/>
        </w:tabs>
        <w:numPr>
          <w:ilvl w:val="0"/>
          <w:numId w:val="8"/>
        </w:numPr>
        <w:rPr>
          <w:rFonts w:ascii="Arial" w:cs="Arial" w:eastAsia="Arial" w:hAnsi="Arial"/>
          <w:sz w:val="15"/>
          <w:szCs w:val="15"/>
          <w:color w:val="auto"/>
        </w:rPr>
      </w:pPr>
      <w:r>
        <w:rPr>
          <w:rFonts w:ascii="Arial" w:cs="Arial" w:eastAsia="Arial" w:hAnsi="Arial"/>
          <w:sz w:val="15"/>
          <w:szCs w:val="15"/>
          <w:color w:val="auto"/>
        </w:rPr>
        <w:t>impacted our ability to expand our relationships with existing loyalty partners, and to conclude relationships with new loyalty partners, whose businesses similarly have been adversely affected by the pandemic. For the three and nine months ended September 30, 2021, Bakkt’s business operations have started to recover from the impacts of the pandemic, and revenue from the loyalty and travel business has started to recover.</w:t>
      </w:r>
    </w:p>
    <w:p>
      <w:pPr>
        <w:spacing w:after="0" w:line="146" w:lineRule="exact"/>
        <w:rPr>
          <w:sz w:val="20"/>
          <w:szCs w:val="20"/>
          <w:color w:val="auto"/>
        </w:rPr>
      </w:pPr>
    </w:p>
    <w:p>
      <w:pPr>
        <w:ind w:left="4" w:right="160"/>
        <w:spacing w:after="0" w:line="289" w:lineRule="auto"/>
        <w:rPr>
          <w:sz w:val="20"/>
          <w:szCs w:val="20"/>
          <w:color w:val="auto"/>
        </w:rPr>
      </w:pPr>
      <w:r>
        <w:rPr>
          <w:rFonts w:ascii="Arial" w:cs="Arial" w:eastAsia="Arial" w:hAnsi="Arial"/>
          <w:sz w:val="16"/>
          <w:szCs w:val="16"/>
          <w:color w:val="auto"/>
        </w:rPr>
        <w:t>As of the date of issuance of these interim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w:t>
      </w:r>
    </w:p>
    <w:p>
      <w:pPr>
        <w:spacing w:after="0" w:line="25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left="4" w:right="180"/>
        <w:spacing w:after="0" w:line="306" w:lineRule="auto"/>
        <w:rPr>
          <w:sz w:val="20"/>
          <w:szCs w:val="20"/>
          <w:color w:val="auto"/>
        </w:rPr>
      </w:pPr>
      <w:r>
        <w:rPr>
          <w:rFonts w:ascii="Arial" w:cs="Arial" w:eastAsia="Arial" w:hAnsi="Arial"/>
          <w:sz w:val="15"/>
          <w:szCs w:val="15"/>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4"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Digital Currency Trading, Clearing, and Warehouse Services Agreement with IFUS and ICUS (the “Triparty Agreement”) governs the trading, clearing and custody services for physically-delivered futures contracts and options contracts (collectively,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Parties that trade PDF Contracts (“PDF Contract Traders”) are generally institutional investors and market makers that enter into agreements separately with each of IFUS, ICUS and Bakkt for trading, clearing and custody related services, respectively.</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484"/>
          </w:cols>
          <w:pgMar w:left="696" w:top="263" w:right="71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With respect to Bakkt’s provision of custody services that are necessary to support the trading and clearing services provided by IFUS and ICUS for the PDF Contracts, Bakkt’s customers are IFUS and ICUS, who are related parties. In this regard, Bakkt’s obligation is to provide a stand-ready custody function that supports the trading and clearing services for the PDF Contracts. Bakkt’s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Bakkt has incurred significant time and expense to build, establish and maintain a fully licensed, institutional-grade bitcoin custodian.</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While Bakkt’s performance obligation to IFUS and ICUS is comprised of several related promises as described above,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The maximum duration of Bakkt’s performance obligation would extend from trade execution through the later of settlement of a PDF Contract or the ultimate withdrawal of physically-delivered bitcoin underlying the PDF Contract. However, in Bakkt’s experience, less than 1% of PDF Contracts go to physical settlement. Bakkt determines the obligation period associated with Triparty Agreement revenue under the portfolio method based on its historical transaction experience, as the PDF contracts have similar characteristics. The average performance obligation period is less than one month based on the application of the portfolio method. Therefore, Bakkt recognizes revenue for the stand-ready custody services that it provides to IFUS and ICUS on a straight-line basis over the average performance obligation period, which is less than one month.</w:t>
      </w:r>
    </w:p>
    <w:p>
      <w:pPr>
        <w:spacing w:after="0" w:line="176"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PDF Contract Traders pay a transaction fee for trading and clearing which is collected by ICUS. Per the terms of the Triparty Agreement, IFUS and ICUS pass to Bakkt all trading and clearing transaction fees net of rebates and liquidity payments issued to PDF Contract Traders. Bakkt considers the transaction price to be the net transaction fee received from IFUS and ICUS or paid to IFUS and ICUS.</w:t>
      </w:r>
    </w:p>
    <w:p>
      <w:pPr>
        <w:spacing w:after="0" w:line="176"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customers with a discount to the applicable transaction fee. Under the terms of the Triparty Agreement, these rebates reduce the amount of the trading and clearing revenue that IFUS and ICUS pay to Bakkt. To the extent the rebates issued to PDF Contract Traders exceed the transaction fees collected by IFUS and ICUS, Bakkt pays IFUS and ICUS for the difference between the rebate amounts and the collected transaction fees. Bakkt does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Bakkt to estimate these at a given reporting period date.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480"/>
          </w:cols>
          <w:pgMar w:left="700" w:top="263" w:right="71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Bakkt also recognizes a capital contribution for the cost of the trading and clearing services provided by IFUS and ICUS pursuant to the Contribution Agreement (see Note 7), which reduces the revenue recognized as part of the net transaction fee.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Bakkt recognized net revenues of $(111,000) and $(154,000) for the three and nine months ended September 30, 2021, respectively. These amounts are net of $2,000 and $151,000 for rebates and incentive payments (contra-revenue) for the three and nine months ended September 30, 2021, respectively, and reduced by the capital contribution by related parties of $174,000 and $458,000 for the three and nine months ended September 30, 2021, respectively. Bakkt recognized net revenues of $(1,149,000) and $(2,153,000) for the three and nine months ended September 30, 2020, respectively. These amounts are net of $1,809,000 and $3,178,000 for rebates and incentive payments (contra-revenue) for the three and nine months ended September 30, 2020, respectively, and reduced by the capital contribution by related parties of $334,000 and $517,000 for the three and nine months ended September 30, 2020,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Custody</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provides a bitcoin custody solution to institutions and certain high net worth individuals. For PDF Contract Traders with custody accounts related to PDF Contracts, the Company does not charge a fee specifically for the custody service. For customers using custody services on a standalone basis, the Company charges a fee, which is generally based on a fixed fee and represents fixed consideration. The Company invoices customers on a quarterly basis. Our performance obligation related to the storage and custody of a customer’s bitcoin represents a stand-ready obligation to provide custody services for digital assets. Bitcoin held in a custodial capacity on behalf of our customers is not included in the Company’s consolidated balance sheet, as the Company does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Bakkt’s performance obligation to provide custodial services meets the criterion to be satisfied over time. Revenue from our custodial services is included in “Net revenues” in the accompanying consolidated statements of operations and comprehensive loss.</w:t>
      </w:r>
    </w:p>
    <w:p>
      <w:pPr>
        <w:spacing w:after="0" w:line="159"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Bakkt recognized net revenues of $121,000 and $367,000 for the three and nine months ended September 30, 2021, respectively, and $145,000 and $195,000 for the three and nine months ended September 30,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480"/>
          </w:cols>
          <w:pgMar w:left="700" w:top="263" w:right="7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related to our loyalty redemption platform consist of two performance obligations: (1) access to the Company’s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“Net revenues” in the accompanying consolidated statements of operations and comprehensive loss and include the following:</w:t>
      </w:r>
    </w:p>
    <w:p>
      <w:pPr>
        <w:spacing w:after="0" w:line="74" w:lineRule="exact"/>
        <w:rPr>
          <w:sz w:val="20"/>
          <w:szCs w:val="20"/>
          <w:color w:val="auto"/>
        </w:rPr>
      </w:pPr>
    </w:p>
    <w:p>
      <w:pPr>
        <w:ind w:left="920" w:right="60" w:hanging="410"/>
        <w:spacing w:after="0" w:line="261"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88" w:lineRule="exact"/>
        <w:rPr>
          <w:rFonts w:ascii="Arial" w:cs="Arial" w:eastAsia="Arial" w:hAnsi="Arial"/>
          <w:sz w:val="17"/>
          <w:szCs w:val="17"/>
          <w:color w:val="auto"/>
        </w:rPr>
      </w:pPr>
    </w:p>
    <w:p>
      <w:pPr>
        <w:ind w:left="920" w:right="40" w:hanging="410"/>
        <w:spacing w:after="0" w:line="289"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920" w:right="160" w:hanging="410"/>
        <w:spacing w:after="0" w:line="265"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w:t>
      </w:r>
    </w:p>
    <w:p>
      <w:pPr>
        <w:spacing w:after="0" w:line="85" w:lineRule="exact"/>
        <w:rPr>
          <w:rFonts w:ascii="Arial" w:cs="Arial" w:eastAsia="Arial" w:hAnsi="Arial"/>
          <w:sz w:val="17"/>
          <w:szCs w:val="17"/>
          <w:color w:val="auto"/>
        </w:rPr>
      </w:pPr>
    </w:p>
    <w:p>
      <w:pPr>
        <w:ind w:left="920" w:hanging="410"/>
        <w:spacing w:after="0" w:line="298" w:lineRule="auto"/>
        <w:tabs>
          <w:tab w:leader="none" w:pos="920" w:val="left"/>
        </w:tabs>
        <w:numPr>
          <w:ilvl w:val="0"/>
          <w:numId w:val="9"/>
        </w:numPr>
        <w:rPr>
          <w:rFonts w:ascii="Arial" w:cs="Arial" w:eastAsia="Arial" w:hAnsi="Arial"/>
          <w:sz w:val="15"/>
          <w:szCs w:val="15"/>
          <w:color w:val="auto"/>
        </w:rPr>
      </w:pPr>
      <w:r>
        <w:rPr>
          <w:rFonts w:ascii="Arial" w:cs="Arial" w:eastAsia="Arial" w:hAnsi="Arial"/>
          <w:sz w:val="15"/>
          <w:szCs w:val="15"/>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w:t>
      </w:r>
    </w:p>
    <w:p>
      <w:pPr>
        <w:spacing w:after="0" w:line="156" w:lineRule="exact"/>
        <w:rPr>
          <w:sz w:val="20"/>
          <w:szCs w:val="20"/>
          <w:color w:val="auto"/>
        </w:rPr>
      </w:pPr>
    </w:p>
    <w:p>
      <w:pPr>
        <w:jc w:val="both"/>
        <w:ind w:right="180"/>
        <w:spacing w:after="0" w:line="289" w:lineRule="auto"/>
        <w:rPr>
          <w:sz w:val="20"/>
          <w:szCs w:val="20"/>
          <w:color w:val="auto"/>
        </w:rPr>
      </w:pPr>
      <w:r>
        <w:rPr>
          <w:rFonts w:ascii="Arial" w:cs="Arial" w:eastAsia="Arial" w:hAnsi="Arial"/>
          <w:sz w:val="16"/>
          <w:szCs w:val="16"/>
          <w:color w:val="auto"/>
        </w:rPr>
        <w:t>Bakkt recognized net revenues of $9,713,000 and $27,303,000 for the three and nine months ended September 30, 2021, respectively, and $7,633,000 and $21,025,000 for the three and nine months ended September 30, 2020, respectively. Revenue from our loyalty redemption platform is included in “Transaction revenue, net” and “Subscription and services revenue” in the disaggregation of revenue table within Note 3.</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right="240"/>
        <w:spacing w:after="0" w:line="347" w:lineRule="auto"/>
        <w:rPr>
          <w:sz w:val="20"/>
          <w:szCs w:val="20"/>
          <w:color w:val="auto"/>
        </w:rPr>
      </w:pPr>
      <w:r>
        <w:rPr>
          <w:rFonts w:ascii="Arial" w:cs="Arial" w:eastAsia="Arial" w:hAnsi="Arial"/>
          <w:sz w:val="15"/>
          <w:szCs w:val="15"/>
          <w:color w:val="auto"/>
        </w:rPr>
        <w:t>In February 2020, the Company entered into a Strategic Alliance Agreement (the “Strategic Alliance Agreement”) with a strategic partner to develop and operate a mechanism whereby a customer can purchase food and beverage items from the strategic partner using their Bakkt digital wallet.</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In conjunction with this agreement, Bakkt issued the strategic partner a warrant to purchase 15 million Class B voting units. The Company accounts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460"/>
          </w:cols>
          <w:pgMar w:left="700" w:top="263" w:right="73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cryptocurrency</w:t>
      </w:r>
    </w:p>
    <w:p>
      <w:pPr>
        <w:spacing w:after="0" w:line="113"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As part of the Company’s operation of the Bakkt Marketplace platform, the Company transacts in bitcoin with consumers. Consumer bitcoin transactions are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Additionally, as part of the Company’s operation of the Bakkt Marketplace platform, the Company transacts in bitcoin with its trading partners in order to adjust its bitcoin inventory based on actual consumer activity to maintain an inventory based on the Company’s inventory policy. Transactions in bitcoin with our trading partners in the normal course of business is not material for the three and nine months ended September 30, 2021. There were no transactions in bitcoin with our trading partners in the normal course of business for the three and nine months ended September 30, 2020.</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Company maintains an inventory reserve of bitcoin to facilitate consumer transactions if needed. The Company may adjust its inventory reserve levels under its inventory policy. Sales of bitcoin resulting from inventory reserve adjustments is not part of the Company’s normal course of business. Accordingly, proceeds from the sale of bitcoin outside of the normal course of business is included in “other income (expense), net,” net of the cost of bitcoin sold, in the consolidated statements of operation and comprehensive loss. Bakkt recognized income from the sale of bitcoin, net of the cost of bitcoin sold, of $1,024,000 for both the three months and nine months ended September 30, 2021. There were no sales of bitcoin outside of the normal course of business for the three and nine months ended September 30, 2020.</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Practical expedients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920" w:hanging="410"/>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920" w:right="420" w:hanging="410"/>
        <w:spacing w:after="0" w:line="27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920" w:right="180" w:hanging="410"/>
        <w:spacing w:after="0" w:line="289"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Deferred revenue includes amounts invoiced prior to the Company meeting the criteria for revenue recognition. The Company typically invoices customers for subscription fees in arrears on a monthly basis.</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380"/>
          </w:cols>
          <w:pgMar w:left="700" w:top="263" w:right="8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jc w:val="both"/>
        <w:ind w:right="46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Benefits</w:t>
      </w:r>
    </w:p>
    <w:p>
      <w:pPr>
        <w:spacing w:after="0" w:line="11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Services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Professional services expenses consist of costs associated with audit, tax, legal and other professional services.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Communication</w:t>
      </w:r>
    </w:p>
    <w:p>
      <w:pPr>
        <w:spacing w:after="0" w:line="119"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Technology and communication expenses include costs incurred in operating and maintaining the Company’s platform, including software licenses, software maintenance and support, hosting and infrastructure costs.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119"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marketing costs for the three and nine months ended September 30, 2021 were $3,072,000 and $15,717,000, respectively. Total advertising costs for the three and nine months ended September 30, 2020 were $772,000 and $1,016,000,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Acquisition-Related Expenses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We incur incremental costs relating to our completed and potential acquisitions and other strategic opportunities. This includes fees for investment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banking advisors, lawyers, accountants, tax advisors and public relations firms, as well as costs associated with other external costs directly related to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proposed or closed transactions. Acquisition-related expenses for the three and nine months ended September 30, 2021 were $1,766,000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$12,075,000, respectively. Acquisition-related expenses for the three and nine months ended September 30, 2020 were $0 and $11,477,000,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Acquisition-related expenses for both the three and nine months ended September 30, 2020 included approximately $9,567,000 of accelerated expense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Company’s incentive and participation units resulting from the issuance of Class C voting units in connection with the acquisition of Bridge2</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Solutions (see Note 9).</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480"/>
          </w:cols>
          <w:pgMar w:left="700" w:top="263" w:right="71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The Company’s effective tax rate for the three and nine months ended September 30, 2021 was 0.04% and 0.22%, respectively. The Company’s effective tax rate for the three and nine months ended September 30, 2020 was 0.06% and 0.07%, respectively. The effective tax rate is lower than the federal statutory rate primarily because the substantial majority of the earnings are from the Bakkt Holdings, LLC partnership and the single member LLCs held by the partnership, where earnings flow through to the partners at the consolidated level.</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and Credit Risk Concentration</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w:t>
      </w:r>
    </w:p>
    <w:p>
      <w:pPr>
        <w:spacing w:after="0" w:line="165"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As of September 30, 2021, three customers represented approximately 54% of total accounts receivable. As of December 31, 2020, three customers represented approximately 57% of total accounts receivable.</w:t>
      </w:r>
    </w:p>
    <w:p>
      <w:pPr>
        <w:spacing w:after="0" w:line="165" w:lineRule="exact"/>
        <w:rPr>
          <w:sz w:val="20"/>
          <w:szCs w:val="20"/>
          <w:color w:val="auto"/>
        </w:rPr>
      </w:pPr>
    </w:p>
    <w:p>
      <w:pPr>
        <w:ind w:right="20"/>
        <w:spacing w:after="0" w:line="347" w:lineRule="auto"/>
        <w:rPr>
          <w:sz w:val="20"/>
          <w:szCs w:val="20"/>
          <w:color w:val="auto"/>
        </w:rPr>
      </w:pPr>
      <w:r>
        <w:rPr>
          <w:rFonts w:ascii="Arial" w:cs="Arial" w:eastAsia="Arial" w:hAnsi="Arial"/>
          <w:sz w:val="15"/>
          <w:szCs w:val="15"/>
          <w:color w:val="auto"/>
        </w:rPr>
        <w:t>For the three and nine months ended September 30, 2021 four customers represented approximately 71% and 62% of total revenue, respectively. For the three and nine months ended September 30, 2020, three customers represented approximately 72% and 73% of total revenue,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On January 1, 2020, the Company adopted ASU 2016-13, </w:t>
      </w:r>
      <w:r>
        <w:rPr>
          <w:rFonts w:ascii="Arial" w:cs="Arial" w:eastAsia="Arial" w:hAnsi="Arial"/>
          <w:sz w:val="16"/>
          <w:szCs w:val="16"/>
          <w:i w:val="1"/>
          <w:iCs w:val="1"/>
          <w:color w:val="auto"/>
        </w:rPr>
        <w:t>Financial Instruments - Measurement of Credit Losses on Financial Instruments</w:t>
      </w:r>
      <w:r>
        <w:rPr>
          <w:rFonts w:ascii="Arial" w:cs="Arial" w:eastAsia="Arial" w:hAnsi="Arial"/>
          <w:sz w:val="16"/>
          <w:szCs w:val="16"/>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w:t>
      </w:r>
    </w:p>
    <w:p>
      <w:pPr>
        <w:spacing w:after="0" w:line="172" w:lineRule="exact"/>
        <w:rPr>
          <w:sz w:val="20"/>
          <w:szCs w:val="20"/>
          <w:color w:val="auto"/>
        </w:rPr>
      </w:pPr>
    </w:p>
    <w:p>
      <w:pPr>
        <w:jc w:val="both"/>
        <w:ind w:right="240"/>
        <w:spacing w:after="0" w:line="265"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480"/>
          </w:cols>
          <w:pgMar w:left="700" w:top="263" w:right="7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 xml:space="preserve">On January 1, 2020, the Company adopted ASU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or ASU 2018-15. This standard helps entities evaluate the accounting for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 xml:space="preserve">On January 1, 2020, the Company adopted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will evaluate the impact of the new guidance on our consolidated financial statements for the combined entity after the business combination with VIH.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480"/>
          </w:cols>
          <w:pgMar w:left="700" w:top="263" w:right="719" w:bottom="1440" w:gutter="0" w:footer="0" w:header="0"/>
        </w:sectPr>
      </w:pPr>
    </w:p>
    <w:bookmarkStart w:id="20" w:name="page21"/>
    <w:bookmarkEnd w:id="20"/>
    <w:p>
      <w:pPr>
        <w:jc w:val="center"/>
        <w:ind w:right="-2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4" w:right="4560"/>
        <w:spacing w:after="0" w:line="382" w:lineRule="auto"/>
        <w:rPr>
          <w:sz w:val="20"/>
          <w:szCs w:val="20"/>
          <w:color w:val="auto"/>
        </w:rPr>
      </w:pPr>
      <w:r>
        <w:rPr>
          <w:rFonts w:ascii="Arial" w:cs="Arial" w:eastAsia="Arial" w:hAnsi="Arial"/>
          <w:sz w:val="17"/>
          <w:szCs w:val="17"/>
          <w:b w:val="1"/>
          <w:bCs w:val="1"/>
          <w:color w:val="auto"/>
        </w:rPr>
        <w:t xml:space="preserve">3. Revenue from Contracts with Customers and Under the Triparty Agreement </w:t>
      </w:r>
      <w:r>
        <w:rPr>
          <w:rFonts w:ascii="Arial" w:cs="Arial" w:eastAsia="Arial" w:hAnsi="Arial"/>
          <w:sz w:val="17"/>
          <w:szCs w:val="17"/>
          <w:b w:val="1"/>
          <w:bCs w:val="1"/>
          <w:i w:val="1"/>
          <w:iCs w:val="1"/>
          <w:color w:val="auto"/>
        </w:rPr>
        <w:t>Disaggregation of Revenue</w:t>
      </w:r>
    </w:p>
    <w:p>
      <w:pPr>
        <w:spacing w:after="0" w:line="1" w:lineRule="exact"/>
        <w:rPr>
          <w:sz w:val="20"/>
          <w:szCs w:val="20"/>
          <w:color w:val="auto"/>
        </w:rPr>
      </w:pPr>
    </w:p>
    <w:p>
      <w:pPr>
        <w:ind w:left="4" w:right="340"/>
        <w:spacing w:after="0" w:line="278" w:lineRule="auto"/>
        <w:rPr>
          <w:sz w:val="20"/>
          <w:szCs w:val="20"/>
          <w:color w:val="auto"/>
        </w:rPr>
      </w:pPr>
      <w:r>
        <w:rPr>
          <w:rFonts w:ascii="Arial" w:cs="Arial" w:eastAsia="Arial" w:hAnsi="Arial"/>
          <w:sz w:val="17"/>
          <w:szCs w:val="17"/>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61"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64"/>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34"/>
        </w:trPr>
        <w:tc>
          <w:tcPr>
            <w:tcW w:w="6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40"/>
              <w:spacing w:after="0" w:line="13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4"/>
              <w:spacing w:after="0" w:line="13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w w:val="96"/>
              </w:rPr>
              <w:t>2021</w:t>
            </w: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9"/>
              <w:spacing w:after="0" w:line="13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1"/>
                <w:szCs w:val="11"/>
                <w:color w:val="auto"/>
              </w:rPr>
            </w:pPr>
          </w:p>
        </w:tc>
      </w:tr>
      <w:tr>
        <w:trPr>
          <w:trHeight w:val="19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Transaction revenue, net</w:t>
            </w:r>
            <w:r>
              <w:rPr>
                <w:rFonts w:ascii="Arial" w:cs="Arial" w:eastAsia="Arial" w:hAnsi="Arial"/>
                <w:sz w:val="14"/>
                <w:szCs w:val="14"/>
                <w:color w:val="auto"/>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$ 1,162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9,542</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Subscription and service revenue</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6,437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5,466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w w:val="88"/>
              </w:rPr>
              <w:t>16,231</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15,844</w:t>
            </w:r>
          </w:p>
        </w:tc>
      </w:tr>
      <w:tr>
        <w:trPr>
          <w:trHeight w:val="26"/>
        </w:trPr>
        <w:tc>
          <w:tcPr>
            <w:tcW w:w="6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6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$ 6,629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25,773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19,067</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8" w:lineRule="exact"/>
        <w:rPr>
          <w:sz w:val="20"/>
          <w:szCs w:val="20"/>
          <w:color w:val="auto"/>
        </w:rPr>
      </w:pPr>
    </w:p>
    <w:p>
      <w:pPr>
        <w:ind w:left="404" w:hanging="404"/>
        <w:spacing w:after="0" w:line="256" w:lineRule="auto"/>
        <w:tabs>
          <w:tab w:leader="none" w:pos="404"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Amounts presented are net of rebates and liquidity payments under the Triparty Agreement, reductions in connection with the Contribution Agreement, and consideration payable to a customer pursuant to the Strategic Alliance Agreement of $757,000 and $2,353,000 for the three and nine months ended September 30, 2021, respectively. Included in these amounts are related party amounts (contra-revenue) of $111,000 and $154,000 for the three and nine months ended September 30, 2021, respectively (see Note 7). Amounts presented are net of rebates and liquidity payments under the Triparty Agreement, reductions in connection with the Contribution Agreement, and consideration payable to a customer pursuant to the Strategic Alliance Agreement of $2,142,000 and $3,964,000 for the three and nine months ended September 30, 2020, respectively. Amounts also include related party amounts (contra-revenue) of $1,149,000 and $2,153,000 for the three and nine months ended September 30, 2020, respectively (see Note 7).</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has one reportable segment to which its revenues relate (see Note 2).</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left="4" w:right="100"/>
        <w:spacing w:after="0" w:line="261" w:lineRule="auto"/>
        <w:rPr>
          <w:sz w:val="20"/>
          <w:szCs w:val="20"/>
          <w:color w:val="auto"/>
        </w:rPr>
      </w:pPr>
      <w:r>
        <w:rPr>
          <w:rFonts w:ascii="Arial" w:cs="Arial" w:eastAsia="Arial" w:hAnsi="Arial"/>
          <w:sz w:val="17"/>
          <w:szCs w:val="17"/>
          <w:color w:val="auto"/>
        </w:rPr>
        <w:t>As of September 30, 2021, the aggregate amount of the transaction price allocated to the remaining performance obligations related to partially completed contracts is $24,500,000, $16,100,000 of which relates to subscription fees and $8,400,000 of which relates to service fees that are deferred. The Company will recognize its subscription fees as revenue over a weighted-average period of 17 months (ranges from 3 months – 57 months) and its service fees as revenue over approximately three years.</w:t>
      </w:r>
    </w:p>
    <w:p>
      <w:pPr>
        <w:spacing w:after="0" w:line="179" w:lineRule="exact"/>
        <w:rPr>
          <w:sz w:val="20"/>
          <w:szCs w:val="20"/>
          <w:color w:val="auto"/>
        </w:rPr>
      </w:pPr>
    </w:p>
    <w:p>
      <w:pPr>
        <w:ind w:left="4" w:right="100"/>
        <w:spacing w:after="0" w:line="261" w:lineRule="auto"/>
        <w:rPr>
          <w:sz w:val="20"/>
          <w:szCs w:val="20"/>
          <w:color w:val="auto"/>
        </w:rPr>
      </w:pPr>
      <w:r>
        <w:rPr>
          <w:rFonts w:ascii="Arial" w:cs="Arial" w:eastAsia="Arial" w:hAnsi="Arial"/>
          <w:sz w:val="17"/>
          <w:szCs w:val="17"/>
          <w:color w:val="auto"/>
        </w:rPr>
        <w:t>As of September 30, 2020, the aggregate amount of the transaction price allocated to the remaining performance obligations related to partially completed contracts is $17,800,000, $8,800,000 of which relates to subscription fees and $9,000,000 of which relates to service fees that are deferred. The Company will recognize its subscription fees as revenue over a weighted-average period of 14 months (ranges from 3 months – 45 months) and its service fees as revenue over approximately three years.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Contract Costs</w:t>
      </w:r>
    </w:p>
    <w:p>
      <w:pPr>
        <w:spacing w:after="0" w:line="113" w:lineRule="exact"/>
        <w:rPr>
          <w:sz w:val="20"/>
          <w:szCs w:val="20"/>
          <w:color w:val="auto"/>
        </w:rPr>
      </w:pPr>
    </w:p>
    <w:p>
      <w:pPr>
        <w:ind w:left="4" w:right="60"/>
        <w:spacing w:after="0" w:line="265" w:lineRule="auto"/>
        <w:rPr>
          <w:sz w:val="20"/>
          <w:szCs w:val="20"/>
          <w:color w:val="auto"/>
        </w:rPr>
      </w:pPr>
      <w:r>
        <w:rPr>
          <w:rFonts w:ascii="Arial" w:cs="Arial" w:eastAsia="Arial" w:hAnsi="Arial"/>
          <w:sz w:val="17"/>
          <w:szCs w:val="17"/>
          <w:color w:val="auto"/>
        </w:rPr>
        <w:t>For the three and nine months ended September 30, 2021, the Company incurred $276,000 and $666,000 in incremental costs to obtain and/or costs to fulfill contracts with customers, respectively. The Company did not incur any costs to obtain or costs to fulfill contracts with customers during the three and nine months ended September 30, 2020.</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464"/>
          </w:cols>
          <w:pgMar w:left="696" w:top="263" w:right="7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Bridge2 Solutions, LLC business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ICEH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values of the net assets acquired as of the acquisition date (in thousands):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67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February 21, 2020</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53,620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Technology</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216,575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340"/>
              <w:spacing w:after="0"/>
              <w:rPr>
                <w:sz w:val="20"/>
                <w:szCs w:val="20"/>
                <w:color w:val="auto"/>
              </w:rPr>
            </w:pPr>
            <w:r>
              <w:rPr>
                <w:rFonts w:ascii="Arial" w:cs="Arial" w:eastAsia="Arial" w:hAnsi="Arial"/>
                <w:sz w:val="17"/>
                <w:szCs w:val="17"/>
                <w:color w:val="auto"/>
              </w:rPr>
              <w:t>Total assets acquired</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(12,703)</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assumed</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(40,560)</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680"/>
              <w:spacing w:after="0"/>
              <w:rPr>
                <w:sz w:val="20"/>
                <w:szCs w:val="20"/>
                <w:color w:val="auto"/>
              </w:rPr>
            </w:pPr>
            <w:r>
              <w:rPr>
                <w:rFonts w:ascii="Arial" w:cs="Arial" w:eastAsia="Arial" w:hAnsi="Arial"/>
                <w:sz w:val="17"/>
                <w:szCs w:val="17"/>
                <w:color w:val="auto"/>
              </w:rPr>
              <w:t>Total purchase consideration</w:t>
            </w: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(271,463)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500"/>
          </w:cols>
          <w:pgMar w:left="700" w:top="263" w:right="69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September 30, 2020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February 22, 2020 –</w:t>
            </w:r>
          </w:p>
        </w:tc>
      </w:tr>
      <w:tr>
        <w:trPr>
          <w:trHeight w:val="164"/>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2020</w:t>
            </w:r>
          </w:p>
        </w:tc>
      </w:tr>
      <w:tr>
        <w:trPr>
          <w:trHeight w:val="19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7"/>
                <w:szCs w:val="17"/>
                <w:color w:val="auto"/>
              </w:rPr>
              <w:t>Net income / (loss)</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(7,338)</w:t>
            </w:r>
          </w:p>
        </w:tc>
      </w:tr>
    </w:tbl>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Bridge2 Solutions as if the companies were combined as of January 1, 2020.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 2020</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24,726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Pro forma net loss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7"/>
                <w:szCs w:val="17"/>
                <w:color w:val="auto"/>
              </w:rPr>
              <w:t>(50,482)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4700" w:type="dxa"/>
            <w:vAlign w:val="bottom"/>
            <w:gridSpan w:val="3"/>
          </w:tcPr>
          <w:p>
            <w:pPr>
              <w:spacing w:after="0"/>
              <w:rPr>
                <w:sz w:val="20"/>
                <w:szCs w:val="20"/>
                <w:color w:val="auto"/>
              </w:rPr>
            </w:pPr>
            <w:r>
              <w:rPr>
                <w:rFonts w:ascii="Arial" w:cs="Arial" w:eastAsia="Arial" w:hAnsi="Arial"/>
                <w:sz w:val="17"/>
                <w:szCs w:val="17"/>
                <w:b w:val="1"/>
                <w:bCs w:val="1"/>
                <w:color w:val="auto"/>
              </w:rPr>
              <w:t>5.  Goodwill and Intangible Assets, Net</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700" w:type="dxa"/>
            <w:vAlign w:val="bottom"/>
            <w:gridSpan w:val="3"/>
          </w:tcPr>
          <w:p>
            <w:pPr>
              <w:spacing w:after="0"/>
              <w:rPr>
                <w:sz w:val="20"/>
                <w:szCs w:val="20"/>
                <w:color w:val="auto"/>
              </w:rPr>
            </w:pPr>
            <w:r>
              <w:rPr>
                <w:rFonts w:ascii="Arial" w:cs="Arial" w:eastAsia="Arial" w:hAnsi="Arial"/>
                <w:sz w:val="17"/>
                <w:szCs w:val="17"/>
                <w:color w:val="auto"/>
              </w:rPr>
              <w:t>Changes in goodwill consisted of the following (in thousands):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 2020</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78"/>
              </w:rPr>
              <w:t>$233,429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7"/>
                <w:szCs w:val="17"/>
                <w:color w:val="auto"/>
              </w:rPr>
              <w:t>Foreign currency translation</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September 30, 2021</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6"/>
            <w:shd w:val="clear" w:color="auto" w:fill="CCEEFF"/>
          </w:tcPr>
          <w:p>
            <w:pPr>
              <w:jc w:val="center"/>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233,429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6"/>
            <w:vMerge w:val="restart"/>
          </w:tcPr>
          <w:p>
            <w:pPr>
              <w:spacing w:after="0"/>
              <w:rPr>
                <w:sz w:val="20"/>
                <w:szCs w:val="20"/>
                <w:color w:val="auto"/>
              </w:rPr>
            </w:pPr>
            <w:r>
              <w:rPr>
                <w:rFonts w:ascii="Arial" w:cs="Arial" w:eastAsia="Arial" w:hAnsi="Arial"/>
                <w:sz w:val="17"/>
                <w:szCs w:val="17"/>
                <w:color w:val="auto"/>
              </w:rPr>
              <w:t>No goodwill impairment charges have been recognized in the periods presented.</w:t>
            </w: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66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00" w:type="dxa"/>
            <w:vAlign w:val="bottom"/>
            <w:gridSpan w:val="3"/>
          </w:tcPr>
          <w:p>
            <w:pPr>
              <w:spacing w:after="0"/>
              <w:rPr>
                <w:sz w:val="20"/>
                <w:szCs w:val="20"/>
                <w:color w:val="auto"/>
              </w:rPr>
            </w:pPr>
            <w:r>
              <w:rPr>
                <w:rFonts w:ascii="Arial" w:cs="Arial" w:eastAsia="Arial" w:hAnsi="Arial"/>
                <w:sz w:val="17"/>
                <w:szCs w:val="17"/>
                <w:color w:val="auto"/>
              </w:rPr>
              <w:t>Intangible assets consisted of the following (in thousands):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03"/>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60" w:type="dxa"/>
            <w:vAlign w:val="bottom"/>
            <w:gridSpan w:val="2"/>
          </w:tcPr>
          <w:p>
            <w:pPr>
              <w:jc w:val="center"/>
              <w:ind w:right="580"/>
              <w:spacing w:after="0" w:line="112" w:lineRule="exact"/>
              <w:rPr>
                <w:sz w:val="20"/>
                <w:szCs w:val="20"/>
                <w:color w:val="auto"/>
              </w:rPr>
            </w:pPr>
            <w:r>
              <w:rPr>
                <w:rFonts w:ascii="Arial" w:cs="Arial" w:eastAsia="Arial" w:hAnsi="Arial"/>
                <w:sz w:val="11"/>
                <w:szCs w:val="11"/>
                <w:b w:val="1"/>
                <w:bCs w:val="1"/>
                <w:color w:val="auto"/>
              </w:rPr>
              <w:t>Weighted</w:t>
            </w:r>
          </w:p>
        </w:tc>
        <w:tc>
          <w:tcPr>
            <w:tcW w:w="1140" w:type="dxa"/>
            <w:vAlign w:val="bottom"/>
            <w:gridSpan w:val="2"/>
          </w:tcPr>
          <w:p>
            <w:pPr>
              <w:jc w:val="center"/>
              <w:ind w:right="560"/>
              <w:spacing w:after="0" w:line="112" w:lineRule="exact"/>
              <w:rPr>
                <w:sz w:val="20"/>
                <w:szCs w:val="20"/>
                <w:color w:val="auto"/>
              </w:rPr>
            </w:pPr>
            <w:r>
              <w:rPr>
                <w:rFonts w:ascii="Arial" w:cs="Arial" w:eastAsia="Arial" w:hAnsi="Arial"/>
                <w:sz w:val="11"/>
                <w:szCs w:val="11"/>
                <w:b w:val="1"/>
                <w:bCs w:val="1"/>
                <w:color w:val="auto"/>
              </w:rPr>
              <w:t>Gross</w:t>
            </w: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w w:val="86"/>
              </w:rPr>
              <w:t>Average Useful</w:t>
            </w:r>
          </w:p>
        </w:tc>
        <w:tc>
          <w:tcPr>
            <w:tcW w:w="1140" w:type="dxa"/>
            <w:vAlign w:val="bottom"/>
            <w:gridSpan w:val="2"/>
          </w:tcPr>
          <w:p>
            <w:pPr>
              <w:jc w:val="center"/>
              <w:ind w:right="560"/>
              <w:spacing w:after="0" w:line="141" w:lineRule="exact"/>
              <w:rPr>
                <w:sz w:val="20"/>
                <w:szCs w:val="20"/>
                <w:color w:val="auto"/>
              </w:rPr>
            </w:pPr>
            <w:r>
              <w:rPr>
                <w:rFonts w:ascii="Arial" w:cs="Arial" w:eastAsia="Arial" w:hAnsi="Arial"/>
                <w:sz w:val="14"/>
                <w:szCs w:val="14"/>
                <w:b w:val="1"/>
                <w:bCs w:val="1"/>
                <w:color w:val="auto"/>
                <w:w w:val="93"/>
              </w:rPr>
              <w:t>Carrying</w:t>
            </w:r>
          </w:p>
        </w:tc>
        <w:tc>
          <w:tcPr>
            <w:tcW w:w="86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Life (years)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8"/>
              </w:rPr>
              <w:t>Amortization</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554</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3"/>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Acquired technology</w:t>
            </w:r>
          </w:p>
        </w:tc>
        <w:tc>
          <w:tcPr>
            <w:tcW w:w="1380" w:type="dxa"/>
            <w:vAlign w:val="bottom"/>
            <w:gridSpan w:val="2"/>
          </w:tcPr>
          <w:p>
            <w:pPr>
              <w:jc w:val="center"/>
              <w:ind w:left="454"/>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13,690</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(3,342)</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3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color w:val="auto"/>
                <w:w w:val="84"/>
              </w:rPr>
              <w:t>12</w:t>
            </w: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53,620</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(7,186)</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46,434</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1380" w:type="dxa"/>
            <w:vAlign w:val="bottom"/>
            <w:gridSpan w:val="2"/>
          </w:tcPr>
          <w:p>
            <w:pPr>
              <w:jc w:val="center"/>
              <w:ind w:left="454"/>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(415)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68,279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(10,943)</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gridSpan w:val="3"/>
            <w:vMerge w:val="restart"/>
          </w:tcPr>
          <w:p>
            <w:pPr>
              <w:ind w:left="380"/>
              <w:spacing w:after="0"/>
              <w:rPr>
                <w:sz w:val="20"/>
                <w:szCs w:val="20"/>
                <w:color w:val="auto"/>
              </w:rPr>
            </w:pPr>
            <w:r>
              <w:rPr>
                <w:rFonts w:ascii="Arial" w:cs="Arial" w:eastAsia="Arial" w:hAnsi="Arial"/>
                <w:sz w:val="17"/>
                <w:szCs w:val="17"/>
                <w:color w:val="auto"/>
              </w:rPr>
              <w:t>F-20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6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00" w:top="263" w:right="7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16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Weighted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Useful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Life</w:t>
            </w:r>
          </w:p>
        </w:tc>
        <w:tc>
          <w:tcPr>
            <w:tcW w:w="580" w:type="dxa"/>
            <w:vAlign w:val="bottom"/>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6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4"/>
        </w:trPr>
        <w:tc>
          <w:tcPr>
            <w:tcW w:w="5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58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Acquired technology</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13,690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(1,879)</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11,811</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53,620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(3,844)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49,776</w:t>
            </w: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Trade name</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415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68,279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(6,080)</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62,199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2021 was $1,619,000 and $4,863,000,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2020 was $1,724,000 and $4,195,000,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These amounts are included in “Depreciation and amortization” in the accompanying consolidated statements of operations and comprehensive loss.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estimated future amortization expense for definite-lived intangible assets as of September 30, 2021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2022</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2024</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6,442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Thereafter</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29,449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$ 56,782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6.  Consolidated Balance Sheet Components</w:t>
            </w: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6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6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60" w:type="dxa"/>
            <w:vAlign w:val="bottom"/>
            <w:gridSpan w:val="3"/>
          </w:tcPr>
          <w:p>
            <w:pPr>
              <w:spacing w:after="0"/>
              <w:rPr>
                <w:sz w:val="20"/>
                <w:szCs w:val="20"/>
                <w:color w:val="auto"/>
              </w:rPr>
            </w:pPr>
            <w:r>
              <w:rPr>
                <w:rFonts w:ascii="Arial" w:cs="Arial" w:eastAsia="Arial" w:hAnsi="Arial"/>
                <w:sz w:val="17"/>
                <w:szCs w:val="17"/>
                <w:color w:val="auto"/>
                <w:w w:val="99"/>
              </w:rPr>
              <w:t>Other current assets consisted of the following (in thousands):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7"/>
              </w:rPr>
              <w:t>September 30, 2021</w:t>
            </w:r>
          </w:p>
        </w:tc>
        <w:tc>
          <w:tcPr>
            <w:tcW w:w="560" w:type="dxa"/>
            <w:vAlign w:val="bottom"/>
          </w:tcPr>
          <w:p>
            <w:pPr>
              <w:spacing w:after="0"/>
              <w:rPr>
                <w:sz w:val="24"/>
                <w:szCs w:val="2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5"/>
              </w:rPr>
              <w:t>December 31, 2020</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5,365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400" w:type="dxa"/>
            <w:vAlign w:val="bottom"/>
            <w:gridSpan w:val="2"/>
          </w:tcPr>
          <w:p>
            <w:pPr>
              <w:spacing w:after="0" w:line="194" w:lineRule="exact"/>
              <w:rPr>
                <w:sz w:val="20"/>
                <w:szCs w:val="20"/>
                <w:color w:val="auto"/>
              </w:rPr>
            </w:pPr>
            <w:r>
              <w:rPr>
                <w:rFonts w:ascii="Arial" w:cs="Arial" w:eastAsia="Arial" w:hAnsi="Arial"/>
                <w:sz w:val="17"/>
                <w:szCs w:val="17"/>
                <w:color w:val="auto"/>
              </w:rPr>
              <w:t>Class B warrant asset, current</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3400" w:type="dxa"/>
            <w:vAlign w:val="bottom"/>
            <w:gridSpan w:val="2"/>
          </w:tcPr>
          <w:p>
            <w:pPr>
              <w:ind w:left="160"/>
              <w:spacing w:after="0"/>
              <w:rPr>
                <w:sz w:val="20"/>
                <w:szCs w:val="20"/>
                <w:color w:val="auto"/>
              </w:rPr>
            </w:pPr>
            <w:r>
              <w:rPr>
                <w:rFonts w:ascii="Arial" w:cs="Arial" w:eastAsia="Arial" w:hAnsi="Arial"/>
                <w:sz w:val="17"/>
                <w:szCs w:val="17"/>
                <w:color w:val="auto"/>
              </w:rPr>
              <w:t>(see Note 8)</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2,325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5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7"/>
                <w:szCs w:val="17"/>
                <w:color w:val="auto"/>
              </w:rPr>
              <w:t>F-21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00" w:top="263" w:right="7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Property, equipment and software, net consisted of the following (in thousands):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Internal-use software</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30,724</w:t>
            </w:r>
          </w:p>
        </w:tc>
        <w:tc>
          <w:tcPr>
            <w:tcW w:w="10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Purchased software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116</w:t>
            </w: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609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2,802</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717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Property, equipment and software, gross</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34,968</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22,740</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 and depreciation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(6,901)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(2,783)</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vMerge w:val="continue"/>
          </w:tcPr>
          <w:p>
            <w:pPr>
              <w:spacing w:after="0"/>
              <w:rPr>
                <w:sz w:val="18"/>
                <w:szCs w:val="18"/>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28,067</w:t>
            </w:r>
          </w:p>
        </w:tc>
        <w:tc>
          <w:tcPr>
            <w:tcW w:w="10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For the three and nine months ended September 30, 2021, the Company recorded depreciation and amortization expense related to property, equipment and software amounting to $1,616,000 and $4,132,000, respectively, of which $1,323,000 and $3,400,000, respectively, related to amortization expense of capitalized internal-use software placed in service. For the three and nine months ended September 30, 2020, the Company recorded depreciation and amortization expense related to property, equipment and software amounting to $474,000 and $1,190,000, respectively, of which $269,000 and $760,000, respectively, related to amortization expense of capitalized internal-use software placed in service.</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During the three months ended September 30,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w:t>
      </w:r>
    </w:p>
    <w:p>
      <w:pPr>
        <w:spacing w:after="0" w:line="14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During the nine months ended September 30,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Deposits with Clearinghouse Affiliate</w:t>
      </w:r>
    </w:p>
    <w:p>
      <w:pPr>
        <w:spacing w:after="0" w:line="113" w:lineRule="exact"/>
        <w:rPr>
          <w:sz w:val="20"/>
          <w:szCs w:val="20"/>
          <w:color w:val="auto"/>
        </w:rPr>
      </w:pPr>
    </w:p>
    <w:p>
      <w:pPr>
        <w:jc w:val="both"/>
        <w:ind w:right="740"/>
        <w:spacing w:after="0" w:line="265" w:lineRule="auto"/>
        <w:rPr>
          <w:sz w:val="20"/>
          <w:szCs w:val="20"/>
          <w:color w:val="auto"/>
        </w:rPr>
      </w:pPr>
      <w:r>
        <w:rPr>
          <w:rFonts w:ascii="Arial" w:cs="Arial" w:eastAsia="Arial" w:hAnsi="Arial"/>
          <w:sz w:val="17"/>
          <w:szCs w:val="17"/>
          <w:color w:val="auto"/>
        </w:rPr>
        <w:t>Deposits with clearinghouse affiliate, current and noncurrent, consisted of the default resource contribution (see Note 7). The default resource contribution amounted to $15,151,000 and $35,350,000 as of September 30, 2021 and December 31, 2020, respectively. The default resource contribution includes $1,000 of cash margins held with ICUS.</w:t>
      </w:r>
    </w:p>
    <w:p>
      <w:pPr>
        <w:spacing w:after="0" w:line="176"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On January 19, 2021, ICUS self-certified a rule change with the CFTC, reducing Bakkt Trust’s “skin-in-the-game” contribution to the ICUS guaranty fund to $15,150,000 from $35,350,000. Following the two-week self-certification period, in which no comments were received from the CFTC, ICUS proceeded with the reduction. On February 3, 2021, ICUS returned $20,200,000 to Bakkt Trust.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0460"/>
          </w:cols>
          <w:pgMar w:left="700" w:top="263" w:right="7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Payable and Accrued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liabilities consisted of the following (in thousands):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46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2021</w:t>
            </w:r>
          </w:p>
        </w:tc>
        <w:tc>
          <w:tcPr>
            <w:tcW w:w="10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r>
      <w:tr>
        <w:trPr>
          <w:trHeight w:val="19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13,890</w:t>
            </w:r>
          </w:p>
        </w:tc>
        <w:tc>
          <w:tcPr>
            <w:tcW w:w="104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7,165</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Accrued expenses</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12,142</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14,808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Purchasing card payable</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16,195</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12,683</w:t>
            </w: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Salaries and benefits payable</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11,559</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6,018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2,241</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6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57,286</w:t>
            </w:r>
          </w:p>
        </w:tc>
        <w:tc>
          <w:tcPr>
            <w:tcW w:w="140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42,915</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Related Parties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On December 19, 2018, Bakkt entered into an intercompany services agreement with ICE to provide management and technical support services. For the three and nine months ended September 30, 2021, expenses of $471,000 and $1,413,000, respectively, have been recorded by Bakkt in connection with this agreement. For the three and nine months ended September 30, 2020, expenses of $471,000 and $2,611,000, respectively, have been recorded by Bakkt in connection with this agreement. These amounts are reflected as “Affiliate expenses” in the accompanying consolidated statements of operations and comprehensive loss.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custody, settlement and ancillary services relating to digital currencies. The Triparty Agreement required Bakkt Trust to make, and, subject to certain limits, to replenish as needed a default resource contribution to ICUS, to be used by ICUS in accordance with the ICUS rules and is included in the “Deposits with clearinghouse affiliate” current and noncurrent balances on the accompanying consolidated balance sheets. That default resource contribution was reduced in January 2021 from $35,350,000 to $15,150,000 (see Note 6). Interest earned on the contribution, net of certain fees and costs, is paid to Bakkt Trust from ICUS. The Company did not earn any interest for the three and nine months ended September 30, 2021. Total interest of $3,000 and $124,000 was earned for the three and nine months ended September 30, 2020, respectively. This interest is included in “Interest income, net” in the accompanying consolidated statements of operations and comprehensive loss. All interest earned was collected as of September 30, 2021 and December 31, 2020, respectively. The Triparty Agreement further requires all revenues of IFUS and ICUS with respect to the trading and clearing of digital currency contracts, after deduction of any applicable rebates and liquidity or incentive payments, to be remitted to Bakkt. Bakkt recognized revenues related to the Triparty Agreement of $(111,000) and $(154,000) for the three and nine months ended September 30, 2021, respectively. These amounts are net of $2,000 and $151,000 for rebates and incentive payments (contra-revenue) for the three and nine months ended September 30, 2021, respectively. Bakkt also recognized a capital contribution for the cost of the trading and clearing services provided by IFUS and ICUS pursuant to the Contribution Agreement, which reduced the revenue attributable to the Triparty Agreement by $174,000 and $458,000 for the three and nine months ended September 30, 2021, respectively. Bakkt recognized revenues related to the Triparty Agreement of $(1,149,000) and $(2,153,000) for the three and nine months ended September 30, 2020, respectively, net of $1,809,000 and $3,178,000 for rebates and incentive payments (contra-revenue) for the three and nine months ended September 30, 2020, respectively, and reduced by the capital contribution pursuant to the Contribution Agreement of $334,000 and $517,000 for the three and nine months ended September 30, 2020, respectively.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460"/>
          </w:cols>
          <w:pgMar w:left="700" w:top="263" w:right="7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Pursuant to a separate triparty agreement among ICE Futures Singapore IFS, ICS and Bakkt Holdings, IFS and ICS provide trade execution and clearing services to customers that trade the cash-settled futures. Bakkt provides to IFS and ICS pricing data from its PDF Contracts and also licenses its name to IFS and ICS for use in marketing the cash-settled futures. ICS and IFS pay to Bakkt 35% of the net trading and clearing revenue that they earn with respect to these contracts. Bakkt is not a party to the contracts with customers that trade the cash-settled futures. To date, the cash-settled contracts have resulted in no net revenue payable to Bakkt.</w:t>
      </w:r>
    </w:p>
    <w:p>
      <w:pPr>
        <w:spacing w:after="0" w:line="180" w:lineRule="exact"/>
        <w:rPr>
          <w:sz w:val="20"/>
          <w:szCs w:val="20"/>
          <w:color w:val="auto"/>
        </w:rPr>
      </w:pPr>
    </w:p>
    <w:p>
      <w:pPr>
        <w:ind w:right="780"/>
        <w:spacing w:after="0" w:line="311" w:lineRule="auto"/>
        <w:rPr>
          <w:sz w:val="20"/>
          <w:szCs w:val="20"/>
          <w:color w:val="auto"/>
        </w:rPr>
      </w:pPr>
      <w:r>
        <w:rPr>
          <w:rFonts w:ascii="Arial" w:cs="Arial" w:eastAsia="Arial" w:hAnsi="Arial"/>
          <w:sz w:val="16"/>
          <w:szCs w:val="16"/>
          <w:color w:val="auto"/>
        </w:rPr>
        <w:t>As of September 30, 2021 and December 31, 2020, Bakkt had $2,312,000 and $1,856,000, respectively, reflected as “Due to affiliates” in the accompanying consolidated balance sheets related to the intercompany services agreement and Triparty Agreement.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Prior to the withdrawal of Bakkt Clearing’s ICUS membership on May 20, 2020, Bakkt Clearing was required to hold shares of ICE stock for ICUS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membership privileges. These shares were carried at cost basis and evaluated periodically for impairment. In connection with the withdrawal of Bakkt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Clearing’s ICUS membership, these shares were remeasured at fair value, with unrealized gains and losses being reflected as “Other income (expense),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net” in the accompanying consolidated statements of operations and comprehensive loss. In June 2021, the Company sold all of its shares of ICE stock.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2021, the Company recorded a realized loss on the sale of shares of affiliate stock of $0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$63,000, respectively. For the three and nine months ended September 30, 2020, the Company recorded an unrealized gain of $134,000 and $387,000</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the change in fair value of the shares. These realized and unrealized gains and losses are included in “Other income (expense), net” in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consolidated statements of operations and comprehensive loss.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February 21, 2020, ICE acquired 100% of the issued and outstanding ownership interests in Bridge2 Solutions (see Note 4). On March 12, 2020, the Company completed Series B round of funding in the amount of $300 million and issued 270 million Class C voting units to ICE and certain minority investors. As part of this funding, ICE contributed the Bridge2 Solutions business to Bakkt at an enterprise value of approximately $261,400,000, with approximately $10,100,000 of additional goodwill, as discussed in Note 4, and made a $2,612,000 cash contribution, $1,378,000 of which was used to pay acquisition-related expenses incurred by the Company. Additionally, the Company received $36,567,000 of cash contributions from ICE and certain minority investors.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On August 31, 2021, the Company amended the Class C Warrant to change the service conditions for 781,515 warrant units. The service conditions for the remaining 2,818,485 units were unchanged. As of September 30, 2021, 781,515 warrant units vested, and the Company recognized $969,000 of selling, general and administrative expense and members’ equity associated with the vested warrant units. As of December 31, 2020, no vesting of the warrant had occurred, and Bakkt had not recognized any cost or any amount within members’ equity associated with the warrant (see Note 8).</w:t>
      </w:r>
    </w:p>
    <w:p>
      <w:pPr>
        <w:spacing w:after="0" w:line="27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Members’ Equity</w:t>
      </w:r>
    </w:p>
    <w:p>
      <w:pPr>
        <w:spacing w:after="0" w:line="11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460"/>
          </w:cols>
          <w:pgMar w:left="700" w:top="263" w:right="7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Class B Warrant</w:t>
      </w:r>
    </w:p>
    <w:p>
      <w:pPr>
        <w:spacing w:after="0" w:line="113"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w:t>
      </w:r>
    </w:p>
    <w:p>
      <w:pPr>
        <w:spacing w:after="0" w:line="14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Company measured the fair value of its Class B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8"/>
              </w:rPr>
              <w:t>As of February 19,</w:t>
            </w:r>
          </w:p>
        </w:tc>
      </w:tr>
      <w:tr>
        <w:trPr>
          <w:trHeight w:val="164"/>
        </w:trPr>
        <w:tc>
          <w:tcPr>
            <w:tcW w:w="58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199"/>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3.00</w:t>
            </w:r>
          </w:p>
        </w:tc>
      </w:tr>
    </w:tbl>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does not presently plan to pay cash dividends in the foreseeable future. As a result, an expected dividend yield of zero percent was used.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On April 6, 2021, the strategic partner elected to net exercise its Class B Warrant in exchange for 9,953,454 of Class B voting units.</w:t>
      </w:r>
    </w:p>
    <w:p>
      <w:pPr>
        <w:spacing w:after="0" w:line="21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For the three and nine months ended September 30, 2021, the Company recognized reductions to revenue of approximately $581,000 and $1,743,000, respectively, related to the Class B Warrant (see Note 3). For the three and nine months ended September 30, 2020, the Company did not recognize a reduction to revenue related to the Class B Warrant as the Company’s performance obligation to provide services under the customer contract did not commence until November 2020.</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Class C Warrant</w:t>
      </w:r>
    </w:p>
    <w:p>
      <w:pPr>
        <w:spacing w:after="0" w:line="11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May 19, 2020, the Company issued a warrant to a minority investor to purchase 3,603,600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440"/>
          </w:cols>
          <w:pgMar w:left="700" w:top="263" w:right="7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Company measured the fair value of its Class C Warrant at the issuance date using the Black-Scholes option pricing model. The key inputs used in the valuation were as follows: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3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8"/>
              </w:rPr>
              <w:t>As of May 19, 2020</w:t>
            </w:r>
          </w:p>
        </w:tc>
      </w:tr>
      <w:tr>
        <w:trPr>
          <w:trHeight w:val="19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4.35</w:t>
            </w:r>
          </w:p>
        </w:tc>
      </w:tr>
    </w:tbl>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On August 31, 2021, the Company amended the Class C Warrant to change the service conditions for 781,515 warrant units. The service conditions for the remaining 2,818,485 units were unchanged.</w:t>
      </w:r>
    </w:p>
    <w:p>
      <w:pPr>
        <w:spacing w:after="0" w:line="165" w:lineRule="exact"/>
        <w:rPr>
          <w:sz w:val="20"/>
          <w:szCs w:val="20"/>
          <w:color w:val="auto"/>
        </w:rPr>
      </w:pPr>
    </w:p>
    <w:p>
      <w:pPr>
        <w:jc w:val="both"/>
        <w:ind w:right="360"/>
        <w:spacing w:after="0" w:line="265" w:lineRule="auto"/>
        <w:rPr>
          <w:sz w:val="20"/>
          <w:szCs w:val="20"/>
          <w:color w:val="auto"/>
        </w:rPr>
      </w:pPr>
      <w:r>
        <w:rPr>
          <w:rFonts w:ascii="Arial" w:cs="Arial" w:eastAsia="Arial" w:hAnsi="Arial"/>
          <w:sz w:val="17"/>
          <w:szCs w:val="17"/>
          <w:color w:val="auto"/>
        </w:rPr>
        <w:t>The Company accounted for the amendment as a modification and remeasured the fair value of the modified warrant units on the modification date using the Black-Scholes option pricing model. The fair value of the amended warrant units on modification date was estimated to be approximately $969,000. The key inputs used in the valuation were as follows:</w:t>
      </w:r>
    </w:p>
    <w:p>
      <w:pPr>
        <w:spacing w:after="0" w:line="191" w:lineRule="exact"/>
        <w:rPr>
          <w:sz w:val="20"/>
          <w:szCs w:val="20"/>
          <w:color w:val="auto"/>
        </w:rPr>
      </w:pPr>
    </w:p>
    <w:tbl>
      <w:tblPr>
        <w:tblLayout w:type="fixed"/>
        <w:tblInd w:w="168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144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5"/>
              </w:rPr>
              <w:t>As of August 31, 2021</w:t>
            </w:r>
          </w:p>
        </w:tc>
      </w:tr>
      <w:tr>
        <w:trPr>
          <w:trHeight w:val="19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2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0.41%</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w:t>
            </w:r>
          </w:p>
        </w:tc>
      </w:tr>
      <w:tr>
        <w:trPr>
          <w:trHeight w:val="217"/>
        </w:trPr>
        <w:tc>
          <w:tcPr>
            <w:tcW w:w="5680" w:type="dxa"/>
            <w:vAlign w:val="bottom"/>
          </w:tcPr>
          <w:p>
            <w:pPr>
              <w:spacing w:after="0"/>
              <w:rPr>
                <w:sz w:val="20"/>
                <w:szCs w:val="20"/>
                <w:color w:val="auto"/>
              </w:rPr>
            </w:pPr>
            <w:r>
              <w:rPr>
                <w:rFonts w:ascii="Arial" w:cs="Arial" w:eastAsia="Arial" w:hAnsi="Arial"/>
                <w:sz w:val="17"/>
                <w:szCs w:val="17"/>
                <w:color w:val="auto"/>
              </w:rPr>
              <w:t>Expected term (years)</w:t>
            </w:r>
          </w:p>
        </w:tc>
        <w:tc>
          <w:tcPr>
            <w:tcW w:w="1440" w:type="dxa"/>
            <w:vAlign w:val="bottom"/>
            <w:gridSpan w:val="2"/>
          </w:tcPr>
          <w:p>
            <w:pPr>
              <w:jc w:val="right"/>
              <w:ind w:right="94"/>
              <w:spacing w:after="0"/>
              <w:rPr>
                <w:sz w:val="20"/>
                <w:szCs w:val="20"/>
                <w:color w:val="auto"/>
              </w:rPr>
            </w:pPr>
            <w:r>
              <w:rPr>
                <w:rFonts w:ascii="Arial" w:cs="Arial" w:eastAsia="Arial" w:hAnsi="Arial"/>
                <w:sz w:val="17"/>
                <w:szCs w:val="17"/>
                <w:color w:val="auto"/>
              </w:rPr>
              <w:t>3.06</w:t>
            </w:r>
          </w:p>
        </w:tc>
      </w:tr>
    </w:tbl>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of September 30, 2021, the 781,515 amended warrant units have vested but have not been exercised, and the remaining 2,822,085 warrant units have not vested or been exercised. As of December 31, 2020, the Class C Warrant had not vested or been exercised. The Company recorded $969,000 of selling, general and administrative expense in both the three and nine months ended September 30, 2021 upon the vesting of the amended warrant units. No expenses were recorded in the three and nine months ended September 30, 2020 since the service conditions were not probable of being met in those periods.</w:t>
      </w:r>
    </w:p>
    <w:p>
      <w:pPr>
        <w:spacing w:after="0" w:line="27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Unit-Based Compensation</w:t>
      </w:r>
    </w:p>
    <w:p>
      <w:pPr>
        <w:spacing w:after="0" w:line="11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460"/>
          </w:cols>
          <w:pgMar w:left="700" w:top="263" w:right="7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September 30, 2021 and December 31, 2020, we do not believe it is probable that the put option will be exercised and have not remeasured these incentive units.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w:t>
      </w:r>
    </w:p>
    <w:p>
      <w:pPr>
        <w:spacing w:after="0" w:line="180"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In anticipation of the business combination discussed in Note 1, certain awards granted under the Equity Plan in late 2020 were modified. The modification was approved in April 2021. The modification requires the Company to redeem 40% of the first one-third of certain employee awards which are scheduled to vest upon consummation of the business combination. As this obligation is contingent upon consummation of the business combination, the Company did not recognize any additional unit-based compensation expense as a result of the modification for the three and nine months ended September 30, 2021.</w:t>
      </w:r>
    </w:p>
    <w:p>
      <w:pPr>
        <w:spacing w:after="0" w:line="18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Upon consummation of the business combination on October 15, 2021, one-third of the awards in the Equity Plan vested. The second and third one-third tranches will generally vest on the one-year and two-year anniversary date of the transaction close, respectively, although under the terms of the Equity Plan, employees who are terminated without cause after October 15, 2021 will vest in the unvested portion of their awards immediately upon their termination date. The vesting of Equity Plan awards upon consummation of the business combination resulted in approximately $28,000,000 of unit-based compensation expense recorded on October 15, 2021 in the Company’s pre-combination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Unit-Based Compensation Expense and Unit Activity</w:t>
      </w:r>
    </w:p>
    <w:p>
      <w:pPr>
        <w:spacing w:after="0" w:line="113" w:lineRule="exact"/>
        <w:rPr>
          <w:sz w:val="20"/>
          <w:szCs w:val="20"/>
          <w:color w:val="auto"/>
        </w:rPr>
      </w:pPr>
    </w:p>
    <w:p>
      <w:pPr>
        <w:ind w:right="300"/>
        <w:spacing w:after="0" w:line="317" w:lineRule="auto"/>
        <w:rPr>
          <w:sz w:val="20"/>
          <w:szCs w:val="20"/>
          <w:color w:val="auto"/>
        </w:rPr>
      </w:pPr>
      <w:r>
        <w:rPr>
          <w:rFonts w:ascii="Arial" w:cs="Arial" w:eastAsia="Arial" w:hAnsi="Arial"/>
          <w:sz w:val="15"/>
          <w:szCs w:val="15"/>
          <w:color w:val="auto"/>
        </w:rPr>
        <w:t>For the three and nine months ended September 30, 2021, the Company has not granted any preferred incentive units, common units or participation units. For the three and nine months ended September 30, 2020, the Company granted 0 and 9,375,000 preferred incentive units, 1,949,000 and 19,886,000 common units and 480,000 and 8,895,000 participation units, respectively. Total unit-based compensation expense for the three and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480"/>
          </w:cols>
          <w:pgMar w:left="700" w:top="263" w:right="71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nine months ended September 30, 2021 was $604,000 and $3,116,000, respectively. The $3,116,000 of unit-based compensation expense recorded for the nine months ended September 30, 2021 is comprised of $3,768,000 in expense recognized for the vesting of Company preferred incentive units, common units and participation units, which was offset by $652,000 in forfeitures and the effect of certain modifications during the period. Total unit-based compensation expense for the three and nine months ended September 30, 2020 was $829,000 and $9,937,000, respectively. The $9,937,000 of unit-based compensation expense recorded for the nine months ended September 30, 2020 is comprised of $11,631,000 in expense recognized for the vesting of Company preferred incentive units, common units and participation units, which was offset by $1,694,000 in forfeitures. Also included in the unit-based compensation expense for the nine months ended September 30,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w:t>
      </w:r>
    </w:p>
    <w:p>
      <w:pPr>
        <w:spacing w:after="0" w:line="27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Capital Requirements</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September 30, 2021 and December 31, 2020 and 2019, Bakkt Trust had determined that $16,500,000 should be set aside to satisfy its capital requirements, which is reflected as “Restricted cash” in the accompanying consolidated balance sheets.</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September 30, 2021, Bakkt Clearing had adjusted net capital of $2,060,000, which was $1,060,000 in excess of its required net capital of $1,000,000. As of December 31, 2020, Bakkt Clearing had adjusted net capital of $4,146,000, which was $3,146,000 in excess of its required net capital of $1,000,000. The minimum capital requirements may effectively restrict the withdrawal of member’s equity of Bakkt Clearing.</w:t>
      </w:r>
    </w:p>
    <w:p>
      <w:pPr>
        <w:spacing w:after="0" w:line="156"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As of September 30, 2021 and December 31, 2020,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$5,549,000 as of September 30, 2021 and $2,460,000 as of December 31, 2020. The minimum amount required varies by state.</w:t>
      </w:r>
    </w:p>
    <w:p>
      <w:pPr>
        <w:spacing w:after="0" w:line="164" w:lineRule="exact"/>
        <w:rPr>
          <w:sz w:val="20"/>
          <w:szCs w:val="20"/>
          <w:color w:val="auto"/>
        </w:rPr>
      </w:pPr>
    </w:p>
    <w:p>
      <w:pPr>
        <w:ind w:right="460"/>
        <w:spacing w:after="0" w:line="347" w:lineRule="auto"/>
        <w:rPr>
          <w:sz w:val="20"/>
          <w:szCs w:val="20"/>
          <w:color w:val="auto"/>
        </w:rPr>
      </w:pPr>
      <w:r>
        <w:rPr>
          <w:rFonts w:ascii="Arial" w:cs="Arial" w:eastAsia="Arial" w:hAnsi="Arial"/>
          <w:sz w:val="15"/>
          <w:szCs w:val="15"/>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440"/>
          </w:cols>
          <w:pgMar w:left="700" w:top="263" w:right="75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1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During the three and nine months ended September 30, 2021, the Company recorded $576,000 and $1,555,000, respectively, of expenses related to the 401(k) plan. During the three and nine months ended September 30, 2020, the Company recorded $371,000 and $967,000, respectively, of expenses related to the 401(k) plan.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License</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3"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Purchasing Card Facility</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Bridge2 Solutions has a purchasing card facility with a bank that it utilizes for redemption purchases made from merchant partners as part of its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Bridge2 Solutions to maintain a month-end cash balance of $40,000,000. In September 2021, Bridge2 Solutions notified the facility provider that it anticipated a breach of the month-end cash balance requirement. The facility provider agreed to forbear on exercising its rights and remedies under the terms of the facility until October 31, 2021 to allow time for the closing of the VIH business combination. Bridge2 Solutions cured the cash balance requirement breach on October 15, 2021 with the closing of the VIH business combination. On November 5, 2021, the purchasing card facility was extended to January 31, 2022.</w:t>
      </w:r>
    </w:p>
    <w:p>
      <w:pPr>
        <w:spacing w:after="0" w:line="28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Fair Value Measurements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classified as follows (in thousands):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2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Level 2</w:t>
            </w:r>
          </w:p>
        </w:tc>
        <w:tc>
          <w:tcPr>
            <w:tcW w:w="5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6"/>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26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Investment in shares of affiliate stock</w:t>
            </w:r>
          </w:p>
        </w:tc>
        <w:tc>
          <w:tcPr>
            <w:tcW w:w="3580" w:type="dxa"/>
            <w:vAlign w:val="bottom"/>
            <w:gridSpan w:val="3"/>
          </w:tcPr>
          <w:p>
            <w:pPr>
              <w:jc w:val="center"/>
              <w:ind w:left="213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680" w:type="dxa"/>
            <w:vAlign w:val="bottom"/>
            <w:gridSpan w:val="2"/>
          </w:tcPr>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1,823</w:t>
            </w:r>
          </w:p>
        </w:tc>
        <w:tc>
          <w:tcPr>
            <w:tcW w:w="40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Total assets measured at fair value</w:t>
            </w:r>
          </w:p>
        </w:tc>
        <w:tc>
          <w:tcPr>
            <w:tcW w:w="3580" w:type="dxa"/>
            <w:vAlign w:val="bottom"/>
            <w:gridSpan w:val="3"/>
            <w:shd w:val="clear" w:color="auto" w:fill="CCEEFF"/>
          </w:tcPr>
          <w:p>
            <w:pPr>
              <w:jc w:val="center"/>
              <w:ind w:left="2134"/>
              <w:spacing w:after="0"/>
              <w:rPr>
                <w:sz w:val="20"/>
                <w:szCs w:val="20"/>
                <w:color w:val="auto"/>
              </w:rPr>
            </w:pPr>
            <w:r>
              <w:rPr>
                <w:rFonts w:ascii="Arial" w:cs="Arial" w:eastAsia="Arial" w:hAnsi="Arial"/>
                <w:sz w:val="17"/>
                <w:szCs w:val="17"/>
                <w:color w:val="auto"/>
                <w:w w:val="92"/>
              </w:rPr>
              <w:t>$1,823</w:t>
            </w:r>
          </w:p>
        </w:tc>
        <w:tc>
          <w:tcPr>
            <w:tcW w:w="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$1,823</w:t>
            </w: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80" w:type="dxa"/>
            <w:vAlign w:val="bottom"/>
            <w:gridSpan w:val="3"/>
          </w:tcPr>
          <w:p>
            <w:pPr>
              <w:ind w:left="1040"/>
              <w:spacing w:after="0"/>
              <w:rPr>
                <w:sz w:val="20"/>
                <w:szCs w:val="20"/>
                <w:color w:val="auto"/>
              </w:rPr>
            </w:pPr>
            <w:r>
              <w:rPr>
                <w:rFonts w:ascii="Arial" w:cs="Arial" w:eastAsia="Arial" w:hAnsi="Arial"/>
                <w:sz w:val="17"/>
                <w:szCs w:val="17"/>
                <w:color w:val="auto"/>
              </w:rPr>
              <w:t>F-29</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00" w:top="263" w:right="71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Holdings,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There were no financial assets and liabilities measured at fair value on a recurring basis as of September 30, 2021. Our investment in shares of affiliate stock was valued based on quoted prices in active markets and was classified within Level 1. There are no Level 2 or Level 3 instruments during the quarters ended September 30, 2021 and December 31, 2020, respectively.</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deposits with clearinghouse affiliate are in the form of cash, and therefore approximate fair value. During the nine months ended September 30, 2020, the Company adjusted software licenses to fair value when an impairment charge was recognized, which was on a non-recurring basis and based on Level 3 inputs.</w:t>
      </w:r>
    </w:p>
    <w:p>
      <w:pPr>
        <w:spacing w:after="0" w:line="27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4"/>
          <w:szCs w:val="14"/>
          <w:b w:val="1"/>
          <w:bCs w:val="1"/>
          <w:color w:val="auto"/>
        </w:rPr>
        <w:t>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As disclosed in Note 1, the Company closed its business combination with VIH on October 15, 2021.</w:t>
      </w:r>
    </w:p>
    <w:p>
      <w:pPr>
        <w:spacing w:after="0" w:line="216"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auto"/>
        </w:rPr>
        <w:t>On October 18, 2021, the Company signed a lease agreement for 50,756 square feet of office space in Alpharetta, Georgia. The lease will commence the earlier of substantial completion of tenant’s work to ready the space for occupancy or March 1, 2022, and has a term of 127 months with a tenant termination option after the 7</w:t>
      </w:r>
      <w:r>
        <w:rPr>
          <w:rFonts w:ascii="Arial" w:cs="Arial" w:eastAsia="Arial" w:hAnsi="Arial"/>
          <w:sz w:val="12"/>
          <w:szCs w:val="12"/>
          <w:color w:val="auto"/>
        </w:rPr>
        <w:t>th</w:t>
      </w:r>
      <w:r>
        <w:rPr>
          <w:rFonts w:ascii="Arial" w:cs="Arial" w:eastAsia="Arial" w:hAnsi="Arial"/>
          <w:sz w:val="15"/>
          <w:szCs w:val="15"/>
          <w:color w:val="auto"/>
        </w:rPr>
        <w:t xml:space="preserve"> year of the lease. The total fixed lease payments over the 127-month term of the lease are $20,419,000.</w:t>
      </w:r>
    </w:p>
    <w:p>
      <w:pPr>
        <w:spacing w:after="0" w:line="140"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Company has evaluated subsequent events and transactions and determined that no other events or transactions met the definition of a subsequent event for purpose of recognition or disclosure in these financial statements.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480"/>
          </w:cols>
          <w:pgMar w:left="700" w:top="263" w:right="719" w:bottom="1440" w:gutter="0" w:footer="0" w:header="0"/>
        </w:sectPr>
      </w:pPr>
    </w:p>
    <w:bookmarkStart w:id="33" w:name="page34"/>
    <w:bookmarkEnd w:id="33"/>
    <w:p>
      <w:pPr>
        <w:ind w:left="9600"/>
        <w:spacing w:after="0"/>
        <w:rPr>
          <w:sz w:val="20"/>
          <w:szCs w:val="20"/>
          <w:color w:val="auto"/>
        </w:rPr>
      </w:pPr>
      <w:r>
        <w:rPr>
          <w:rFonts w:ascii="Arial" w:cs="Arial" w:eastAsia="Arial" w:hAnsi="Arial"/>
          <w:sz w:val="16"/>
          <w:szCs w:val="16"/>
          <w:b w:val="1"/>
          <w:bCs w:val="1"/>
          <w:u w:val="single" w:color="auto"/>
          <w:color w:val="auto"/>
        </w:rPr>
        <w:t>Exhibit 99.2</w:t>
      </w:r>
    </w:p>
    <w:p>
      <w:pPr>
        <w:spacing w:after="0" w:line="228"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color w:val="auto"/>
        </w:rPr>
        <w:t>MANAGEMENT’S DISCUSSION AND ANALYSIS OF FINANCIAL CONDITION AND RESULTS OF OPERATIONS OF BAKKT OPCO HOLDINGS, LLC</w:t>
      </w:r>
    </w:p>
    <w:p>
      <w:pPr>
        <w:spacing w:after="0" w:line="158" w:lineRule="exact"/>
        <w:rPr>
          <w:sz w:val="20"/>
          <w:szCs w:val="20"/>
          <w:color w:val="auto"/>
        </w:rPr>
      </w:pPr>
    </w:p>
    <w:p>
      <w:pPr>
        <w:jc w:val="both"/>
        <w:ind w:right="440"/>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the related notes. The following discussion contains forward-looking statements. Such forward-looking statements are based on the beliefs of our management, as well as assumptions made by, and information currently available to, our management.</w:t>
      </w:r>
    </w:p>
    <w:p>
      <w:pPr>
        <w:spacing w:after="0" w:line="15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This discussion may contain forward-looking statements within the meaning of the Private Securities Litigation Reform Act of 1995 including, but not limited to, our expectations or predictions of future financial or business performance or conditions. Forward-looking statements are inherently subject to risks, uncertainties, and assumptions. Generally, statements that are not historical facts, including statements concerning possible or assumed future actions, business strategies, events, or results of operations, including guidance and projections, are forward-looking statements. These statements may be preceded by, followed by, or include the words: “anticipate,” “believe,” “continue,” “could,” “estimate,” “expect,” “intends,” “may,” “might,” “plan,” “possible,” “potential,” “predict,” “project,” “should,” “will,” “would,” the negative of such terms, and other similar expressions are intended to identify forward-looking statements. Forward-looking statements are based on current expectations and assumptions that are subject to risks and uncertainties that may cause actual results to differ materially. Other than as required by law, we undertake no obligation to update or revise publicly any forward-looking statements, whether because of new information, future events, or otherwise. Also, see the risk factors and other cautionary statements described under the heading “Risk Factors” incorporated by reference into Bakkt Holdings, Inc.’s Current Report of on Form 8-K filed with the Securities and Exchange Commission (the “SEC”) on October 21, 2021 (the “Super 8-K”).</w:t>
      </w:r>
    </w:p>
    <w:p>
      <w:pPr>
        <w:spacing w:after="0" w:line="176"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i w:val="1"/>
          <w:iCs w:val="1"/>
          <w:color w:val="auto"/>
        </w:rPr>
        <w:t>Unless the context otherwise requires, all references in this discussion to “we,” “us,” “our,” “Bakkt” or the “Company” refer collectively to Bakkt Opco Holdings, LLC (f/k/a Bakkt Holdings, LLC). and its direct and indirect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mission is to power commerce by reimagining the digital asset ecosystem, which includes cryptocurrency, loyalty and rewards points, gift cards, in-game assets, and non-fungible tokens (“NFTs”). We are working to unlock new ways to participate in the digital economy for consumers, enterprises, and financial institutions, by expanding access to, and improving liquidity for, digital assets. We believe we are opportunistically positioned at the center of this digital asset ecosystem, with approximately 1.7 million transacting accounts on our platform year to date.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Our platform has three complementary aspects – a digital asset marketplace, a loyalty redemption service, and an alternative payment method.</w:t>
      </w:r>
    </w:p>
    <w:p>
      <w:pPr>
        <w:spacing w:after="0" w:line="138" w:lineRule="exact"/>
        <w:rPr>
          <w:sz w:val="20"/>
          <w:szCs w:val="20"/>
          <w:color w:val="auto"/>
        </w:rPr>
      </w:pPr>
    </w:p>
    <w:p>
      <w:pPr>
        <w:ind w:left="920" w:right="20" w:hanging="410"/>
        <w:spacing w:after="0" w:line="271"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Asset Marketplace. </w:t>
      </w:r>
      <w:r>
        <w:rPr>
          <w:rFonts w:ascii="Arial" w:cs="Arial" w:eastAsia="Arial" w:hAnsi="Arial"/>
          <w:sz w:val="16"/>
          <w:szCs w:val="16"/>
          <w:color w:val="auto"/>
        </w:rPr>
        <w:t>Our digital asset marketplace is designed to enable participants to seamlessly transact in digital assets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for individual consumers, enterprises (whom we define as consumer-facing merchants, retailers, and financial institutions), and institutional investors. Intercontinental Exchange, Inc. (“ICE”), our majority shareholder, has decades of experience building institutional products and solutions. We leveraged that expertise to build an institutional-grade custodian for bitcoin, Bakkt Trust Company LLC (“Bakkt Trust”), which is regulated by the New York Department of Financial Services (“NYSDFS”). This custodian, marketed as the Bakkt Warehouse, provides custody services that anchor the first end-to-end regulated and physically-delivered bitcoin futures and options contracts (“PDF Contracts”), which are traded on ICE Futures U.S., Inc. (“IFUS”) and cleared on ICE Clear US, Inc. (“ICUS”), and also provides bitcoin custody to institutions and certain high net-worth individuals on a standalone basis as approved by the NYSDFS. Our custodian also operates as the backbone of many of our consumer- and enterprise-focused offerings. For example, it enables consumers to use our app to transact in bitcoin in real-time. On November 2, 2021, in accordance with our coin listing policy (as approved by the NYSDFS), we self-certified the addition of ether (ETH) as a cryptocurrency that we support for consumer transactions, as described further below. In addition, in the future, contingent upon achieving the necessary regulatory approvals and/or partnering with an existing licensed broker-dealer, we plan to add the ability to transact in securities such as equities, derivatives, and ETFs. We believe that our institutional-grade infrastructure</w:t>
      </w:r>
    </w:p>
    <w:p>
      <w:pPr>
        <w:sectPr>
          <w:pgSz w:w="11900" w:h="16838" w:orient="portrait"/>
          <w:cols w:equalWidth="0" w:num="1">
            <w:col w:w="10500"/>
          </w:cols>
          <w:pgMar w:left="700" w:top="121" w:right="699" w:bottom="1440" w:gutter="0" w:footer="0" w:header="0"/>
        </w:sectPr>
      </w:pPr>
    </w:p>
    <w:bookmarkStart w:id="34" w:name="page35"/>
    <w:bookmarkEnd w:id="34"/>
    <w:p>
      <w:pPr>
        <w:ind w:left="430" w:right="40"/>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underpins our ability to expand and scale consumer solutions. We earn revenue in the digital asset marketplace by providing standalone custody services for cryptocurrency assets for our institutional customers, which we recognize on a pro rata basis over the term of the custody contract. Our standalone custody revenue is currently immaterial. Separately, as a result of our Triparty Agreement with IFUS and ICUS (the “Triparty Agreement”), we earn the net revenues for providing stand-ready custody services to IFUS and ICUS in connection with the offering of PDF Contracts. With respect to our provision of custody services that are necessary to support the trading and clearing services provided by IFUS and ICUS for the PDF Contracts, our customers are IFUS and ICUS, who are related parties. The PDF Contracts generally have a duration of less than one month, and substantially all of the PDF Contracts are settled in the same month in which the trade execution is initiated. Therefore, we recognize revenue for the stand-ready custody services that we provide to IFUS and ICUS on a straight-line basis over the average performance obligation period, which is less than one month. We recognize this revenue on a straight-line basis over the average obligation period, beginning at trade execution until the PDF Contract is settled by the PDF Contract Trader, which is generally no longer than a month as less than 1% of PDF Contracts go to expiration, thus not requiring physical delivery. In 2019 and 2020, the parties that trade PDF Contracts (“PDF Contract Traders”) were offered significant rebates and incentives to increase trading volume of PDF Contracts covered by the Triparty Agreement. This resulted in negative revenues from the Triparty Agreement of $2.0 million and $0.9 million in the year ended December 31, 2020 and 2019, respectively. In the nine months ended September 30, 2021, the rebates and incentives were reduced and negative revenue under the Triparty Agreement during such period was approximately $154,000. For more information, see Note 2 to our unaudited interim consolidated financial statements filed with the SEC as Exhibit 99.[1] to our Current Report on Form 8-K/A on November 12, 2021 (the “Unaudited Third Quarter 2021 Financials”) and the audited consolidated financial statements (the “Audited 2020 Financials”) incorporated by reference into the Super 8-K.</w:t>
      </w:r>
    </w:p>
    <w:p>
      <w:pPr>
        <w:spacing w:after="0" w:line="82" w:lineRule="exact"/>
        <w:rPr>
          <w:sz w:val="20"/>
          <w:szCs w:val="20"/>
          <w:color w:val="auto"/>
        </w:rPr>
      </w:pPr>
    </w:p>
    <w:p>
      <w:pPr>
        <w:ind w:left="410" w:right="40" w:hanging="410"/>
        <w:spacing w:after="0" w:line="271" w:lineRule="auto"/>
        <w:tabs>
          <w:tab w:leader="none" w:pos="41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Loyalty Redemption</w:t>
      </w:r>
      <w:r>
        <w:rPr>
          <w:rFonts w:ascii="Arial" w:cs="Arial" w:eastAsia="Arial" w:hAnsi="Arial"/>
          <w:sz w:val="16"/>
          <w:szCs w:val="16"/>
          <w:color w:val="auto"/>
        </w:rPr>
        <w:t>. Leveraging our acquisition of Bridge2 Solutions (as described below), our loyalty redemption capabilities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with leading loyalty and rewards programs (which we call “</w:t>
      </w:r>
      <w:r>
        <w:rPr>
          <w:rFonts w:ascii="Arial" w:cs="Arial" w:eastAsia="Arial" w:hAnsi="Arial"/>
          <w:sz w:val="16"/>
          <w:szCs w:val="16"/>
          <w:b w:val="1"/>
          <w:bCs w:val="1"/>
          <w:color w:val="auto"/>
        </w:rPr>
        <w:t>loyalty partners</w:t>
      </w:r>
      <w:r>
        <w:rPr>
          <w:rFonts w:ascii="Arial" w:cs="Arial" w:eastAsia="Arial" w:hAnsi="Arial"/>
          <w:sz w:val="16"/>
          <w:szCs w:val="16"/>
          <w:color w:val="auto"/>
        </w:rPr>
        <w:t>”),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and as described above has been reduced by negative revenues from our Digital Asset Marketplace. For more information, see Note 2 to the Unaudited Third Quarter 2021 Financials and the Audited 2020 Financials.</w:t>
      </w:r>
    </w:p>
    <w:p>
      <w:pPr>
        <w:spacing w:after="0" w:line="84" w:lineRule="exact"/>
        <w:rPr>
          <w:rFonts w:ascii="Arial" w:cs="Arial" w:eastAsia="Arial" w:hAnsi="Arial"/>
          <w:sz w:val="16"/>
          <w:szCs w:val="16"/>
          <w:color w:val="auto"/>
        </w:rPr>
      </w:pPr>
    </w:p>
    <w:p>
      <w:pPr>
        <w:ind w:left="410" w:hanging="410"/>
        <w:spacing w:after="0" w:line="274" w:lineRule="auto"/>
        <w:tabs>
          <w:tab w:leader="none" w:pos="41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Alternative Payment Method</w:t>
      </w:r>
      <w:r>
        <w:rPr>
          <w:rFonts w:ascii="Arial" w:cs="Arial" w:eastAsia="Arial" w:hAnsi="Arial"/>
          <w:sz w:val="16"/>
          <w:szCs w:val="16"/>
          <w:color w:val="auto"/>
        </w:rPr>
        <w:t>. Our platform will deliver consumer choice and convenience with an alternative payment method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Our alternative payment method revenue is currently immaterial. For more information, see Note 2 to the Unaudited Third Quarter 2021 Financials and the Audited 2020 Financials.</w:t>
      </w:r>
    </w:p>
    <w:p>
      <w:pPr>
        <w:spacing w:after="0" w:line="108" w:lineRule="exact"/>
        <w:rPr>
          <w:sz w:val="20"/>
          <w:szCs w:val="20"/>
          <w:color w:val="auto"/>
        </w:rPr>
      </w:pPr>
    </w:p>
    <w:p>
      <w:pPr>
        <w:jc w:val="center"/>
        <w:ind w:right="49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70"/>
          </w:cols>
          <w:pgMar w:left="1210" w:top="269" w:right="71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Consumer App</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keep their consumer users entirely in their experience, while others may need a “ready-to-go” storefront and leverage our capabilities. Partners can choose to fully or partially embed our capabilities within their digital environment, or they can leverage our platform capabilities, like cryptoasset buy, sell, hold and spend, entirely “powered by Bakkt.” For partners choosing a “ready-to-go” storefront, all of our platform’s capabilities around digital asset purchase, sales, redemption and payment come together in a seamless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like our addition of ether (ETH) in November 2021, and, at a later date, equities, derivatives, and ETFs, and in-game assets. We also plan to offer equity securities trading through our platform in the future and may do so by partnering with an existing licensed broker-dealer, or by obtaining our own broker-dealer license.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113"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On October 15, 2021, we consummated the previously announced business combination (the “Closing”) pursuant to that certain Agreement and Plan of Merger, dated as of January 11, 2021 (as amended, the “Merger Agreement”), by and among VIH, Pylon Merger Company LLC, a Delaware limited liability company and wholly owned subsidiary of VIH (“Merger Sub”), and Opco. Pursuant to the terms of the Merger Agreement, Merger Sub merged with and into Opco, with Opco surviving as the surviving limited liability company and as a wholly owned subsidiary of the Company (the “Merger”).</w:t>
      </w:r>
    </w:p>
    <w:p>
      <w:pPr>
        <w:spacing w:after="0" w:line="14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connection with the transactions contemplated by the Merger Agreement (the “Business Combination”), the Company effected a deregistration under the Cayman Islands Companies Law (2020 Revision) and a domestication under Section 388 of the Delaware General Corporation Law (“DGCL”), pursuant to which the Company’s jurisdiction of incorporation was changed from the Cayman Islands to the State of Delaware (the “Domestication”), and changed its name to “Bakkt Holdings, Inc.”</w:t>
      </w:r>
    </w:p>
    <w:p>
      <w:pPr>
        <w:spacing w:after="0" w:line="179"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The Business Combination, which has not been reflected in the financial information presented herein, as the Business Combination occurred after the end of the fiscal quarter on September 30, 2021, will be accounted for in accordance with Accounting Standards Codification (“ASC”) 805, Business Combinations, using the acquisition method, with the Company considered the acquiror and Opco considered the acquiree. For accounting purposes, the acquiror is the entity that obtains control of the other entity. The determination of whether control has been obtained starts with an evaluation of whether the entities involved are variable interest entities or voting interest entities in accordance with ASC 810, Consolidations. As defined by U.S. generally accepted accounting principles (“GAAP”), if the acquiree is a variable interest entity, the primary beneficiary is the accounting acquiror. Opco meets the definition of a variable interest entity and the Company has been determined to be the primary beneficiary as a result of the Business Combination. At the closing of the Business Combination, the assets and liabilities of Opco were recognized at fair value, and the consideration in excess of the fair value of the net assets acquired (including identifiable intangible assets) was recognized as goodwill.</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Attractiveness of Platform</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80"/>
          </w:cols>
          <w:pgMar w:left="700" w:top="269" w:right="719" w:bottom="1440" w:gutter="0" w:footer="0" w:header="0"/>
        </w:sectPr>
      </w:pPr>
    </w:p>
    <w:bookmarkStart w:id="36" w:name="page37"/>
    <w:bookmarkEnd w:id="36"/>
    <w:p>
      <w:pPr>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 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in U.S. markets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80"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 material adverse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For the three and nine months ended September 30, 2021, our business operations have started to recover from the impacts of the pandemic, and revenue from the loyalty and travel business has started to recover; however, the impact from a resurgence in COVID-19 (including its variants), lack of population-wide vaccination or immunity, or the possible waning efficacy of vaccinations creates future uncertainty for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Corporate Structure</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w:t>
      </w:r>
      <w:r>
        <w:rPr>
          <w:rFonts w:ascii="Arial" w:cs="Arial" w:eastAsia="Arial" w:hAnsi="Arial"/>
          <w:sz w:val="17"/>
          <w:szCs w:val="17"/>
          <w:b w:val="1"/>
          <w:bCs w:val="1"/>
          <w:color w:val="auto"/>
        </w:rPr>
        <w:t>DACC</w:t>
      </w:r>
      <w:r>
        <w:rPr>
          <w:rFonts w:ascii="Arial" w:cs="Arial" w:eastAsia="Arial" w:hAnsi="Arial"/>
          <w:sz w:val="17"/>
          <w:szCs w:val="17"/>
          <w:color w:val="auto"/>
        </w:rPr>
        <w:t>”), and Bakkt Clearing, LLC (“</w:t>
      </w:r>
      <w:r>
        <w:rPr>
          <w:rFonts w:ascii="Arial" w:cs="Arial" w:eastAsia="Arial" w:hAnsi="Arial"/>
          <w:sz w:val="17"/>
          <w:szCs w:val="17"/>
          <w:b w:val="1"/>
          <w:bCs w:val="1"/>
          <w:color w:val="auto"/>
        </w:rPr>
        <w:t>Bakkt Clearing</w:t>
      </w:r>
      <w:r>
        <w:rPr>
          <w:rFonts w:ascii="Arial" w:cs="Arial" w:eastAsia="Arial" w:hAnsi="Arial"/>
          <w:sz w:val="17"/>
          <w:szCs w:val="17"/>
          <w:color w:val="auto"/>
        </w:rPr>
        <w:t>”), formerly known as Rosenthal Collins Group, L.L.C. We continued to operate these entities throughout fiscal year 2020, and also acquired Bridge2 Solutions, LLC and its related companies (collectively, “</w:t>
      </w:r>
      <w:r>
        <w:rPr>
          <w:rFonts w:ascii="Arial" w:cs="Arial" w:eastAsia="Arial" w:hAnsi="Arial"/>
          <w:sz w:val="17"/>
          <w:szCs w:val="17"/>
          <w:b w:val="1"/>
          <w:bCs w:val="1"/>
          <w:color w:val="auto"/>
        </w:rPr>
        <w:t>Bridge2 Solutions</w:t>
      </w:r>
      <w:r>
        <w:rPr>
          <w:rFonts w:ascii="Arial" w:cs="Arial" w:eastAsia="Arial" w:hAnsi="Arial"/>
          <w:sz w:val="17"/>
          <w:szCs w:val="17"/>
          <w:color w:val="auto"/>
        </w:rPr>
        <w:t>”) in February 2020.</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40"/>
          </w:cols>
          <w:pgMar w:left="700" w:top="269" w:right="75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Bakkt Trust is a New York limited-purpose trust company that is chartered by and subject to the supervision and oversight of the NYSDFS. In September 2019, Bakkt Trust, along with IFUS and ICUS, both of which are wholly-owned subsidiaries of ICE, brought to market the first institutional-grade, regulated infrastructure for trading, clearing, and custody services for bitcoin. Bakkt Trust acts as a qualified custodian for bitcoin, which enables Bakkt Trust to offer the only end-to-end regulated, physically-delivered bitcoin futures and options contracts available in the United States. In addition, Bakkt Trust offers non-trading-related, standalone custody of bitcoin and, effective November 2, 2021, ether (ETH) to institutions, market makers, and certain high net worth individuals, subject to the NYSDFS’ regulatory oversight.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161290</wp:posOffset>
            </wp:positionV>
            <wp:extent cx="4582160" cy="2613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82160"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Bakkt Marketplace has created an integrated platform that enables consumers and enterprises to transact in digital assets. Bakkt Marketplace’s app enables consumers to purchase, sell, convert and or spend digital assets. Users also can use the app to spend fiat currency with various retailers and convert loyalty and rewards points into fiat currency. Bakkt Marketplace has received money transmitter licenses from all states throughout the U.S. where such licenses are required (though it does not presently offer services in Hawaii), has obtained a New York State virtual currency license, and is registered as a money services business with the Financial Crimes Enforcement Network of the United States Department of the Treasury. As shown in the below graphic, Bakkt Trust’s custody solution supports Bakkt Marketplace’s bitcoin functionality offered to consumers within the app.</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40"/>
          </w:cols>
          <w:pgMar w:left="700" w:top="269" w:right="7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2352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235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 w:right="12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left="4" w:right="320"/>
        <w:spacing w:after="0" w:line="265" w:lineRule="auto"/>
        <w:rPr>
          <w:sz w:val="20"/>
          <w:szCs w:val="20"/>
          <w:color w:val="auto"/>
        </w:rPr>
      </w:pPr>
      <w:r>
        <w:rPr>
          <w:rFonts w:ascii="Arial" w:cs="Arial" w:eastAsia="Arial" w:hAnsi="Arial"/>
          <w:sz w:val="17"/>
          <w:szCs w:val="17"/>
          <w:color w:val="auto"/>
        </w:rPr>
        <w:t>We acquired Bridge2 Solutions on February 21, 2020 in order to expand our loyalty conversion offerings within our digital asset marketplace. We accounted for the acquisition of Bridge2 Solutions as a common control transaction under ASC 805, as Bridge2 Solutions (and its holding company, B2S Holdings, Inc.) was initially acquired by ICE prior to being acquired by us.</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Our Relationship with ICE and the Triparty Agreement</w:t>
      </w:r>
    </w:p>
    <w:p>
      <w:pPr>
        <w:spacing w:after="0" w:line="113" w:lineRule="exact"/>
        <w:rPr>
          <w:sz w:val="20"/>
          <w:szCs w:val="20"/>
          <w:color w:val="auto"/>
        </w:rPr>
      </w:pPr>
    </w:p>
    <w:p>
      <w:pPr>
        <w:ind w:left="4" w:right="60"/>
        <w:spacing w:after="0" w:line="272" w:lineRule="auto"/>
        <w:rPr>
          <w:sz w:val="20"/>
          <w:szCs w:val="20"/>
          <w:color w:val="auto"/>
        </w:rPr>
      </w:pPr>
      <w:r>
        <w:rPr>
          <w:rFonts w:ascii="Arial" w:cs="Arial" w:eastAsia="Arial" w:hAnsi="Arial"/>
          <w:sz w:val="16"/>
          <w:szCs w:val="16"/>
          <w:color w:val="auto"/>
        </w:rPr>
        <w:t>Prior to the closing of the Business Combination on October 15, 2021,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w:t>
      </w:r>
    </w:p>
    <w:p>
      <w:pPr>
        <w:ind w:left="4" w:right="560"/>
        <w:spacing w:after="0" w:line="296" w:lineRule="auto"/>
        <w:rPr>
          <w:sz w:val="20"/>
          <w:szCs w:val="20"/>
          <w:color w:val="auto"/>
        </w:rPr>
      </w:pPr>
      <w:r>
        <w:rPr>
          <w:rFonts w:ascii="Arial" w:cs="Arial" w:eastAsia="Arial" w:hAnsi="Arial"/>
          <w:sz w:val="16"/>
          <w:szCs w:val="16"/>
          <w:color w:val="auto"/>
        </w:rPr>
        <w:t>$483 million prior to the Business Combination, leveraging ICE’s leading competency of creating and operating market infrastructure. Upon our formation, ICE made a cash capital contribution and granted us the right to access ICE’s existing futures and clearing platforms.</w:t>
      </w:r>
    </w:p>
    <w:p>
      <w:pPr>
        <w:spacing w:after="0" w:line="153" w:lineRule="exact"/>
        <w:rPr>
          <w:sz w:val="20"/>
          <w:szCs w:val="20"/>
          <w:color w:val="auto"/>
        </w:rPr>
      </w:pPr>
    </w:p>
    <w:p>
      <w:pPr>
        <w:ind w:left="4" w:right="100"/>
        <w:spacing w:after="0" w:line="282" w:lineRule="auto"/>
        <w:rPr>
          <w:sz w:val="20"/>
          <w:szCs w:val="20"/>
          <w:color w:val="auto"/>
        </w:rPr>
      </w:pPr>
      <w:r>
        <w:rPr>
          <w:rFonts w:ascii="Arial" w:cs="Arial" w:eastAsia="Arial" w:hAnsi="Arial"/>
          <w:sz w:val="16"/>
          <w:szCs w:val="16"/>
          <w:color w:val="auto"/>
        </w:rPr>
        <w:t>ICE also partners with us with respect to certain institutional product offerings. For instance, the PDF Contracts that are traded on IFUS and cleared on ICUS pursuant to the Triparty Agreement. In this regard, Bakkt Trust provides a stand-ready custody function that supports the trading and clearing services as required for the PDF Contract Traders so that IFUS can execute its trading services and ICUS can clear and arrange for the settlement of the PDF Contracts. Bakkt Trust’s obligation to provide a stand-ready custody function includes related promises such as:</w:t>
      </w:r>
    </w:p>
    <w:p>
      <w:pPr>
        <w:spacing w:after="0" w:line="61" w:lineRule="exact"/>
        <w:rPr>
          <w:sz w:val="20"/>
          <w:szCs w:val="20"/>
          <w:color w:val="auto"/>
        </w:rPr>
      </w:pPr>
    </w:p>
    <w:p>
      <w:pPr>
        <w:ind w:left="204" w:hanging="204"/>
        <w:spacing w:after="0"/>
        <w:tabs>
          <w:tab w:leader="none" w:pos="2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initial onboarding of PDF Contract Traders to the custody warehouse, which represents the commencement of the custody services;</w:t>
      </w:r>
    </w:p>
    <w:p>
      <w:pPr>
        <w:spacing w:after="0" w:line="21" w:lineRule="exact"/>
        <w:rPr>
          <w:rFonts w:ascii="Arial" w:cs="Arial" w:eastAsia="Arial" w:hAnsi="Arial"/>
          <w:sz w:val="17"/>
          <w:szCs w:val="17"/>
          <w:color w:val="auto"/>
        </w:rPr>
      </w:pPr>
    </w:p>
    <w:p>
      <w:pPr>
        <w:ind w:left="4" w:hanging="4"/>
        <w:spacing w:after="0" w:line="271" w:lineRule="auto"/>
        <w:tabs>
          <w:tab w:leader="none" w:pos="2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the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Under the Triparty Agreement, IFUS and ICUS pay to Bakkt Trust the trading and clearing fees collected by IFUS and ICUS with respect to those PDF Contracts net of incentives and rebates. As is typical of new trading products, IFUS and ICUS have instituted such incentives and rebates in an effort to incentivize the trading volume of PDF Contracts. In particular, IFUS offers rebates to support market liquidity and trading volume, which provides qualified PDF Contract Traders with a discount to the applicable transaction fee. Opco is responsible for paying for all rebates and incentives, even if these amounts exceed the gross revenues from the Triparty Agreement. These incentives and rebates have resulted in negative revenue to Opco under the Triparty Agreement.</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4"/>
          </w:cols>
          <w:pgMar w:left="696" w:top="1440" w:right="719" w:bottom="1440" w:gutter="0" w:footer="0" w:header="0"/>
        </w:sectPr>
      </w:pPr>
    </w:p>
    <w:bookmarkStart w:id="39" w:name="page40"/>
    <w:bookmarkEnd w:id="39"/>
    <w:p>
      <w:pPr>
        <w:ind w:right="40"/>
        <w:spacing w:after="0" w:line="29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Bakkt Warehouse was built on the principle that a truly institutional-grade custody operation is a crucial first step in broadening institutional acceptance of cryptoassets. As illustrated above, several institutional trading products, such as the PDF Contracts, require custody as an integral part of their value proposition, not necessarily because most such contracts go to expiration and require physical delivery (as many such contracts do not), but rather because, in the eyes of many institutional investors, the possibility of physical delivery at maturity makes those contracts a superior method for price discovery of the underlying asset. In our view, much of the historical reluctance of institutional investors to embrace these products is attributable to the lack of well-regulated, highly secure custody operations similar to those typical of more traditional financial products. The Bakkt Warehouse was built to solve this issue, and features the sophisticated security, insurance and regulatory features that institutional trading participants generally expect. However, the institutional cryptoasset market must further mature in order for us to begin achieving positive net revenue from our activities under the Triparty Agreement. In particular, in the case of bitcoin and other cryptoassets, many institutional investors still prefer to eliminate any possibility of holding those cryptoassets (and thus, to date have preferred cash-settled futures contracts, despite their perceived inferiority for price discovery). To date, less than 1% of PDF Contracts go to physical settlement. We believe that once those investors’ reluctance to hold cryptoassets has decreased, and the market for physically-delivered contracts has been sufficiently established, such rebates and other incentive payments may no longer be needed (or their amounts may be reduced), as a result of which we should be able to generate positive revenue from our services under the Triparty Agreement. The failure of the market for PDF Contracts to expand sufficiently enough to reduce the reliance on rebates and liquidity or incentive payments to PDF Contract Traders would adversely affect our ability to receive positive net revenues under the Triparty Agreement.</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Our cash-settled futures contracts are offered in Singapore pursuant to a similar arrangement with ICE subsidiaries. Pursuant to a separate triparty agreement among ICE Futures Singapore (</w:t>
      </w:r>
      <w:r>
        <w:rPr>
          <w:rFonts w:ascii="Arial" w:cs="Arial" w:eastAsia="Arial" w:hAnsi="Arial"/>
          <w:sz w:val="17"/>
          <w:szCs w:val="17"/>
          <w:b w:val="1"/>
          <w:bCs w:val="1"/>
          <w:color w:val="auto"/>
        </w:rPr>
        <w:t>“IFS”</w:t>
      </w:r>
      <w:r>
        <w:rPr>
          <w:rFonts w:ascii="Arial" w:cs="Arial" w:eastAsia="Arial" w:hAnsi="Arial"/>
          <w:sz w:val="17"/>
          <w:szCs w:val="17"/>
          <w:color w:val="auto"/>
        </w:rPr>
        <w:t>), ICE Clear Singapore (</w:t>
      </w:r>
      <w:r>
        <w:rPr>
          <w:rFonts w:ascii="Arial" w:cs="Arial" w:eastAsia="Arial" w:hAnsi="Arial"/>
          <w:sz w:val="17"/>
          <w:szCs w:val="17"/>
          <w:b w:val="1"/>
          <w:bCs w:val="1"/>
          <w:color w:val="auto"/>
        </w:rPr>
        <w:t>“ICS”</w:t>
      </w:r>
      <w:r>
        <w:rPr>
          <w:rFonts w:ascii="Arial" w:cs="Arial" w:eastAsia="Arial" w:hAnsi="Arial"/>
          <w:sz w:val="17"/>
          <w:szCs w:val="17"/>
          <w:color w:val="auto"/>
        </w:rPr>
        <w:t>) and Opco, IFS and ICS provide trade execution and clearing services to customers that trade the cash-settled futures contracts. As these contracts are settled in cash (rather than by physical delivery of bitcoin), no custody function is necessary; as such, Opco provides to IFS and ICS pricing data from its PDF Contracts and also licenses its name to IFS and ICS for use in marketing the cash-settled futures. In return, ICS and IFS pay to Opco 35% of the net trading and clearing revenue that they earn with respect to these contracts.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The results of operations presented below should be reviewed in conjunction with the Unaudited Third Quarter 2021 Financials and the Audited 2020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Financials. The following table sets forth our consolidated results of operations for the periods shown: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gridSpan w:val="6"/>
          </w:tcPr>
          <w:p>
            <w:pPr>
              <w:jc w:val="right"/>
              <w:ind w:right="267"/>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760" w:type="dxa"/>
            <w:vAlign w:val="bottom"/>
            <w:gridSpan w:val="4"/>
          </w:tcPr>
          <w:p>
            <w:pPr>
              <w:jc w:val="right"/>
              <w:ind w:right="407"/>
              <w:spacing w:after="0"/>
              <w:rPr>
                <w:sz w:val="20"/>
                <w:szCs w:val="20"/>
                <w:color w:val="auto"/>
              </w:rPr>
            </w:pPr>
            <w:r>
              <w:rPr>
                <w:rFonts w:ascii="Arial" w:cs="Arial" w:eastAsia="Arial" w:hAnsi="Arial"/>
                <w:sz w:val="14"/>
                <w:szCs w:val="14"/>
                <w:b w:val="1"/>
                <w:bCs w:val="1"/>
                <w:color w:val="auto"/>
                <w:w w:val="96"/>
              </w:rPr>
              <w:t>Nine Months Ended</w:t>
            </w:r>
          </w:p>
        </w:tc>
        <w:tc>
          <w:tcPr>
            <w:tcW w:w="174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46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60" w:type="dxa"/>
            <w:vAlign w:val="bottom"/>
            <w:gridSpan w:val="4"/>
          </w:tcPr>
          <w:p>
            <w:pPr>
              <w:jc w:val="right"/>
              <w:ind w:right="587"/>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9"/>
              <w:spacing w:after="0" w:line="13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88"/>
              <w:spacing w:after="0" w:line="13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79"/>
              <w:spacing w:after="0" w:line="13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7"/>
              <w:spacing w:after="0" w:line="13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77"/>
              <w:spacing w:after="0" w:line="135"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340"/>
              <w:spacing w:after="0"/>
              <w:rPr>
                <w:sz w:val="20"/>
                <w:szCs w:val="20"/>
                <w:color w:val="auto"/>
              </w:rPr>
            </w:pPr>
            <w:r>
              <w:rPr>
                <w:rFonts w:ascii="Arial" w:cs="Arial" w:eastAsia="Arial" w:hAnsi="Arial"/>
                <w:sz w:val="17"/>
                <w:szCs w:val="17"/>
                <w:color w:val="auto"/>
              </w:rPr>
              <w:t>Net revenues (1)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9,142</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7"/>
              <w:spacing w:after="0"/>
              <w:rPr>
                <w:sz w:val="20"/>
                <w:szCs w:val="20"/>
                <w:color w:val="auto"/>
              </w:rPr>
            </w:pPr>
            <w:r>
              <w:rPr>
                <w:rFonts w:ascii="Arial" w:cs="Arial" w:eastAsia="Arial" w:hAnsi="Arial"/>
                <w:sz w:val="17"/>
                <w:szCs w:val="17"/>
                <w:color w:val="auto"/>
              </w:rPr>
              <w:t>6,629</w:t>
            </w:r>
            <w:r>
              <w:rPr>
                <w:rFonts w:ascii="Arial" w:cs="Arial" w:eastAsia="Arial" w:hAnsi="Arial"/>
                <w:sz w:val="14"/>
                <w:szCs w:val="14"/>
                <w:color w:val="auto"/>
              </w:rPr>
              <w:t>(2)</w:t>
            </w: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$25,773</w:t>
            </w:r>
          </w:p>
        </w:tc>
        <w:tc>
          <w:tcPr>
            <w:tcW w:w="960" w:type="dxa"/>
            <w:vAlign w:val="bottom"/>
            <w:gridSpan w:val="2"/>
          </w:tcPr>
          <w:p>
            <w:pPr>
              <w:jc w:val="right"/>
              <w:ind w:right="147"/>
              <w:spacing w:after="0"/>
              <w:rPr>
                <w:sz w:val="20"/>
                <w:szCs w:val="20"/>
                <w:color w:val="auto"/>
              </w:rPr>
            </w:pPr>
            <w:r>
              <w:rPr>
                <w:rFonts w:ascii="Arial" w:cs="Arial" w:eastAsia="Arial" w:hAnsi="Arial"/>
                <w:sz w:val="17"/>
                <w:szCs w:val="17"/>
                <w:color w:val="auto"/>
                <w:w w:val="91"/>
              </w:rPr>
              <w:t>$19,067</w:t>
            </w:r>
            <w:r>
              <w:rPr>
                <w:rFonts w:ascii="Arial" w:cs="Arial" w:eastAsia="Arial" w:hAnsi="Arial"/>
                <w:sz w:val="14"/>
                <w:szCs w:val="14"/>
                <w:color w:val="auto"/>
                <w:w w:val="91"/>
              </w:rPr>
              <w:t>(3)</w:t>
            </w:r>
          </w:p>
        </w:tc>
        <w:tc>
          <w:tcPr>
            <w:tcW w:w="880" w:type="dxa"/>
            <w:vAlign w:val="bottom"/>
            <w:gridSpan w:val="2"/>
          </w:tcPr>
          <w:p>
            <w:pPr>
              <w:jc w:val="right"/>
              <w:ind w:right="27"/>
              <w:spacing w:after="0"/>
              <w:rPr>
                <w:sz w:val="20"/>
                <w:szCs w:val="20"/>
                <w:color w:val="auto"/>
              </w:rPr>
            </w:pPr>
            <w:r>
              <w:rPr>
                <w:rFonts w:ascii="Arial" w:cs="Arial" w:eastAsia="Arial" w:hAnsi="Arial"/>
                <w:sz w:val="17"/>
                <w:szCs w:val="17"/>
                <w:color w:val="auto"/>
                <w:w w:val="91"/>
              </w:rPr>
              <w:t>$ 28,495</w:t>
            </w:r>
            <w:r>
              <w:rPr>
                <w:rFonts w:ascii="Arial" w:cs="Arial" w:eastAsia="Arial" w:hAnsi="Arial"/>
                <w:sz w:val="14"/>
                <w:szCs w:val="14"/>
                <w:color w:val="auto"/>
                <w:w w:val="91"/>
              </w:rPr>
              <w:t>(4)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680"/>
              <w:spacing w:after="0"/>
              <w:rPr>
                <w:sz w:val="20"/>
                <w:szCs w:val="20"/>
                <w:color w:val="auto"/>
              </w:rPr>
            </w:pPr>
            <w:r>
              <w:rPr>
                <w:rFonts w:ascii="Arial" w:cs="Arial" w:eastAsia="Arial" w:hAnsi="Arial"/>
                <w:sz w:val="17"/>
                <w:szCs w:val="17"/>
                <w:color w:val="auto"/>
              </w:rPr>
              <w:t>Total revenues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5"/>
                <w:szCs w:val="15"/>
                <w:color w:val="auto"/>
                <w:w w:val="87"/>
              </w:rPr>
              <w:t>(2)</w:t>
            </w: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147"/>
              <w:spacing w:after="0"/>
              <w:rPr>
                <w:sz w:val="20"/>
                <w:szCs w:val="20"/>
                <w:color w:val="auto"/>
              </w:rPr>
            </w:pPr>
            <w:r>
              <w:rPr>
                <w:rFonts w:ascii="Arial" w:cs="Arial" w:eastAsia="Arial" w:hAnsi="Arial"/>
                <w:sz w:val="15"/>
                <w:szCs w:val="15"/>
                <w:color w:val="auto"/>
                <w:w w:val="87"/>
              </w:rPr>
              <w:t>(3)</w:t>
            </w: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5"/>
                <w:szCs w:val="15"/>
                <w:color w:val="auto"/>
                <w:w w:val="87"/>
              </w:rPr>
              <w:t>(4)</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vMerge w:val="continue"/>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9,142</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6,629</w:t>
            </w:r>
          </w:p>
        </w:tc>
        <w:tc>
          <w:tcPr>
            <w:tcW w:w="280" w:type="dxa"/>
            <w:vAlign w:val="bottom"/>
            <w:vMerge w:val="continue"/>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$25,773</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$19,067</w:t>
            </w:r>
          </w:p>
        </w:tc>
        <w:tc>
          <w:tcPr>
            <w:tcW w:w="40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7"/>
              </w:rPr>
              <w:t>$ 28,495</w:t>
            </w:r>
          </w:p>
        </w:tc>
        <w:tc>
          <w:tcPr>
            <w:tcW w:w="280" w:type="dxa"/>
            <w:vAlign w:val="bottom"/>
            <w:vMerge w:val="continue"/>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22,225</w:t>
            </w:r>
          </w:p>
        </w:tc>
        <w:tc>
          <w:tcPr>
            <w:tcW w:w="80" w:type="dxa"/>
            <w:vAlign w:val="bottom"/>
          </w:tcPr>
          <w:p>
            <w:pPr>
              <w:spacing w:after="0"/>
              <w:rPr>
                <w:sz w:val="17"/>
                <w:szCs w:val="17"/>
                <w:color w:val="auto"/>
              </w:rPr>
            </w:pPr>
          </w:p>
        </w:tc>
        <w:tc>
          <w:tcPr>
            <w:tcW w:w="760" w:type="dxa"/>
            <w:vAlign w:val="bottom"/>
            <w:gridSpan w:val="2"/>
          </w:tcPr>
          <w:p>
            <w:pPr>
              <w:jc w:val="right"/>
              <w:ind w:right="207"/>
              <w:spacing w:after="0"/>
              <w:rPr>
                <w:sz w:val="20"/>
                <w:szCs w:val="20"/>
                <w:color w:val="auto"/>
              </w:rPr>
            </w:pPr>
            <w:r>
              <w:rPr>
                <w:rFonts w:ascii="Arial" w:cs="Arial" w:eastAsia="Arial" w:hAnsi="Arial"/>
                <w:sz w:val="17"/>
                <w:szCs w:val="17"/>
                <w:color w:val="auto"/>
                <w:w w:val="88"/>
              </w:rPr>
              <w:t>12,637</w:t>
            </w: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57,375</w:t>
            </w:r>
          </w:p>
        </w:tc>
        <w:tc>
          <w:tcPr>
            <w:tcW w:w="960" w:type="dxa"/>
            <w:vAlign w:val="bottom"/>
            <w:gridSpan w:val="2"/>
          </w:tcPr>
          <w:p>
            <w:pPr>
              <w:jc w:val="right"/>
              <w:ind w:right="327"/>
              <w:spacing w:after="0"/>
              <w:rPr>
                <w:sz w:val="20"/>
                <w:szCs w:val="20"/>
                <w:color w:val="auto"/>
              </w:rPr>
            </w:pPr>
            <w:r>
              <w:rPr>
                <w:rFonts w:ascii="Arial" w:cs="Arial" w:eastAsia="Arial" w:hAnsi="Arial"/>
                <w:sz w:val="17"/>
                <w:szCs w:val="17"/>
                <w:color w:val="auto"/>
              </w:rPr>
              <w:t>30,508</w:t>
            </w:r>
          </w:p>
        </w:tc>
        <w:tc>
          <w:tcPr>
            <w:tcW w:w="880" w:type="dxa"/>
            <w:vAlign w:val="bottom"/>
            <w:gridSpan w:val="2"/>
          </w:tcPr>
          <w:p>
            <w:pPr>
              <w:jc w:val="right"/>
              <w:ind w:right="207"/>
              <w:spacing w:after="0"/>
              <w:rPr>
                <w:sz w:val="20"/>
                <w:szCs w:val="20"/>
                <w:color w:val="auto"/>
              </w:rPr>
            </w:pPr>
            <w:r>
              <w:rPr>
                <w:rFonts w:ascii="Arial" w:cs="Arial" w:eastAsia="Arial" w:hAnsi="Arial"/>
                <w:sz w:val="17"/>
                <w:szCs w:val="17"/>
                <w:color w:val="auto"/>
              </w:rPr>
              <w:t>43,141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23,237</w:t>
            </w: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7"/>
              <w:spacing w:after="0"/>
              <w:rPr>
                <w:sz w:val="20"/>
                <w:szCs w:val="20"/>
                <w:color w:val="auto"/>
              </w:rPr>
            </w:pPr>
            <w:r>
              <w:rPr>
                <w:rFonts w:ascii="Arial" w:cs="Arial" w:eastAsia="Arial" w:hAnsi="Arial"/>
                <w:sz w:val="17"/>
                <w:szCs w:val="17"/>
                <w:color w:val="auto"/>
              </w:rPr>
              <w:t>2,392</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5,006</w:t>
            </w:r>
          </w:p>
        </w:tc>
        <w:tc>
          <w:tcPr>
            <w:tcW w:w="960" w:type="dxa"/>
            <w:vAlign w:val="bottom"/>
            <w:gridSpan w:val="2"/>
            <w:shd w:val="clear" w:color="auto" w:fill="CCEEFF"/>
          </w:tcPr>
          <w:p>
            <w:pPr>
              <w:jc w:val="right"/>
              <w:ind w:right="327"/>
              <w:spacing w:after="0"/>
              <w:rPr>
                <w:sz w:val="20"/>
                <w:szCs w:val="20"/>
                <w:color w:val="auto"/>
              </w:rPr>
            </w:pPr>
            <w:r>
              <w:rPr>
                <w:rFonts w:ascii="Arial" w:cs="Arial" w:eastAsia="Arial" w:hAnsi="Arial"/>
                <w:sz w:val="17"/>
                <w:szCs w:val="17"/>
                <w:color w:val="auto"/>
              </w:rPr>
              <w:t>4,657</w:t>
            </w:r>
          </w:p>
        </w:tc>
        <w:tc>
          <w:tcPr>
            <w:tcW w:w="880" w:type="dxa"/>
            <w:vAlign w:val="bottom"/>
            <w:gridSpan w:val="2"/>
            <w:shd w:val="clear" w:color="auto" w:fill="CCEEFF"/>
          </w:tcPr>
          <w:p>
            <w:pPr>
              <w:jc w:val="right"/>
              <w:ind w:right="207"/>
              <w:spacing w:after="0"/>
              <w:rPr>
                <w:sz w:val="20"/>
                <w:szCs w:val="20"/>
                <w:color w:val="auto"/>
              </w:rPr>
            </w:pPr>
            <w:r>
              <w:rPr>
                <w:rFonts w:ascii="Arial" w:cs="Arial" w:eastAsia="Arial" w:hAnsi="Arial"/>
                <w:sz w:val="17"/>
                <w:szCs w:val="17"/>
                <w:color w:val="auto"/>
              </w:rPr>
              <w:t>5,751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346"/>
        </w:trPr>
        <w:tc>
          <w:tcPr>
            <w:tcW w:w="370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9" w:right="69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3746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6"/>
        </w:trPr>
        <w:tc>
          <w:tcPr>
            <w:tcW w:w="5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Technology and communication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9,851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6,958</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9,741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4,256</w:t>
            </w:r>
          </w:p>
        </w:tc>
        <w:tc>
          <w:tcPr>
            <w:tcW w:w="0" w:type="dxa"/>
            <w:vAlign w:val="bottom"/>
          </w:tcPr>
          <w:p>
            <w:pPr>
              <w:spacing w:after="0"/>
              <w:rPr>
                <w:sz w:val="1"/>
                <w:szCs w:val="1"/>
                <w:color w:val="auto"/>
              </w:rPr>
            </w:pPr>
          </w:p>
        </w:tc>
      </w:tr>
      <w:tr>
        <w:trPr>
          <w:trHeight w:val="206"/>
        </w:trPr>
        <w:tc>
          <w:tcPr>
            <w:tcW w:w="5540" w:type="dxa"/>
            <w:vAlign w:val="bottom"/>
          </w:tcPr>
          <w:p>
            <w:pPr>
              <w:ind w:left="340"/>
              <w:spacing w:after="0"/>
              <w:rPr>
                <w:sz w:val="20"/>
                <w:szCs w:val="20"/>
                <w:color w:val="auto"/>
              </w:rPr>
            </w:pPr>
            <w:r>
              <w:rPr>
                <w:rFonts w:ascii="Arial" w:cs="Arial" w:eastAsia="Arial" w:hAnsi="Arial"/>
                <w:sz w:val="17"/>
                <w:szCs w:val="17"/>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7"/>
                <w:szCs w:val="17"/>
                <w:color w:val="auto"/>
              </w:rPr>
              <w:t>4,449</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1,664</w:t>
            </w:r>
          </w:p>
        </w:tc>
        <w:tc>
          <w:tcPr>
            <w:tcW w:w="14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19,514</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3,472</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8,219</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12,075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11,477</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13,372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554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7"/>
                <w:szCs w:val="17"/>
                <w:color w:val="auto"/>
              </w:rPr>
              <w:t>3,270</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2,232</w:t>
            </w:r>
          </w:p>
        </w:tc>
        <w:tc>
          <w:tcPr>
            <w:tcW w:w="14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9,098</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5,536</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8,159</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Affiliate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1,413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3,082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5540" w:type="dxa"/>
            <w:vAlign w:val="bottom"/>
          </w:tcPr>
          <w:p>
            <w:pPr>
              <w:ind w:left="340"/>
              <w:spacing w:after="0"/>
              <w:rPr>
                <w:sz w:val="20"/>
                <w:szCs w:val="20"/>
                <w:color w:val="auto"/>
              </w:rPr>
            </w:pPr>
            <w:r>
              <w:rPr>
                <w:rFonts w:ascii="Arial" w:cs="Arial" w:eastAsia="Arial" w:hAnsi="Arial"/>
                <w:sz w:val="17"/>
                <w:szCs w:val="17"/>
                <w:color w:val="auto"/>
              </w:rPr>
              <w:t>Impairment of long-lived assets</w:t>
            </w: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3,843</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15,292</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1,038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857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39,004</w:t>
            </w: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24,337</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115,370</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69,448</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107,614</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35,815</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(29,862)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(17,708)</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(89,597)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(50,381)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(79,119)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(36,679)</w:t>
            </w:r>
          </w:p>
        </w:tc>
        <w:tc>
          <w:tcPr>
            <w:tcW w:w="0" w:type="dxa"/>
            <w:vAlign w:val="bottom"/>
          </w:tcPr>
          <w:p>
            <w:pPr>
              <w:spacing w:after="0"/>
              <w:rPr>
                <w:sz w:val="1"/>
                <w:szCs w:val="1"/>
                <w:color w:val="auto"/>
              </w:rPr>
            </w:pPr>
          </w:p>
        </w:tc>
      </w:tr>
      <w:tr>
        <w:trPr>
          <w:trHeight w:val="206"/>
        </w:trPr>
        <w:tc>
          <w:tcPr>
            <w:tcW w:w="5540" w:type="dxa"/>
            <w:vAlign w:val="bottom"/>
          </w:tcPr>
          <w:p>
            <w:pPr>
              <w:spacing w:after="0"/>
              <w:rPr>
                <w:sz w:val="20"/>
                <w:szCs w:val="20"/>
                <w:color w:val="auto"/>
              </w:rPr>
            </w:pPr>
            <w:r>
              <w:rPr>
                <w:rFonts w:ascii="Arial" w:cs="Arial" w:eastAsia="Arial" w:hAnsi="Arial"/>
                <w:sz w:val="17"/>
                <w:szCs w:val="17"/>
                <w:color w:val="auto"/>
              </w:rPr>
              <w:t>Interest income (expense), net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(169)</w:t>
            </w: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(239)</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255</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123</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473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(218)</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vMerge w:val="continue"/>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(28,835)</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(17,960)</w:t>
            </w: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rPr>
              <w:t>(89,363)</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(49,980)</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(79,214)</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(33,175)</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195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(391)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vMerge w:val="continue"/>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0"/>
              </w:rPr>
              <w:t>$(28,847)</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$(17,971)</w:t>
            </w: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w w:val="98"/>
              </w:rPr>
              <w:t>$ (89,558)</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$(50,016)</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 (79,605)</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$(32,976)</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 net of tax</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vMerge w:val="continue"/>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(29,038)</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(17,884)</w:t>
            </w:r>
          </w:p>
        </w:tc>
        <w:tc>
          <w:tcPr>
            <w:tcW w:w="920" w:type="dxa"/>
            <w:vAlign w:val="bottom"/>
            <w:gridSpan w:val="3"/>
          </w:tcPr>
          <w:p>
            <w:pPr>
              <w:jc w:val="right"/>
              <w:ind w:right="140"/>
              <w:spacing w:after="0"/>
              <w:rPr>
                <w:sz w:val="20"/>
                <w:szCs w:val="20"/>
                <w:color w:val="auto"/>
              </w:rPr>
            </w:pPr>
            <w:r>
              <w:rPr>
                <w:rFonts w:ascii="Arial" w:cs="Arial" w:eastAsia="Arial" w:hAnsi="Arial"/>
                <w:sz w:val="17"/>
                <w:szCs w:val="17"/>
                <w:color w:val="auto"/>
                <w:w w:val="98"/>
              </w:rPr>
              <w:t>$ (89,576)</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(50,096)</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 (79,414)</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(32,976)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04" w:right="280" w:hanging="404"/>
        <w:spacing w:after="0" w:line="273" w:lineRule="auto"/>
        <w:tabs>
          <w:tab w:leader="none" w:pos="404"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The three and nine months ended September 30, 2021 include net revenues from affiliate of $111,000 and $154,000, respectively. The three and nine months ended September 30, 2020 include net revenues from affiliate of $1,149,000 and $2,153,000, respectively. The years ended December 31, 2020 and 2019 include net revenues from affiliate of $(2,007,000) and $(881,000), respectively.</w:t>
      </w:r>
    </w:p>
    <w:p>
      <w:pPr>
        <w:ind w:left="404" w:right="820" w:hanging="404"/>
        <w:spacing w:after="0" w:line="252" w:lineRule="auto"/>
        <w:tabs>
          <w:tab w:leader="none" w:pos="404"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1" w:lineRule="exact"/>
        <w:rPr>
          <w:rFonts w:ascii="Arial" w:cs="Arial" w:eastAsia="Arial" w:hAnsi="Arial"/>
          <w:sz w:val="17"/>
          <w:szCs w:val="17"/>
          <w:i w:val="1"/>
          <w:iCs w:val="1"/>
          <w:color w:val="auto"/>
        </w:rPr>
      </w:pPr>
    </w:p>
    <w:p>
      <w:pPr>
        <w:ind w:left="404" w:right="780" w:hanging="404"/>
        <w:spacing w:after="0" w:line="252" w:lineRule="auto"/>
        <w:tabs>
          <w:tab w:leader="none" w:pos="404"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1" w:lineRule="exact"/>
        <w:rPr>
          <w:rFonts w:ascii="Arial" w:cs="Arial" w:eastAsia="Arial" w:hAnsi="Arial"/>
          <w:sz w:val="17"/>
          <w:szCs w:val="17"/>
          <w:i w:val="1"/>
          <w:iCs w:val="1"/>
          <w:color w:val="auto"/>
        </w:rPr>
      </w:pPr>
    </w:p>
    <w:p>
      <w:pPr>
        <w:ind w:left="404" w:right="60" w:hanging="404"/>
        <w:spacing w:after="0" w:line="265" w:lineRule="auto"/>
        <w:tabs>
          <w:tab w:leader="none" w:pos="404"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278" w:lineRule="exact"/>
        <w:rPr>
          <w:sz w:val="20"/>
          <w:szCs w:val="20"/>
          <w:color w:val="auto"/>
        </w:rPr>
      </w:pPr>
    </w:p>
    <w:p>
      <w:pPr>
        <w:ind w:left="4" w:right="3640"/>
        <w:spacing w:after="0" w:line="405" w:lineRule="auto"/>
        <w:rPr>
          <w:sz w:val="20"/>
          <w:szCs w:val="20"/>
          <w:color w:val="auto"/>
        </w:rPr>
      </w:pPr>
      <w:r>
        <w:rPr>
          <w:rFonts w:ascii="Arial" w:cs="Arial" w:eastAsia="Arial" w:hAnsi="Arial"/>
          <w:sz w:val="17"/>
          <w:szCs w:val="17"/>
          <w:b w:val="1"/>
          <w:bCs w:val="1"/>
          <w:i w:val="1"/>
          <w:iCs w:val="1"/>
          <w:color w:val="auto"/>
        </w:rPr>
        <w:t>Three Months Ended September 30, 2021 Compared to Three Months Ended September 30, 2020 Revenue</w:t>
      </w:r>
    </w:p>
    <w:p>
      <w:pPr>
        <w:spacing w:after="0" w:line="76" w:lineRule="exact"/>
        <w:rPr>
          <w:sz w:val="20"/>
          <w:szCs w:val="20"/>
          <w:color w:val="auto"/>
        </w:rPr>
      </w:pPr>
    </w:p>
    <w:tbl>
      <w:tblPr>
        <w:tblLayout w:type="fixed"/>
        <w:tblInd w:w="424" w:type="dxa"/>
        <w:tblCellMar>
          <w:top w:w="0" w:type="dxa"/>
          <w:left w:w="0" w:type="dxa"/>
          <w:bottom w:w="0" w:type="dxa"/>
          <w:right w:w="0" w:type="dxa"/>
        </w:tblCellMar>
      </w:tblPr>
      <w:tr>
        <w:trPr>
          <w:trHeight w:val="164"/>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Three Months Ended September 30,</w:t>
            </w:r>
          </w:p>
        </w:tc>
        <w:tc>
          <w:tcPr>
            <w:tcW w:w="180" w:type="dxa"/>
            <w:vAlign w:val="bottom"/>
          </w:tcPr>
          <w:p>
            <w:pPr>
              <w:spacing w:after="0"/>
              <w:rPr>
                <w:sz w:val="14"/>
                <w:szCs w:val="14"/>
                <w:color w:val="auto"/>
              </w:rPr>
            </w:pPr>
          </w:p>
        </w:tc>
        <w:tc>
          <w:tcPr>
            <w:tcW w:w="96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3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487"/>
              <w:spacing w:after="0" w:line="13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31"/>
              <w:spacing w:after="0" w:line="13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left="52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9"/>
              </w:rPr>
              <w:t>Net revenues (includes net revenues from affiliate of $111 and $1,149,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6,629</w:t>
            </w:r>
            <w:r>
              <w:rPr>
                <w:rFonts w:ascii="Arial" w:cs="Arial" w:eastAsia="Arial" w:hAnsi="Arial"/>
                <w:sz w:val="14"/>
                <w:szCs w:val="14"/>
                <w:color w:val="auto"/>
              </w:rPr>
              <w:t>(1)</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9,142</w:t>
            </w: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gridSpan w:val="2"/>
            <w:vMerge w:val="continue"/>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$2,513</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37.9%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04" w:right="820" w:hanging="404"/>
        <w:spacing w:after="0" w:line="278" w:lineRule="auto"/>
        <w:tabs>
          <w:tab w:leader="none" w:pos="404"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04"/>
          </w:cols>
          <w:pgMar w:left="696" w:top="281" w:right="69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Net Revenues</w:t>
      </w:r>
    </w:p>
    <w:p>
      <w:pPr>
        <w:spacing w:after="0" w:line="113"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Net revenues consist of transaction revenue (net of rebates and liquidity payments under the Triparty Agreement, reductions in connection with the contribution agreement entered into between Opco and ICE in connection with ICE’s formation of Opco (the “Contribution Agreement”) and consideration payable to a customer pursuant to the Strategic Alliance Agreement), subscription and service revenue.</w:t>
      </w:r>
    </w:p>
    <w:p>
      <w:pPr>
        <w:spacing w:after="0" w:line="15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Net revenues increased by $2.5 million, or 37.9%, for the three months ended September 30, 2021 compared to the three months ended September 30, 2020. The increase was primarily due to an increase of $1.0 million in subscription and service revenue related to the expansion of call center services for an existing loyalty customer, partially offset by reimbursements we received from a loyalty customer in 2020 to offset expenses for staffing that was not utilized due to COVID 19 related transaction volume declines, and an increase of $1.5 million in transaction revenue related to higher customer activity in our loyalty redemption services business. Negative revenue from the Triparty Agreement, net, a component of transaction revenue, improved by $1.0 million, or 90.4%, for the three months ended September 30, 2021 compared to the three months ended September 30, 2020. This decrease in negative revenue is primarily due to a decrease in trading and clearing rebates of $1.8 million, partially offset by a $0.9 million decrease in revenues from the Triparty Agreement.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right="50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780" w:type="dxa"/>
            <w:vAlign w:val="bottom"/>
          </w:tcPr>
          <w:p>
            <w:pPr>
              <w:spacing w:after="0"/>
              <w:rPr>
                <w:sz w:val="14"/>
                <w:szCs w:val="14"/>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 September 30,</w:t>
            </w:r>
          </w:p>
        </w:tc>
        <w:tc>
          <w:tcPr>
            <w:tcW w:w="1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57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26"/>
              <w:spacing w:after="0" w:line="13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26"/>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5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left="386"/>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22,225</w:t>
            </w:r>
          </w:p>
        </w:tc>
        <w:tc>
          <w:tcPr>
            <w:tcW w:w="4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12,637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$9,588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75.9%</w:t>
            </w:r>
          </w:p>
        </w:tc>
      </w:tr>
    </w:tbl>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Upon the consummation of the Business Combination on October 15, 2021, one-third of the awards in the Equity Plan vested, which we expect will result in recognition of incremental unit-based compensation expense. The second and third one-third tranches will vest on the one-year and two-year anniversary date of the transaction close, respectively.</w:t>
      </w:r>
    </w:p>
    <w:p>
      <w:pPr>
        <w:spacing w:after="0" w:line="16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$9.6 million, or 75.9%, for the three months ended September 30, 2021 compared to the three months ended September 30, 2020. The increase was primarily due to $5.6 million in additional salaries, wages and benefits, $1.4 million in contract labor for software development, $0.6 million in non-cash compensation and incentive bonuses, $0.9 million in severance costs, $0.7 million in other operating costs, and $0.4 million in payroll taxes. The majority of the increase in these costs results from increases in headcount to support the projected growth in our business and increased compliance and reporting requirements as a public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80"/>
          </w:cols>
          <w:pgMar w:left="700" w:top="269" w:right="71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Professional Services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Three Months Ended September 30,</w:t>
            </w:r>
          </w:p>
        </w:tc>
        <w:tc>
          <w:tcPr>
            <w:tcW w:w="12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57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67"/>
              <w:spacing w:after="0" w:line="13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66"/>
              <w:spacing w:after="0" w:line="13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5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left="50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47"/>
              <w:spacing w:after="0"/>
              <w:rPr>
                <w:sz w:val="20"/>
                <w:szCs w:val="20"/>
                <w:color w:val="auto"/>
              </w:rPr>
            </w:pPr>
            <w:r>
              <w:rPr>
                <w:rFonts w:ascii="Arial" w:cs="Arial" w:eastAsia="Arial" w:hAnsi="Arial"/>
                <w:sz w:val="17"/>
                <w:szCs w:val="17"/>
                <w:color w:val="auto"/>
              </w:rPr>
              <w:t>3,334</w:t>
            </w: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2,392</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4"/>
              </w:rPr>
              <w:t>$942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39.4%</w:t>
            </w:r>
          </w:p>
        </w:tc>
      </w:tr>
    </w:tbl>
    <w:p>
      <w:pPr>
        <w:spacing w:after="0" w:line="193"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Professional services expense includes fees for regulatory, legal, and accounting fees. Professional services increased by $0.9 million, or 39.4%, for the three months ended September 30, 2021 compared to the three months ended September 30, 2020. The increase was primarily due to an increase of $0.7 million in audit and tax fees.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Three Months Ended September</w:t>
            </w:r>
          </w:p>
        </w:tc>
        <w:tc>
          <w:tcPr>
            <w:tcW w:w="12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jc w:val="center"/>
              <w:ind w:right="223"/>
              <w:spacing w:after="0"/>
              <w:rPr>
                <w:sz w:val="20"/>
                <w:szCs w:val="20"/>
                <w:color w:val="auto"/>
              </w:rPr>
            </w:pPr>
            <w:r>
              <w:rPr>
                <w:rFonts w:ascii="Arial" w:cs="Arial" w:eastAsia="Arial" w:hAnsi="Arial"/>
                <w:sz w:val="14"/>
                <w:szCs w:val="14"/>
                <w:b w:val="1"/>
                <w:bCs w:val="1"/>
                <w:color w:val="auto"/>
                <w:w w:val="81"/>
              </w:rPr>
              <w:t>30,</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7"/>
              <w:spacing w:after="0" w:line="13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23"/>
              <w:spacing w:after="0" w:line="135" w:lineRule="exact"/>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66"/>
              <w:spacing w:after="0" w:line="13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left="42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3,148</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2,311</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4"/>
              </w:rPr>
              <w:t>$837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36.2%</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Technology and communication costs represent all non-headcount related costs we incur to operate our business.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 increased by $0.8 million, or 36.2%, for the three months ended September 30, 2021 compared to the three months ended September 30, 2020. The increase was primarily due to an increase of $0.6 million in hardware and software license fees.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Three Months Ended September</w:t>
            </w:r>
          </w:p>
        </w:tc>
        <w:tc>
          <w:tcPr>
            <w:tcW w:w="148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jc w:val="center"/>
              <w:ind w:right="223"/>
              <w:spacing w:after="0"/>
              <w:rPr>
                <w:sz w:val="20"/>
                <w:szCs w:val="20"/>
                <w:color w:val="auto"/>
              </w:rPr>
            </w:pPr>
            <w:r>
              <w:rPr>
                <w:rFonts w:ascii="Arial" w:cs="Arial" w:eastAsia="Arial" w:hAnsi="Arial"/>
                <w:sz w:val="14"/>
                <w:szCs w:val="14"/>
                <w:b w:val="1"/>
                <w:bCs w:val="1"/>
                <w:color w:val="auto"/>
                <w:w w:val="81"/>
              </w:rPr>
              <w:t>30,</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67"/>
              <w:spacing w:after="0" w:line="13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23"/>
              <w:spacing w:after="0" w:line="135" w:lineRule="exact"/>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26"/>
              <w:spacing w:after="0" w:line="13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left="42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4,449</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1,664</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8"/>
              </w:rPr>
              <w:t>$2,785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167.4%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60"/>
          </w:cols>
          <w:pgMar w:left="700" w:top="269" w:right="7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future years as we gain improved operating leverage from our projected revenue growth. Selling, general and administrative costs increased by</w:t>
      </w:r>
    </w:p>
    <w:p>
      <w:pPr>
        <w:spacing w:after="0" w:line="3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$2.8 million, or 167.4%, for the three months ended September 30, 2021 compared to the three months ended September 30, 2020. The increase was primarily due to an increase of $2.6 million in marketing expenses related to the launch of our consumer platform. The majority of these marketing expenses are web-based promotional campaigns.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Three Months Ended September</w:t>
            </w:r>
          </w:p>
        </w:tc>
        <w:tc>
          <w:tcPr>
            <w:tcW w:w="10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1"/>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23"/>
              <w:spacing w:after="0"/>
              <w:rPr>
                <w:sz w:val="20"/>
                <w:szCs w:val="20"/>
                <w:color w:val="auto"/>
              </w:rPr>
            </w:pPr>
            <w:r>
              <w:rPr>
                <w:rFonts w:ascii="Arial" w:cs="Arial" w:eastAsia="Arial" w:hAnsi="Arial"/>
                <w:sz w:val="14"/>
                <w:szCs w:val="14"/>
                <w:b w:val="1"/>
                <w:bCs w:val="1"/>
                <w:color w:val="auto"/>
                <w:w w:val="81"/>
              </w:rPr>
              <w:t>30,</w:t>
            </w: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67"/>
              <w:spacing w:after="0" w:line="13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3"/>
              <w:spacing w:after="0" w:line="13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1"/>
                <w:szCs w:val="11"/>
                <w:color w:val="auto"/>
              </w:rPr>
            </w:pPr>
          </w:p>
        </w:tc>
        <w:tc>
          <w:tcPr>
            <w:tcW w:w="480" w:type="dxa"/>
            <w:vAlign w:val="bottom"/>
            <w:tcBorders>
              <w:bottom w:val="single" w:sz="8" w:color="auto"/>
            </w:tcBorders>
          </w:tcPr>
          <w:p>
            <w:pPr>
              <w:jc w:val="right"/>
              <w:ind w:right="126"/>
              <w:spacing w:after="0" w:line="135"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ind w:left="4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left="38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$1,766</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6"/>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Acquisition-related costs for the three months ended September 30, 2021 consists entirely of costs related to the Business Combination. There were no acquisition-related costs for the three months ended September 30, 2020.</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Three Months Ended September 30,</w:t>
            </w:r>
          </w:p>
        </w:tc>
        <w:tc>
          <w:tcPr>
            <w:tcW w:w="1000" w:type="dxa"/>
            <w:vAlign w:val="bottom"/>
            <w:gridSpan w:val="3"/>
          </w:tcPr>
          <w:p>
            <w:pPr>
              <w:ind w:left="380"/>
              <w:spacing w:after="0"/>
              <w:rPr>
                <w:sz w:val="20"/>
                <w:szCs w:val="20"/>
                <w:color w:val="auto"/>
              </w:rPr>
            </w:pPr>
            <w:r>
              <w:rPr>
                <w:rFonts w:ascii="Arial" w:cs="Arial" w:eastAsia="Arial" w:hAnsi="Arial"/>
                <w:sz w:val="14"/>
                <w:szCs w:val="14"/>
                <w:b w:val="1"/>
                <w:bCs w:val="1"/>
                <w:color w:val="auto"/>
                <w:w w:val="88"/>
              </w:rPr>
              <w:t>Change in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34"/>
        </w:trPr>
        <w:tc>
          <w:tcPr>
            <w:tcW w:w="53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487"/>
              <w:spacing w:after="0" w:line="13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26"/>
              <w:spacing w:after="0" w:line="13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left="52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3,270</w:t>
            </w: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$1,038</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46.5%</w:t>
            </w:r>
          </w:p>
        </w:tc>
      </w:tr>
    </w:tbl>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Bridge2 Solutions acquisition. Depreciation and amortization increased by</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$1.0 million, or 46.5%, for the three months ended September 30, 2021 compared to the three months ended September 30, 2020. The increase was primarily due to $1.1 million of increased amortization related to additions to capitalized software development costs to support the expansion of our loyalty redemption services business and consumer platform.</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Three Months Ended September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64"/>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center"/>
              <w:ind w:right="203"/>
              <w:spacing w:after="0"/>
              <w:rPr>
                <w:sz w:val="20"/>
                <w:szCs w:val="20"/>
                <w:color w:val="auto"/>
              </w:rPr>
            </w:pPr>
            <w:r>
              <w:rPr>
                <w:rFonts w:ascii="Arial" w:cs="Arial" w:eastAsia="Arial" w:hAnsi="Arial"/>
                <w:sz w:val="14"/>
                <w:szCs w:val="14"/>
                <w:b w:val="1"/>
                <w:bCs w:val="1"/>
                <w:color w:val="auto"/>
                <w:w w:val="92"/>
              </w:rPr>
              <w:t>30,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87"/>
              <w:spacing w:after="0" w:line="13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83"/>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top w:val="single" w:sz="8" w:color="auto"/>
            </w:tcBorders>
          </w:tcPr>
          <w:p>
            <w:pPr>
              <w:jc w:val="right"/>
              <w:ind w:right="31"/>
              <w:spacing w:after="0" w:line="135"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gridSpan w:val="3"/>
          </w:tcPr>
          <w:p>
            <w:pPr>
              <w:jc w:val="right"/>
              <w:ind w:right="14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left="40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Affiliate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471</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Affiliate expenses result from technical support service and other costs pursuant to the Intercompany Services Agreement (“ISA”) between Opco and ICE.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Three Months Ended September</w:t>
            </w:r>
          </w:p>
        </w:tc>
        <w:tc>
          <w:tcPr>
            <w:tcW w:w="10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1"/>
              </w:rPr>
              <w:t>Change in</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line="135"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w w:val="83"/>
              </w:rPr>
              <w:t>2020</w:t>
            </w:r>
          </w:p>
        </w:tc>
        <w:tc>
          <w:tcPr>
            <w:tcW w:w="440" w:type="dxa"/>
            <w:vAlign w:val="bottom"/>
          </w:tcPr>
          <w:p>
            <w:pPr>
              <w:spacing w:after="0"/>
              <w:rPr>
                <w:sz w:val="11"/>
                <w:szCs w:val="11"/>
                <w:color w:val="auto"/>
              </w:rPr>
            </w:pPr>
          </w:p>
        </w:tc>
        <w:tc>
          <w:tcPr>
            <w:tcW w:w="540" w:type="dxa"/>
            <w:vAlign w:val="bottom"/>
            <w:tcBorders>
              <w:bottom w:val="single" w:sz="8" w:color="auto"/>
            </w:tcBorders>
          </w:tcPr>
          <w:p>
            <w:pPr>
              <w:jc w:val="right"/>
              <w:ind w:right="166"/>
              <w:spacing w:after="0" w:line="135"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6"/>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2,450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1"/>
              </w:rPr>
              <w:t>$(2,450)</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late 2019 and early 2020, we purchased payment software to use in the roll-out of our alternative payment method. We ultimately built out our alternative payment method offering using Application Programming Interface (“API”)- based integrations instead of the acquired payment software. As the alternative payment method no longer met our business requirements, we recorded an impairment charge of $2.5 million.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460"/>
          </w:cols>
          <w:pgMar w:left="700" w:top="269" w:right="739" w:bottom="1440" w:gutter="0" w:footer="0" w:header="0"/>
        </w:sectPr>
      </w:pPr>
    </w:p>
    <w:bookmarkStart w:id="44" w:name="page45"/>
    <w:bookmarkEnd w:id="44"/>
    <w:p>
      <w:pPr>
        <w:ind w:left="4"/>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Other income (expense), net</w:t>
      </w:r>
    </w:p>
    <w:p>
      <w:pPr>
        <w:spacing w:after="0" w:line="212"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Three Months Ended September</w:t>
            </w:r>
          </w:p>
        </w:tc>
        <w:tc>
          <w:tcPr>
            <w:tcW w:w="9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w w:val="81"/>
              </w:rPr>
              <w:t>30,</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7"/>
              <w:spacing w:after="0" w:line="13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w w:val="96"/>
              </w:rPr>
              <w:t>2020</w:t>
            </w:r>
          </w:p>
        </w:tc>
        <w:tc>
          <w:tcPr>
            <w:tcW w:w="440" w:type="dxa"/>
            <w:vAlign w:val="bottom"/>
          </w:tcPr>
          <w:p>
            <w:pPr>
              <w:spacing w:after="0"/>
              <w:rPr>
                <w:sz w:val="11"/>
                <w:szCs w:val="11"/>
                <w:color w:val="auto"/>
              </w:rPr>
            </w:pPr>
          </w:p>
        </w:tc>
        <w:tc>
          <w:tcPr>
            <w:tcW w:w="480" w:type="dxa"/>
            <w:vAlign w:val="bottom"/>
            <w:tcBorders>
              <w:bottom w:val="single" w:sz="8" w:color="auto"/>
            </w:tcBorders>
          </w:tcPr>
          <w:p>
            <w:pPr>
              <w:jc w:val="right"/>
              <w:ind w:right="146"/>
              <w:spacing w:after="0" w:line="13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1"/>
                <w:szCs w:val="11"/>
                <w:color w:val="auto"/>
              </w:rPr>
            </w:pPr>
          </w:p>
        </w:tc>
        <w:tc>
          <w:tcPr>
            <w:tcW w:w="320" w:type="dxa"/>
            <w:vAlign w:val="bottom"/>
            <w:tcBorders>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left="34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(83)</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88"/>
              </w:rPr>
              <w:t>$1,206</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 w:right="420"/>
        <w:spacing w:after="0" w:line="261" w:lineRule="auto"/>
        <w:rPr>
          <w:sz w:val="20"/>
          <w:szCs w:val="20"/>
          <w:color w:val="auto"/>
        </w:rPr>
      </w:pPr>
      <w:r>
        <w:rPr>
          <w:rFonts w:ascii="Arial" w:cs="Arial" w:eastAsia="Arial" w:hAnsi="Arial"/>
          <w:sz w:val="17"/>
          <w:szCs w:val="17"/>
          <w:color w:val="auto"/>
        </w:rPr>
        <w:t>Other income (expense), net primarily consists of non-operating gains and losses and income from the sale of bitcoin outside the normal course of business. Other income (expense) increased by $1.2 million for the three months ended September 30, 2021 compared to the three months ended September 30, 2020, primarily driven by a non-recurring sale of our bitcoin in August 2021 to adjust inventory reserve levels under our inventory policy.</w:t>
      </w:r>
    </w:p>
    <w:p>
      <w:pPr>
        <w:spacing w:after="0" w:line="282" w:lineRule="exact"/>
        <w:rPr>
          <w:sz w:val="20"/>
          <w:szCs w:val="20"/>
          <w:color w:val="auto"/>
        </w:rPr>
      </w:pPr>
    </w:p>
    <w:p>
      <w:pPr>
        <w:ind w:left="4" w:right="3740"/>
        <w:spacing w:after="0" w:line="405" w:lineRule="auto"/>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 Revenue</w:t>
      </w:r>
    </w:p>
    <w:p>
      <w:pPr>
        <w:spacing w:after="0" w:line="76" w:lineRule="exact"/>
        <w:rPr>
          <w:sz w:val="20"/>
          <w:szCs w:val="20"/>
          <w:color w:val="auto"/>
        </w:rPr>
      </w:pPr>
    </w:p>
    <w:tbl>
      <w:tblPr>
        <w:tblLayout w:type="fixed"/>
        <w:tblInd w:w="424"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Nine Months Ended September 30,</w:t>
            </w:r>
          </w:p>
        </w:tc>
        <w:tc>
          <w:tcPr>
            <w:tcW w:w="1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33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06"/>
              <w:spacing w:after="0" w:line="13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43"/>
              <w:spacing w:after="0" w:line="135"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26"/>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33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left="366"/>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26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25,773</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19,067</w:t>
            </w:r>
            <w:r>
              <w:rPr>
                <w:rFonts w:ascii="Arial" w:cs="Arial" w:eastAsia="Arial" w:hAnsi="Arial"/>
                <w:sz w:val="14"/>
                <w:szCs w:val="14"/>
                <w:color w:val="auto"/>
              </w:rPr>
              <w:t>(1)</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$6,706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35.2%</w:t>
            </w:r>
          </w:p>
        </w:tc>
      </w:tr>
    </w:tbl>
    <w:p>
      <w:pPr>
        <w:spacing w:after="0" w:line="219" w:lineRule="exact"/>
        <w:rPr>
          <w:sz w:val="20"/>
          <w:szCs w:val="20"/>
          <w:color w:val="auto"/>
        </w:rPr>
      </w:pPr>
    </w:p>
    <w:p>
      <w:pPr>
        <w:ind w:left="404" w:right="720" w:hanging="404"/>
        <w:spacing w:after="0" w:line="278" w:lineRule="auto"/>
        <w:tabs>
          <w:tab w:leader="none" w:pos="404"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4"/>
        <w:spacing w:after="0" w:line="296" w:lineRule="auto"/>
        <w:rPr>
          <w:sz w:val="20"/>
          <w:szCs w:val="20"/>
          <w:color w:val="auto"/>
        </w:rPr>
      </w:pPr>
      <w:r>
        <w:rPr>
          <w:rFonts w:ascii="Arial" w:cs="Arial" w:eastAsia="Arial" w:hAnsi="Arial"/>
          <w:sz w:val="15"/>
          <w:szCs w:val="15"/>
          <w:color w:val="auto"/>
        </w:rPr>
        <w:t>Net revenues increased $6.7 million, or 35.2%, for the nine months ended September 30, 2021 compared to the nine months ended September 30, 2020. The increase primarily consists of an increase of $6.0 million in transaction revenues and $0.4 million in subscription and service revenue. The increase in transaction revenues is related to the full nine months of performance from our loyalty redemption services in 2021 compared to partial period performance in 2020, following the acquisition of Bridge2 Solutions, and increased revenue from higher customer activity in our loyalty redemption services business. Negative revenue from the Triparty Agreement, net, a component of transaction revenue, improved by $2.0 million, or 92.9%, for the nine months ended September 30, 2021 compared to the nine months ended September 30, 2020. This decrease in negative revenue is primarily due to a decrease in trading and clearing rebates of $3.0 million, partially offset by a $1.1 million decrease revenues from the Triparty Agreement.</w:t>
      </w:r>
    </w:p>
    <w:p>
      <w:pPr>
        <w:spacing w:after="0" w:line="26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left="4" w:right="46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32" w:lineRule="exact"/>
        <w:rPr>
          <w:sz w:val="20"/>
          <w:szCs w:val="20"/>
          <w:color w:val="auto"/>
        </w:rPr>
      </w:pPr>
    </w:p>
    <w:tbl>
      <w:tblPr>
        <w:tblLayout w:type="fixed"/>
        <w:tblInd w:w="424" w:type="dxa"/>
        <w:tblCellMar>
          <w:top w:w="0" w:type="dxa"/>
          <w:left w:w="0" w:type="dxa"/>
          <w:bottom w:w="0" w:type="dxa"/>
          <w:right w:w="0" w:type="dxa"/>
        </w:tblCellMar>
      </w:tblPr>
      <w:tr>
        <w:trPr>
          <w:trHeight w:val="164"/>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 Ended September 30,</w:t>
            </w:r>
          </w:p>
        </w:tc>
        <w:tc>
          <w:tcPr>
            <w:tcW w:w="160" w:type="dxa"/>
            <w:vAlign w:val="bottom"/>
          </w:tcPr>
          <w:p>
            <w:pPr>
              <w:spacing w:after="0"/>
              <w:rPr>
                <w:sz w:val="14"/>
                <w:szCs w:val="14"/>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w w:val="85"/>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34"/>
        </w:trPr>
        <w:tc>
          <w:tcPr>
            <w:tcW w:w="33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06"/>
              <w:spacing w:after="0" w:line="13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43"/>
              <w:spacing w:after="0" w:line="13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191"/>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33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left="366"/>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268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57,375</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30,508</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$26,867</w:t>
            </w: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88.1%</w:t>
            </w:r>
          </w:p>
        </w:tc>
      </w:tr>
      <w:tr>
        <w:trPr>
          <w:trHeight w:val="346"/>
        </w:trPr>
        <w:tc>
          <w:tcPr>
            <w:tcW w:w="3300" w:type="dxa"/>
            <w:vAlign w:val="bottom"/>
          </w:tcPr>
          <w:p>
            <w:pPr>
              <w:spacing w:after="0"/>
              <w:rPr>
                <w:sz w:val="24"/>
                <w:szCs w:val="24"/>
                <w:color w:val="auto"/>
              </w:rPr>
            </w:pPr>
          </w:p>
        </w:tc>
        <w:tc>
          <w:tcPr>
            <w:tcW w:w="2480" w:type="dxa"/>
            <w:vAlign w:val="bottom"/>
          </w:tcPr>
          <w:p>
            <w:pPr>
              <w:jc w:val="right"/>
              <w:ind w:right="794"/>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444"/>
          </w:cols>
          <w:pgMar w:left="696" w:top="269" w:right="759" w:bottom="1440" w:gutter="0" w:footer="0" w:header="0"/>
        </w:sectPr>
      </w:pPr>
    </w:p>
    <w:bookmarkStart w:id="45" w:name="page46"/>
    <w:bookmarkEnd w:id="45"/>
    <w:p>
      <w:pPr>
        <w:ind w:right="2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Headcount has increased, and will continue to increase, across functions to further strengthen our service offerings and enhance our systems, processes, and controls. We intend to grant equity awards as part of the compensation package for new employees, which we expect will result in increased stock-based compensation expense over the period of such grants. We expect that our compensation and expenses will decrease as a percentage of our revenue over time. Compensation and benefits increased by $26.9 million, or 88.1%, for the nine months ended September 30, 2021 compared to the nine months ended September 30, 2020. The increase was primarily due to $13.8 million in additional salaries, wages and benefits, $6.5 million in contract labor for software development, $6.2 million in non-cash compensation and incentive bonuses, $1.0 million in payroll taxes, $1.0 million in other operating costs, and $0.4 million in severance costs, partially offset by a decrease in compensation costs that were capitalized as capitalized software of $1.9 million. The majority of the increase in these costs results from increases in headcount to support the projected growth in our business and increased compliance and reporting requirements as a public company, in addition to the 2020 acquisition of Bridge2 Solutions, which resulted in approximately four months of compensation and benefits expense related to Bridge2 Solutions for the nine months ended September 30, 2020, compared to a full nine months of expenses for the nine months ended September 30, 2021.</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6040" w:type="dxa"/>
            <w:vAlign w:val="bottom"/>
          </w:tcPr>
          <w:p>
            <w:pPr>
              <w:spacing w:after="0"/>
              <w:rPr>
                <w:sz w:val="14"/>
                <w:szCs w:val="14"/>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Nine Months Ended September 30,</w:t>
            </w:r>
          </w:p>
        </w:tc>
        <w:tc>
          <w:tcPr>
            <w:tcW w:w="116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60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06"/>
              <w:spacing w:after="0" w:line="13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86"/>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ind w:left="8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6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left="366"/>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5,006</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4,657</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$ 349</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7"/>
              </w:rPr>
              <w:t>7.5%</w:t>
            </w:r>
          </w:p>
        </w:tc>
      </w:tr>
    </w:tbl>
    <w:p>
      <w:pPr>
        <w:spacing w:after="0" w:line="193" w:lineRule="exact"/>
        <w:rPr>
          <w:sz w:val="20"/>
          <w:szCs w:val="20"/>
          <w:color w:val="auto"/>
        </w:rPr>
      </w:pPr>
    </w:p>
    <w:p>
      <w:pPr>
        <w:jc w:val="both"/>
        <w:ind w:right="840"/>
        <w:spacing w:after="0" w:line="265" w:lineRule="auto"/>
        <w:rPr>
          <w:sz w:val="20"/>
          <w:szCs w:val="20"/>
          <w:color w:val="auto"/>
        </w:rPr>
      </w:pPr>
      <w:r>
        <w:rPr>
          <w:rFonts w:ascii="Arial" w:cs="Arial" w:eastAsia="Arial" w:hAnsi="Arial"/>
          <w:sz w:val="17"/>
          <w:szCs w:val="17"/>
          <w:color w:val="auto"/>
        </w:rPr>
        <w:t>Professional services increased by $0.3 million, or 7.5%, for the nine months ended September 30, 2021 compared to the nine months ended September 30, 2020. The increase was primarily due to an increase of $0.9 million in audit and tax fees, offset by a decrease in legal fees of $0.6 million.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2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 Ended September 30,</w:t>
            </w:r>
          </w:p>
        </w:tc>
        <w:tc>
          <w:tcPr>
            <w:tcW w:w="160" w:type="dxa"/>
            <w:vAlign w:val="bottom"/>
          </w:tcPr>
          <w:p>
            <w:pPr>
              <w:spacing w:after="0"/>
              <w:rPr>
                <w:sz w:val="14"/>
                <w:szCs w:val="14"/>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58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06"/>
              <w:spacing w:after="0" w:line="13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5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left="366"/>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9,851</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6,958</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$ 2,893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41.6%</w:t>
            </w:r>
          </w:p>
        </w:tc>
      </w:tr>
    </w:tbl>
    <w:p>
      <w:pPr>
        <w:spacing w:after="0" w:line="19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Technology and communication increased by $2.9 million, or 41.6%, for the nine months ended September 30, 2021 compared to the nine months ended September 30, 2020. The increase was primarily due to an increase of $1.9 million in hardware and software license fees, $0.4 million in telecommunications fees, and $0.3 million in hosting fees.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780" w:type="dxa"/>
            <w:vAlign w:val="bottom"/>
          </w:tcPr>
          <w:p>
            <w:pPr>
              <w:spacing w:after="0"/>
              <w:rPr>
                <w:sz w:val="14"/>
                <w:szCs w:val="14"/>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Nine Months Ended September 30,</w:t>
            </w: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34"/>
        </w:trPr>
        <w:tc>
          <w:tcPr>
            <w:tcW w:w="57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46"/>
              <w:spacing w:after="0" w:line="13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3"/>
              <w:spacing w:after="0" w:line="135"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206"/>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5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left="326"/>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19,514</w:t>
            </w:r>
          </w:p>
        </w:tc>
        <w:tc>
          <w:tcPr>
            <w:tcW w:w="4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3,472</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$ 16,042</w:t>
            </w: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462%</w:t>
            </w:r>
          </w:p>
        </w:tc>
      </w:tr>
    </w:tbl>
    <w:p>
      <w:pPr>
        <w:spacing w:after="0" w:line="19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Selling, general and administrative costs increased by $16.0 million, or 462%, for the nine months ended September 30, 2021 compared to the nine months ended September 30, 2020. The increase was primarily due to an increase of $15.1 million in marketing expenses related to the launch of our consumer platform.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480"/>
          </w:cols>
          <w:pgMar w:left="700" w:top="269" w:right="7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Acquisition-related Expenses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6000" w:type="dxa"/>
            <w:vAlign w:val="bottom"/>
          </w:tcPr>
          <w:p>
            <w:pPr>
              <w:spacing w:after="0"/>
              <w:rPr>
                <w:sz w:val="14"/>
                <w:szCs w:val="14"/>
                <w:color w:val="auto"/>
              </w:rPr>
            </w:pPr>
          </w:p>
        </w:tc>
        <w:tc>
          <w:tcPr>
            <w:tcW w:w="2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Nine Months Ended September 30,</w:t>
            </w:r>
          </w:p>
        </w:tc>
        <w:tc>
          <w:tcPr>
            <w:tcW w:w="160" w:type="dxa"/>
            <w:vAlign w:val="bottom"/>
          </w:tcPr>
          <w:p>
            <w:pPr>
              <w:spacing w:after="0"/>
              <w:rPr>
                <w:sz w:val="14"/>
                <w:szCs w:val="14"/>
                <w:color w:val="auto"/>
              </w:rPr>
            </w:pPr>
          </w:p>
        </w:tc>
        <w:tc>
          <w:tcPr>
            <w:tcW w:w="116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60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06"/>
              <w:spacing w:after="0" w:line="13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43"/>
              <w:spacing w:after="0" w:line="13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ind w:left="8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left="346"/>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12,075</w:t>
            </w:r>
          </w:p>
        </w:tc>
        <w:tc>
          <w:tcPr>
            <w:tcW w:w="4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11,477</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$ 598</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7"/>
              </w:rPr>
              <w:t>5.2%</w:t>
            </w:r>
          </w:p>
        </w:tc>
      </w:tr>
    </w:tbl>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Acquisition-related expenses for the nine months ended September 30, 2021 consist entirely of costs related to the Business Combination. Acquisition-related expenses for the nine months ended September 30, 2020 consist entirely of costs incurred in our acquisition of Bridge2 Solutions in February 2020, including approximately $9.6 million of accelerated expense for our incentive and participation units resulting from the issuance of Class C voting units in connection with the acquisition of Bridge2 Solutions.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2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 Ended September 30,</w:t>
            </w:r>
          </w:p>
        </w:tc>
        <w:tc>
          <w:tcPr>
            <w:tcW w:w="160" w:type="dxa"/>
            <w:vAlign w:val="bottom"/>
          </w:tcPr>
          <w:p>
            <w:pPr>
              <w:spacing w:after="0"/>
              <w:rPr>
                <w:sz w:val="14"/>
                <w:szCs w:val="14"/>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58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06"/>
              <w:spacing w:after="0" w:line="13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63"/>
              <w:spacing w:after="0" w:line="135"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4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5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left="366"/>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9,098</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5,536</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$ 3,562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64.3%</w:t>
            </w:r>
          </w:p>
        </w:tc>
      </w:tr>
    </w:tbl>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Depreciation and amortization increased by $3.6 million, or 64.3%, for the nine months ended September 30, 2021 compared to the nine months ended September 30, 2020. The increase was primarily due to $2.6 million of additional capitalized software development cost amortization related to software to support the expansion of our loyalty redemption services business and the consumer app and $0.6 million of amortization associated with the customer relationship intangible asset.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Nine Months Ended September 30,</w:t>
            </w:r>
          </w:p>
        </w:tc>
        <w:tc>
          <w:tcPr>
            <w:tcW w:w="180" w:type="dxa"/>
            <w:vAlign w:val="bottom"/>
          </w:tcPr>
          <w:p>
            <w:pPr>
              <w:spacing w:after="0"/>
              <w:rPr>
                <w:sz w:val="14"/>
                <w:szCs w:val="14"/>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55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47"/>
              <w:spacing w:after="0" w:line="13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43"/>
              <w:spacing w:after="0" w:line="13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r>
      <w:tr>
        <w:trPr>
          <w:trHeight w:val="134"/>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left="487"/>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06"/>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47"/>
              <w:spacing w:after="0"/>
              <w:rPr>
                <w:sz w:val="20"/>
                <w:szCs w:val="20"/>
                <w:color w:val="auto"/>
              </w:rPr>
            </w:pPr>
            <w:r>
              <w:rPr>
                <w:rFonts w:ascii="Arial" w:cs="Arial" w:eastAsia="Arial" w:hAnsi="Arial"/>
                <w:sz w:val="17"/>
                <w:szCs w:val="17"/>
                <w:color w:val="auto"/>
              </w:rPr>
              <w:t>1,413</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2,611</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$(1,198)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(45.9%)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Affiliate expenses decreased by $1.2 million, or (45.9%), for the nine months ended September 30, 2021 compared to the nine months ended</w:t>
      </w:r>
    </w:p>
    <w:p>
      <w:pPr>
        <w:spacing w:after="0" w:line="3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September 30, 2020. The decrease in such costs in 2021 was primarily due to a decrease in fees under the ISA, related to a change to the fee structure for 2021 as compared with 2020.</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Nine Months Ended September 30,</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w w:val="88"/>
              </w:rPr>
              <w:t>Change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34"/>
        </w:trPr>
        <w:tc>
          <w:tcPr>
            <w:tcW w:w="4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6"/>
              <w:spacing w:after="0" w:line="135"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83"/>
              <w:spacing w:after="0" w:line="135" w:lineRule="exact"/>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1"/>
                <w:szCs w:val="11"/>
                <w:color w:val="auto"/>
              </w:rPr>
            </w:pPr>
          </w:p>
        </w:tc>
        <w:tc>
          <w:tcPr>
            <w:tcW w:w="400" w:type="dxa"/>
            <w:vAlign w:val="bottom"/>
            <w:tcBorders>
              <w:top w:val="single" w:sz="8" w:color="auto"/>
              <w:bottom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1"/>
                <w:szCs w:val="11"/>
                <w:color w:val="auto"/>
              </w:rPr>
            </w:pPr>
          </w:p>
        </w:tc>
      </w:tr>
      <w:tr>
        <w:trPr>
          <w:trHeight w:val="134"/>
        </w:trPr>
        <w:tc>
          <w:tcPr>
            <w:tcW w:w="4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0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3,843</w:t>
            </w:r>
          </w:p>
        </w:tc>
        <w:tc>
          <w:tcPr>
            <w:tcW w:w="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r>
    </w:tbl>
    <w:p>
      <w:pPr>
        <w:spacing w:after="0" w:line="193"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color w:val="auto"/>
        </w:rPr>
        <w:t>During the nine months ended September 30, 2020, we purchased payment software to use in the roll-out of our alternative payment method. We ultimately built out our alternative payment method offering using API-based integrations instead of the acquired payment software. As the alternative payment method no longer met our business requirements, we recorded an impairment charge of $2.5 million. Additionally, during the nine months ended September 30, 2020, we terminated an existing software license agreement in accordance with the terms of the agreement. The software license was related to the underlying clearing software utilized by Bakkt Clearing and had a five-year term. As a result of the termination, we recorded an impairment charge of $1.4 million. For the nine months ended September 30, 2021, there was no impairment of assets.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80"/>
          </w:cols>
          <w:pgMar w:left="700" w:top="269" w:right="7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Other income (expense), net</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3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Nine Months Ended September 30,</w:t>
            </w:r>
          </w:p>
        </w:tc>
        <w:tc>
          <w:tcPr>
            <w:tcW w:w="220" w:type="dxa"/>
            <w:vAlign w:val="bottom"/>
          </w:tcPr>
          <w:p>
            <w:pPr>
              <w:spacing w:after="0"/>
              <w:rPr>
                <w:sz w:val="14"/>
                <w:szCs w:val="14"/>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3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87"/>
              <w:spacing w:after="0" w:line="13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3"/>
              <w:spacing w:after="0" w:line="13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3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left="467"/>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473</w:t>
            </w:r>
          </w:p>
        </w:tc>
        <w:tc>
          <w:tcPr>
            <w:tcW w:w="5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146</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$ 327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224.0%</w:t>
            </w:r>
          </w:p>
        </w:tc>
      </w:tr>
    </w:tbl>
    <w:p>
      <w:pPr>
        <w:spacing w:after="0" w:line="19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Other income (expense) increased by $327 million, or 224% for the nine months ended September 30, 2021 compared to the nine months ended September 30, 2020, primarily driven by a $1.0 million non-recurring sale of our bitcoin in August 2021 to adjust inventory reserve levels under our inventory policy, partially offset by losses of $0.5 million on our investment in shares of affiliate stock.</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3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Nine Months Ended September 30,</w:t>
            </w:r>
          </w:p>
        </w:tc>
        <w:tc>
          <w:tcPr>
            <w:tcW w:w="260" w:type="dxa"/>
            <w:vAlign w:val="bottom"/>
          </w:tcPr>
          <w:p>
            <w:pPr>
              <w:spacing w:after="0"/>
              <w:rPr>
                <w:sz w:val="14"/>
                <w:szCs w:val="14"/>
                <w:color w:val="auto"/>
              </w:rPr>
            </w:pPr>
          </w:p>
        </w:tc>
        <w:tc>
          <w:tcPr>
            <w:tcW w:w="1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Change in</w:t>
            </w:r>
          </w:p>
        </w:tc>
      </w:tr>
      <w:tr>
        <w:trPr>
          <w:trHeight w:val="134"/>
        </w:trPr>
        <w:tc>
          <w:tcPr>
            <w:tcW w:w="3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34"/>
        </w:trPr>
        <w:tc>
          <w:tcPr>
            <w:tcW w:w="3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expense</w:t>
            </w:r>
          </w:p>
        </w:tc>
        <w:tc>
          <w:tcPr>
            <w:tcW w:w="2440" w:type="dxa"/>
            <w:vAlign w:val="bottom"/>
            <w:gridSpan w:val="2"/>
            <w:shd w:val="clear" w:color="auto" w:fill="CCEEFF"/>
          </w:tcPr>
          <w:p>
            <w:pPr>
              <w:jc w:val="right"/>
              <w:ind w:right="491"/>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w w:val="98"/>
              </w:rPr>
              <w:t>195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w:t>
            </w: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$ 159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441.7%</w:t>
            </w:r>
          </w:p>
        </w:tc>
      </w:tr>
    </w:tbl>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Our effective tax rate for the nine months ended September 30, 2021 and 2020 was 0.22% and 0.07%, respectively. The effective tax rate is lower than the federal statutory rate primarily because the substantial majority of the losses are from Opco’s partnership and the single member LLCs held by the partnership, where losses flow through to the partners at the consolidated level. Income tax expense consists of income taxes primarily related to our Canadian subsidiary. Income tax expense increased by $0.2 million, or 441.7%, for the nine months ended September 30, 2021 compared to the nine months ended September 30, 2020. The increase was primarily due to state taxes.</w:t>
      </w:r>
    </w:p>
    <w:p>
      <w:pPr>
        <w:spacing w:after="0" w:line="268" w:lineRule="exact"/>
        <w:rPr>
          <w:sz w:val="20"/>
          <w:szCs w:val="20"/>
          <w:color w:val="auto"/>
        </w:rPr>
      </w:pPr>
    </w:p>
    <w:p>
      <w:pPr>
        <w:ind w:right="5020"/>
        <w:spacing w:after="0" w:line="405" w:lineRule="auto"/>
        <w:rPr>
          <w:sz w:val="20"/>
          <w:szCs w:val="20"/>
          <w:color w:val="auto"/>
        </w:rPr>
      </w:pPr>
      <w:r>
        <w:rPr>
          <w:rFonts w:ascii="Arial" w:cs="Arial" w:eastAsia="Arial" w:hAnsi="Arial"/>
          <w:sz w:val="17"/>
          <w:szCs w:val="17"/>
          <w:b w:val="1"/>
          <w:bCs w:val="1"/>
          <w:i w:val="1"/>
          <w:iCs w:val="1"/>
          <w:color w:val="auto"/>
        </w:rPr>
        <w:t xml:space="preserve">Year Ended December 31, 2020 Compared to Year Ended December 31, 2019 </w:t>
      </w:r>
      <w:r>
        <w:rPr>
          <w:rFonts w:ascii="Arial" w:cs="Arial" w:eastAsia="Arial" w:hAnsi="Arial"/>
          <w:sz w:val="17"/>
          <w:szCs w:val="17"/>
          <w:b w:val="1"/>
          <w:bCs w:val="1"/>
          <w:color w:val="auto"/>
        </w:rPr>
        <w:t>Revenue</w:t>
      </w:r>
    </w:p>
    <w:p>
      <w:pPr>
        <w:spacing w:after="0" w:line="76"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60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080" w:type="dxa"/>
            <w:vAlign w:val="bottom"/>
          </w:tcPr>
          <w:p>
            <w:pPr>
              <w:spacing w:after="0"/>
              <w:rPr>
                <w:sz w:val="9"/>
                <w:szCs w:val="9"/>
                <w:color w:val="auto"/>
              </w:rPr>
            </w:pPr>
          </w:p>
        </w:tc>
        <w:tc>
          <w:tcPr>
            <w:tcW w:w="6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9"/>
                <w:szCs w:val="9"/>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 Change</w:t>
            </w:r>
          </w:p>
        </w:tc>
        <w:tc>
          <w:tcPr>
            <w:tcW w:w="580" w:type="dxa"/>
            <w:vAlign w:val="bottom"/>
          </w:tcPr>
          <w:p>
            <w:pPr>
              <w:ind w:left="220"/>
              <w:spacing w:after="0" w:line="11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60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6080" w:type="dxa"/>
            <w:vAlign w:val="bottom"/>
          </w:tcPr>
          <w:p>
            <w:pPr>
              <w:spacing w:after="0"/>
              <w:rPr>
                <w:sz w:val="11"/>
                <w:szCs w:val="11"/>
                <w:color w:val="auto"/>
              </w:rPr>
            </w:pPr>
          </w:p>
        </w:tc>
        <w:tc>
          <w:tcPr>
            <w:tcW w:w="2440" w:type="dxa"/>
            <w:vAlign w:val="bottom"/>
            <w:tcBorders>
              <w:top w:val="single" w:sz="8" w:color="auto"/>
            </w:tcBorders>
            <w:gridSpan w:val="6"/>
          </w:tcPr>
          <w:p>
            <w:pPr>
              <w:jc w:val="right"/>
              <w:ind w:right="499"/>
              <w:spacing w:after="0" w:line="135"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8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Net Revenues (includes net revenues from affiliate of $(2,007) and $(881),</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w w:val="88"/>
              </w:rPr>
              <w:t>$ 28,495</w:t>
            </w:r>
            <w:r>
              <w:rPr>
                <w:rFonts w:ascii="Arial" w:cs="Arial" w:eastAsia="Arial" w:hAnsi="Arial"/>
                <w:sz w:val="14"/>
                <w:szCs w:val="14"/>
                <w:color w:val="auto"/>
                <w:w w:val="88"/>
              </w:rPr>
              <w:t>(1)</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respectively)</w:t>
            </w:r>
          </w:p>
        </w:tc>
        <w:tc>
          <w:tcPr>
            <w:tcW w:w="840" w:type="dxa"/>
            <w:vAlign w:val="bottom"/>
            <w:gridSpan w:val="2"/>
            <w:vMerge w:val="continue"/>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$(881)</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7"/>
              </w:rPr>
              <w:t>$ 29,376</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3,334.4%</w:t>
            </w:r>
          </w:p>
        </w:tc>
        <w:tc>
          <w:tcPr>
            <w:tcW w:w="0" w:type="dxa"/>
            <w:vAlign w:val="bottom"/>
          </w:tcPr>
          <w:p>
            <w:pPr>
              <w:spacing w:after="0"/>
              <w:rPr>
                <w:sz w:val="1"/>
                <w:szCs w:val="1"/>
                <w:color w:val="auto"/>
              </w:rPr>
            </w:pPr>
          </w:p>
        </w:tc>
      </w:tr>
      <w:tr>
        <w:trPr>
          <w:trHeight w:val="206"/>
        </w:trPr>
        <w:tc>
          <w:tcPr>
            <w:tcW w:w="6080" w:type="dxa"/>
            <w:vAlign w:val="bottom"/>
          </w:tcPr>
          <w:p>
            <w:pPr>
              <w:ind w:left="340"/>
              <w:spacing w:after="0"/>
              <w:rPr>
                <w:sz w:val="20"/>
                <w:szCs w:val="20"/>
                <w:color w:val="auto"/>
              </w:rPr>
            </w:pPr>
            <w:r>
              <w:rPr>
                <w:rFonts w:ascii="Arial" w:cs="Arial" w:eastAsia="Arial" w:hAnsi="Arial"/>
                <w:sz w:val="17"/>
                <w:szCs w:val="17"/>
                <w:color w:val="auto"/>
              </w:rPr>
              <w:t>Other</w:t>
            </w:r>
          </w:p>
        </w:tc>
        <w:tc>
          <w:tcPr>
            <w:tcW w:w="60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c>
          <w:tcPr>
            <w:tcW w:w="36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(17)</w:t>
            </w:r>
          </w:p>
        </w:tc>
        <w:tc>
          <w:tcPr>
            <w:tcW w:w="760" w:type="dxa"/>
            <w:vAlign w:val="bottom"/>
            <w:gridSpan w:val="2"/>
          </w:tcPr>
          <w:p>
            <w:pPr>
              <w:ind w:left="2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revenues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$ 28,495</w:t>
            </w:r>
            <w:r>
              <w:rPr>
                <w:rFonts w:ascii="Arial" w:cs="Arial" w:eastAsia="Arial" w:hAnsi="Arial"/>
                <w:sz w:val="14"/>
                <w:szCs w:val="14"/>
                <w:color w:val="auto"/>
                <w:w w:val="88"/>
              </w:rPr>
              <w:t>(1)</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(864)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7"/>
              </w:rPr>
              <w:t>$ 29,359</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3,398.0%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920" w:right="720" w:hanging="512"/>
        <w:spacing w:after="0" w:line="278" w:lineRule="auto"/>
        <w:tabs>
          <w:tab w:leader="none" w:pos="9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Net revenues increased $29.4 million, or 3,334.4% for the year ended December 31, 2020 compared to the year ended December 31, 2019. The increase primarily consists of an increase of $8.6 million in transaction revenues and an increase of $20.8 million in subscription and service revenue, both of which are related to the performance from our loyalty redemption services in 2020 following the acquisition of Bridge2 Solutions. Negative revenue from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40"/>
          </w:cols>
          <w:pgMar w:left="700" w:top="269" w:right="759" w:bottom="1440" w:gutter="0" w:footer="0" w:header="0"/>
        </w:sectPr>
      </w:pPr>
    </w:p>
    <w:bookmarkStart w:id="48" w:name="page49"/>
    <w:bookmarkEnd w:id="48"/>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Triparty Agreement, net, a component of transaction revenue, increased by $1.1 million, or 127.8%, for the year ended December 31, 2020 compared to the year ended December 31, 2019. This increase in negative revenue is primarily due to increases in trading and clearing rebates of $2.7 million, partially offset by a $2.0 million increase in revenues from the Triparty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19" w:lineRule="exact"/>
        <w:rPr>
          <w:sz w:val="20"/>
          <w:szCs w:val="20"/>
          <w:color w:val="auto"/>
        </w:rPr>
      </w:pPr>
    </w:p>
    <w:p>
      <w:pPr>
        <w:ind w:right="46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6"/>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4"/>
        </w:trPr>
        <w:tc>
          <w:tcPr>
            <w:tcW w:w="6040" w:type="dxa"/>
            <w:vAlign w:val="bottom"/>
          </w:tcPr>
          <w:p>
            <w:pPr>
              <w:spacing w:after="0"/>
              <w:rPr>
                <w:sz w:val="11"/>
                <w:szCs w:val="11"/>
                <w:color w:val="auto"/>
              </w:rPr>
            </w:pPr>
          </w:p>
        </w:tc>
        <w:tc>
          <w:tcPr>
            <w:tcW w:w="780" w:type="dxa"/>
            <w:vAlign w:val="bottom"/>
          </w:tcPr>
          <w:p>
            <w:pPr>
              <w:jc w:val="right"/>
              <w:ind w:right="266"/>
              <w:spacing w:after="0" w:line="135" w:lineRule="exact"/>
              <w:rPr>
                <w:sz w:val="20"/>
                <w:szCs w:val="20"/>
                <w:color w:val="auto"/>
              </w:rPr>
            </w:pPr>
            <w:r>
              <w:rPr>
                <w:rFonts w:ascii="Arial" w:cs="Arial" w:eastAsia="Arial" w:hAnsi="Arial"/>
                <w:sz w:val="14"/>
                <w:szCs w:val="14"/>
                <w:b w:val="1"/>
                <w:bCs w:val="1"/>
                <w:color w:val="auto"/>
              </w:rPr>
              <w:t>2020</w:t>
            </w:r>
          </w:p>
        </w:tc>
        <w:tc>
          <w:tcPr>
            <w:tcW w:w="920" w:type="dxa"/>
            <w:vAlign w:val="bottom"/>
          </w:tcPr>
          <w:p>
            <w:pPr>
              <w:jc w:val="right"/>
              <w:ind w:right="246"/>
              <w:spacing w:after="0" w:line="135" w:lineRule="exact"/>
              <w:rPr>
                <w:sz w:val="20"/>
                <w:szCs w:val="20"/>
                <w:color w:val="auto"/>
              </w:rPr>
            </w:pPr>
            <w:r>
              <w:rPr>
                <w:rFonts w:ascii="Arial" w:cs="Arial" w:eastAsia="Arial" w:hAnsi="Arial"/>
                <w:sz w:val="14"/>
                <w:szCs w:val="14"/>
                <w:b w:val="1"/>
                <w:bCs w:val="1"/>
                <w:color w:val="auto"/>
              </w:rPr>
              <w:t>2019</w:t>
            </w:r>
          </w:p>
        </w:tc>
        <w:tc>
          <w:tcPr>
            <w:tcW w:w="108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line="135"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1"/>
                <w:szCs w:val="11"/>
                <w:color w:val="auto"/>
              </w:rPr>
            </w:pPr>
          </w:p>
        </w:tc>
      </w:tr>
      <w:tr>
        <w:trPr>
          <w:trHeight w:val="134"/>
        </w:trPr>
        <w:tc>
          <w:tcPr>
            <w:tcW w:w="6040" w:type="dxa"/>
            <w:vAlign w:val="bottom"/>
          </w:tcPr>
          <w:p>
            <w:pPr>
              <w:spacing w:after="0"/>
              <w:rPr>
                <w:sz w:val="11"/>
                <w:szCs w:val="11"/>
                <w:color w:val="auto"/>
              </w:rPr>
            </w:pPr>
          </w:p>
        </w:tc>
        <w:tc>
          <w:tcPr>
            <w:tcW w:w="2460" w:type="dxa"/>
            <w:vAlign w:val="bottom"/>
            <w:tcBorders>
              <w:top w:val="single" w:sz="8" w:color="auto"/>
            </w:tcBorders>
            <w:gridSpan w:val="3"/>
          </w:tcPr>
          <w:p>
            <w:pPr>
              <w:jc w:val="right"/>
              <w:ind w:right="503"/>
              <w:spacing w:after="0" w:line="135"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Compensation and benefits</w:t>
            </w:r>
          </w:p>
        </w:tc>
        <w:tc>
          <w:tcPr>
            <w:tcW w:w="78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w w:val="90"/>
              </w:rPr>
              <w:t>$ 43,141</w:t>
            </w:r>
          </w:p>
        </w:tc>
        <w:tc>
          <w:tcPr>
            <w:tcW w:w="92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$ 23,237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$ 19,904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85.7%</w:t>
            </w:r>
          </w:p>
        </w:tc>
      </w:tr>
    </w:tbl>
    <w:p>
      <w:pPr>
        <w:spacing w:after="0" w:line="19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This is the most significant component of our operating expenses and we expect that our compensation and benefits expense will continue to increase in absolute dollars as we increase our headcount to support the projected growth in our business as well as our increased compliance and reporting requirements as a public company.</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Headcount will also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$19.9 million or 85.7%, for the year ended December 31, 2020 compared to the year ended December 31, 2019. The increase was primarily due to $22.4 million in additional salaries and wages, $11.4 million in contract labor for software development, $1.3 million in payroll taxes, $1.4 million in health care benefits and $1.2 million in additional bonuses. The majority of the increase in these costs results from the acquisition of Bridge2 Solutions, offset by a reduction in severance pay of $5.1 million, unit-based compensation of $1.0 million and capitalized software of $11.8 million.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3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4"/>
        </w:trPr>
        <w:tc>
          <w:tcPr>
            <w:tcW w:w="39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40" w:type="dxa"/>
            <w:vAlign w:val="bottom"/>
          </w:tcPr>
          <w:p>
            <w:pPr>
              <w:jc w:val="right"/>
              <w:ind w:right="71"/>
              <w:spacing w:after="0" w:line="135" w:lineRule="exact"/>
              <w:rPr>
                <w:sz w:val="20"/>
                <w:szCs w:val="20"/>
                <w:color w:val="auto"/>
              </w:rPr>
            </w:pPr>
            <w:r>
              <w:rPr>
                <w:rFonts w:ascii="Arial" w:cs="Arial" w:eastAsia="Arial" w:hAnsi="Arial"/>
                <w:sz w:val="14"/>
                <w:szCs w:val="14"/>
                <w:b w:val="1"/>
                <w:bCs w:val="1"/>
                <w:color w:val="auto"/>
              </w:rPr>
              <w:t>2020</w:t>
            </w:r>
          </w:p>
        </w:tc>
        <w:tc>
          <w:tcPr>
            <w:tcW w:w="1300" w:type="dxa"/>
            <w:vAlign w:val="bottom"/>
          </w:tcPr>
          <w:p>
            <w:pPr>
              <w:jc w:val="right"/>
              <w:ind w:right="447"/>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35"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1"/>
                <w:szCs w:val="11"/>
                <w:color w:val="auto"/>
              </w:rPr>
            </w:pPr>
          </w:p>
        </w:tc>
      </w:tr>
      <w:tr>
        <w:trPr>
          <w:trHeight w:val="134"/>
        </w:trPr>
        <w:tc>
          <w:tcPr>
            <w:tcW w:w="39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$ 5,751</w:t>
            </w:r>
          </w:p>
        </w:tc>
        <w:tc>
          <w:tcPr>
            <w:tcW w:w="1300" w:type="dxa"/>
            <w:vAlign w:val="bottom"/>
            <w:shd w:val="clear" w:color="auto" w:fill="CCEEFF"/>
          </w:tcPr>
          <w:p>
            <w:pPr>
              <w:jc w:val="right"/>
              <w:ind w:right="307"/>
              <w:spacing w:after="0"/>
              <w:rPr>
                <w:sz w:val="20"/>
                <w:szCs w:val="20"/>
                <w:color w:val="auto"/>
              </w:rPr>
            </w:pPr>
            <w:r>
              <w:rPr>
                <w:rFonts w:ascii="Arial" w:cs="Arial" w:eastAsia="Arial" w:hAnsi="Arial"/>
                <w:sz w:val="17"/>
                <w:szCs w:val="17"/>
                <w:color w:val="auto"/>
              </w:rPr>
              <w:t>$ 4,150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1,601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38.6%</w:t>
            </w:r>
          </w:p>
        </w:tc>
      </w:tr>
    </w:tbl>
    <w:p>
      <w:pPr>
        <w:spacing w:after="0" w:line="193"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Professional services increased by $1.6 million or 38.6%, for the year ended December 31, 2020 compared to the year ended December 31, 2019. The increase was primarily due to $1.7 million in additional professional fees and $0.5 million in audit and tax fees due to our acquisition of Bridge2 Solutions, offset by a decrease in legal fees of $0.5 million.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45"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-5715</wp:posOffset>
            </wp:positionV>
            <wp:extent cx="20339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33905" cy="16510"/>
                    </a:xfrm>
                    <a:prstGeom prst="rect">
                      <a:avLst/>
                    </a:prstGeom>
                    <a:noFill/>
                  </pic:spPr>
                </pic:pic>
              </a:graphicData>
            </a:graphic>
          </wp:anchor>
        </w:drawing>
      </w:r>
    </w:p>
    <w:p>
      <w:pPr>
        <w:ind w:left="6680"/>
        <w:spacing w:after="0"/>
        <w:tabs>
          <w:tab w:leader="none" w:pos="7620" w:val="left"/>
          <w:tab w:leader="none" w:pos="836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-3175</wp:posOffset>
            </wp:positionV>
            <wp:extent cx="8737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ind w:left="672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27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$ 9,741</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$ 4,256</w:t>
            </w:r>
          </w:p>
        </w:tc>
        <w:tc>
          <w:tcPr>
            <w:tcW w:w="10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$ 5,485</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r>
    </w:tbl>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440"/>
          </w:cols>
          <w:pgMar w:left="700" w:top="269" w:right="759" w:bottom="1440" w:gutter="0" w:footer="0" w:header="0"/>
        </w:sectPr>
      </w:pPr>
    </w:p>
    <w:bookmarkStart w:id="49" w:name="page50"/>
    <w:bookmarkEnd w:id="49"/>
    <w:p>
      <w:pPr>
        <w:ind w:right="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Technology and communication increased by $5.5 million or 128.9%, for the year ended December 31, 2020 compared to the year ended December 31, 2019. The increase was primarily due to $4.0 million in software as a service fees, $1.2 million in hosting fees, $0.6 million in software maintenance and support cost, and $0.5 million in call center services.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4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580" w:type="dxa"/>
            <w:vAlign w:val="bottom"/>
          </w:tcPr>
          <w:p>
            <w:pPr>
              <w:spacing w:after="0"/>
              <w:rPr>
                <w:sz w:val="9"/>
                <w:szCs w:val="9"/>
                <w:color w:val="auto"/>
              </w:rPr>
            </w:pPr>
          </w:p>
        </w:tc>
        <w:tc>
          <w:tcPr>
            <w:tcW w:w="2500" w:type="dxa"/>
            <w:vAlign w:val="bottom"/>
            <w:gridSpan w:val="2"/>
            <w:vMerge w:val="restart"/>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880" w:type="dxa"/>
            <w:vAlign w:val="bottom"/>
            <w:vMerge w:val="restart"/>
          </w:tcPr>
          <w:p>
            <w:pPr>
              <w:jc w:val="right"/>
              <w:ind w:right="206"/>
              <w:spacing w:after="0"/>
              <w:rPr>
                <w:sz w:val="20"/>
                <w:szCs w:val="20"/>
                <w:color w:val="auto"/>
              </w:rPr>
            </w:pPr>
            <w:r>
              <w:rPr>
                <w:rFonts w:ascii="Arial" w:cs="Arial" w:eastAsia="Arial" w:hAnsi="Arial"/>
                <w:sz w:val="14"/>
                <w:szCs w:val="14"/>
                <w:b w:val="1"/>
                <w:bCs w:val="1"/>
                <w:color w:val="auto"/>
              </w:rPr>
              <w:t>2019</w:t>
            </w:r>
          </w:p>
        </w:tc>
        <w:tc>
          <w:tcPr>
            <w:tcW w:w="2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Pr>
          <w:p>
            <w:pPr>
              <w:jc w:val="right"/>
              <w:ind w:right="90"/>
              <w:spacing w:after="0" w:line="11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58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34"/>
        </w:trPr>
        <w:tc>
          <w:tcPr>
            <w:tcW w:w="4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80" w:type="dxa"/>
            <w:vAlign w:val="bottom"/>
            <w:tcBorders>
              <w:top w:val="single" w:sz="8" w:color="auto"/>
            </w:tcBorders>
            <w:gridSpan w:val="3"/>
          </w:tcPr>
          <w:p>
            <w:pPr>
              <w:ind w:left="480"/>
              <w:spacing w:after="0" w:line="135" w:lineRule="exact"/>
              <w:rPr>
                <w:sz w:val="20"/>
                <w:szCs w:val="20"/>
                <w:color w:val="auto"/>
              </w:rPr>
            </w:pPr>
            <w:r>
              <w:rPr>
                <w:rFonts w:ascii="Arial" w:cs="Arial" w:eastAsia="Arial" w:hAnsi="Arial"/>
                <w:sz w:val="14"/>
                <w:szCs w:val="14"/>
                <w:b w:val="1"/>
                <w:bCs w:val="1"/>
                <w:color w:val="auto"/>
                <w:w w:val="87"/>
              </w:rPr>
              <w:t>(dollars in thousands)</w:t>
            </w:r>
          </w:p>
        </w:tc>
        <w:tc>
          <w:tcPr>
            <w:tcW w:w="4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250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$ 8,219</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$ 2,617</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5,602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214.1%</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Selling, general and administrative costs increased by $5.6 million or 214.1%, for the year ended December 31, 2020 compared to the year ended December 31, 2019. The increase was primarily due to $4.3 million in marketing expenses related to the launch of our consumer app and $0.9 million in insurance, offset mainly by a decrease in business travel and entertainment due to COVID-19.</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4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160" w:type="dxa"/>
            <w:vAlign w:val="bottom"/>
          </w:tcPr>
          <w:p>
            <w:pPr>
              <w:spacing w:after="0"/>
              <w:rPr>
                <w:sz w:val="9"/>
                <w:szCs w:val="9"/>
                <w:color w:val="auto"/>
              </w:rPr>
            </w:pPr>
          </w:p>
        </w:tc>
        <w:tc>
          <w:tcPr>
            <w:tcW w:w="2860" w:type="dxa"/>
            <w:vAlign w:val="bottom"/>
            <w:gridSpan w:val="2"/>
            <w:vMerge w:val="restart"/>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78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2019</w:t>
            </w: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 Change</w:t>
            </w:r>
          </w:p>
        </w:tc>
        <w:tc>
          <w:tcPr>
            <w:tcW w:w="580" w:type="dxa"/>
            <w:vAlign w:val="bottom"/>
          </w:tcPr>
          <w:p>
            <w:pPr>
              <w:jc w:val="right"/>
              <w:ind w:right="150"/>
              <w:spacing w:after="0" w:line="11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4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40" w:type="dxa"/>
            <w:vAlign w:val="bottom"/>
            <w:tcBorders>
              <w:top w:val="single" w:sz="8" w:color="auto"/>
            </w:tcBorders>
            <w:gridSpan w:val="3"/>
          </w:tcPr>
          <w:p>
            <w:pPr>
              <w:ind w:left="480"/>
              <w:spacing w:after="0" w:line="135"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cost</w:t>
            </w:r>
          </w:p>
        </w:tc>
        <w:tc>
          <w:tcPr>
            <w:tcW w:w="28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$ 13,372</w:t>
            </w:r>
          </w:p>
        </w:tc>
        <w:tc>
          <w:tcPr>
            <w:tcW w:w="780" w:type="dxa"/>
            <w:vAlign w:val="bottom"/>
            <w:shd w:val="clear" w:color="auto" w:fill="CCEEFF"/>
          </w:tcPr>
          <w:p>
            <w:pPr>
              <w:jc w:val="right"/>
              <w:ind w:right="86"/>
              <w:spacing w:after="0"/>
              <w:rPr>
                <w:sz w:val="20"/>
                <w:szCs w:val="20"/>
                <w:color w:val="auto"/>
              </w:rPr>
            </w:pPr>
            <w:r>
              <w:rPr>
                <w:rFonts w:ascii="Arial" w:cs="Arial" w:eastAsia="Arial" w:hAnsi="Arial"/>
                <w:sz w:val="17"/>
                <w:szCs w:val="17"/>
                <w:color w:val="auto"/>
              </w:rPr>
              <w:t>$ 731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$ 12,641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1,729.3%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color w:val="auto"/>
        </w:rPr>
        <w:t>Acquisition-related costs consist entirely of costs incurred in our acquisition of Bridge2 Solutions in February 2020. In 2020, we recognized an acceleration of $9.6 million of non-cash stock compensation resulting from the Bridge2 Solutions acquisition.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32"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1905</wp:posOffset>
            </wp:positionV>
            <wp:extent cx="1951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ind w:left="6920"/>
        <w:spacing w:after="0"/>
        <w:tabs>
          <w:tab w:leader="none" w:pos="7700" w:val="left"/>
          <w:tab w:leader="none" w:pos="836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-3175</wp:posOffset>
            </wp:positionV>
            <wp:extent cx="134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722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6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$ 8,159</w:t>
            </w: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$ 324</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$ 7,835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2,418.2%</w:t>
            </w:r>
          </w:p>
        </w:tc>
      </w:tr>
    </w:tbl>
    <w:p>
      <w:pPr>
        <w:spacing w:after="0" w:line="193" w:lineRule="exact"/>
        <w:rPr>
          <w:sz w:val="20"/>
          <w:szCs w:val="20"/>
          <w:color w:val="auto"/>
        </w:rPr>
      </w:pPr>
    </w:p>
    <w:p>
      <w:pPr>
        <w:ind w:right="40"/>
        <w:spacing w:after="0" w:line="347" w:lineRule="auto"/>
        <w:rPr>
          <w:sz w:val="20"/>
          <w:szCs w:val="20"/>
          <w:color w:val="auto"/>
        </w:rPr>
      </w:pPr>
      <w:r>
        <w:rPr>
          <w:rFonts w:ascii="Arial" w:cs="Arial" w:eastAsia="Arial" w:hAnsi="Arial"/>
          <w:sz w:val="15"/>
          <w:szCs w:val="15"/>
          <w:color w:val="auto"/>
        </w:rPr>
        <w:t>Depreciation and amortization increased by $7.8 million or 2,418.2%, for the year ended December 31, 2020 compared to the year ended December 31, 2019. The increase was primarily due to amortization associated with intangibles acquired through the acquisition of Bridge2 Solutions.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460"/>
          </w:cols>
          <w:pgMar w:left="700" w:top="269" w:right="7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Affiliate Expenses</w:t>
      </w:r>
    </w:p>
    <w:p>
      <w:pPr>
        <w:spacing w:after="0" w:line="232"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1905</wp:posOffset>
            </wp:positionV>
            <wp:extent cx="1951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ind w:left="6920"/>
        <w:spacing w:after="0"/>
        <w:tabs>
          <w:tab w:leader="none" w:pos="7700" w:val="left"/>
          <w:tab w:leader="none" w:pos="8360" w:val="left"/>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-3175</wp:posOffset>
            </wp:positionV>
            <wp:extent cx="134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722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Affiliate expenses</w:t>
            </w:r>
          </w:p>
        </w:tc>
        <w:tc>
          <w:tcPr>
            <w:tcW w:w="3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$ 3,082</w:t>
            </w: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$ 500</w:t>
            </w:r>
          </w:p>
        </w:tc>
        <w:tc>
          <w:tcPr>
            <w:tcW w:w="10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$ 2,582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Affiliate expenses result from technical support service and other costs pursuant to the ISA between Opco and ICE. Affiliate expenses increased by</w:t>
      </w:r>
    </w:p>
    <w:p>
      <w:pPr>
        <w:spacing w:after="0" w:line="3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$2.6 million or 516.4%, for the year ended December 31, 2020 compared to the year ended December 31, 2019. The increase in such costs in 2020 was primarily due to an increase in fees under the ISA, related to a change to the fee structure for 2020 as compared with 2019.</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2"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1905</wp:posOffset>
            </wp:positionV>
            <wp:extent cx="21805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ind w:left="6740"/>
        <w:spacing w:after="0"/>
        <w:tabs>
          <w:tab w:leader="none" w:pos="7620" w:val="left"/>
          <w:tab w:leader="none" w:pos="8380" w:val="left"/>
          <w:tab w:leader="none" w:pos="93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wp:posOffset>
            </wp:positionV>
            <wp:extent cx="1527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ind w:left="7140"/>
        <w:spacing w:after="0" w:line="222"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0</wp:posOffset>
            </wp:positionV>
            <wp:extent cx="6125845" cy="1308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25845" cy="130810"/>
                    </a:xfrm>
                    <a:prstGeom prst="rect">
                      <a:avLst/>
                    </a:prstGeom>
                    <a:noFill/>
                  </pic:spPr>
                </pic:pic>
              </a:graphicData>
            </a:graphic>
          </wp:anchor>
        </w:drawing>
      </w:r>
    </w:p>
    <w:p>
      <w:pPr>
        <w:ind w:left="760"/>
        <w:spacing w:after="0"/>
        <w:tabs>
          <w:tab w:leader="none" w:pos="6560" w:val="left"/>
          <w:tab w:leader="none" w:pos="7560" w:val="left"/>
          <w:tab w:leader="none" w:pos="8360" w:val="left"/>
          <w:tab w:leader="none" w:pos="9700" w:val="left"/>
        </w:tabs>
        <w:rPr>
          <w:sz w:val="20"/>
          <w:szCs w:val="20"/>
          <w:color w:val="auto"/>
        </w:rPr>
      </w:pPr>
      <w:r>
        <w:rPr>
          <w:rFonts w:ascii="Arial" w:cs="Arial" w:eastAsia="Arial" w:hAnsi="Arial"/>
          <w:sz w:val="17"/>
          <w:szCs w:val="17"/>
          <w:color w:val="auto"/>
        </w:rPr>
        <w:t>Impairment of long-lived assets</w:t>
      </w:r>
      <w:r>
        <w:rPr>
          <w:sz w:val="20"/>
          <w:szCs w:val="20"/>
          <w:color w:val="auto"/>
        </w:rPr>
        <w:tab/>
      </w:r>
      <w:r>
        <w:rPr>
          <w:rFonts w:ascii="Arial" w:cs="Arial" w:eastAsia="Arial" w:hAnsi="Arial"/>
          <w:sz w:val="17"/>
          <w:szCs w:val="17"/>
          <w:color w:val="auto"/>
        </w:rPr>
        <w:t>$ 15,292</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$ 15,292</w:t>
      </w:r>
      <w:r>
        <w:rPr>
          <w:sz w:val="20"/>
          <w:szCs w:val="20"/>
          <w:color w:val="auto"/>
        </w:rPr>
        <w:tab/>
      </w:r>
      <w:r>
        <w:rPr>
          <w:rFonts w:ascii="Arial" w:cs="Arial" w:eastAsia="Arial" w:hAnsi="Arial"/>
          <w:sz w:val="17"/>
          <w:szCs w:val="17"/>
          <w:color w:val="auto"/>
        </w:rPr>
        <w:t>N/A</w:t>
      </w:r>
    </w:p>
    <w:p>
      <w:pPr>
        <w:spacing w:after="0" w:line="202"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For the year ended December 31, 2020, we determined that third-party software to customize functionality for our consumer app and certain software from a third-party vendor would not provide a viable solution for our business requirements. After performing various analyses for impairment of the amounts capitalized, we concluded these assets were impaired and recorded an impairment charge of approximately $15.3 million. For the year ended December 31, 2019, there was no impairment of assets.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32"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1905</wp:posOffset>
            </wp:positionV>
            <wp:extent cx="2074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6620"/>
        <w:spacing w:after="0"/>
        <w:tabs>
          <w:tab w:leader="none" w:pos="7460" w:val="left"/>
          <w:tab w:leader="none" w:pos="8260" w:val="left"/>
          <w:tab w:leader="none" w:pos="9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-3175</wp:posOffset>
            </wp:positionV>
            <wp:extent cx="1445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5895" cy="8255"/>
                    </a:xfrm>
                    <a:prstGeom prst="rect">
                      <a:avLst/>
                    </a:prstGeom>
                    <a:noFill/>
                  </pic:spPr>
                </pic:pic>
              </a:graphicData>
            </a:graphic>
          </wp:anchor>
        </w:drawing>
      </w:r>
    </w:p>
    <w:p>
      <w:pPr>
        <w:ind w:left="706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 net</w:t>
            </w:r>
          </w:p>
        </w:tc>
        <w:tc>
          <w:tcPr>
            <w:tcW w:w="28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$ 123</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$ 3,280</w:t>
            </w: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 (3,157)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r>
    </w:tbl>
    <w:p>
      <w:pPr>
        <w:spacing w:after="0" w:line="1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Interest income consists primarily of interest income earned from short-term investments (principally money market funds) and cash deposits with banks. Interest income decreased by $3.2 million or 96.3%, for the year ended December 31, 2020 compared to the year ended December 31, 2019. The decrease was primarily due to the decrease in interest rates from 2019 to 2020 and lower balances in our money market funds.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32"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1905</wp:posOffset>
            </wp:positionV>
            <wp:extent cx="2294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6280"/>
        <w:spacing w:after="0"/>
        <w:tabs>
          <w:tab w:leader="none" w:pos="7080" w:val="left"/>
          <w:tab w:leader="none" w:pos="7880" w:val="left"/>
          <w:tab w:leader="none" w:pos="9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1"/>
          <w:szCs w:val="11"/>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-3175</wp:posOffset>
            </wp:positionV>
            <wp:extent cx="14211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6700"/>
        <w:spacing w:after="0" w:line="222"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0</wp:posOffset>
            </wp:positionV>
            <wp:extent cx="6125845" cy="130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5845" cy="130810"/>
                    </a:xfrm>
                    <a:prstGeom prst="rect">
                      <a:avLst/>
                    </a:prstGeom>
                    <a:noFill/>
                  </pic:spPr>
                </pic:pic>
              </a:graphicData>
            </a:graphic>
          </wp:anchor>
        </w:drawing>
      </w:r>
    </w:p>
    <w:p>
      <w:pPr>
        <w:ind w:left="760"/>
        <w:spacing w:after="0"/>
        <w:tabs>
          <w:tab w:leader="none" w:pos="6180" w:val="left"/>
          <w:tab w:leader="none" w:pos="7020" w:val="left"/>
          <w:tab w:leader="none" w:pos="7880" w:val="left"/>
          <w:tab w:leader="none" w:pos="8420" w:val="left"/>
          <w:tab w:leader="none" w:pos="9360" w:val="left"/>
        </w:tabs>
        <w:rPr>
          <w:sz w:val="20"/>
          <w:szCs w:val="20"/>
          <w:color w:val="auto"/>
        </w:rPr>
      </w:pPr>
      <w:r>
        <w:rPr>
          <w:rFonts w:ascii="Arial" w:cs="Arial" w:eastAsia="Arial" w:hAnsi="Arial"/>
          <w:sz w:val="17"/>
          <w:szCs w:val="17"/>
          <w:color w:val="auto"/>
        </w:rPr>
        <w:t>Income tax (expense) benefit</w:t>
      </w:r>
      <w:r>
        <w:rPr>
          <w:sz w:val="20"/>
          <w:szCs w:val="20"/>
          <w:color w:val="auto"/>
        </w:rPr>
        <w:tab/>
      </w:r>
      <w:r>
        <w:rPr>
          <w:rFonts w:ascii="Arial" w:cs="Arial" w:eastAsia="Arial" w:hAnsi="Arial"/>
          <w:sz w:val="17"/>
          <w:szCs w:val="17"/>
          <w:color w:val="auto"/>
        </w:rPr>
        <w:t>$(391)</w:t>
      </w:r>
      <w:r>
        <w:rPr>
          <w:sz w:val="20"/>
          <w:szCs w:val="20"/>
          <w:color w:val="auto"/>
        </w:rPr>
        <w:tab/>
      </w:r>
      <w:r>
        <w:rPr>
          <w:rFonts w:ascii="Arial" w:cs="Arial" w:eastAsia="Arial" w:hAnsi="Arial"/>
          <w:sz w:val="17"/>
          <w:szCs w:val="17"/>
          <w:color w:val="auto"/>
        </w:rPr>
        <w:t>$ 199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(590)</w:t>
      </w:r>
      <w:r>
        <w:rPr>
          <w:sz w:val="20"/>
          <w:szCs w:val="20"/>
          <w:color w:val="auto"/>
        </w:rPr>
        <w:tab/>
      </w:r>
      <w:r>
        <w:rPr>
          <w:rFonts w:ascii="Arial" w:cs="Arial" w:eastAsia="Arial" w:hAnsi="Arial"/>
          <w:sz w:val="15"/>
          <w:szCs w:val="15"/>
          <w:color w:val="auto"/>
        </w:rPr>
        <w:t>(296.5%)</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Income tax (expense) benefit consists of income taxes related to United States federal, state and local tax. Our effective tax rate fluctuates from period to period due to changes in the mix of income and losses in jurisdictions with a wide range of tax rates, the effect of acquisitions, permanent differences between financial reporting and income tax return treatment of certain items, and changes in tax contingencies. Income tax (expense) benefit decreased by $0.6 million or 296.5%, for the year ended December 31, 2020 compared to the year ended December 31, 2019.</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480"/>
          </w:cols>
          <w:pgMar w:left="700" w:top="269" w:right="71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Supplemental Unaudited Pro Forma Financial Information for Opco and Bridge2 Solutions</w:t>
      </w:r>
    </w:p>
    <w:p>
      <w:pPr>
        <w:spacing w:after="0" w:line="11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following supplemental unaudited pro forma financial information for the nine months ended September 30, 2021 and 2020 and the years ended December 31, 2020 and 2019 is presented to give effect to the acquisition of Bridge2 Solutions by us as if the business combination had occurred as of January 1, 2019.</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Management believes the unaudited pro forma information presented below provides a meaningful comparison of operating results; however, it should not be viewed as a substitute for the historical financial results of Opco and Bridge2 Solutions. The supplemental unaudited pro forma financial information presented below should be read in conjunction with Opco’s historical unaudited financial statements for the nine months ended September 30, 2021 and 2020 and its historical audited financial statements for the years ended December 31, 2020 and 2019, each incorporated by reference into the Super 8-K.</w:t>
      </w:r>
    </w:p>
    <w:p>
      <w:pPr>
        <w:spacing w:after="0" w:line="18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supplemental unaudited pro forma financial information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pro forma information does not reflect any operating efficiencies, post-acquisition synergies or cost savings that we may achieve with respect to the combined companies.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Revenue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8"/>
              <w:spacing w:after="0" w:line="13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1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line="135"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9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right"/>
              <w:ind w:right="60"/>
              <w:spacing w:after="0" w:line="135" w:lineRule="exact"/>
              <w:rPr>
                <w:sz w:val="20"/>
                <w:szCs w:val="20"/>
                <w:color w:val="auto"/>
              </w:rPr>
            </w:pPr>
            <w:r>
              <w:rPr>
                <w:rFonts w:ascii="Arial" w:cs="Arial" w:eastAsia="Arial" w:hAnsi="Arial"/>
                <w:sz w:val="14"/>
                <w:szCs w:val="14"/>
                <w:b w:val="1"/>
                <w:bCs w:val="1"/>
                <w:color w:val="auto"/>
                <w:w w:val="86"/>
              </w:rPr>
              <w:t>(dollars in thousands)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Opco Gross Revenue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791</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  1,608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6"/>
        </w:trPr>
        <w:tc>
          <w:tcPr>
            <w:tcW w:w="3960" w:type="dxa"/>
            <w:vAlign w:val="bottom"/>
          </w:tcPr>
          <w:p>
            <w:pPr>
              <w:ind w:left="340"/>
              <w:spacing w:after="0"/>
              <w:rPr>
                <w:sz w:val="20"/>
                <w:szCs w:val="20"/>
                <w:color w:val="auto"/>
              </w:rPr>
            </w:pPr>
            <w:r>
              <w:rPr>
                <w:rFonts w:ascii="Arial" w:cs="Arial" w:eastAsia="Arial" w:hAnsi="Arial"/>
                <w:sz w:val="17"/>
                <w:szCs w:val="17"/>
                <w:color w:val="auto"/>
              </w:rPr>
              <w:t>Opco Contra-Revenue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(2,353)</w:t>
            </w:r>
          </w:p>
        </w:tc>
        <w:tc>
          <w:tcPr>
            <w:tcW w:w="1340" w:type="dxa"/>
            <w:vAlign w:val="bottom"/>
            <w:gridSpan w:val="3"/>
          </w:tcPr>
          <w:p>
            <w:pPr>
              <w:jc w:val="right"/>
              <w:ind w:right="320"/>
              <w:spacing w:after="0"/>
              <w:rPr>
                <w:sz w:val="20"/>
                <w:szCs w:val="20"/>
                <w:color w:val="auto"/>
              </w:rPr>
            </w:pPr>
            <w:r>
              <w:rPr>
                <w:rFonts w:ascii="Arial" w:cs="Arial" w:eastAsia="Arial" w:hAnsi="Arial"/>
                <w:sz w:val="17"/>
                <w:szCs w:val="17"/>
                <w:color w:val="auto"/>
              </w:rPr>
              <w:t>(3,694)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1,341</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Bridge2 Solutions Revenue</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27,335</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26,812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340"/>
              <w:spacing w:after="0"/>
              <w:rPr>
                <w:sz w:val="20"/>
                <w:szCs w:val="20"/>
                <w:color w:val="auto"/>
              </w:rPr>
            </w:pPr>
            <w:r>
              <w:rPr>
                <w:rFonts w:ascii="Arial" w:cs="Arial" w:eastAsia="Arial" w:hAnsi="Arial"/>
                <w:sz w:val="17"/>
                <w:szCs w:val="17"/>
                <w:color w:val="auto"/>
              </w:rPr>
              <w:t>Pro Forma Revenue</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25,773</w:t>
            </w:r>
          </w:p>
        </w:tc>
        <w:tc>
          <w:tcPr>
            <w:tcW w:w="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7"/>
                <w:szCs w:val="17"/>
                <w:color w:val="auto"/>
              </w:rPr>
              <w:t>$ 24,726</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1,047</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Pro forma revenue increased $1.0 million, or 4.0%, for the nine months ended September 30, 2021 compared to the nine months ended September 30, 2020. The increase is due to the $1.3 million reduction in Opco contra-revenue, partially offset by the $0.8 million reduction in Opco gross revenue, and the $0.5 million increase in Bridge2 Solutions revenue.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8"/>
              <w:spacing w:after="0" w:line="135" w:lineRule="exact"/>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8"/>
              <w:spacing w:after="0" w:line="13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5"/>
              </w:rPr>
              <w:t>$ Change</w:t>
            </w:r>
          </w:p>
        </w:tc>
        <w:tc>
          <w:tcPr>
            <w:tcW w:w="620" w:type="dxa"/>
            <w:vAlign w:val="bottom"/>
          </w:tcPr>
          <w:p>
            <w:pPr>
              <w:spacing w:after="0" w:line="135"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right"/>
              <w:ind w:right="20"/>
              <w:spacing w:after="0" w:line="135" w:lineRule="exact"/>
              <w:rPr>
                <w:sz w:val="20"/>
                <w:szCs w:val="20"/>
                <w:color w:val="auto"/>
              </w:rPr>
            </w:pPr>
            <w:r>
              <w:rPr>
                <w:rFonts w:ascii="Arial" w:cs="Arial" w:eastAsia="Arial" w:hAnsi="Arial"/>
                <w:sz w:val="14"/>
                <w:szCs w:val="14"/>
                <w:b w:val="1"/>
                <w:bCs w:val="1"/>
                <w:color w:val="auto"/>
                <w:w w:val="84"/>
              </w:rPr>
              <w:t>(dollars in thousands)</w:t>
            </w:r>
          </w:p>
        </w:tc>
        <w:tc>
          <w:tcPr>
            <w:tcW w:w="5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Opco 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91"/>
              <w:spacing w:after="0"/>
              <w:rPr>
                <w:sz w:val="20"/>
                <w:szCs w:val="20"/>
                <w:color w:val="auto"/>
              </w:rPr>
            </w:pPr>
            <w:r>
              <w:rPr>
                <w:rFonts w:ascii="Arial" w:cs="Arial" w:eastAsia="Arial" w:hAnsi="Arial"/>
                <w:sz w:val="17"/>
                <w:szCs w:val="17"/>
                <w:color w:val="auto"/>
              </w:rPr>
              <w:t>2,198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5"/>
              </w:rPr>
              <w:t>$ 2,181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12,829%</w:t>
            </w:r>
          </w:p>
        </w:tc>
        <w:tc>
          <w:tcPr>
            <w:tcW w:w="0" w:type="dxa"/>
            <w:vAlign w:val="bottom"/>
          </w:tcPr>
          <w:p>
            <w:pPr>
              <w:spacing w:after="0"/>
              <w:rPr>
                <w:sz w:val="1"/>
                <w:szCs w:val="1"/>
                <w:color w:val="auto"/>
              </w:rPr>
            </w:pPr>
          </w:p>
        </w:tc>
      </w:tr>
      <w:tr>
        <w:trPr>
          <w:trHeight w:val="206"/>
        </w:trPr>
        <w:tc>
          <w:tcPr>
            <w:tcW w:w="6000" w:type="dxa"/>
            <w:vAlign w:val="bottom"/>
          </w:tcPr>
          <w:p>
            <w:pPr>
              <w:ind w:left="340"/>
              <w:spacing w:after="0"/>
              <w:rPr>
                <w:sz w:val="20"/>
                <w:szCs w:val="20"/>
                <w:color w:val="auto"/>
              </w:rPr>
            </w:pPr>
            <w:r>
              <w:rPr>
                <w:rFonts w:ascii="Arial" w:cs="Arial" w:eastAsia="Arial" w:hAnsi="Arial"/>
                <w:sz w:val="17"/>
                <w:szCs w:val="17"/>
                <w:color w:val="auto"/>
              </w:rPr>
              <w:t>Opco Contra-Revenue</w:t>
            </w:r>
          </w:p>
        </w:tc>
        <w:tc>
          <w:tcPr>
            <w:tcW w:w="100" w:type="dxa"/>
            <w:vAlign w:val="bottom"/>
          </w:tcPr>
          <w:p>
            <w:pPr>
              <w:spacing w:after="0"/>
              <w:rPr>
                <w:sz w:val="17"/>
                <w:szCs w:val="17"/>
                <w:color w:val="auto"/>
              </w:rPr>
            </w:pPr>
          </w:p>
        </w:tc>
        <w:tc>
          <w:tcPr>
            <w:tcW w:w="840" w:type="dxa"/>
            <w:vAlign w:val="bottom"/>
            <w:gridSpan w:val="2"/>
          </w:tcPr>
          <w:p>
            <w:pPr>
              <w:jc w:val="right"/>
              <w:ind w:right="231"/>
              <w:spacing w:after="0"/>
              <w:rPr>
                <w:sz w:val="20"/>
                <w:szCs w:val="20"/>
                <w:color w:val="auto"/>
              </w:rPr>
            </w:pPr>
            <w:r>
              <w:rPr>
                <w:rFonts w:ascii="Arial" w:cs="Arial" w:eastAsia="Arial" w:hAnsi="Arial"/>
                <w:sz w:val="17"/>
                <w:szCs w:val="17"/>
                <w:color w:val="auto"/>
                <w:w w:val="96"/>
              </w:rPr>
              <w:t>(4,477)</w:t>
            </w: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(881)</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(3,596)</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Bridge2 Solutions Revenue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36,433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44,297</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(7,864)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0"/>
              <w:spacing w:after="0"/>
              <w:rPr>
                <w:sz w:val="20"/>
                <w:szCs w:val="20"/>
                <w:color w:val="auto"/>
              </w:rPr>
            </w:pPr>
            <w:r>
              <w:rPr>
                <w:rFonts w:ascii="Arial" w:cs="Arial" w:eastAsia="Arial" w:hAnsi="Arial"/>
                <w:sz w:val="17"/>
                <w:szCs w:val="17"/>
                <w:color w:val="auto"/>
              </w:rPr>
              <w:t>Pro Forma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34,154</w:t>
            </w: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43,433</w:t>
            </w:r>
          </w:p>
        </w:tc>
        <w:tc>
          <w:tcPr>
            <w:tcW w:w="3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w w:val="85"/>
              </w:rPr>
              <w:t>$ (9,279)</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Pro forma revenue decreased $9.3 million, or 21.4%, for the year ended December 31, 2020 compared to the year ended December 31, 2019. The decrease primarily consists of a decrease in transaction fees earned by Bridge2 Solutions due to a reduction in travel and customers using less loyalty points due to COVID-19. During the year ended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460"/>
          </w:cols>
          <w:pgMar w:left="700" w:top="263" w:right="739" w:bottom="1440" w:gutter="0" w:footer="0" w:header="0"/>
        </w:sectPr>
      </w:pPr>
    </w:p>
    <w:bookmarkStart w:id="52" w:name="page53"/>
    <w:bookmarkEnd w:id="52"/>
    <w:p>
      <w:pPr>
        <w:ind w:right="28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December 31, 2020, Opco began receiving net revenue payments from ICE earned pursuant to the Triparty Agreement, resulting in a $2.2 million increase in Opco gross revenue. The increase in Opco gross revenue was exceeded by a $3.6 million increase in Opco contra-revenue resulting from consideration payable to a customer pursuant to the Strategic Alliance Agreement with Starbucks and an increase in rebates and liquidity payments associated with futures transaction activity in the year ended December 31, 2020.</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Net Loss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64"/>
        </w:trPr>
        <w:tc>
          <w:tcPr>
            <w:tcW w:w="3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0"/>
              </w:rPr>
              <w:t>Nine Months Ended September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4"/>
        </w:trPr>
        <w:tc>
          <w:tcPr>
            <w:tcW w:w="3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20" w:type="dxa"/>
            <w:vAlign w:val="bottom"/>
          </w:tcPr>
          <w:p>
            <w:pPr>
              <w:jc w:val="right"/>
              <w:ind w:right="211"/>
              <w:spacing w:after="0" w:line="135" w:lineRule="exact"/>
              <w:rPr>
                <w:sz w:val="20"/>
                <w:szCs w:val="20"/>
                <w:color w:val="auto"/>
              </w:rPr>
            </w:pPr>
            <w:r>
              <w:rPr>
                <w:rFonts w:ascii="Arial" w:cs="Arial" w:eastAsia="Arial" w:hAnsi="Arial"/>
                <w:sz w:val="14"/>
                <w:szCs w:val="14"/>
                <w:b w:val="1"/>
                <w:bCs w:val="1"/>
                <w:color w:val="auto"/>
              </w:rPr>
              <w:t>2021</w:t>
            </w:r>
          </w:p>
        </w:tc>
        <w:tc>
          <w:tcPr>
            <w:tcW w:w="1240" w:type="dxa"/>
            <w:vAlign w:val="bottom"/>
          </w:tcPr>
          <w:p>
            <w:pPr>
              <w:jc w:val="right"/>
              <w:ind w:right="446"/>
              <w:spacing w:after="0" w:line="135" w:lineRule="exact"/>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91"/>
              </w:rPr>
              <w:t>$ Change</w:t>
            </w:r>
          </w:p>
        </w:tc>
        <w:tc>
          <w:tcPr>
            <w:tcW w:w="640" w:type="dxa"/>
            <w:vAlign w:val="bottom"/>
          </w:tcPr>
          <w:p>
            <w:pPr>
              <w:spacing w:after="0" w:line="135"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1"/>
                <w:szCs w:val="11"/>
                <w:color w:val="auto"/>
              </w:rPr>
            </w:pPr>
          </w:p>
        </w:tc>
      </w:tr>
      <w:tr>
        <w:trPr>
          <w:trHeight w:val="134"/>
        </w:trPr>
        <w:tc>
          <w:tcPr>
            <w:tcW w:w="3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960" w:type="dxa"/>
            <w:vAlign w:val="bottom"/>
            <w:tcBorders>
              <w:top w:val="single" w:sz="8" w:color="auto"/>
            </w:tcBorders>
            <w:gridSpan w:val="2"/>
          </w:tcPr>
          <w:p>
            <w:pPr>
              <w:jc w:val="center"/>
              <w:ind w:left="571"/>
              <w:spacing w:after="0" w:line="135" w:lineRule="exact"/>
              <w:rPr>
                <w:sz w:val="20"/>
                <w:szCs w:val="20"/>
                <w:color w:val="auto"/>
              </w:rPr>
            </w:pPr>
            <w:r>
              <w:rPr>
                <w:rFonts w:ascii="Arial" w:cs="Arial" w:eastAsia="Arial" w:hAnsi="Arial"/>
                <w:sz w:val="14"/>
                <w:szCs w:val="14"/>
                <w:b w:val="1"/>
                <w:bCs w:val="1"/>
                <w:color w:val="auto"/>
                <w:w w:val="87"/>
              </w:rPr>
              <w:t>(dollars in thousands)</w:t>
            </w:r>
          </w:p>
        </w:tc>
        <w:tc>
          <w:tcPr>
            <w:tcW w:w="6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 Forma Net Loss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$(89,558)</w:t>
            </w:r>
          </w:p>
        </w:tc>
        <w:tc>
          <w:tcPr>
            <w:tcW w:w="1240" w:type="dxa"/>
            <w:vAlign w:val="bottom"/>
            <w:shd w:val="clear" w:color="auto" w:fill="CCEEFF"/>
          </w:tcPr>
          <w:p>
            <w:pPr>
              <w:jc w:val="right"/>
              <w:ind w:right="206"/>
              <w:spacing w:after="0"/>
              <w:rPr>
                <w:sz w:val="20"/>
                <w:szCs w:val="20"/>
                <w:color w:val="auto"/>
              </w:rPr>
            </w:pPr>
            <w:r>
              <w:rPr>
                <w:rFonts w:ascii="Arial" w:cs="Arial" w:eastAsia="Arial" w:hAnsi="Arial"/>
                <w:sz w:val="17"/>
                <w:szCs w:val="17"/>
                <w:color w:val="auto"/>
              </w:rPr>
              <w:t>$(50,482)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3"/>
              </w:rPr>
              <w:t>$(39,156)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77.7%</w:t>
            </w:r>
          </w:p>
        </w:tc>
      </w:tr>
    </w:tbl>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 forma net loss increased $39.2 million, or 77.7%, for the nine months ended September 30, 2021 compared to the nine months ended September 30, 2020. The increase primarily consists of an increase of $15.1 million of marketing expenses related to the launch of our consumer app and $26.9 million of compensation and benefits related to the increase in personnel.</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32"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1905</wp:posOffset>
            </wp:positionV>
            <wp:extent cx="2287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ind w:left="6460"/>
        <w:spacing w:after="0"/>
        <w:tabs>
          <w:tab w:leader="none" w:pos="7420" w:val="left"/>
          <w:tab w:leader="none" w:pos="8280" w:val="left"/>
          <w:tab w:leader="none" w:pos="9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-3175</wp:posOffset>
            </wp:positionV>
            <wp:extent cx="16579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ind w:left="6940"/>
        <w:spacing w:after="0" w:line="220" w:lineRule="auto"/>
        <w:rPr>
          <w:sz w:val="20"/>
          <w:szCs w:val="20"/>
          <w:color w:val="auto"/>
        </w:rPr>
      </w:pPr>
      <w:r>
        <w:rPr>
          <w:rFonts w:ascii="Arial" w:cs="Arial" w:eastAsia="Arial" w:hAnsi="Arial"/>
          <w:sz w:val="14"/>
          <w:szCs w:val="14"/>
          <w:b w:val="1"/>
          <w:bCs w:val="1"/>
          <w:color w:val="auto"/>
        </w:rPr>
        <w:t>(dollars in thousands)</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 Forma Net Loss</w:t>
            </w:r>
          </w:p>
        </w:tc>
        <w:tc>
          <w:tcPr>
            <w:tcW w:w="2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$(80,071)</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$(30,232)</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$(49,839)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r>
    </w:tbl>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Pro forma net loss increased $49.8 million, or 164.9% for the year ended December 31, 2020 compared to the year ended December 31, 2019. The increase primarily consists of an increase of $15.3 million impairment of long-lived assets related to the impairment of the third-party software that was deemed not viable, $12.6 million of acquisition-related costs related to the Bridge2 Solutions acquisition, $4.8 million of marketing expenses,</w:t>
      </w:r>
    </w:p>
    <w:p>
      <w:pPr>
        <w:spacing w:after="0" w:line="1"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$4.3 million of compensation and benefits related to increase in personnel, $1.2 million of hosting fees, and the $9.3 million decrease in revenue discussed in the Unaudited Pro Forma Revenue section.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440"/>
          </w:cols>
          <w:pgMar w:left="700" w:top="269" w:right="75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Liquidity and Capital Resources</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Since our inception, we have financed our operations through equity financings in the form of capital contributions from our members. As of September 30, 2021, we have raised an aggregate of $482.5 million of capital, net of issuance costs, through the issuance of Class B and Class C voting units. In addition, in 2018, ICE contributed certain developed assets and rights to use exchange and clearing licenses enabling us to commence operations. Our principal sources of liquidity are cash and cash equivalents. We did not raise any additional funds during the three and nine months ended September 30, 2021. As of September 30, 2021, we had $22.1 million and $16.5 million of cash and cash equivalents and restricted cash, respectively. As of December 31, 2020, we had $75.4 million and $16.5 million of cash and cash equivalents and restricted cash, respectively. As of September 30, 2020, we had $79.3 million and $17.5 million of cash and cash equivalents and restricted cash, respectively. Cash and cash equivalents consist of cash deposits at banks and money market funds. Restricted cash is held to satisfy certain minimum capital requirements pursuant to regulatory requirements.</w:t>
      </w:r>
    </w:p>
    <w:p>
      <w:pPr>
        <w:spacing w:after="0" w:line="1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As of September 30, 2021, our liquidity position raised substantial doubt about our ability to continue as a going concern for the 12 months following the issuance of the September 30, 2021 unaudited interim consolidated financial statements without additional capital investment. The closing of the Business Combination on October 15, 2021, which resulted in approximately $479 million of cash on the combined company’s balance sheet, alleviated the doubt about our ability to continue as a going concern.</w:t>
      </w:r>
    </w:p>
    <w:p>
      <w:pPr>
        <w:spacing w:after="0" w:line="17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intend to use the funds available after the Business Combination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7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expected uses of the available funds from the Business Combination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5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2021, we accelerated our hiring plans and increased our marketing and promotional efforts, which we expect to continue following the closing of the Business Combination. We also intend to increase our investment in software development activities from historical levels to more rapidly advance deployment of new features and functionality in our technology platforms. We may also enter into arrangements to acquire or invest in complementary businesses, services, and technologies which will likely require us to increase our cash consumption.</w:t>
      </w:r>
    </w:p>
    <w:p>
      <w:pPr>
        <w:spacing w:after="0" w:line="18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In addition, we have evaluated the impact of the COVID-19 pandemic on our liquidity and capital needs, and we anticipate that its effects will be largely neutral.</w:t>
      </w:r>
    </w:p>
    <w:p>
      <w:pPr>
        <w:spacing w:after="0" w:line="16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 The following table summarizes our cash flows for the periods presented: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480"/>
          </w:cols>
          <w:pgMar w:left="700" w:top="263" w:right="719" w:bottom="1440" w:gutter="0" w:footer="0" w:header="0"/>
        </w:sectPr>
      </w:pPr>
    </w:p>
    <w:bookmarkStart w:id="54" w:name="page55"/>
    <w:bookmarkEnd w:id="54"/>
    <w:tbl>
      <w:tblPr>
        <w:tblLayout w:type="fixed"/>
        <w:tblInd w:w="420" w:type="dxa"/>
        <w:tblCellMar>
          <w:top w:w="0" w:type="dxa"/>
          <w:left w:w="0" w:type="dxa"/>
          <w:bottom w:w="0" w:type="dxa"/>
          <w:right w:w="0" w:type="dxa"/>
        </w:tblCellMar>
      </w:tblPr>
      <w:tr>
        <w:trPr>
          <w:trHeight w:val="164"/>
        </w:trPr>
        <w:tc>
          <w:tcPr>
            <w:tcW w:w="5340" w:type="dxa"/>
            <w:vAlign w:val="bottom"/>
          </w:tcPr>
          <w:p>
            <w:pPr>
              <w:spacing w:after="0"/>
              <w:rPr>
                <w:sz w:val="14"/>
                <w:szCs w:val="14"/>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Nine Months Ended September 30,</w:t>
            </w:r>
          </w:p>
        </w:tc>
        <w:tc>
          <w:tcPr>
            <w:tcW w:w="1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Year Ended December 31,</w:t>
            </w:r>
          </w:p>
        </w:tc>
      </w:tr>
      <w:tr>
        <w:trPr>
          <w:trHeight w:val="134"/>
        </w:trPr>
        <w:tc>
          <w:tcPr>
            <w:tcW w:w="53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439"/>
              <w:spacing w:after="0" w:line="13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41"/>
              <w:spacing w:after="0" w:line="13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19"/>
              <w:spacing w:after="0" w:line="13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jc w:val="right"/>
              <w:ind w:right="119"/>
              <w:spacing w:after="0" w:line="13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r>
      <w:tr>
        <w:trPr>
          <w:trHeight w:val="134"/>
        </w:trPr>
        <w:tc>
          <w:tcPr>
            <w:tcW w:w="5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6"/>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used in operating activities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(43,777)</w:t>
            </w: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(29,545)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91"/>
              </w:rPr>
              <w:t>(30,940)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 (48,496)</w:t>
            </w:r>
          </w:p>
        </w:tc>
      </w:tr>
      <w:tr>
        <w:trPr>
          <w:trHeight w:val="206"/>
        </w:trPr>
        <w:tc>
          <w:tcPr>
            <w:tcW w:w="5340" w:type="dxa"/>
            <w:vAlign w:val="bottom"/>
          </w:tcPr>
          <w:p>
            <w:pPr>
              <w:spacing w:after="0"/>
              <w:rPr>
                <w:sz w:val="20"/>
                <w:szCs w:val="20"/>
                <w:color w:val="auto"/>
              </w:rPr>
            </w:pPr>
            <w:r>
              <w:rPr>
                <w:rFonts w:ascii="Arial" w:cs="Arial" w:eastAsia="Arial" w:hAnsi="Arial"/>
                <w:sz w:val="17"/>
                <w:szCs w:val="17"/>
                <w:color w:val="auto"/>
              </w:rPr>
              <w:t>Net cash flows used in investing activities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7"/>
                <w:szCs w:val="17"/>
                <w:color w:val="auto"/>
              </w:rPr>
              <w:t>(9,087)</w:t>
            </w:r>
          </w:p>
        </w:tc>
        <w:tc>
          <w:tcPr>
            <w:tcW w:w="3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(4,228)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79"/>
              <w:spacing w:after="0"/>
              <w:rPr>
                <w:sz w:val="20"/>
                <w:szCs w:val="20"/>
                <w:color w:val="auto"/>
              </w:rPr>
            </w:pPr>
            <w:r>
              <w:rPr>
                <w:rFonts w:ascii="Arial" w:cs="Arial" w:eastAsia="Arial" w:hAnsi="Arial"/>
                <w:sz w:val="17"/>
                <w:szCs w:val="17"/>
                <w:color w:val="auto"/>
              </w:rPr>
              <w:t>(7,929)</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 (40,947)</w:t>
            </w:r>
          </w:p>
        </w:tc>
      </w:tr>
      <w:tr>
        <w:trPr>
          <w:trHeight w:val="206"/>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provided by (used in) financing activities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(97)</w:t>
            </w: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37,518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w w:val="99"/>
              </w:rPr>
              <w:t>37,487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bl>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3" w:lineRule="exact"/>
        <w:rPr>
          <w:sz w:val="20"/>
          <w:szCs w:val="20"/>
          <w:color w:val="auto"/>
        </w:rPr>
      </w:pPr>
    </w:p>
    <w:p>
      <w:pPr>
        <w:ind w:right="260"/>
        <w:spacing w:after="0" w:line="317" w:lineRule="auto"/>
        <w:rPr>
          <w:sz w:val="20"/>
          <w:szCs w:val="20"/>
          <w:color w:val="auto"/>
        </w:rPr>
      </w:pPr>
      <w:r>
        <w:rPr>
          <w:rFonts w:ascii="Arial" w:cs="Arial" w:eastAsia="Arial" w:hAnsi="Arial"/>
          <w:sz w:val="15"/>
          <w:szCs w:val="15"/>
          <w:color w:val="auto"/>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of $43.8 million for the nine months ended September 30, 2021 was primarily related to our net loss of</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$89.6 million, offset by non-cash charges of $16.6 million and net cash inflows of $29.2 million resulting from changes in our operating assets and liabilities. The non-cash charges primarily consisted of depreciation and amortization of $9.0 million, unit-based compensation of $3.1 million, amortization of consideration payable to a customer pursuant to the Strategic Alliance Agreement of $1.7 million, non-cash professional services expense associated with vesting of the Class C warrant of $1.0 million, and non-cash lease expense of $0.9 million. Net cash inflows from changes in our operating assets and liabilities resulted primarily from the return of a deposit with our clearinghouse affiliate of $20.2 million, an increase in accounts payable and accrued liabilities of $13.0 million, and an increase in due to related parties of $0.5 million, which were partially offset primarily by an increase in accounts receivable of $2.9 million, an increase in other assets of $1.0 million, and $0.8 million of payments related to operating lease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of $29.5 million for the nine months ended September 30, 2020 was primarily related to our net loss of</w:t>
      </w:r>
    </w:p>
    <w:p>
      <w:pPr>
        <w:spacing w:after="0" w:line="21" w:lineRule="exact"/>
        <w:rPr>
          <w:sz w:val="20"/>
          <w:szCs w:val="20"/>
          <w:color w:val="auto"/>
        </w:rPr>
      </w:pPr>
    </w:p>
    <w:p>
      <w:pPr>
        <w:ind w:right="300"/>
        <w:spacing w:after="0" w:line="286" w:lineRule="auto"/>
        <w:rPr>
          <w:sz w:val="20"/>
          <w:szCs w:val="20"/>
          <w:color w:val="auto"/>
        </w:rPr>
      </w:pPr>
      <w:r>
        <w:rPr>
          <w:rFonts w:ascii="Arial" w:cs="Arial" w:eastAsia="Arial" w:hAnsi="Arial"/>
          <w:sz w:val="15"/>
          <w:szCs w:val="15"/>
          <w:color w:val="auto"/>
        </w:rPr>
        <w:t>$50.0 million, which was offset by non-cash charges of $21.7 million, and net cash outflows of $1.3 million resulting from changes in our operating assets and liabilities. The non-cash charges primarily consisted of depreciation and amortization of $5.4 million, unit-based compensation of</w:t>
      </w:r>
    </w:p>
    <w:p>
      <w:pPr>
        <w:spacing w:after="0" w:line="1"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auto"/>
        </w:rPr>
        <w:t>$9.9 million, impairment of long-lived assets of $3.8 million, acquisition-related expenses paid by affiliate of $1.4 million, and non-cash lease expense of $1.0 million. Net cash outflows from changes in our operating assets and liabilities resulted primarily from decreases in deferred revenues of</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$3.7 million, amounts due to affiliates of $8.4 million, and payments related to operating leases of $0.9 million, which were offset by decreases in accounts receivable of $0.3 million and deposits with clearinghouse affiliate of $11.0 million, and an increase in accounts payable and accrued liabilities of $0.9 million.</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Net cash used in operating activities of $30.9 million for the year ended December 31, 2020 is primarily attributable to our net loss of $79.6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 $7.0 million decrease in amounts due to affiliates, a $4.3 million decrease in deferred revenues and $3.7 million decrease in other assets and liabilities, and $1.2 million decrease in operating lease liabilities.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460"/>
          </w:cols>
          <w:pgMar w:left="700" w:top="259" w:right="739" w:bottom="1440" w:gutter="0" w:footer="0" w:header="0"/>
        </w:sectPr>
      </w:pPr>
    </w:p>
    <w:bookmarkStart w:id="55" w:name="page56"/>
    <w:bookmarkEnd w:id="55"/>
    <w:p>
      <w:pPr>
        <w:ind w:right="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Net cash used in operating activities of $48.5 million for the year ended December 31, 2019 was primarily related to our net loss of $33.0 million, offset by non-cash charges of $11.0 million and net cash outflows of $26.6 million resulting from changes in our operating assets and liabilities. The non-cash charges primarily consisted of depreciation and amortization of $0.3 million and unit-based compensation of $10.7 million. Net cash outflows from changes resulted mainly from payment of a deposit with our clearinghouse affiliate of $39.0 million partially offset by changes in other assets of $2.8 million, an increase in accounts payable and accrued liabilities of $5.9 million and amounts due to affiliates of $9.4 million.</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3"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Net cash used in investing activities of $9.1 million for the nine months ended September 30, 2021 primarily consisted of $10.9 million of capital expenditures, offset by $1.8 million in proceeds from sale of shares of affiliate stock. Capital expenditures were primary related to costs paid to third parties and capitalized associated with internally developed software for our technology platforms and other capital expenditures.</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Net cash provided by investing activities of $4.2 million for the nine months ended September 30, 2020 primarily consisted of $16.9 million of capital expenditures, offset by $10.7 million cash inflows from the acquisition of Bridge2Solutions and $2.0 million cash inflows from short-term investments. Capital expenditures were primary related to costs paid to third parties and capitalized associated with internally developed software for our technology platforms and other capital expenditures.</w:t>
      </w:r>
    </w:p>
    <w:p>
      <w:pPr>
        <w:spacing w:after="0" w:line="179"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We used $7.9 million in investing activities for the year ended December 31, 2020 consisting of capitalized costs of internally developed software and other capital expenditures. This amount was offset in part by $10.7 million of cash acquired from our acquisition of Bridge2 Solutions and proceeds from the sale of $2.0 million of short-term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of $40.9 million for the for the year ended December 31, 2019 was primarily related to acquisitions of</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$29.8 million, capital expenditures of $9.2 million and purchases of short-term investments of $2.0 million. Capital expenditures were primary related to costs paid to third parties and capitalized associated with internally developed software for our technology platforms.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3"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Net cash used in financing activities of less than $1 million for the nine months ended September 30, 2021 resulted from payments of finance lease liabilities.</w:t>
      </w:r>
    </w:p>
    <w:p>
      <w:pPr>
        <w:spacing w:after="0" w:line="16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Net cash provided by financing activities of $37.5 million for the nine months ended September 30, 2020 resulted from proceeds from issuance of our Series B ownership units of $37.8 million offset by less than 0.3 million of payments of finance leases liabilities.</w:t>
      </w:r>
    </w:p>
    <w:p>
      <w:pPr>
        <w:spacing w:after="0" w:line="165"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Net cash flows provided by financing activities of $37.5 million for the year ended December 31, 2020 resulted from proceeds from issuance of our Class C ownership units of $37.8 million offset by $0.3 million of payments for capital leases during the year.</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We had no material commitments as of September 30, 2021, December 31, 2020, or December 31, 2019.</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Bitcoin held in a custodial capacity on behalf of our customers, which are institutions, market makers, and high net worth individuals, is not included in our consolidated balance sheets.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480"/>
          </w:cols>
          <w:pgMar w:left="700" w:top="269" w:right="7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Non-GAAP Measures</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85"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We present Adjusted EBITDA as a non-GAAP financial measure.</w:t>
      </w:r>
    </w:p>
    <w:p>
      <w:pPr>
        <w:spacing w:after="0" w:line="216"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57"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In addition to the items above, Adjusted EBITDA as a non-GAAP financial measure also excludes interest income and other income, and income tax benefit, as these items are not components of our core business operations.</w:t>
      </w:r>
    </w:p>
    <w:p>
      <w:pPr>
        <w:spacing w:after="0" w:line="165" w:lineRule="exact"/>
        <w:rPr>
          <w:sz w:val="20"/>
          <w:szCs w:val="20"/>
          <w:color w:val="auto"/>
        </w:rPr>
      </w:pPr>
    </w:p>
    <w:p>
      <w:pPr>
        <w:ind w:right="680"/>
        <w:spacing w:after="0" w:line="311" w:lineRule="auto"/>
        <w:rPr>
          <w:sz w:val="20"/>
          <w:szCs w:val="20"/>
          <w:color w:val="auto"/>
        </w:rPr>
      </w:pPr>
      <w:r>
        <w:rPr>
          <w:rFonts w:ascii="Arial" w:cs="Arial" w:eastAsia="Arial" w:hAnsi="Arial"/>
          <w:sz w:val="16"/>
          <w:szCs w:val="16"/>
          <w:color w:val="auto"/>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51" w:lineRule="exact"/>
        <w:rPr>
          <w:sz w:val="20"/>
          <w:szCs w:val="20"/>
          <w:color w:val="auto"/>
        </w:rPr>
      </w:pPr>
    </w:p>
    <w:p>
      <w:pPr>
        <w:ind w:left="920" w:right="100" w:hanging="410"/>
        <w:spacing w:after="0" w:line="289" w:lineRule="auto"/>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68" w:lineRule="exact"/>
        <w:rPr>
          <w:rFonts w:ascii="Arial" w:cs="Arial" w:eastAsia="Arial" w:hAnsi="Arial"/>
          <w:sz w:val="16"/>
          <w:szCs w:val="16"/>
          <w:color w:val="auto"/>
        </w:rPr>
      </w:pPr>
    </w:p>
    <w:p>
      <w:pPr>
        <w:ind w:left="920" w:right="140" w:hanging="410"/>
        <w:spacing w:after="0" w:line="265"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85" w:lineRule="exact"/>
        <w:rPr>
          <w:rFonts w:ascii="Arial" w:cs="Arial" w:eastAsia="Arial" w:hAnsi="Arial"/>
          <w:sz w:val="17"/>
          <w:szCs w:val="17"/>
          <w:color w:val="auto"/>
        </w:rPr>
      </w:pPr>
    </w:p>
    <w:p>
      <w:pPr>
        <w:ind w:left="920" w:hanging="410"/>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non-GAAP measures do not reflect changes in, or cash requirements for, our working capital needs.</w:t>
      </w:r>
    </w:p>
    <w:p>
      <w:pPr>
        <w:spacing w:after="0" w:line="21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Because of these limitations, the non-GAAP financial measures should be considered alongside other financial performance measures, including net loss and our other financial results presented in accordance with GAAP.</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480"/>
          </w:cols>
          <w:pgMar w:left="700" w:top="263" w:right="719" w:bottom="1440" w:gutter="0" w:footer="0" w:header="0"/>
        </w:sectPr>
      </w:pPr>
    </w:p>
    <w:bookmarkStart w:id="57" w:name="page58"/>
    <w:bookmarkEnd w:id="57"/>
    <w:p>
      <w:pPr>
        <w:ind w:right="6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following table presents a reconciliation of net loss, the most directly comparable GAAP operating performance measure, to our Adjusted EBITDA for each of the periods indicated (in thousands,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101"/>
              <w:spacing w:after="0" w:line="13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94"/>
              <w:spacing w:after="0" w:line="13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9"/>
              <w:spacing w:after="0" w:line="13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2"/>
          </w:tcPr>
          <w:p>
            <w:pPr>
              <w:jc w:val="center"/>
              <w:ind w:left="119"/>
              <w:spacing w:after="0" w:line="135" w:lineRule="exact"/>
              <w:rPr>
                <w:sz w:val="20"/>
                <w:szCs w:val="20"/>
                <w:color w:val="auto"/>
              </w:rPr>
            </w:pPr>
            <w:r>
              <w:rPr>
                <w:rFonts w:ascii="Arial" w:cs="Arial" w:eastAsia="Arial" w:hAnsi="Arial"/>
                <w:sz w:val="14"/>
                <w:szCs w:val="14"/>
                <w:b w:val="1"/>
                <w:bCs w:val="1"/>
                <w:color w:val="auto"/>
                <w:w w:val="83"/>
              </w:rPr>
              <w:t>2020</w:t>
            </w:r>
          </w:p>
        </w:tc>
        <w:tc>
          <w:tcPr>
            <w:tcW w:w="2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94"/>
              <w:spacing w:after="0" w:line="13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37"/>
              <w:spacing w:after="0" w:line="13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right"/>
              <w:ind w:right="300"/>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$(28,847)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$(17,971)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$(89,558)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$($50,016)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3"/>
              </w:rPr>
              <w:t>$(79,605)</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(32,976)</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Add: Depreciation and amortization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3,270</w:t>
            </w:r>
          </w:p>
        </w:tc>
        <w:tc>
          <w:tcPr>
            <w:tcW w:w="16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2,232</w:t>
            </w:r>
          </w:p>
        </w:tc>
        <w:tc>
          <w:tcPr>
            <w:tcW w:w="820" w:type="dxa"/>
            <w:vAlign w:val="bottom"/>
            <w:gridSpan w:val="3"/>
          </w:tcPr>
          <w:p>
            <w:pPr>
              <w:jc w:val="right"/>
              <w:ind w:right="11"/>
              <w:spacing w:after="0"/>
              <w:rPr>
                <w:sz w:val="20"/>
                <w:szCs w:val="20"/>
                <w:color w:val="auto"/>
              </w:rPr>
            </w:pPr>
            <w:r>
              <w:rPr>
                <w:rFonts w:ascii="Arial" w:cs="Arial" w:eastAsia="Arial" w:hAnsi="Arial"/>
                <w:sz w:val="17"/>
                <w:szCs w:val="17"/>
                <w:color w:val="auto"/>
              </w:rPr>
              <w:t>9,098</w:t>
            </w:r>
          </w:p>
        </w:tc>
        <w:tc>
          <w:tcPr>
            <w:tcW w:w="1160" w:type="dxa"/>
            <w:vAlign w:val="bottom"/>
            <w:gridSpan w:val="3"/>
          </w:tcPr>
          <w:p>
            <w:pPr>
              <w:jc w:val="right"/>
              <w:ind w:right="260"/>
              <w:spacing w:after="0"/>
              <w:rPr>
                <w:sz w:val="20"/>
                <w:szCs w:val="20"/>
                <w:color w:val="auto"/>
              </w:rPr>
            </w:pPr>
            <w:r>
              <w:rPr>
                <w:rFonts w:ascii="Arial" w:cs="Arial" w:eastAsia="Arial" w:hAnsi="Arial"/>
                <w:sz w:val="17"/>
                <w:szCs w:val="17"/>
                <w:color w:val="auto"/>
              </w:rPr>
              <w:t>5,536</w:t>
            </w:r>
          </w:p>
        </w:tc>
        <w:tc>
          <w:tcPr>
            <w:tcW w:w="820" w:type="dxa"/>
            <w:vAlign w:val="bottom"/>
            <w:gridSpan w:val="3"/>
          </w:tcPr>
          <w:p>
            <w:pPr>
              <w:jc w:val="right"/>
              <w:ind w:right="180"/>
              <w:spacing w:after="0"/>
              <w:rPr>
                <w:sz w:val="20"/>
                <w:szCs w:val="20"/>
                <w:color w:val="auto"/>
              </w:rPr>
            </w:pPr>
            <w:r>
              <w:rPr>
                <w:rFonts w:ascii="Arial" w:cs="Arial" w:eastAsia="Arial" w:hAnsi="Arial"/>
                <w:sz w:val="17"/>
                <w:szCs w:val="17"/>
                <w:color w:val="auto"/>
              </w:rPr>
              <w:t>8,159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Add/(Less): Interest (income) expense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169</w:t>
            </w:r>
          </w:p>
        </w:tc>
        <w:tc>
          <w:tcPr>
            <w:tcW w:w="82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239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(255)</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Add/(Less): Income tax (benefit) expense</w:t>
            </w: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20" w:type="dxa"/>
            <w:vAlign w:val="bottom"/>
            <w:gridSpan w:val="3"/>
          </w:tcPr>
          <w:p>
            <w:pPr>
              <w:jc w:val="right"/>
              <w:ind w:right="11"/>
              <w:spacing w:after="0"/>
              <w:rPr>
                <w:sz w:val="20"/>
                <w:szCs w:val="20"/>
                <w:color w:val="auto"/>
              </w:rPr>
            </w:pPr>
            <w:r>
              <w:rPr>
                <w:rFonts w:ascii="Arial" w:cs="Arial" w:eastAsia="Arial" w:hAnsi="Arial"/>
                <w:sz w:val="17"/>
                <w:szCs w:val="17"/>
                <w:color w:val="auto"/>
              </w:rPr>
              <w:t>195</w:t>
            </w:r>
          </w:p>
        </w:tc>
        <w:tc>
          <w:tcPr>
            <w:tcW w:w="1160" w:type="dxa"/>
            <w:vAlign w:val="bottom"/>
            <w:gridSpan w:val="3"/>
          </w:tcPr>
          <w:p>
            <w:pPr>
              <w:jc w:val="right"/>
              <w:ind w:right="260"/>
              <w:spacing w:after="0"/>
              <w:rPr>
                <w:sz w:val="20"/>
                <w:szCs w:val="20"/>
                <w:color w:val="auto"/>
              </w:rPr>
            </w:pPr>
            <w:r>
              <w:rPr>
                <w:rFonts w:ascii="Arial" w:cs="Arial" w:eastAsia="Arial" w:hAnsi="Arial"/>
                <w:sz w:val="17"/>
                <w:szCs w:val="17"/>
                <w:color w:val="auto"/>
              </w:rPr>
              <w:t>36</w:t>
            </w:r>
          </w:p>
        </w:tc>
        <w:tc>
          <w:tcPr>
            <w:tcW w:w="820" w:type="dxa"/>
            <w:vAlign w:val="bottom"/>
            <w:gridSpan w:val="3"/>
          </w:tcPr>
          <w:p>
            <w:pPr>
              <w:jc w:val="right"/>
              <w:ind w:right="180"/>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(25,469)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(15,559)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(80,026)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(44,699)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(7,178)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(36,131)</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Add: Acquisition-related transaction costs</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1,766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1"/>
              <w:spacing w:after="0"/>
              <w:rPr>
                <w:sz w:val="20"/>
                <w:szCs w:val="20"/>
                <w:color w:val="auto"/>
              </w:rPr>
            </w:pPr>
            <w:r>
              <w:rPr>
                <w:rFonts w:ascii="Arial" w:cs="Arial" w:eastAsia="Arial" w:hAnsi="Arial"/>
                <w:sz w:val="17"/>
                <w:szCs w:val="17"/>
                <w:color w:val="auto"/>
              </w:rPr>
              <w:t>12,075</w:t>
            </w:r>
          </w:p>
        </w:tc>
        <w:tc>
          <w:tcPr>
            <w:tcW w:w="1160" w:type="dxa"/>
            <w:vAlign w:val="bottom"/>
            <w:gridSpan w:val="3"/>
          </w:tcPr>
          <w:p>
            <w:pPr>
              <w:jc w:val="right"/>
              <w:ind w:right="260"/>
              <w:spacing w:after="0"/>
              <w:rPr>
                <w:sz w:val="20"/>
                <w:szCs w:val="20"/>
                <w:color w:val="auto"/>
              </w:rPr>
            </w:pPr>
            <w:r>
              <w:rPr>
                <w:rFonts w:ascii="Arial" w:cs="Arial" w:eastAsia="Arial" w:hAnsi="Arial"/>
                <w:sz w:val="17"/>
                <w:szCs w:val="17"/>
                <w:color w:val="auto"/>
              </w:rPr>
              <w:t>11,477</w:t>
            </w:r>
          </w:p>
        </w:tc>
        <w:tc>
          <w:tcPr>
            <w:tcW w:w="820" w:type="dxa"/>
            <w:vAlign w:val="bottom"/>
            <w:gridSpan w:val="3"/>
          </w:tcPr>
          <w:p>
            <w:pPr>
              <w:jc w:val="right"/>
              <w:ind w:right="180"/>
              <w:spacing w:after="0"/>
              <w:rPr>
                <w:sz w:val="20"/>
                <w:szCs w:val="20"/>
                <w:color w:val="auto"/>
              </w:rPr>
            </w:pPr>
            <w:r>
              <w:rPr>
                <w:rFonts w:ascii="Arial" w:cs="Arial" w:eastAsia="Arial" w:hAnsi="Arial"/>
                <w:sz w:val="17"/>
                <w:szCs w:val="17"/>
                <w:color w:val="auto"/>
              </w:rPr>
              <w:t>13,372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Add: Unit-based compensation expense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829</w:t>
            </w:r>
          </w:p>
        </w:tc>
        <w:tc>
          <w:tcPr>
            <w:tcW w:w="82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3,116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370</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Add: Restructuring charges</w:t>
            </w:r>
          </w:p>
        </w:tc>
        <w:tc>
          <w:tcPr>
            <w:tcW w:w="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80"/>
              <w:spacing w:after="0"/>
              <w:rPr>
                <w:sz w:val="20"/>
                <w:szCs w:val="20"/>
                <w:color w:val="auto"/>
              </w:rPr>
            </w:pPr>
            <w:r>
              <w:rPr>
                <w:rFonts w:ascii="Arial" w:cs="Arial" w:eastAsia="Arial" w:hAnsi="Arial"/>
                <w:sz w:val="17"/>
                <w:szCs w:val="17"/>
                <w:color w:val="auto"/>
              </w:rPr>
              <w:t>588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Add: Impairment of long-lived assets</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3,843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15,292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Less: Non-recurring bitcoin sale income, net</w:t>
            </w: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(1,024)</w:t>
            </w:r>
          </w:p>
        </w:tc>
        <w:tc>
          <w:tcPr>
            <w:tcW w:w="2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Less: Transition services to Bakkt Clearing</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vMerge w:val="continue"/>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(24,123)</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(12,280)</w:t>
            </w:r>
          </w:p>
        </w:tc>
        <w:tc>
          <w:tcPr>
            <w:tcW w:w="82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(65,859)</w:t>
            </w:r>
          </w:p>
        </w:tc>
        <w:tc>
          <w:tcPr>
            <w:tcW w:w="1160" w:type="dxa"/>
            <w:vAlign w:val="bottom"/>
            <w:gridSpan w:val="3"/>
          </w:tcPr>
          <w:p>
            <w:pPr>
              <w:jc w:val="right"/>
              <w:ind w:right="200"/>
              <w:spacing w:after="0"/>
              <w:rPr>
                <w:sz w:val="20"/>
                <w:szCs w:val="20"/>
                <w:color w:val="auto"/>
              </w:rPr>
            </w:pPr>
            <w:r>
              <w:rPr>
                <w:rFonts w:ascii="Arial" w:cs="Arial" w:eastAsia="Arial" w:hAnsi="Arial"/>
                <w:sz w:val="17"/>
                <w:szCs w:val="17"/>
                <w:color w:val="auto"/>
              </w:rPr>
              <w:t>$ (29,009)</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(40,040)</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(24,872)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Adjusted EBITDA decreased by $11.8 million, or 96.4%, for the three months ended September 30, 2021 compared to three months ended September 30, 2020. The decrease was primarily due to a $10.9 million increase in net loss, a $2.5 million decrease in impairment of long-lived assets and a $1.0 million increase in non-recurring bitcoin sale income, which were partially offset by a $1.8 million increase in acquisition-related transaction costs, a $0.2 million decrease in unit-based compensation expense, and a $1.0 million increase in depreciation and amortization. Adjusted EBITDA decreased by $36.9 million or 127.0%, for the nine months ended September 30, 2021 compared to nine months ended September 30, 2020. The decrease was primarily due to the $39.5 million increase in net loss, $3.8 million decrease in impairment of long-lived assets and a $1.0 million increase in non-recurring bitcoin sale income, which were partially offset by a $0.6 million increase in acquisition-related transaction costs, $3.6 million increase in depreciation and amortization and a $2.7 million increase in unit-based compensation expense. Adjusted EBITDA decreased by $15.2 million or 61.0%, for year ended December 31, 2020 compared to year ended December 31, 2019. The decrease was primarily due to the increase in net loss.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revenues and expenses, and related disclosures of contingent assets and liabilities in the consolidated financial statements. Critical accounting policies are those policies that management believes are most important to the representation of our financial position and results of operations, and that require management to make estimates that are difficult, subjective or complex. Based on these criteria, management has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500"/>
          </w:cols>
          <w:pgMar w:left="700" w:top="269" w:right="69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identified the following critical accounting policies and estimates, and the methodology and disclosures related to those estimates: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19"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ASC 805, Business Combinations.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56"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4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a business combination are recorded in earnings.</w:t>
      </w:r>
    </w:p>
    <w:p>
      <w:pPr>
        <w:spacing w:after="0" w:line="179" w:lineRule="exact"/>
        <w:rPr>
          <w:sz w:val="20"/>
          <w:szCs w:val="20"/>
          <w:color w:val="auto"/>
        </w:rPr>
      </w:pPr>
    </w:p>
    <w:p>
      <w:pPr>
        <w:jc w:val="both"/>
        <w:ind w:right="600"/>
        <w:spacing w:after="0" w:line="265" w:lineRule="auto"/>
        <w:rPr>
          <w:sz w:val="20"/>
          <w:szCs w:val="20"/>
          <w:color w:val="auto"/>
        </w:rPr>
      </w:pPr>
      <w:r>
        <w:rPr>
          <w:rFonts w:ascii="Arial" w:cs="Arial" w:eastAsia="Arial" w:hAnsi="Arial"/>
          <w:sz w:val="17"/>
          <w:szCs w:val="17"/>
          <w:color w:val="auto"/>
        </w:rPr>
        <w:t>All acquisition-related costs, other than the costs to issue debt or equity securities, are accounted for as expenses in the period in which they are incurred. Changes in the fair value of any contingent consideration arrangements that are not measurement period adjustments are recognized in earnings.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Other Intangible Assets</w:t>
      </w:r>
    </w:p>
    <w:p>
      <w:pPr>
        <w:spacing w:after="0" w:line="11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Goodwill and intangible assets that have indefinite useful lives are accounted for in accordance with FASB ASC 350, Intangibles — Goodwill and Other.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indefinite-lived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73"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65"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We did not record any impairment charges related to goodwill and intangible assets during the three months ended September 30, 2021 and 2020, the nine months ended September 30, 2021 and 2020, or the years ended December 31, 2020 and 2019.</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480"/>
          </w:cols>
          <w:pgMar w:left="700" w:top="269" w:right="719" w:bottom="1440" w:gutter="0" w:footer="0" w:header="0"/>
        </w:sectPr>
      </w:pPr>
    </w:p>
    <w:bookmarkStart w:id="59" w:name="page60"/>
    <w:bookmarkEnd w:id="59"/>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Revenue Recognition</w:t>
      </w:r>
    </w:p>
    <w:p>
      <w:pPr>
        <w:spacing w:after="0" w:line="119" w:lineRule="exact"/>
        <w:rPr>
          <w:sz w:val="20"/>
          <w:szCs w:val="20"/>
          <w:color w:val="auto"/>
        </w:rPr>
      </w:pPr>
    </w:p>
    <w:p>
      <w:pPr>
        <w:ind w:left="4"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4" w:right="40"/>
        <w:spacing w:after="0" w:line="259" w:lineRule="auto"/>
        <w:rPr>
          <w:sz w:val="20"/>
          <w:szCs w:val="20"/>
          <w:color w:val="auto"/>
        </w:rPr>
      </w:pPr>
      <w:r>
        <w:rPr>
          <w:rFonts w:ascii="Arial" w:cs="Arial" w:eastAsia="Arial" w:hAnsi="Arial"/>
          <w:sz w:val="17"/>
          <w:szCs w:val="17"/>
          <w:color w:val="auto"/>
        </w:rPr>
        <w:t>The Triparty Agreement governs the trading, clearing and custody services for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PDF Contract Traders are generally institutional investors and market makers that enter into agreements separately with each of IFUS, ICUS and Opco for trading, clearing and custody related services, respectively.</w:t>
      </w:r>
    </w:p>
    <w:p>
      <w:pPr>
        <w:spacing w:after="0" w:line="180" w:lineRule="exact"/>
        <w:rPr>
          <w:sz w:val="20"/>
          <w:szCs w:val="20"/>
          <w:color w:val="auto"/>
        </w:rPr>
      </w:pPr>
    </w:p>
    <w:p>
      <w:pPr>
        <w:ind w:left="4"/>
        <w:spacing w:after="0" w:line="290" w:lineRule="auto"/>
        <w:rPr>
          <w:sz w:val="20"/>
          <w:szCs w:val="20"/>
          <w:color w:val="auto"/>
        </w:rPr>
      </w:pPr>
      <w:r>
        <w:rPr>
          <w:rFonts w:ascii="Arial" w:cs="Arial" w:eastAsia="Arial" w:hAnsi="Arial"/>
          <w:sz w:val="15"/>
          <w:szCs w:val="15"/>
          <w:color w:val="auto"/>
        </w:rPr>
        <w:t>With respect to our provision of custody services that are necessary to support the trading and clearing services provided by IFUS and ICUS for the PDF Contracts, our customers are IFUS and ICUS, who are related parties. In this regard, our obligation is to provide a stand-ready custody function that supports the trading and clearing services for the PDF Contracts. our obligation to provide a stand-ready custody function includes related promises such as: (i) the initial onboarding of PDF Contract Traders to the custody warehouse, which represents the commencement of the custody services;</w:t>
      </w:r>
    </w:p>
    <w:p>
      <w:pPr>
        <w:spacing w:after="0" w:line="1" w:lineRule="exact"/>
        <w:rPr>
          <w:sz w:val="20"/>
          <w:szCs w:val="20"/>
          <w:color w:val="auto"/>
        </w:rPr>
      </w:pPr>
    </w:p>
    <w:p>
      <w:pPr>
        <w:jc w:val="both"/>
        <w:ind w:left="4" w:right="80" w:hanging="4"/>
        <w:spacing w:after="0" w:line="286" w:lineRule="auto"/>
        <w:tabs>
          <w:tab w:leader="none" w:pos="256"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jc w:val="both"/>
        <w:ind w:left="4" w:right="80" w:hanging="4"/>
        <w:spacing w:after="0" w:line="256" w:lineRule="auto"/>
        <w:tabs>
          <w:tab w:leader="none" w:pos="294" w:val="left"/>
        </w:tabs>
        <w:numPr>
          <w:ilvl w:val="0"/>
          <w:numId w:val="21"/>
        </w:numPr>
        <w:rPr>
          <w:rFonts w:ascii="Arial" w:cs="Arial" w:eastAsia="Arial" w:hAnsi="Arial"/>
          <w:sz w:val="17"/>
          <w:szCs w:val="17"/>
          <w:color w:val="auto"/>
        </w:rPr>
      </w:pPr>
      <w:r>
        <w:rPr>
          <w:rFonts w:ascii="Arial" w:cs="Arial" w:eastAsia="Arial" w:hAnsi="Arial"/>
          <w:sz w:val="17"/>
          <w:szCs w:val="17"/>
          <w:color w:val="auto"/>
        </w:rPr>
        <w:t>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Opco has incurred significant time and expense to build, establish and maintain a fully licensed, institutional-grade bitcoin custodian.</w:t>
      </w:r>
    </w:p>
    <w:p>
      <w:pPr>
        <w:spacing w:after="0" w:line="184" w:lineRule="exact"/>
        <w:rPr>
          <w:sz w:val="20"/>
          <w:szCs w:val="20"/>
          <w:color w:val="auto"/>
        </w:rPr>
      </w:pPr>
    </w:p>
    <w:p>
      <w:pPr>
        <w:ind w:left="4"/>
        <w:spacing w:after="0" w:line="272" w:lineRule="auto"/>
        <w:rPr>
          <w:sz w:val="20"/>
          <w:szCs w:val="20"/>
          <w:color w:val="auto"/>
        </w:rPr>
      </w:pPr>
      <w:r>
        <w:rPr>
          <w:rFonts w:ascii="Arial" w:cs="Arial" w:eastAsia="Arial" w:hAnsi="Arial"/>
          <w:sz w:val="16"/>
          <w:szCs w:val="16"/>
          <w:color w:val="auto"/>
        </w:rPr>
        <w:t>While our performance obligation to IFUS and ICUS is comprised of several related promises as described above, we have concluded that we have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We have concluded that the related activities that collectively comprise this single performance obligation are not separately identifiable within the context of the Triparty Agreement, as all are necessary in order for IFUS and ICUS to offer PDF Contracts. The maximum duration of our performance obligation would extend from trade execution through the later of settlement of a PDF Contract or the ultimate withdrawal of physically-delivered bitcoin underlying the PDF Contract. However, in our experience, less than 1% of PDF Contracts go to physical settlement. We determine the obligation period associated with Triparty Agreement revenue using the portfolio method based on our historical transaction experience, as the PDF Contracts have similar characteristics. The average performance obligation period is less than one month based on application of the portfolio method. Therefore, we recognize revenue for the stand-ready custody services that we provide to IFUS and ICUS on a straight-line basis over the average performance obligation period, which is less than one month.</w:t>
      </w:r>
    </w:p>
    <w:p>
      <w:pPr>
        <w:spacing w:after="0" w:line="176" w:lineRule="exact"/>
        <w:rPr>
          <w:sz w:val="20"/>
          <w:szCs w:val="20"/>
          <w:color w:val="auto"/>
        </w:rPr>
      </w:pPr>
    </w:p>
    <w:p>
      <w:pPr>
        <w:ind w:left="4" w:right="360"/>
        <w:spacing w:after="0" w:line="289" w:lineRule="auto"/>
        <w:rPr>
          <w:sz w:val="20"/>
          <w:szCs w:val="20"/>
          <w:color w:val="auto"/>
        </w:rPr>
      </w:pPr>
      <w:r>
        <w:rPr>
          <w:rFonts w:ascii="Arial" w:cs="Arial" w:eastAsia="Arial" w:hAnsi="Arial"/>
          <w:sz w:val="16"/>
          <w:szCs w:val="16"/>
          <w:color w:val="auto"/>
        </w:rPr>
        <w:t>PDF Contract Traders pay a transaction fee for trading and clearing which is collected by ICUS. Per the terms of the Triparty Agreement, IFUS and ICUS pass to us all trading and clearing transaction fees, net of rebates and liquidity payments issued to PDF Contract Traders. We consider the transaction price to be the net transaction fee received from IFUS and ICUS or paid to IFUS and ICUS.</w:t>
      </w:r>
    </w:p>
    <w:p>
      <w:pPr>
        <w:spacing w:after="0" w:line="159" w:lineRule="exact"/>
        <w:rPr>
          <w:sz w:val="20"/>
          <w:szCs w:val="20"/>
          <w:color w:val="auto"/>
        </w:rPr>
      </w:pPr>
    </w:p>
    <w:p>
      <w:pPr>
        <w:ind w:left="4" w:right="140"/>
        <w:spacing w:after="0" w:line="261" w:lineRule="auto"/>
        <w:rPr>
          <w:sz w:val="20"/>
          <w:szCs w:val="20"/>
          <w:color w:val="auto"/>
        </w:rPr>
      </w:pPr>
      <w:r>
        <w:rPr>
          <w:rFonts w:ascii="Arial" w:cs="Arial" w:eastAsia="Arial" w:hAnsi="Arial"/>
          <w:sz w:val="17"/>
          <w:szCs w:val="17"/>
          <w:color w:val="auto"/>
        </w:rPr>
        <w:t>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us. To the extent the rebates issued to PDF Contract Traders exceed the transaction fees collected by</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484"/>
          </w:cols>
          <w:pgMar w:left="696" w:top="263" w:right="719" w:bottom="1440" w:gutter="0" w:footer="0" w:header="0"/>
        </w:sectPr>
      </w:pPr>
    </w:p>
    <w:bookmarkStart w:id="60" w:name="page61"/>
    <w:bookmarkEnd w:id="60"/>
    <w:p>
      <w:pPr>
        <w:ind w:right="8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IFUS and ICUS, we pay IFUS and ICUS for the difference between the rebate amounts and the collected transaction fees. We do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us to estimate these at a given reporting period date.</w:t>
      </w:r>
    </w:p>
    <w:p>
      <w:pPr>
        <w:spacing w:after="0" w:line="165" w:lineRule="exact"/>
        <w:rPr>
          <w:sz w:val="20"/>
          <w:szCs w:val="20"/>
          <w:color w:val="auto"/>
        </w:rPr>
      </w:pPr>
    </w:p>
    <w:p>
      <w:pPr>
        <w:ind w:right="900"/>
        <w:spacing w:after="0" w:line="278" w:lineRule="auto"/>
        <w:rPr>
          <w:sz w:val="20"/>
          <w:szCs w:val="20"/>
          <w:color w:val="auto"/>
        </w:rPr>
      </w:pPr>
      <w:r>
        <w:rPr>
          <w:rFonts w:ascii="Arial" w:cs="Arial" w:eastAsia="Arial" w:hAnsi="Arial"/>
          <w:sz w:val="17"/>
          <w:szCs w:val="17"/>
          <w:color w:val="auto"/>
        </w:rPr>
        <w:t>We also recognize a capital contribution for the cost of the trading and clearing services provided by IFUS and ICUS in connection with the Contribution Agreement, which reduces the revenue recognized as part of the net transaction fee.</w:t>
      </w:r>
    </w:p>
    <w:p>
      <w:pPr>
        <w:spacing w:after="0" w:line="16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 of the Unaudited Third Quarter 2021 Financials.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Custody</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We provide a bitcoin custody solution institutions and certain high net worth individuals. For PDF Contract Traders with custody accounts related to PDF Contracts, we do not charge a fee specifically for the custody service. For customers using custody services on a standalone basis, we charge a fee, which is generally based on a fixed fee and represents fixed consideration. We invoice customers on a quarterly basis. Our performance obligation related to the storage and custody of a customer’s bitcoin represents an obligation to provide custody services for digital assets. Bitcoin held in a custodial capacity on behalf of our customers is not included in our consolidated balance sheet, as we do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56" w:lineRule="exact"/>
        <w:rPr>
          <w:sz w:val="20"/>
          <w:szCs w:val="20"/>
          <w:color w:val="auto"/>
        </w:rPr>
      </w:pPr>
    </w:p>
    <w:p>
      <w:pPr>
        <w:jc w:val="both"/>
        <w:ind w:right="24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“Net revenues” in the consolidated statements of operations and comprehensive loss.</w:t>
      </w:r>
    </w:p>
    <w:p>
      <w:pPr>
        <w:spacing w:after="0" w:line="159" w:lineRule="exact"/>
        <w:rPr>
          <w:sz w:val="20"/>
          <w:szCs w:val="20"/>
          <w:color w:val="auto"/>
        </w:rPr>
      </w:pPr>
    </w:p>
    <w:p>
      <w:pPr>
        <w:ind w:right="520"/>
        <w:spacing w:after="0" w:line="278" w:lineRule="auto"/>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 of the Unaudited Third Quarter 2021 Financials..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 related to our loyalty redemption platform consist of two performance obligations: (1) access to our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“Net revenues” in the consolidated statements of operations and comprehensive loss and include the following:</w:t>
      </w:r>
    </w:p>
    <w:p>
      <w:pPr>
        <w:spacing w:after="0" w:line="66" w:lineRule="exact"/>
        <w:rPr>
          <w:sz w:val="20"/>
          <w:szCs w:val="20"/>
          <w:color w:val="auto"/>
        </w:rPr>
      </w:pPr>
    </w:p>
    <w:p>
      <w:pPr>
        <w:ind w:left="920" w:right="80" w:hanging="410"/>
        <w:spacing w:after="0" w:line="261"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480"/>
          </w:cols>
          <w:pgMar w:left="700" w:top="269" w:right="719" w:bottom="1440" w:gutter="0" w:footer="0" w:header="0"/>
        </w:sectPr>
      </w:pPr>
    </w:p>
    <w:bookmarkStart w:id="61" w:name="page62"/>
    <w:bookmarkEnd w:id="61"/>
    <w:p>
      <w:pPr>
        <w:ind w:left="920" w:right="40" w:hanging="410"/>
        <w:spacing w:after="0" w:line="289"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920" w:right="160" w:hanging="410"/>
        <w:spacing w:after="0" w:line="265"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w:t>
      </w:r>
    </w:p>
    <w:p>
      <w:pPr>
        <w:spacing w:after="0" w:line="85" w:lineRule="exact"/>
        <w:rPr>
          <w:rFonts w:ascii="Arial" w:cs="Arial" w:eastAsia="Arial" w:hAnsi="Arial"/>
          <w:sz w:val="17"/>
          <w:szCs w:val="17"/>
          <w:color w:val="auto"/>
        </w:rPr>
      </w:pPr>
    </w:p>
    <w:p>
      <w:pPr>
        <w:ind w:left="920" w:hanging="410"/>
        <w:spacing w:after="0" w:line="277"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w:t>
      </w:r>
    </w:p>
    <w:p>
      <w:pPr>
        <w:spacing w:after="0" w:line="16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Revenue from our loyalty redemption platform is included in “Transaction revenue, net” and “Subscription and services revenue” in the disaggregation of revenue table in Note 3 of the Unaudited Third Quarter 2021 Financials.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February 2020, we entered into a Strategic Alliance Agreement with Starbucks to develop and operate a mechanism whereby a Starbucks customer can purchase food and beverage items from Starbucks using our digital wallet related to our alternative payment method offering.</w:t>
      </w:r>
    </w:p>
    <w:p>
      <w:pPr>
        <w:spacing w:after="0" w:line="14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 xml:space="preserve">In conjunction with this agreement, we issued Starbucks a warrant to purchase 15 million Class B voting units. We account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We recognize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 These reductions to revenue are included within “Transaction revenue, net” in the disaggregation of revenue table in Note 3 of the Unaudited Third Quarter 2021 Financials.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cryptocurrency</w:t>
      </w:r>
    </w:p>
    <w:p>
      <w:pPr>
        <w:spacing w:after="0" w:line="113"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As part of our operation of the Bakkt Marketplace platform, we transact in bitcoin with consumers. Consumer bitcoin transactions were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Additionally, as part of the Company’s operation of the Bakkt Marketplace platform, we transact in bitcoin with our trading partners in order to adjust our bitcoin inventory based on actual consumer activity to maintain an inventory based on our inventory policy. Transactions in bitcoin with our trading partners in the normal course of business were not material for the three and nine months ended September 30, 2021. There were no transactions in bitcoin with our trading partners in the normal course of business for the three and nine months ended September 30, 2020.</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maintain an inventory reserve of bitcoin to facilitate consumer transactions if needed. We may adjust our inventory reserve levels under our inventory policy. Sales of bitcoin resulting from inventory reserve adjustments is not part of our normal course of business. Accordingly, proceeds from the sale of bitcoin outside of the normal course of business is included in “other income (expense), net,” net of the cost of bitcoin sold, in the consolidated statements of operation and comprehensive loss.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460"/>
          </w:cols>
          <w:pgMar w:left="700" w:top="269" w:right="739" w:bottom="1440" w:gutter="0" w:footer="0" w:header="0"/>
        </w:sectPr>
      </w:pPr>
    </w:p>
    <w:bookmarkStart w:id="62" w:name="page63"/>
    <w:bookmarkEnd w:id="62"/>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Practical expedients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920" w:hanging="410"/>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920" w:hanging="410"/>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920" w:right="360" w:hanging="410"/>
        <w:spacing w:after="0" w:line="278"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920" w:right="120" w:hanging="410"/>
        <w:spacing w:after="0" w:line="289"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Deferred revenue includes amounts invoiced prior to our meeting the criteria for revenue recognition. We typically invoice customers for subscription fees in arrears on a monthly basis.</w:t>
      </w:r>
    </w:p>
    <w:p>
      <w:pPr>
        <w:spacing w:after="0" w:line="16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invoice customers for service fees at the time the service is performed, and such fees are recognized as revenue over time as we satisfy our performance obligation. The portion of deferred revenue to be recognized in the succeeding twelve-month period is recorded as non-current deferred revenue, and the remaining portion is recorded as current deferred revenue. We have determined that these arrangements do not contain a significant financing component, and therefore the transaction price is not adjusted.</w:t>
      </w:r>
    </w:p>
    <w:p>
      <w:pPr>
        <w:spacing w:after="0" w:line="179" w:lineRule="exact"/>
        <w:rPr>
          <w:sz w:val="20"/>
          <w:szCs w:val="20"/>
          <w:color w:val="auto"/>
        </w:rPr>
      </w:pPr>
    </w:p>
    <w:p>
      <w:pPr>
        <w:jc w:val="both"/>
        <w:ind w:right="32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140"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amount of revenue recognized for the year ended December 31, 2020 from the opening deferred revenue balance as of the date of acquisition of Bridge2 Solutions was $11,005,000. We did not have any deferred revenue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Equipment and Software, Net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Property, equipment and software are stated at cost, less accumulated depreciation and amortization.</w:t>
      </w:r>
    </w:p>
    <w:p>
      <w:pPr>
        <w:spacing w:after="0" w:line="2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capitalize costs related to software we develop or obtain for internal use and are included in “Property, equipment and software, net” on the accompanying balance sheet.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320"/>
          </w:cols>
          <w:pgMar w:left="700" w:top="269" w:right="87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Depreciation and amortization are computed using the straight-line method over the following estimated useful lives of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Estimated Useful</w:t>
            </w:r>
          </w:p>
        </w:tc>
        <w:tc>
          <w:tcPr>
            <w:tcW w:w="0" w:type="dxa"/>
            <w:vAlign w:val="bottom"/>
          </w:tcPr>
          <w:p>
            <w:pPr>
              <w:spacing w:after="0"/>
              <w:rPr>
                <w:sz w:val="1"/>
                <w:szCs w:val="1"/>
                <w:color w:val="auto"/>
              </w:rPr>
            </w:pPr>
          </w:p>
        </w:tc>
      </w:tr>
      <w:tr>
        <w:trPr>
          <w:trHeight w:val="164"/>
        </w:trPr>
        <w:tc>
          <w:tcPr>
            <w:tcW w:w="5460" w:type="dxa"/>
            <w:vAlign w:val="bottom"/>
            <w:vMerge w:val="restart"/>
          </w:tcPr>
          <w:p>
            <w:pPr>
              <w:spacing w:after="0"/>
              <w:rPr>
                <w:sz w:val="20"/>
                <w:szCs w:val="20"/>
                <w:color w:val="auto"/>
              </w:rPr>
            </w:pPr>
            <w:r>
              <w:rPr>
                <w:rFonts w:ascii="Arial" w:cs="Arial" w:eastAsia="Arial" w:hAnsi="Arial"/>
                <w:sz w:val="17"/>
                <w:szCs w:val="17"/>
                <w:color w:val="auto"/>
              </w:rPr>
              <w:t>Internal use software</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9"/>
        </w:trPr>
        <w:tc>
          <w:tcPr>
            <w:tcW w:w="5460" w:type="dxa"/>
            <w:vAlign w:val="bottom"/>
            <w:vMerge w:val="continue"/>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7"/>
                <w:szCs w:val="17"/>
                <w:color w:val="auto"/>
                <w:w w:val="90"/>
              </w:rPr>
              <w:t>3-7 years</w:t>
            </w:r>
          </w:p>
        </w:tc>
        <w:tc>
          <w:tcPr>
            <w:tcW w:w="0" w:type="dxa"/>
            <w:vAlign w:val="bottom"/>
          </w:tcPr>
          <w:p>
            <w:pPr>
              <w:spacing w:after="0"/>
              <w:rPr>
                <w:sz w:val="1"/>
                <w:szCs w:val="1"/>
                <w:color w:val="auto"/>
              </w:rPr>
            </w:pPr>
          </w:p>
        </w:tc>
      </w:tr>
      <w:tr>
        <w:trPr>
          <w:trHeight w:val="206"/>
        </w:trPr>
        <w:tc>
          <w:tcPr>
            <w:tcW w:w="5460" w:type="dxa"/>
            <w:vAlign w:val="bottom"/>
          </w:tcPr>
          <w:p>
            <w:pPr>
              <w:spacing w:after="0"/>
              <w:rPr>
                <w:sz w:val="20"/>
                <w:szCs w:val="20"/>
                <w:color w:val="auto"/>
              </w:rPr>
            </w:pPr>
            <w:r>
              <w:rPr>
                <w:rFonts w:ascii="Arial" w:cs="Arial" w:eastAsia="Arial" w:hAnsi="Arial"/>
                <w:sz w:val="17"/>
                <w:szCs w:val="17"/>
                <w:color w:val="auto"/>
              </w:rPr>
              <w:t>Purchased software</w:t>
            </w:r>
          </w:p>
        </w:tc>
        <w:tc>
          <w:tcPr>
            <w:tcW w:w="5040" w:type="dxa"/>
            <w:vAlign w:val="bottom"/>
          </w:tcPr>
          <w:p>
            <w:pPr>
              <w:jc w:val="center"/>
              <w:spacing w:after="0"/>
              <w:rPr>
                <w:sz w:val="20"/>
                <w:szCs w:val="20"/>
                <w:color w:val="auto"/>
              </w:rPr>
            </w:pPr>
            <w:r>
              <w:rPr>
                <w:rFonts w:ascii="Arial" w:cs="Arial" w:eastAsia="Arial" w:hAnsi="Arial"/>
                <w:sz w:val="17"/>
                <w:szCs w:val="17"/>
                <w:color w:val="auto"/>
                <w:w w:val="86"/>
              </w:rPr>
              <w:t>3 years</w:t>
            </w:r>
          </w:p>
        </w:tc>
        <w:tc>
          <w:tcPr>
            <w:tcW w:w="0" w:type="dxa"/>
            <w:vAlign w:val="bottom"/>
          </w:tcPr>
          <w:p>
            <w:pPr>
              <w:spacing w:after="0"/>
              <w:rPr>
                <w:sz w:val="1"/>
                <w:szCs w:val="1"/>
                <w:color w:val="auto"/>
              </w:rPr>
            </w:pPr>
          </w:p>
        </w:tc>
      </w:tr>
      <w:tr>
        <w:trPr>
          <w:trHeight w:val="206"/>
        </w:trPr>
        <w:tc>
          <w:tcPr>
            <w:tcW w:w="5460" w:type="dxa"/>
            <w:vAlign w:val="bottom"/>
          </w:tcPr>
          <w:p>
            <w:pPr>
              <w:spacing w:after="0"/>
              <w:rPr>
                <w:sz w:val="20"/>
                <w:szCs w:val="20"/>
                <w:color w:val="auto"/>
              </w:rPr>
            </w:pPr>
            <w:r>
              <w:rPr>
                <w:rFonts w:ascii="Arial" w:cs="Arial" w:eastAsia="Arial" w:hAnsi="Arial"/>
                <w:sz w:val="17"/>
                <w:szCs w:val="17"/>
                <w:color w:val="auto"/>
              </w:rPr>
              <w:t>Assets under finance lease</w:t>
            </w:r>
          </w:p>
        </w:tc>
        <w:tc>
          <w:tcPr>
            <w:tcW w:w="5040" w:type="dxa"/>
            <w:vAlign w:val="bottom"/>
          </w:tcPr>
          <w:p>
            <w:pPr>
              <w:jc w:val="center"/>
              <w:spacing w:after="0"/>
              <w:rPr>
                <w:sz w:val="20"/>
                <w:szCs w:val="20"/>
                <w:color w:val="auto"/>
              </w:rPr>
            </w:pPr>
            <w:r>
              <w:rPr>
                <w:rFonts w:ascii="Arial" w:cs="Arial" w:eastAsia="Arial" w:hAnsi="Arial"/>
                <w:sz w:val="17"/>
                <w:szCs w:val="17"/>
                <w:color w:val="auto"/>
                <w:w w:val="90"/>
              </w:rPr>
              <w:t>2-5 years</w:t>
            </w:r>
          </w:p>
        </w:tc>
        <w:tc>
          <w:tcPr>
            <w:tcW w:w="0" w:type="dxa"/>
            <w:vAlign w:val="bottom"/>
          </w:tcPr>
          <w:p>
            <w:pPr>
              <w:spacing w:after="0"/>
              <w:rPr>
                <w:sz w:val="1"/>
                <w:szCs w:val="1"/>
                <w:color w:val="auto"/>
              </w:rPr>
            </w:pPr>
          </w:p>
        </w:tc>
      </w:tr>
      <w:tr>
        <w:trPr>
          <w:trHeight w:val="206"/>
        </w:trPr>
        <w:tc>
          <w:tcPr>
            <w:tcW w:w="546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5040" w:type="dxa"/>
            <w:vAlign w:val="bottom"/>
          </w:tcPr>
          <w:p>
            <w:pPr>
              <w:jc w:val="center"/>
              <w:spacing w:after="0"/>
              <w:rPr>
                <w:sz w:val="20"/>
                <w:szCs w:val="20"/>
                <w:color w:val="auto"/>
              </w:rPr>
            </w:pPr>
            <w:r>
              <w:rPr>
                <w:rFonts w:ascii="Arial" w:cs="Arial" w:eastAsia="Arial" w:hAnsi="Arial"/>
                <w:sz w:val="17"/>
                <w:szCs w:val="17"/>
                <w:color w:val="auto"/>
                <w:w w:val="89"/>
              </w:rPr>
              <w:t>7-10 years</w:t>
            </w:r>
          </w:p>
        </w:tc>
        <w:tc>
          <w:tcPr>
            <w:tcW w:w="0" w:type="dxa"/>
            <w:vAlign w:val="bottom"/>
          </w:tcPr>
          <w:p>
            <w:pPr>
              <w:spacing w:after="0"/>
              <w:rPr>
                <w:sz w:val="1"/>
                <w:szCs w:val="1"/>
                <w:color w:val="auto"/>
              </w:rPr>
            </w:pPr>
          </w:p>
        </w:tc>
      </w:tr>
      <w:tr>
        <w:trPr>
          <w:trHeight w:val="206"/>
        </w:trPr>
        <w:tc>
          <w:tcPr>
            <w:tcW w:w="54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040" w:type="dxa"/>
            <w:vAlign w:val="bottom"/>
          </w:tcPr>
          <w:p>
            <w:pPr>
              <w:jc w:val="center"/>
              <w:spacing w:after="0"/>
              <w:rPr>
                <w:sz w:val="20"/>
                <w:szCs w:val="20"/>
                <w:color w:val="auto"/>
              </w:rPr>
            </w:pPr>
            <w:r>
              <w:rPr>
                <w:rFonts w:ascii="Arial" w:cs="Arial" w:eastAsia="Arial" w:hAnsi="Arial"/>
                <w:sz w:val="17"/>
                <w:szCs w:val="17"/>
                <w:color w:val="auto"/>
                <w:w w:val="86"/>
              </w:rPr>
              <w:t>7 years</w:t>
            </w: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5040" w:type="dxa"/>
            <w:vAlign w:val="bottom"/>
          </w:tcPr>
          <w:p>
            <w:pPr>
              <w:jc w:val="center"/>
              <w:spacing w:after="0"/>
              <w:rPr>
                <w:sz w:val="20"/>
                <w:szCs w:val="20"/>
                <w:color w:val="auto"/>
              </w:rPr>
            </w:pPr>
            <w:r>
              <w:rPr>
                <w:rFonts w:ascii="Arial" w:cs="Arial" w:eastAsia="Arial" w:hAnsi="Arial"/>
                <w:sz w:val="17"/>
                <w:szCs w:val="17"/>
                <w:color w:val="auto"/>
                <w:w w:val="86"/>
              </w:rPr>
              <w:t>3 years</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did not record any impairment charges for the three and nine months ended September 30, 2021. We recorded $2.5 million impairment charges and $3.8 million related to long-lived assets for the three and nine months ended September 30, 2020, respectively. We recorded impairment charges of $15.3 million and no impairment charges related to long-lived assets for the years ended December 31, 2020 and December 31, 2019,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Unit-Based Compensation</w:t>
      </w:r>
    </w:p>
    <w:p>
      <w:pPr>
        <w:spacing w:after="0" w:line="11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Share-based payments to employees, which consist of incentive units and phantom units (“participation” units), are measured at fair value on the date of grant and recognized as expense in “Compensation and benefits”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w:t>
      </w:r>
    </w:p>
    <w:p>
      <w:pPr>
        <w:spacing w:after="0" w:line="16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Bakkt Plan and individual award agreements. A portion of the units may be subject to vesting upon a liquidity event, initial public offering, or partial exit event, as defined in the Bakkt Plan, or to the extent any incentive units and participation units remain outstanding and unvested on the date that is the eight-year anniversary of the launch of one of our services in a production environment, which occurred on September 23, 2019, these remaining units will vest based on the calculated fair market value, as defined in the Third Amended and Restated LLC Agreement of Opco, as of such date.</w:t>
      </w:r>
    </w:p>
    <w:p>
      <w:pPr>
        <w:spacing w:after="0" w:line="17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incentive units include certain put features; as such, we classify the incentive units as “Mezzanine equity” in the accompanying consolidated balance sheets due to the put option which represents a redemption feature. The incentive units will not be subject to remeasurement until exercise of the put option becomes probable.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We base our estimates and assumptions on various judgments that we believe to be reasonable under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500"/>
          </w:cols>
          <w:pgMar w:left="700" w:top="269" w:right="699" w:bottom="1440" w:gutter="0" w:footer="0" w:header="0"/>
        </w:sectPr>
      </w:pPr>
    </w:p>
    <w:bookmarkStart w:id="64" w:name="page65"/>
    <w:bookmarkEnd w:id="64"/>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circumstances. The significant estimates and assumptions that affect our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our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11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Recently issued and adopted accounting pronouncements are described in Note 2 to the Unaudited Third Quarter 2021 Financials and the Audited 2020 Financials.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400"/>
          </w:cols>
          <w:pgMar w:left="700" w:top="269" w:right="79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u w:val="single" w:color="auto"/>
          <w:color w:val="auto"/>
        </w:rPr>
        <w:t>Exhibit 99.3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COMBINED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19"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The unaudited pro forma condensed combined financial information is prepared in accordance with Article 11 of Regulation S-X. The unaudited pro forma condensed combined financial information presents the pro forma effects of the following transactions:</w:t>
      </w:r>
    </w:p>
    <w:p>
      <w:pPr>
        <w:spacing w:after="0" w:line="69" w:lineRule="exact"/>
        <w:rPr>
          <w:sz w:val="20"/>
          <w:szCs w:val="20"/>
          <w:color w:val="auto"/>
        </w:rPr>
      </w:pPr>
    </w:p>
    <w:p>
      <w:pPr>
        <w:ind w:left="920" w:right="340" w:hanging="410"/>
        <w:spacing w:after="0" w:line="281"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acquisition of Bakkt Opco Holdings, LLC (f/k/a Bakkt Holdings, LLC “</w:t>
      </w:r>
      <w:r>
        <w:rPr>
          <w:rFonts w:ascii="Arial" w:cs="Arial" w:eastAsia="Arial" w:hAnsi="Arial"/>
          <w:sz w:val="16"/>
          <w:szCs w:val="16"/>
          <w:b w:val="1"/>
          <w:bCs w:val="1"/>
          <w:color w:val="auto"/>
        </w:rPr>
        <w:t>Opco</w:t>
      </w:r>
      <w:r>
        <w:rPr>
          <w:rFonts w:ascii="Arial" w:cs="Arial" w:eastAsia="Arial" w:hAnsi="Arial"/>
          <w:sz w:val="16"/>
          <w:szCs w:val="16"/>
          <w:color w:val="auto"/>
        </w:rPr>
        <w:t>”) by Bakkt Holdings, Inc. (f/k/a VPC Impact Acquisition Holdings, the “</w:t>
      </w:r>
      <w:r>
        <w:rPr>
          <w:rFonts w:ascii="Arial" w:cs="Arial" w:eastAsia="Arial" w:hAnsi="Arial"/>
          <w:sz w:val="16"/>
          <w:szCs w:val="16"/>
          <w:b w:val="1"/>
          <w:bCs w:val="1"/>
          <w:color w:val="auto"/>
        </w:rPr>
        <w:t>Company</w:t>
      </w:r>
      <w:r>
        <w:rPr>
          <w:rFonts w:ascii="Arial" w:cs="Arial" w:eastAsia="Arial" w:hAnsi="Arial"/>
          <w:sz w:val="16"/>
          <w:szCs w:val="16"/>
          <w:color w:val="auto"/>
        </w:rPr>
        <w:t>”) on October 15, 2021, which resulted in the reorganization of the Company into an umbrella partnership C corporation structure (“</w:t>
      </w:r>
      <w:r>
        <w:rPr>
          <w:rFonts w:ascii="Arial" w:cs="Arial" w:eastAsia="Arial" w:hAnsi="Arial"/>
          <w:sz w:val="16"/>
          <w:szCs w:val="16"/>
          <w:b w:val="1"/>
          <w:bCs w:val="1"/>
          <w:color w:val="auto"/>
        </w:rPr>
        <w:t>Up-C</w:t>
      </w:r>
      <w:r>
        <w:rPr>
          <w:rFonts w:ascii="Arial" w:cs="Arial" w:eastAsia="Arial" w:hAnsi="Arial"/>
          <w:sz w:val="16"/>
          <w:szCs w:val="16"/>
          <w:color w:val="auto"/>
        </w:rPr>
        <w:t>”), and the related entrance into other agreements entered into as part of the Agreement and Plan of Merger, dated as of January 11, 2021 (as amended,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the Company, Pylon Merger Company LLC (“</w:t>
      </w:r>
      <w:r>
        <w:rPr>
          <w:rFonts w:ascii="Arial" w:cs="Arial" w:eastAsia="Arial" w:hAnsi="Arial"/>
          <w:sz w:val="16"/>
          <w:szCs w:val="16"/>
          <w:b w:val="1"/>
          <w:bCs w:val="1"/>
          <w:color w:val="auto"/>
        </w:rPr>
        <w:t>Merger Sub</w:t>
      </w:r>
      <w:r>
        <w:rPr>
          <w:rFonts w:ascii="Arial" w:cs="Arial" w:eastAsia="Arial" w:hAnsi="Arial"/>
          <w:sz w:val="16"/>
          <w:szCs w:val="16"/>
          <w:color w:val="auto"/>
        </w:rPr>
        <w:t>”) and Opco (collectively,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and</w:t>
      </w:r>
    </w:p>
    <w:p>
      <w:pPr>
        <w:spacing w:after="0" w:line="67" w:lineRule="exact"/>
        <w:rPr>
          <w:rFonts w:ascii="Arial" w:cs="Arial" w:eastAsia="Arial" w:hAnsi="Arial"/>
          <w:sz w:val="16"/>
          <w:szCs w:val="16"/>
          <w:color w:val="auto"/>
        </w:rPr>
      </w:pPr>
    </w:p>
    <w:p>
      <w:pPr>
        <w:ind w:left="920" w:right="160" w:hanging="410"/>
        <w:spacing w:after="0" w:line="261"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acquisition of Bridge2 Solutions, LLC and its related companies (“</w:t>
      </w:r>
      <w:r>
        <w:rPr>
          <w:rFonts w:ascii="Arial" w:cs="Arial" w:eastAsia="Arial" w:hAnsi="Arial"/>
          <w:sz w:val="17"/>
          <w:szCs w:val="17"/>
          <w:b w:val="1"/>
          <w:bCs w:val="1"/>
          <w:color w:val="auto"/>
        </w:rPr>
        <w:t>Bridge2 Solutions</w:t>
      </w:r>
      <w:r>
        <w:rPr>
          <w:rFonts w:ascii="Arial" w:cs="Arial" w:eastAsia="Arial" w:hAnsi="Arial"/>
          <w:sz w:val="17"/>
          <w:szCs w:val="17"/>
          <w:color w:val="auto"/>
        </w:rPr>
        <w:t>”) by Intercontinental Exchange Holdings, Inc. (“</w:t>
      </w:r>
      <w:r>
        <w:rPr>
          <w:rFonts w:ascii="Arial" w:cs="Arial" w:eastAsia="Arial" w:hAnsi="Arial"/>
          <w:sz w:val="17"/>
          <w:szCs w:val="17"/>
          <w:b w:val="1"/>
          <w:bCs w:val="1"/>
          <w:color w:val="auto"/>
        </w:rPr>
        <w:t>ICEH</w:t>
      </w:r>
      <w:r>
        <w:rPr>
          <w:rFonts w:ascii="Arial" w:cs="Arial" w:eastAsia="Arial" w:hAnsi="Arial"/>
          <w:sz w:val="17"/>
          <w:szCs w:val="17"/>
          <w:color w:val="auto"/>
        </w:rPr>
        <w:t>”) on February 21, 2020 and the subsequent contribution of substantially all of the assets and liabilities of Bridge2 Solutions to Opco at a value of approximately $261 million on March 12, 2020 (the “</w:t>
      </w:r>
      <w:r>
        <w:rPr>
          <w:rFonts w:ascii="Arial" w:cs="Arial" w:eastAsia="Arial" w:hAnsi="Arial"/>
          <w:sz w:val="17"/>
          <w:szCs w:val="17"/>
          <w:b w:val="1"/>
          <w:bCs w:val="1"/>
          <w:color w:val="auto"/>
        </w:rPr>
        <w:t>B2S Acquisition</w:t>
      </w:r>
      <w:r>
        <w:rPr>
          <w:rFonts w:ascii="Arial" w:cs="Arial" w:eastAsia="Arial" w:hAnsi="Arial"/>
          <w:sz w:val="17"/>
          <w:szCs w:val="17"/>
          <w:color w:val="auto"/>
        </w:rPr>
        <w:t>”), which Opco accounted for as a common control transaction under ASC 805, as Bridge2 Solutions was owned by ICEH, the entity that controlled Opco, prior to its combination with Opco.</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a blank check company incorporated on July 31, 2020 (“inception”) as a Cayman Islands exempted company for the purpose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effecting a merger, share exchange, asset acquisition, share purchase, reorganization or similar business combination with one or more businesses. 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August 3, 2020, VPC Impact Acquisition Holdings Sponsor, LLC, a Delaware limited liability company (the “</w:t>
      </w:r>
      <w:r>
        <w:rPr>
          <w:rFonts w:ascii="Arial" w:cs="Arial" w:eastAsia="Arial" w:hAnsi="Arial"/>
          <w:sz w:val="16"/>
          <w:szCs w:val="16"/>
          <w:b w:val="1"/>
          <w:bCs w:val="1"/>
          <w:color w:val="auto"/>
        </w:rPr>
        <w:t>Sponsor</w:t>
      </w:r>
      <w:r>
        <w:rPr>
          <w:rFonts w:ascii="Arial" w:cs="Arial" w:eastAsia="Arial" w:hAnsi="Arial"/>
          <w:sz w:val="16"/>
          <w:szCs w:val="16"/>
          <w:color w:val="auto"/>
        </w:rPr>
        <w:t>”), paid approximately $0.004</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per share, for an aggregate price of $25,000 to cover certain offering and formation costs of the Company in consideration for 5,750,000 Class B</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 (the “</w:t>
      </w:r>
      <w:r>
        <w:rPr>
          <w:rFonts w:ascii="Arial" w:cs="Arial" w:eastAsia="Arial" w:hAnsi="Arial"/>
          <w:sz w:val="15"/>
          <w:szCs w:val="15"/>
          <w:b w:val="1"/>
          <w:bCs w:val="1"/>
          <w:color w:val="auto"/>
        </w:rPr>
        <w:t>Founder Shares</w:t>
      </w:r>
      <w:r>
        <w:rPr>
          <w:rFonts w:ascii="Arial" w:cs="Arial" w:eastAsia="Arial" w:hAnsi="Arial"/>
          <w:sz w:val="15"/>
          <w:szCs w:val="15"/>
          <w:color w:val="auto"/>
        </w:rPr>
        <w:t>”). In September 2020, the Sponsor transferred an aggregate of 60,000 Founder Shares to the then members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of the Company (the “</w:t>
      </w:r>
      <w:r>
        <w:rPr>
          <w:rFonts w:ascii="Arial" w:cs="Arial" w:eastAsia="Arial" w:hAnsi="Arial"/>
          <w:sz w:val="15"/>
          <w:szCs w:val="15"/>
          <w:b w:val="1"/>
          <w:bCs w:val="1"/>
          <w:color w:val="auto"/>
        </w:rPr>
        <w:t>Board</w:t>
      </w:r>
      <w:r>
        <w:rPr>
          <w:rFonts w:ascii="Arial" w:cs="Arial" w:eastAsia="Arial" w:hAnsi="Arial"/>
          <w:sz w:val="15"/>
          <w:szCs w:val="15"/>
          <w:color w:val="auto"/>
        </w:rPr>
        <w:t>”), resulting in the Sponsor holding an aggregate of 5,690,000 Founder Shares. On September 25,</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2020, the Company consummated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of 20,000,000 of its units (each a “</w:t>
      </w:r>
      <w:r>
        <w:rPr>
          <w:rFonts w:ascii="Arial" w:cs="Arial" w:eastAsia="Arial" w:hAnsi="Arial"/>
          <w:sz w:val="16"/>
          <w:szCs w:val="16"/>
          <w:b w:val="1"/>
          <w:bCs w:val="1"/>
          <w:color w:val="auto"/>
        </w:rPr>
        <w:t>Unit</w:t>
      </w:r>
      <w:r>
        <w:rPr>
          <w:rFonts w:ascii="Arial" w:cs="Arial" w:eastAsia="Arial" w:hAnsi="Arial"/>
          <w:sz w:val="16"/>
          <w:szCs w:val="16"/>
          <w:color w:val="auto"/>
        </w:rPr>
        <w:t>” and collectively, the “</w:t>
      </w:r>
      <w:r>
        <w:rPr>
          <w:rFonts w:ascii="Arial" w:cs="Arial" w:eastAsia="Arial" w:hAnsi="Arial"/>
          <w:sz w:val="16"/>
          <w:szCs w:val="16"/>
          <w:b w:val="1"/>
          <w:bCs w:val="1"/>
          <w:color w:val="auto"/>
        </w:rPr>
        <w:t>Units</w:t>
      </w:r>
      <w:r>
        <w:rPr>
          <w:rFonts w:ascii="Arial" w:cs="Arial" w:eastAsia="Arial" w:hAnsi="Arial"/>
          <w:sz w:val="16"/>
          <w:szCs w:val="16"/>
          <w:color w:val="auto"/>
        </w:rPr>
        <w:t>”), with</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each Unit consisting of one Class A Ordinary Share, par value $0.0001 per share, of the Company (each a “</w:t>
      </w:r>
      <w:r>
        <w:rPr>
          <w:rFonts w:ascii="Arial" w:cs="Arial" w:eastAsia="Arial" w:hAnsi="Arial"/>
          <w:sz w:val="15"/>
          <w:szCs w:val="15"/>
          <w:b w:val="1"/>
          <w:bCs w:val="1"/>
          <w:color w:val="auto"/>
        </w:rPr>
        <w:t>Class A Ordinary Share</w:t>
      </w:r>
      <w:r>
        <w:rPr>
          <w:rFonts w:ascii="Arial" w:cs="Arial" w:eastAsia="Arial" w:hAnsi="Arial"/>
          <w:sz w:val="15"/>
          <w:szCs w:val="15"/>
          <w:color w:val="auto"/>
        </w:rPr>
        <w:t>”) and one-half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one warrant, with each such whole warrant (a “</w:t>
      </w:r>
      <w:r>
        <w:rPr>
          <w:rFonts w:ascii="Arial" w:cs="Arial" w:eastAsia="Arial" w:hAnsi="Arial"/>
          <w:sz w:val="16"/>
          <w:szCs w:val="16"/>
          <w:b w:val="1"/>
          <w:bCs w:val="1"/>
          <w:color w:val="auto"/>
        </w:rPr>
        <w:t>Public Warrant</w:t>
      </w:r>
      <w:r>
        <w:rPr>
          <w:rFonts w:ascii="Arial" w:cs="Arial" w:eastAsia="Arial" w:hAnsi="Arial"/>
          <w:sz w:val="16"/>
          <w:szCs w:val="16"/>
          <w:color w:val="auto"/>
        </w:rPr>
        <w:t>”), entitling the holder thereof to purchase one Class A Ordinary Share for $11.50 per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share. The Units were sold at a price of $10.00 per Unit, generating gross proceeds to the Company of $200,000,000. The underwriters in the IPO, 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October 1, 2020, partially exercised their over-allotment option and purchased 737,202 Units, generating gross proceeds of $7,372,020. As a result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over-allotment not being exercised in full, the Sponsor forfeited 565,700 Founder Shares back to the Company, resulting the Company having an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aggregate of 5,184,300 Founder Shares issued and outstanding. In addition, the Company completed the sale of 6,147,440 warrants at a price of $1.00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per warrant in a private placement to the Sponsor (the “</w:t>
      </w:r>
      <w:r>
        <w:rPr>
          <w:rFonts w:ascii="Arial" w:cs="Arial" w:eastAsia="Arial" w:hAnsi="Arial"/>
          <w:sz w:val="17"/>
          <w:szCs w:val="17"/>
          <w:b w:val="1"/>
          <w:bCs w:val="1"/>
          <w:color w:val="auto"/>
        </w:rPr>
        <w:t>Private Placement Warrants</w:t>
      </w:r>
      <w:r>
        <w:rPr>
          <w:rFonts w:ascii="Arial" w:cs="Arial" w:eastAsia="Arial" w:hAnsi="Arial"/>
          <w:sz w:val="17"/>
          <w:szCs w:val="17"/>
          <w:color w:val="auto"/>
        </w:rPr>
        <w:t>”), generating gross proceeds of $6,147,440. A total of</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$207,372,020 of the net proceeds from the IPO and the Private Placement Warrants were deposited in a trust account established at the consummation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IPO (the “</w:t>
      </w:r>
      <w:r>
        <w:rPr>
          <w:rFonts w:ascii="Arial" w:cs="Arial" w:eastAsia="Arial" w:hAnsi="Arial"/>
          <w:sz w:val="16"/>
          <w:szCs w:val="16"/>
          <w:b w:val="1"/>
          <w:bCs w:val="1"/>
          <w:color w:val="auto"/>
        </w:rPr>
        <w:t>Trust Account</w:t>
      </w:r>
      <w:r>
        <w:rPr>
          <w:rFonts w:ascii="Arial" w:cs="Arial" w:eastAsia="Arial" w:hAnsi="Arial"/>
          <w:sz w:val="16"/>
          <w:szCs w:val="16"/>
          <w:color w:val="auto"/>
        </w:rPr>
        <w:t>”) for the benefit of the holders of Class A Ordinary Shares sold in the IPO (such Class A Ordinary Shares, the “</w:t>
      </w:r>
      <w:r>
        <w:rPr>
          <w:rFonts w:ascii="Arial" w:cs="Arial" w:eastAsia="Arial" w:hAnsi="Arial"/>
          <w:sz w:val="16"/>
          <w:szCs w:val="16"/>
          <w:b w:val="1"/>
          <w:bCs w:val="1"/>
          <w:color w:val="auto"/>
        </w:rPr>
        <w:t>Public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and, such holders, the “</w:t>
      </w:r>
      <w:r>
        <w:rPr>
          <w:rFonts w:ascii="Arial" w:cs="Arial" w:eastAsia="Arial" w:hAnsi="Arial"/>
          <w:sz w:val="16"/>
          <w:szCs w:val="16"/>
          <w:b w:val="1"/>
          <w:bCs w:val="1"/>
          <w:color w:val="auto"/>
        </w:rPr>
        <w:t>Public Shareholders</w:t>
      </w:r>
      <w:r>
        <w:rPr>
          <w:rFonts w:ascii="Arial" w:cs="Arial" w:eastAsia="Arial" w:hAnsi="Arial"/>
          <w:sz w:val="16"/>
          <w:szCs w:val="16"/>
          <w:color w:val="auto"/>
        </w:rPr>
        <w:t>”) and the remaining proceeds became available to be used to provide for business, legal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accounting due diligence on prospective business combinations and continuing general and administrative expenses. The net proceeds deposited into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Trust Account remained on deposit in the Trust Account earning interest except those certain amounts withdrawn in order to pay tax obligations.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Closing, there was approximately $207.4 million held in the Trust Account.</w:t>
      </w:r>
    </w:p>
    <w:p>
      <w:pPr>
        <w:spacing w:after="0" w:line="205"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Opco is a digital asset platform that enables consumers to buy, sell, store and spend digital assets. Opco’s consumer platform, now available through the recently released app and to partners through its Bakkt platform, amplifies consumer spending and bolsters loyalty programs, adding value for all key stakeholders within the Bakkt payments and digital assets ecosystem. Launched in 2018, Opco is headquartered in Alpharetta, GA. On February 21, 2020, Opco consummated the B2S Acquisition in order to expand Opco’s loyalty conversion offerings within Opco’s digital asset marketplace.</w:t>
      </w:r>
    </w:p>
    <w:p>
      <w:pPr>
        <w:sectPr>
          <w:pgSz w:w="11900" w:h="16838" w:orient="portrait"/>
          <w:cols w:equalWidth="0" w:num="1">
            <w:col w:w="10500"/>
          </w:cols>
          <w:pgMar w:left="700" w:top="121" w:right="699" w:bottom="1440" w:gutter="0" w:footer="0" w:header="0"/>
        </w:sectPr>
      </w:pPr>
    </w:p>
    <w:bookmarkStart w:id="66" w:name="page67"/>
    <w:bookmarkEnd w:id="66"/>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organizational structure following the completion of the Business Combination, as described above, is commonly referred to as an Up-C structure in which substantially all of the assets and the business of the Company are held by Opco and its subsidiaries, and the Company’s only direct assets consist of common units in Opco (“</w:t>
      </w:r>
      <w:r>
        <w:rPr>
          <w:rFonts w:ascii="Arial" w:cs="Arial" w:eastAsia="Arial" w:hAnsi="Arial"/>
          <w:sz w:val="15"/>
          <w:szCs w:val="15"/>
          <w:b w:val="1"/>
          <w:bCs w:val="1"/>
          <w:color w:val="auto"/>
        </w:rPr>
        <w:t>Opco Common Units</w:t>
      </w:r>
      <w:r>
        <w:rPr>
          <w:rFonts w:ascii="Arial" w:cs="Arial" w:eastAsia="Arial" w:hAnsi="Arial"/>
          <w:sz w:val="15"/>
          <w:szCs w:val="15"/>
          <w:color w:val="auto"/>
        </w:rPr>
        <w:t>”), which are non-voting interests in Opco, and the managing member interest in Opco. This organizational structure allows the former equity owners of Opco (each an “</w:t>
      </w:r>
      <w:r>
        <w:rPr>
          <w:rFonts w:ascii="Arial" w:cs="Arial" w:eastAsia="Arial" w:hAnsi="Arial"/>
          <w:sz w:val="15"/>
          <w:szCs w:val="15"/>
          <w:b w:val="1"/>
          <w:bCs w:val="1"/>
          <w:color w:val="auto"/>
        </w:rPr>
        <w:t>Equity Holder</w:t>
      </w:r>
      <w:r>
        <w:rPr>
          <w:rFonts w:ascii="Arial" w:cs="Arial" w:eastAsia="Arial" w:hAnsi="Arial"/>
          <w:sz w:val="15"/>
          <w:szCs w:val="15"/>
          <w:color w:val="auto"/>
        </w:rPr>
        <w:t>”) to retain their equity ownership in Opco, which is an entity that is classified as a partnership for U.S. federal income tax purposes. Those investors who, prior to the Business Combination, held Class A Ordinary Shares or Class B Ordinary Shares of the Company (“</w:t>
      </w:r>
      <w:r>
        <w:rPr>
          <w:rFonts w:ascii="Arial" w:cs="Arial" w:eastAsia="Arial" w:hAnsi="Arial"/>
          <w:sz w:val="15"/>
          <w:szCs w:val="15"/>
          <w:b w:val="1"/>
          <w:bCs w:val="1"/>
          <w:color w:val="auto"/>
        </w:rPr>
        <w:t>Class B Ordinary Shares</w:t>
      </w:r>
      <w:r>
        <w:rPr>
          <w:rFonts w:ascii="Arial" w:cs="Arial" w:eastAsia="Arial" w:hAnsi="Arial"/>
          <w:sz w:val="15"/>
          <w:szCs w:val="15"/>
          <w:color w:val="auto"/>
        </w:rPr>
        <w:t>”), by contrast, continue to hold their equity ownership in the Company, which is a domestic corporation for U.S. federal income tax purposes. The Company believes that it is advantageous for the Equity Holders to continue to hold their equity interests in an entity that is not taxable as a corporation for U.S. federal income tax purposes.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that the Up-C organizational structure gives rise to any significant business or strategic benefit or detriment.</w:t>
      </w:r>
    </w:p>
    <w:p>
      <w:pPr>
        <w:spacing w:after="0" w:line="21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unaudited pro forma condensed combined financial information is based upon, and should be read in conjunction with, the historical financial statements and related notes of the Company and Opco. The pro forma financial statements have been presented for information purposes only and are not necessarily indicative of what the Company’s balance sheet or statement of operations actually would have been had the Business Combination or B2S Acquisition been completed as of the dates indicated, nor do they purport to project the future financial position or operating results of the Company.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B2S Acquisition.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unaudited pro forma condensed combined balance sheet combines Opco’s unaudited historical consolidated balance sheet as of September 30, 2021 and the Company’s unaudited historical consolidated balance sheet as of September 30, 2021, giving effect to the Business Combination as if it had been consummated on September 30, 2021. The unaudited pro forma condensed combined statements of operations for the nine months ended September 30, 2021 and for the year ended December 31, 2020 give pro forma effect of the Business Combination and B2S Acquisition as if each had been consummated on January 1, 2020.</w:t>
      </w:r>
    </w:p>
    <w:p>
      <w:pPr>
        <w:spacing w:after="0" w:line="18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refer to the unaudited pro forma condensed combined balance sheet and the unaudited pro forma condensed combined statement of operations as the “pro forma financial statements.”</w:t>
      </w:r>
    </w:p>
    <w:p>
      <w:pPr>
        <w:spacing w:after="0" w:line="159" w:lineRule="exact"/>
        <w:rPr>
          <w:sz w:val="20"/>
          <w:szCs w:val="20"/>
          <w:color w:val="auto"/>
        </w:rPr>
      </w:pPr>
    </w:p>
    <w:p>
      <w:pPr>
        <w:ind w:right="300"/>
        <w:spacing w:after="0" w:line="309" w:lineRule="auto"/>
        <w:rPr>
          <w:sz w:val="20"/>
          <w:szCs w:val="20"/>
          <w:color w:val="auto"/>
        </w:rPr>
      </w:pPr>
      <w:r>
        <w:rPr>
          <w:rFonts w:ascii="Arial" w:cs="Arial" w:eastAsia="Arial" w:hAnsi="Arial"/>
          <w:sz w:val="15"/>
          <w:szCs w:val="15"/>
          <w:color w:val="auto"/>
        </w:rPr>
        <w:t>The pro forma financial statements were prepared using the acquisition method of accounting under the provisions of ASC 805 (“</w:t>
      </w:r>
      <w:r>
        <w:rPr>
          <w:rFonts w:ascii="Arial" w:cs="Arial" w:eastAsia="Arial" w:hAnsi="Arial"/>
          <w:sz w:val="15"/>
          <w:szCs w:val="15"/>
          <w:b w:val="1"/>
          <w:bCs w:val="1"/>
          <w:color w:val="auto"/>
        </w:rPr>
        <w:t>ASC 805</w:t>
      </w:r>
      <w:r>
        <w:rPr>
          <w:rFonts w:ascii="Arial" w:cs="Arial" w:eastAsia="Arial" w:hAnsi="Arial"/>
          <w:sz w:val="15"/>
          <w:szCs w:val="15"/>
          <w:color w:val="auto"/>
        </w:rPr>
        <w:t>”) on the basis of the Company as the accounting acquirer and Opco as the accounting acquiree. The ultimate determination of the accounting acquirer is a qualitative and quantitative assessment that requires careful consideration, of which the final determination will occur after the consummation of the Business Combination. The Company has been determined to be the accounting acquirer based on evaluation of the following factors:</w:t>
      </w:r>
    </w:p>
    <w:p>
      <w:pPr>
        <w:spacing w:after="0" w:line="57" w:lineRule="exact"/>
        <w:rPr>
          <w:sz w:val="20"/>
          <w:szCs w:val="20"/>
          <w:color w:val="auto"/>
        </w:rPr>
      </w:pPr>
    </w:p>
    <w:p>
      <w:pPr>
        <w:ind w:left="920" w:right="280" w:hanging="410"/>
        <w:spacing w:after="0" w:line="311"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is the sole managing member of Opco, the managing member has full and complete charge of all affairs of Opco and the existing non-managing member equity holders of Opco do not have substantive participating or kick out rights;</w:t>
      </w:r>
    </w:p>
    <w:p>
      <w:pPr>
        <w:spacing w:after="0" w:line="50" w:lineRule="exact"/>
        <w:rPr>
          <w:rFonts w:ascii="Arial" w:cs="Arial" w:eastAsia="Arial" w:hAnsi="Arial"/>
          <w:sz w:val="16"/>
          <w:szCs w:val="16"/>
          <w:color w:val="auto"/>
        </w:rPr>
      </w:pPr>
    </w:p>
    <w:p>
      <w:pPr>
        <w:ind w:left="920" w:hanging="410"/>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Sponsor and Opco jointly designated six of the initial eight members of the Board; and</w:t>
      </w:r>
    </w:p>
    <w:p>
      <w:pPr>
        <w:spacing w:after="0" w:line="126" w:lineRule="exact"/>
        <w:rPr>
          <w:rFonts w:ascii="Arial" w:cs="Arial" w:eastAsia="Arial" w:hAnsi="Arial"/>
          <w:sz w:val="17"/>
          <w:szCs w:val="17"/>
          <w:color w:val="auto"/>
        </w:rPr>
      </w:pPr>
    </w:p>
    <w:p>
      <w:pPr>
        <w:ind w:left="920" w:right="180" w:hanging="410"/>
        <w:spacing w:after="0" w:line="259"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Equity Holders do not hold a controlling interest in the Company or Opco due to (1) the limitation imposed by the Voting Agreement entered into between the Company and ICEH at Closing on ICEH and its affiliates’ voting power to 30% of the total voting power of all shares of the Company’s Class A Common Stock, par value $0.0001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and the Company’s Class V Common Stock, par value $0.0001 per share (“</w:t>
      </w:r>
      <w:r>
        <w:rPr>
          <w:rFonts w:ascii="Arial" w:cs="Arial" w:eastAsia="Arial" w:hAnsi="Arial"/>
          <w:sz w:val="17"/>
          <w:szCs w:val="17"/>
          <w:b w:val="1"/>
          <w:bCs w:val="1"/>
          <w:color w:val="auto"/>
        </w:rPr>
        <w:t>Class V Common Stock</w:t>
      </w:r>
      <w:r>
        <w:rPr>
          <w:rFonts w:ascii="Arial" w:cs="Arial" w:eastAsia="Arial" w:hAnsi="Arial"/>
          <w:sz w:val="17"/>
          <w:szCs w:val="17"/>
          <w:color w:val="auto"/>
        </w:rPr>
        <w:t>,” together with the Class A Common Stock,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that are issued and outstanding and entitled to vote as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0"/>
          </w:cols>
          <w:pgMar w:left="700" w:top="269" w:right="719" w:bottom="1440" w:gutter="0" w:footer="0" w:header="0"/>
        </w:sectPr>
      </w:pPr>
    </w:p>
    <w:bookmarkStart w:id="67" w:name="page68"/>
    <w:bookmarkEnd w:id="67"/>
    <w:p>
      <w:pPr>
        <w:jc w:val="both"/>
        <w:ind w:left="944" w:right="2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relevant record date so long as it owns shares of Common Stock representing more than 50% of the total voting power of the Company, and (2) ICEH and its affiliates do not unilaterally control the Board, as only one out of the eight members of the Board is affiliated with ICEH, and the majority of the Board are independent directors not affiliated with ICEH.</w:t>
      </w:r>
    </w:p>
    <w:p>
      <w:pPr>
        <w:spacing w:after="0" w:line="176" w:lineRule="exact"/>
        <w:rPr>
          <w:sz w:val="20"/>
          <w:szCs w:val="20"/>
          <w:color w:val="auto"/>
        </w:rPr>
      </w:pPr>
    </w:p>
    <w:p>
      <w:pPr>
        <w:ind w:left="4" w:right="140"/>
        <w:spacing w:after="0" w:line="295" w:lineRule="auto"/>
        <w:rPr>
          <w:sz w:val="20"/>
          <w:szCs w:val="20"/>
          <w:color w:val="auto"/>
        </w:rPr>
      </w:pPr>
      <w:r>
        <w:rPr>
          <w:rFonts w:ascii="Arial" w:cs="Arial" w:eastAsia="Arial" w:hAnsi="Arial"/>
          <w:sz w:val="15"/>
          <w:szCs w:val="15"/>
          <w:color w:val="auto"/>
        </w:rPr>
        <w:t>The factors discussed above support the conclusion that the Company acquired a controlling interest in Opco and is the accounting acquirer. The Company is the primary beneficiary of Opco, which is a variable interest entity, since it has the power to direct the activities of Opco that most significantly impact Opco’s economic performance through the Company’s role as the managing member, and its ownership of Opco, which results in the right (and obligation) to receive benefits (and absorb losses) of Opco that could potentially be significant to the Company. Therefore, the Business Combination constituted a change in control and was accounted for using the acquisition method. Under the acquisition method of accounting, the purchase price is allocated to the tangible and identifiable intangible assets acquired and liabilities assumed of Opco, based on their estimated acquisition-date fair values. These estimates are determined through established and generally accepted valuation techniques. Estimated transaction costs incurred are expensed in the pro forma condensed combined statements of operation as if the Closing occurred on January 1, 2020.</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summarizes the pro forma ownership of Class A Common Stock following the Closing:</w:t>
      </w:r>
    </w:p>
    <w:p>
      <w:pPr>
        <w:spacing w:after="0" w:line="232" w:lineRule="exact"/>
        <w:rPr>
          <w:sz w:val="20"/>
          <w:szCs w:val="20"/>
          <w:color w:val="auto"/>
        </w:rPr>
      </w:pPr>
    </w:p>
    <w:tbl>
      <w:tblPr>
        <w:tblLayout w:type="fixed"/>
        <w:tblInd w:w="1264" w:type="dxa"/>
        <w:tblCellMar>
          <w:top w:w="0" w:type="dxa"/>
          <w:left w:w="0" w:type="dxa"/>
          <w:bottom w:w="0" w:type="dxa"/>
          <w:right w:w="0" w:type="dxa"/>
        </w:tblCellMar>
      </w:tblPr>
      <w:tr>
        <w:trPr>
          <w:trHeight w:val="184"/>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w w:val="89"/>
              </w:rPr>
              <w:t>Equity Capitalization Summary (shares in millions)</w:t>
            </w:r>
          </w:p>
        </w:tc>
        <w:tc>
          <w:tcPr>
            <w:tcW w:w="37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30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Public Shareholders</w:t>
            </w:r>
            <w:r>
              <w:rPr>
                <w:rFonts w:ascii="Arial" w:cs="Arial" w:eastAsia="Arial" w:hAnsi="Arial"/>
                <w:sz w:val="14"/>
                <w:szCs w:val="14"/>
                <w:color w:val="auto"/>
              </w:rPr>
              <w:t>(1)</w:t>
            </w:r>
          </w:p>
        </w:tc>
        <w:tc>
          <w:tcPr>
            <w:tcW w:w="37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12.3</w:t>
            </w: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24.6</w:t>
            </w:r>
          </w:p>
        </w:tc>
        <w:tc>
          <w:tcPr>
            <w:tcW w:w="60" w:type="dxa"/>
            <w:vAlign w:val="bottom"/>
            <w:tcBorders>
              <w:top w:val="single" w:sz="8" w:color="CCEEFF"/>
            </w:tcBorders>
            <w:shd w:val="clear" w:color="auto" w:fill="CCEEF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Founder Shares</w:t>
            </w:r>
            <w:r>
              <w:rPr>
                <w:rFonts w:ascii="Arial" w:cs="Arial" w:eastAsia="Arial" w:hAnsi="Arial"/>
                <w:sz w:val="14"/>
                <w:szCs w:val="14"/>
                <w:color w:val="auto"/>
              </w:rPr>
              <w:t>(2)</w:t>
            </w:r>
          </w:p>
        </w:tc>
        <w:tc>
          <w:tcPr>
            <w:tcW w:w="4460" w:type="dxa"/>
            <w:vAlign w:val="bottom"/>
            <w:gridSpan w:val="3"/>
          </w:tcPr>
          <w:p>
            <w:pPr>
              <w:jc w:val="right"/>
              <w:ind w:right="280"/>
              <w:spacing w:after="0"/>
              <w:rPr>
                <w:sz w:val="20"/>
                <w:szCs w:val="20"/>
                <w:color w:val="auto"/>
              </w:rPr>
            </w:pPr>
            <w:r>
              <w:rPr>
                <w:rFonts w:ascii="Arial" w:cs="Arial" w:eastAsia="Arial" w:hAnsi="Arial"/>
                <w:sz w:val="17"/>
                <w:szCs w:val="17"/>
                <w:color w:val="auto"/>
              </w:rPr>
              <w:t>5.2</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10.4</w:t>
            </w:r>
          </w:p>
        </w:tc>
      </w:tr>
      <w:tr>
        <w:trPr>
          <w:trHeight w:val="206"/>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PIPE Investors</w:t>
            </w:r>
            <w:r>
              <w:rPr>
                <w:rFonts w:ascii="Arial" w:cs="Arial" w:eastAsia="Arial" w:hAnsi="Arial"/>
                <w:sz w:val="14"/>
                <w:szCs w:val="14"/>
                <w:color w:val="auto"/>
              </w:rPr>
              <w:t>(3)</w:t>
            </w:r>
          </w:p>
        </w:tc>
        <w:tc>
          <w:tcPr>
            <w:tcW w:w="44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32.5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65.0</w:t>
            </w: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w w:val="95"/>
              </w:rPr>
              <w:t>Equity Holders interest in the Company</w:t>
            </w:r>
            <w:r>
              <w:rPr>
                <w:rFonts w:ascii="Arial" w:cs="Arial" w:eastAsia="Arial" w:hAnsi="Arial"/>
                <w:sz w:val="14"/>
                <w:szCs w:val="14"/>
                <w:color w:val="auto"/>
                <w:w w:val="95"/>
              </w:rPr>
              <w:t>(4)</w:t>
            </w:r>
          </w:p>
        </w:tc>
        <w:tc>
          <w:tcPr>
            <w:tcW w:w="37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Class A common stock</w:t>
            </w:r>
          </w:p>
        </w:tc>
        <w:tc>
          <w:tcPr>
            <w:tcW w:w="44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50.0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100.0</w:t>
            </w:r>
          </w:p>
        </w:tc>
      </w:tr>
    </w:tbl>
    <w:p>
      <w:pPr>
        <w:spacing w:after="0" w:line="219" w:lineRule="exact"/>
        <w:rPr>
          <w:sz w:val="20"/>
          <w:szCs w:val="20"/>
          <w:color w:val="auto"/>
        </w:rPr>
      </w:pPr>
    </w:p>
    <w:p>
      <w:pPr>
        <w:ind w:left="404" w:right="100" w:hanging="404"/>
        <w:spacing w:after="0" w:line="259" w:lineRule="auto"/>
        <w:tabs>
          <w:tab w:leader="none" w:pos="4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Reflects 8,452,042 Public Shares that were redeemed by shareholders for $84.5 million at approximately $10.01 per share in connection with the Business Combination.</w:t>
      </w:r>
    </w:p>
    <w:p>
      <w:pPr>
        <w:ind w:left="404" w:right="660" w:hanging="404"/>
        <w:spacing w:after="0" w:line="252" w:lineRule="auto"/>
        <w:tabs>
          <w:tab w:leader="none" w:pos="4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5,184,300 shares of Class A Common Stock issued upon the automatic conversion of the existing Class B Ordinary Shares in connection with the closing of the Business Combination.</w:t>
      </w:r>
    </w:p>
    <w:p>
      <w:pPr>
        <w:spacing w:after="0" w:line="1" w:lineRule="exact"/>
        <w:rPr>
          <w:rFonts w:ascii="Arial" w:cs="Arial" w:eastAsia="Arial" w:hAnsi="Arial"/>
          <w:sz w:val="17"/>
          <w:szCs w:val="17"/>
          <w:color w:val="auto"/>
        </w:rPr>
      </w:pPr>
    </w:p>
    <w:p>
      <w:pPr>
        <w:ind w:left="404" w:hanging="404"/>
        <w:spacing w:after="0" w:line="265" w:lineRule="auto"/>
        <w:tabs>
          <w:tab w:leader="none" w:pos="4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32,500,000 shares of Class A Common Stock purchased by certain investors (the “</w:t>
      </w:r>
      <w:r>
        <w:rPr>
          <w:rFonts w:ascii="Arial" w:cs="Arial" w:eastAsia="Arial" w:hAnsi="Arial"/>
          <w:sz w:val="17"/>
          <w:szCs w:val="17"/>
          <w:b w:val="1"/>
          <w:bCs w:val="1"/>
          <w:color w:val="auto"/>
        </w:rPr>
        <w:t>PIPE Investors</w:t>
      </w:r>
      <w:r>
        <w:rPr>
          <w:rFonts w:ascii="Arial" w:cs="Arial" w:eastAsia="Arial" w:hAnsi="Arial"/>
          <w:sz w:val="17"/>
          <w:szCs w:val="17"/>
          <w:color w:val="auto"/>
        </w:rPr>
        <w:t>”) at a price of $10.00 per share in a private placement that closed in connection with the closing of the Business Combination (the “</w:t>
      </w:r>
      <w:r>
        <w:rPr>
          <w:rFonts w:ascii="Arial" w:cs="Arial" w:eastAsia="Arial" w:hAnsi="Arial"/>
          <w:sz w:val="17"/>
          <w:szCs w:val="17"/>
          <w:b w:val="1"/>
          <w:bCs w:val="1"/>
          <w:color w:val="auto"/>
        </w:rPr>
        <w:t>PIPE Investment</w:t>
      </w:r>
      <w:r>
        <w:rPr>
          <w:rFonts w:ascii="Arial" w:cs="Arial" w:eastAsia="Arial" w:hAnsi="Arial"/>
          <w:sz w:val="17"/>
          <w:szCs w:val="17"/>
          <w:color w:val="auto"/>
        </w:rPr>
        <w:t>”).</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44"/>
          </w:cols>
          <w:pgMar w:left="696" w:top="269" w:right="759" w:bottom="1440" w:gutter="0" w:footer="0" w:header="0"/>
        </w:sectPr>
      </w:pPr>
    </w:p>
    <w:bookmarkStart w:id="68" w:name="page69"/>
    <w:bookmarkEnd w:id="68"/>
    <w:p>
      <w:pPr>
        <w:ind w:left="404" w:right="340" w:hanging="404"/>
        <w:spacing w:after="0" w:line="261" w:lineRule="auto"/>
        <w:tabs>
          <w:tab w:leader="none" w:pos="404"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The Equity Capitalization Summary table excludes Equity Holders’ noncontrolling economic interest in Opco Common Units, which is exchangeable (together with the cancellation of an equal number of shares of voting, non-economic Class V Common Stock) into Class A Common Stock on a 1-for-1 basis subject to certain exceptions. The table below presents the Opco Common Units and noncontrolling interest percentage:</w:t>
      </w:r>
    </w:p>
    <w:p>
      <w:pPr>
        <w:spacing w:after="0" w:line="194" w:lineRule="exact"/>
        <w:rPr>
          <w:sz w:val="20"/>
          <w:szCs w:val="20"/>
          <w:color w:val="auto"/>
        </w:rPr>
      </w:pPr>
    </w:p>
    <w:tbl>
      <w:tblPr>
        <w:tblLayout w:type="fixed"/>
        <w:tblInd w:w="1264" w:type="dxa"/>
        <w:tblCellMar>
          <w:top w:w="0" w:type="dxa"/>
          <w:left w:w="0" w:type="dxa"/>
          <w:bottom w:w="0" w:type="dxa"/>
          <w:right w:w="0" w:type="dxa"/>
        </w:tblCellMar>
      </w:tblPr>
      <w:tr>
        <w:trPr>
          <w:trHeight w:val="164"/>
        </w:trPr>
        <w:tc>
          <w:tcPr>
            <w:tcW w:w="67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Shares</w:t>
            </w:r>
            <w:r>
              <w:rPr>
                <w:rFonts w:ascii="Arial" w:cs="Arial" w:eastAsia="Arial" w:hAnsi="Arial"/>
                <w:sz w:val="11"/>
                <w:szCs w:val="11"/>
                <w:b w:val="1"/>
                <w:bCs w:val="1"/>
                <w:color w:val="auto"/>
                <w:w w:val="86"/>
              </w:rPr>
              <w:t>(1)</w:t>
            </w:r>
          </w:p>
        </w:tc>
        <w:tc>
          <w:tcPr>
            <w:tcW w:w="360" w:type="dxa"/>
            <w:vAlign w:val="bottom"/>
          </w:tcPr>
          <w:p>
            <w:pPr>
              <w:jc w:val="right"/>
              <w:ind w:right="4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9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Equity Holders’ noncontrolling interest (shares in millions)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19" w:lineRule="exact"/>
        <w:rPr>
          <w:sz w:val="20"/>
          <w:szCs w:val="20"/>
          <w:color w:val="auto"/>
        </w:rPr>
      </w:pPr>
    </w:p>
    <w:p>
      <w:pPr>
        <w:ind w:left="404" w:hanging="404"/>
        <w:spacing w:after="0" w:line="259" w:lineRule="auto"/>
        <w:tabs>
          <w:tab w:leader="none" w:pos="404" w:val="left"/>
        </w:tabs>
        <w:numPr>
          <w:ilvl w:val="0"/>
          <w:numId w:val="29"/>
        </w:numPr>
        <w:rPr>
          <w:rFonts w:ascii="Arial" w:cs="Arial" w:eastAsia="Arial" w:hAnsi="Arial"/>
          <w:sz w:val="15"/>
          <w:szCs w:val="15"/>
          <w:color w:val="auto"/>
        </w:rPr>
      </w:pPr>
      <w:r>
        <w:rPr>
          <w:rFonts w:ascii="Arial" w:cs="Arial" w:eastAsia="Arial" w:hAnsi="Arial"/>
          <w:sz w:val="17"/>
          <w:szCs w:val="17"/>
          <w:color w:val="auto"/>
        </w:rPr>
        <w:t>Represents the 208.2 million Opco Common Units issued to Equity Holders, net of 8.7 million common incentive units or preferred incentive units issued by Opco to its management, subject to the terms and conditions of the Bakkt Holdings, LLC Amended and Restated Bakkt Equity Incentive Plan (the “</w:t>
      </w:r>
      <w:r>
        <w:rPr>
          <w:rFonts w:ascii="Arial" w:cs="Arial" w:eastAsia="Arial" w:hAnsi="Arial"/>
          <w:sz w:val="17"/>
          <w:szCs w:val="17"/>
          <w:b w:val="1"/>
          <w:bCs w:val="1"/>
          <w:color w:val="auto"/>
        </w:rPr>
        <w:t>Opco Incentive Units</w:t>
      </w:r>
      <w:r>
        <w:rPr>
          <w:rFonts w:ascii="Arial" w:cs="Arial" w:eastAsia="Arial" w:hAnsi="Arial"/>
          <w:sz w:val="17"/>
          <w:szCs w:val="17"/>
          <w:color w:val="auto"/>
        </w:rPr>
        <w:t>” and the “</w:t>
      </w:r>
      <w:r>
        <w:rPr>
          <w:rFonts w:ascii="Arial" w:cs="Arial" w:eastAsia="Arial" w:hAnsi="Arial"/>
          <w:sz w:val="17"/>
          <w:szCs w:val="17"/>
          <w:b w:val="1"/>
          <w:bCs w:val="1"/>
          <w:color w:val="auto"/>
        </w:rPr>
        <w:t>Opco Plan</w:t>
      </w:r>
      <w:r>
        <w:rPr>
          <w:rFonts w:ascii="Arial" w:cs="Arial" w:eastAsia="Arial" w:hAnsi="Arial"/>
          <w:sz w:val="17"/>
          <w:szCs w:val="17"/>
          <w:color w:val="auto"/>
        </w:rPr>
        <w:t>,” respectively), which vest on each of the first and second anniversaries of the effective time of the Closing, and 0.8 million units issuable upon the exercise of the warrant issued to a minority investor to purchase a certain number of Opco’s Class C voting units (the “</w:t>
      </w:r>
      <w:r>
        <w:rPr>
          <w:rFonts w:ascii="Arial" w:cs="Arial" w:eastAsia="Arial" w:hAnsi="Arial"/>
          <w:sz w:val="17"/>
          <w:szCs w:val="17"/>
          <w:b w:val="1"/>
          <w:bCs w:val="1"/>
          <w:color w:val="auto"/>
        </w:rPr>
        <w:t>Opco Warrant</w:t>
      </w:r>
      <w:r>
        <w:rPr>
          <w:rFonts w:ascii="Arial" w:cs="Arial" w:eastAsia="Arial" w:hAnsi="Arial"/>
          <w:sz w:val="17"/>
          <w:szCs w:val="17"/>
          <w:color w:val="auto"/>
        </w:rPr>
        <w:t>”).</w:t>
      </w:r>
    </w:p>
    <w:p>
      <w:pPr>
        <w:spacing w:after="0" w:line="180" w:lineRule="exact"/>
        <w:rPr>
          <w:sz w:val="20"/>
          <w:szCs w:val="20"/>
          <w:color w:val="auto"/>
        </w:rPr>
      </w:pPr>
    </w:p>
    <w:p>
      <w:pPr>
        <w:ind w:left="4" w:right="120"/>
        <w:spacing w:after="0" w:line="257" w:lineRule="auto"/>
        <w:rPr>
          <w:sz w:val="20"/>
          <w:szCs w:val="20"/>
          <w:color w:val="auto"/>
        </w:rPr>
      </w:pPr>
      <w:r>
        <w:rPr>
          <w:rFonts w:ascii="Arial" w:cs="Arial" w:eastAsia="Arial" w:hAnsi="Arial"/>
          <w:sz w:val="17"/>
          <w:szCs w:val="17"/>
          <w:color w:val="auto"/>
        </w:rPr>
        <w:t>The following unaudited pro forma condensed combined balance sheet as of September 30, 2021 and the unaudited pro forma condensed combined statements of operations for the year ended December 31, 2020 and for the nine months ended September 30, 2021 are based on the historical financial statements of the Company, Opco and Bridge2 Solutions, each as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4"/>
          </w:cols>
          <w:pgMar w:left="696" w:top="269" w:right="69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Unaudited Pro Forma Condensed Combined Balance Sheet as of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Historical Financials</w:t>
            </w:r>
          </w:p>
        </w:tc>
        <w:tc>
          <w:tcPr>
            <w:tcW w:w="140" w:type="dxa"/>
            <w:vAlign w:val="bottom"/>
          </w:tcPr>
          <w:p>
            <w:pPr>
              <w:spacing w:after="0"/>
              <w:rPr>
                <w:sz w:val="14"/>
                <w:szCs w:val="14"/>
                <w:color w:val="auto"/>
              </w:rPr>
            </w:pPr>
          </w:p>
        </w:tc>
        <w:tc>
          <w:tcPr>
            <w:tcW w:w="10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Transaction</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right"/>
              <w:ind w:right="520"/>
              <w:spacing w:after="0" w:line="112" w:lineRule="exact"/>
              <w:rPr>
                <w:sz w:val="20"/>
                <w:szCs w:val="20"/>
                <w:color w:val="auto"/>
              </w:rPr>
            </w:pPr>
            <w:r>
              <w:rPr>
                <w:rFonts w:ascii="Arial" w:cs="Arial" w:eastAsia="Arial" w:hAnsi="Arial"/>
                <w:sz w:val="11"/>
                <w:szCs w:val="11"/>
                <w:b w:val="1"/>
                <w:bCs w:val="1"/>
                <w:color w:val="auto"/>
              </w:rPr>
              <w:t>Company</w:t>
            </w: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215"/>
              <w:spacing w:after="0" w:line="112" w:lineRule="exact"/>
              <w:rPr>
                <w:sz w:val="20"/>
                <w:szCs w:val="20"/>
                <w:color w:val="auto"/>
              </w:rPr>
            </w:pPr>
            <w:r>
              <w:rPr>
                <w:rFonts w:ascii="Arial" w:cs="Arial" w:eastAsia="Arial" w:hAnsi="Arial"/>
                <w:sz w:val="11"/>
                <w:szCs w:val="11"/>
                <w:b w:val="1"/>
                <w:bCs w:val="1"/>
                <w:color w:val="auto"/>
              </w:rPr>
              <w:t>Opco</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60" w:type="dxa"/>
            <w:vAlign w:val="bottom"/>
          </w:tcPr>
          <w:p>
            <w:pPr>
              <w:spacing w:after="0"/>
              <w:rPr>
                <w:sz w:val="12"/>
                <w:szCs w:val="12"/>
                <w:color w:val="auto"/>
              </w:rPr>
            </w:pPr>
          </w:p>
        </w:tc>
        <w:tc>
          <w:tcPr>
            <w:tcW w:w="12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as of</w:t>
            </w:r>
          </w:p>
        </w:tc>
        <w:tc>
          <w:tcPr>
            <w:tcW w:w="116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(Historical as of</w:t>
            </w:r>
          </w:p>
        </w:tc>
        <w:tc>
          <w:tcPr>
            <w:tcW w:w="140" w:type="dxa"/>
            <w:vAlign w:val="bottom"/>
          </w:tcPr>
          <w:p>
            <w:pPr>
              <w:spacing w:after="0"/>
              <w:rPr>
                <w:sz w:val="12"/>
                <w:szCs w:val="12"/>
                <w:color w:val="auto"/>
              </w:rPr>
            </w:pPr>
          </w:p>
        </w:tc>
        <w:tc>
          <w:tcPr>
            <w:tcW w:w="1000" w:type="dxa"/>
            <w:vAlign w:val="bottom"/>
            <w:gridSpan w:val="3"/>
          </w:tcPr>
          <w:p>
            <w:pPr>
              <w:jc w:val="right"/>
              <w:ind w:right="280"/>
              <w:spacing w:after="0" w:line="141" w:lineRule="exact"/>
              <w:rPr>
                <w:sz w:val="20"/>
                <w:szCs w:val="20"/>
                <w:color w:val="auto"/>
              </w:rPr>
            </w:pPr>
            <w:r>
              <w:rPr>
                <w:rFonts w:ascii="Arial" w:cs="Arial" w:eastAsia="Arial" w:hAnsi="Arial"/>
                <w:sz w:val="14"/>
                <w:szCs w:val="14"/>
                <w:b w:val="1"/>
                <w:bCs w:val="1"/>
                <w:color w:val="auto"/>
                <w:w w:val="90"/>
              </w:rPr>
              <w:t>Accounting</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9/30/21)</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9/30/21)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A</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Restricted cash</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Customer funds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2"/>
        </w:trPr>
        <w:tc>
          <w:tcPr>
            <w:tcW w:w="4480" w:type="dxa"/>
            <w:vAlign w:val="bottom"/>
          </w:tcPr>
          <w:p>
            <w:pPr>
              <w:ind w:left="340"/>
              <w:spacing w:after="0"/>
              <w:rPr>
                <w:sz w:val="20"/>
                <w:szCs w:val="20"/>
                <w:color w:val="auto"/>
              </w:rPr>
            </w:pPr>
            <w:r>
              <w:rPr>
                <w:rFonts w:ascii="Arial" w:cs="Arial" w:eastAsia="Arial" w:hAnsi="Arial"/>
                <w:sz w:val="17"/>
                <w:szCs w:val="17"/>
                <w:b w:val="1"/>
                <w:bCs w:val="1"/>
                <w:color w:val="auto"/>
              </w:rPr>
              <w:t>Current assets</w:t>
            </w:r>
          </w:p>
        </w:tc>
        <w:tc>
          <w:tcPr>
            <w:tcW w:w="1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390.0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Cash and investments held in Trust Account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207.4</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(207.4)</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B</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Property, equipment and software, net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1,119.0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C</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1,352.4</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Intangible assets, net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57.3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517.3</w:t>
            </w:r>
          </w:p>
        </w:tc>
        <w:tc>
          <w:tcPr>
            <w:tcW w:w="240" w:type="dxa"/>
            <w:vAlign w:val="bottom"/>
          </w:tcPr>
          <w:p>
            <w:pPr>
              <w:spacing w:after="0"/>
              <w:rPr>
                <w:sz w:val="17"/>
                <w:szCs w:val="17"/>
                <w:color w:val="auto"/>
              </w:rPr>
            </w:pPr>
          </w:p>
        </w:tc>
        <w:tc>
          <w:tcPr>
            <w:tcW w:w="480" w:type="dxa"/>
            <w:vAlign w:val="bottom"/>
          </w:tcPr>
          <w:p>
            <w:pPr>
              <w:jc w:val="right"/>
              <w:ind w:right="74"/>
              <w:spacing w:after="0"/>
              <w:rPr>
                <w:sz w:val="20"/>
                <w:szCs w:val="20"/>
                <w:color w:val="auto"/>
              </w:rPr>
            </w:pPr>
            <w:r>
              <w:rPr>
                <w:rFonts w:ascii="Arial" w:cs="Arial" w:eastAsia="Arial" w:hAnsi="Arial"/>
                <w:sz w:val="17"/>
                <w:szCs w:val="17"/>
                <w:b w:val="1"/>
                <w:bCs w:val="1"/>
                <w:color w:val="auto"/>
              </w:rPr>
              <w:t>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clearinghouse affiliate, noncurrent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Other assets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Non-current assets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338.2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1,428.9</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8"/>
              </w:rPr>
              <w:t>1,974.5</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Total assets</w:t>
            </w: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vMerge w:val="continue"/>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208.2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397.7</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8"/>
              </w:rPr>
              <w:t>1,818.9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2,424.8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Customer funds payable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0.4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current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Due to affiliates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Current liabilities</w:t>
            </w: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66.6</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61.0</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Warrant liability</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fee payable</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7.3</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F</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7"/>
        </w:trPr>
        <w:tc>
          <w:tcPr>
            <w:tcW w:w="4480" w:type="dxa"/>
            <w:vAlign w:val="bottom"/>
          </w:tcPr>
          <w:p>
            <w:pPr>
              <w:ind w:left="340"/>
              <w:spacing w:after="0"/>
              <w:rPr>
                <w:sz w:val="20"/>
                <w:szCs w:val="20"/>
                <w:color w:val="auto"/>
              </w:rPr>
            </w:pPr>
            <w:r>
              <w:rPr>
                <w:rFonts w:ascii="Arial" w:cs="Arial" w:eastAsia="Arial" w:hAnsi="Arial"/>
                <w:sz w:val="17"/>
                <w:szCs w:val="17"/>
                <w:b w:val="1"/>
                <w:bCs w:val="1"/>
                <w:color w:val="auto"/>
              </w:rPr>
              <w:t>Non-current liabilities</w:t>
            </w:r>
          </w:p>
        </w:tc>
        <w:tc>
          <w:tcPr>
            <w:tcW w:w="10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36.9</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liabilities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207.3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(207.3)</w:t>
            </w:r>
          </w:p>
        </w:tc>
        <w:tc>
          <w:tcPr>
            <w:tcW w:w="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Incentive units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Mezzanine equity</w:t>
            </w: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207.3</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23.5</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(230.8)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Class A voting units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Class B voting units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187.9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(187.9)</w:t>
            </w:r>
          </w:p>
        </w:tc>
        <w:tc>
          <w:tcPr>
            <w:tcW w:w="480" w:type="dxa"/>
            <w:vAlign w:val="bottom"/>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Class C voting units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(310.1)</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Class C warrant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480" w:type="dxa"/>
            <w:vAlign w:val="bottom"/>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(0.2)</w:t>
            </w:r>
          </w:p>
        </w:tc>
        <w:tc>
          <w:tcPr>
            <w:tcW w:w="480" w:type="dxa"/>
            <w:vAlign w:val="bottom"/>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(42.1)</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12"/>
        </w:trPr>
        <w:tc>
          <w:tcPr>
            <w:tcW w:w="4480" w:type="dxa"/>
            <w:vAlign w:val="bottom"/>
          </w:tcPr>
          <w:p>
            <w:pPr>
              <w:ind w:left="340"/>
              <w:spacing w:after="0"/>
              <w:rPr>
                <w:sz w:val="20"/>
                <w:szCs w:val="20"/>
                <w:color w:val="auto"/>
              </w:rPr>
            </w:pPr>
            <w:r>
              <w:rPr>
                <w:rFonts w:ascii="Arial" w:cs="Arial" w:eastAsia="Arial" w:hAnsi="Arial"/>
                <w:sz w:val="17"/>
                <w:szCs w:val="17"/>
                <w:b w:val="1"/>
                <w:bCs w:val="1"/>
                <w:color w:val="auto"/>
              </w:rPr>
              <w:t>Total shareholders’ equity</w:t>
            </w:r>
          </w:p>
        </w:tc>
        <w:tc>
          <w:tcPr>
            <w:tcW w:w="1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183.0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1,879.8</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H</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1,879.8</w:t>
            </w:r>
          </w:p>
        </w:tc>
        <w:tc>
          <w:tcPr>
            <w:tcW w:w="0" w:type="dxa"/>
            <w:vAlign w:val="bottom"/>
          </w:tcPr>
          <w:p>
            <w:pPr>
              <w:spacing w:after="0"/>
              <w:rPr>
                <w:sz w:val="1"/>
                <w:szCs w:val="1"/>
                <w:color w:val="auto"/>
              </w:rPr>
            </w:pPr>
          </w:p>
        </w:tc>
      </w:tr>
      <w:tr>
        <w:trPr>
          <w:trHeight w:val="217"/>
        </w:trPr>
        <w:tc>
          <w:tcPr>
            <w:tcW w:w="4480" w:type="dxa"/>
            <w:vAlign w:val="bottom"/>
          </w:tcPr>
          <w:p>
            <w:pPr>
              <w:ind w:left="340"/>
              <w:spacing w:after="0"/>
              <w:rPr>
                <w:sz w:val="20"/>
                <w:szCs w:val="20"/>
                <w:color w:val="auto"/>
              </w:rPr>
            </w:pPr>
            <w:r>
              <w:rPr>
                <w:rFonts w:ascii="Arial" w:cs="Arial" w:eastAsia="Arial" w:hAnsi="Arial"/>
                <w:sz w:val="17"/>
                <w:szCs w:val="17"/>
                <w:b w:val="1"/>
                <w:bCs w:val="1"/>
                <w:color w:val="auto"/>
              </w:rPr>
              <w:t>Total equity</w:t>
            </w:r>
          </w:p>
        </w:tc>
        <w:tc>
          <w:tcPr>
            <w:tcW w:w="10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2,062.8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2,320.9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liabilities &amp; equity</w:t>
            </w:r>
          </w:p>
        </w:tc>
        <w:tc>
          <w:tcPr>
            <w:tcW w:w="12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208.2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397.7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1,818.9</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2,424.8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vMerge w:val="restart"/>
          </w:tcPr>
          <w:p>
            <w:pPr>
              <w:jc w:val="right"/>
              <w:ind w:right="174"/>
              <w:spacing w:after="0"/>
              <w:rPr>
                <w:sz w:val="20"/>
                <w:szCs w:val="20"/>
                <w:color w:val="auto"/>
              </w:rPr>
            </w:pPr>
            <w:r>
              <w:rPr>
                <w:rFonts w:ascii="Arial" w:cs="Arial" w:eastAsia="Arial" w:hAnsi="Arial"/>
                <w:sz w:val="17"/>
                <w:szCs w:val="17"/>
                <w:color w:val="auto"/>
              </w:rPr>
              <w:t>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4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Unaudited Pro Forma Condensed Combined Statement of Operations for the Nine Months Ended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Historical Financials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2"/>
          </w:tcPr>
          <w:p>
            <w:pPr>
              <w:jc w:val="center"/>
              <w:ind w:right="500"/>
              <w:spacing w:after="0" w:line="112" w:lineRule="exact"/>
              <w:rPr>
                <w:sz w:val="20"/>
                <w:szCs w:val="20"/>
                <w:color w:val="auto"/>
              </w:rPr>
            </w:pPr>
            <w:r>
              <w:rPr>
                <w:rFonts w:ascii="Arial" w:cs="Arial" w:eastAsia="Arial" w:hAnsi="Arial"/>
                <w:sz w:val="11"/>
                <w:szCs w:val="11"/>
                <w:b w:val="1"/>
                <w:bCs w:val="1"/>
                <w:color w:val="auto"/>
              </w:rPr>
              <w:t>Company</w:t>
            </w: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56"/>
              <w:spacing w:after="0" w:line="112" w:lineRule="exact"/>
              <w:rPr>
                <w:sz w:val="20"/>
                <w:szCs w:val="20"/>
                <w:color w:val="auto"/>
              </w:rPr>
            </w:pPr>
            <w:r>
              <w:rPr>
                <w:rFonts w:ascii="Arial" w:cs="Arial" w:eastAsia="Arial" w:hAnsi="Arial"/>
                <w:sz w:val="11"/>
                <w:szCs w:val="11"/>
                <w:b w:val="1"/>
                <w:bCs w:val="1"/>
                <w:color w:val="auto"/>
              </w:rPr>
              <w:t>Opco</w:t>
            </w:r>
          </w:p>
        </w:tc>
        <w:tc>
          <w:tcPr>
            <w:tcW w:w="420" w:type="dxa"/>
            <w:vAlign w:val="bottom"/>
          </w:tcPr>
          <w:p>
            <w:pPr>
              <w:spacing w:after="0"/>
              <w:rPr>
                <w:sz w:val="9"/>
                <w:szCs w:val="9"/>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Nine</w:t>
            </w:r>
          </w:p>
        </w:tc>
        <w:tc>
          <w:tcPr>
            <w:tcW w:w="1360" w:type="dxa"/>
            <w:vAlign w:val="bottom"/>
            <w:gridSpan w:val="3"/>
          </w:tcPr>
          <w:p>
            <w:pPr>
              <w:jc w:val="center"/>
              <w:ind w:right="400"/>
              <w:spacing w:after="0" w:line="141" w:lineRule="exact"/>
              <w:rPr>
                <w:sz w:val="20"/>
                <w:szCs w:val="20"/>
                <w:color w:val="auto"/>
              </w:rPr>
            </w:pPr>
            <w:r>
              <w:rPr>
                <w:rFonts w:ascii="Arial" w:cs="Arial" w:eastAsia="Arial" w:hAnsi="Arial"/>
                <w:sz w:val="14"/>
                <w:szCs w:val="14"/>
                <w:b w:val="1"/>
                <w:bCs w:val="1"/>
                <w:color w:val="auto"/>
                <w:w w:val="89"/>
              </w:rPr>
              <w:t>(Historical Nine</w:t>
            </w:r>
          </w:p>
        </w:tc>
        <w:tc>
          <w:tcPr>
            <w:tcW w:w="102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340" w:type="dxa"/>
            <w:vAlign w:val="bottom"/>
            <w:gridSpan w:val="3"/>
          </w:tcPr>
          <w:p>
            <w:pPr>
              <w:jc w:val="center"/>
              <w:ind w:right="400"/>
              <w:spacing w:after="0" w:line="141" w:lineRule="exact"/>
              <w:rPr>
                <w:sz w:val="20"/>
                <w:szCs w:val="20"/>
                <w:color w:val="auto"/>
              </w:rPr>
            </w:pPr>
            <w:r>
              <w:rPr>
                <w:rFonts w:ascii="Arial" w:cs="Arial" w:eastAsia="Arial" w:hAnsi="Arial"/>
                <w:sz w:val="14"/>
                <w:szCs w:val="14"/>
                <w:b w:val="1"/>
                <w:bCs w:val="1"/>
                <w:color w:val="auto"/>
                <w:w w:val="88"/>
              </w:rPr>
              <w:t>months Ended</w:t>
            </w:r>
          </w:p>
        </w:tc>
        <w:tc>
          <w:tcPr>
            <w:tcW w:w="1360" w:type="dxa"/>
            <w:vAlign w:val="bottom"/>
            <w:gridSpan w:val="3"/>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months Ended</w:t>
            </w:r>
          </w:p>
        </w:tc>
        <w:tc>
          <w:tcPr>
            <w:tcW w:w="102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Accounting</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6"/>
              <w:spacing w:after="0" w:line="151" w:lineRule="exact"/>
              <w:rPr>
                <w:sz w:val="20"/>
                <w:szCs w:val="20"/>
                <w:color w:val="auto"/>
              </w:rPr>
            </w:pPr>
            <w:r>
              <w:rPr>
                <w:rFonts w:ascii="Arial" w:cs="Arial" w:eastAsia="Arial" w:hAnsi="Arial"/>
                <w:sz w:val="14"/>
                <w:szCs w:val="14"/>
                <w:b w:val="1"/>
                <w:bCs w:val="1"/>
                <w:color w:val="auto"/>
                <w:w w:val="89"/>
              </w:rPr>
              <w:t>9/30/21)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6"/>
              <w:spacing w:after="0" w:line="151" w:lineRule="exact"/>
              <w:rPr>
                <w:sz w:val="20"/>
                <w:szCs w:val="20"/>
                <w:color w:val="auto"/>
              </w:rPr>
            </w:pPr>
            <w:r>
              <w:rPr>
                <w:rFonts w:ascii="Arial" w:cs="Arial" w:eastAsia="Arial" w:hAnsi="Arial"/>
                <w:sz w:val="14"/>
                <w:szCs w:val="14"/>
                <w:b w:val="1"/>
                <w:bCs w:val="1"/>
                <w:color w:val="auto"/>
                <w:w w:val="89"/>
              </w:rPr>
              <w:t>9/30/21)</w:t>
            </w:r>
          </w:p>
        </w:tc>
        <w:tc>
          <w:tcPr>
            <w:tcW w:w="420" w:type="dxa"/>
            <w:vAlign w:val="bottom"/>
          </w:tcPr>
          <w:p>
            <w:pPr>
              <w:spacing w:after="0"/>
              <w:rPr>
                <w:sz w:val="14"/>
                <w:szCs w:val="14"/>
                <w:color w:val="auto"/>
              </w:rPr>
            </w:pPr>
          </w:p>
        </w:tc>
        <w:tc>
          <w:tcPr>
            <w:tcW w:w="102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2"/>
        </w:trPr>
        <w:tc>
          <w:tcPr>
            <w:tcW w:w="8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Revenue</w:t>
            </w:r>
          </w:p>
        </w:tc>
        <w:tc>
          <w:tcPr>
            <w:tcW w:w="4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25.8</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25.8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8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57.4</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DDD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6"/>
        </w:trPr>
        <w:tc>
          <w:tcPr>
            <w:tcW w:w="5080" w:type="dxa"/>
            <w:vAlign w:val="bottom"/>
            <w:gridSpan w:val="2"/>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9.9</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6"/>
        </w:trPr>
        <w:tc>
          <w:tcPr>
            <w:tcW w:w="5080" w:type="dxa"/>
            <w:vAlign w:val="bottom"/>
            <w:gridSpan w:val="2"/>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12.1</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6"/>
        </w:trPr>
        <w:tc>
          <w:tcPr>
            <w:tcW w:w="5080" w:type="dxa"/>
            <w:vAlign w:val="bottom"/>
            <w:gridSpan w:val="2"/>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12.7</w:t>
            </w:r>
          </w:p>
        </w:tc>
        <w:tc>
          <w:tcPr>
            <w:tcW w:w="760" w:type="dxa"/>
            <w:vAlign w:val="bottom"/>
          </w:tcPr>
          <w:p>
            <w:pPr>
              <w:jc w:val="right"/>
              <w:ind w:right="94"/>
              <w:spacing w:after="0"/>
              <w:rPr>
                <w:sz w:val="20"/>
                <w:szCs w:val="20"/>
                <w:color w:val="auto"/>
              </w:rPr>
            </w:pPr>
            <w:r>
              <w:rPr>
                <w:rFonts w:ascii="Arial" w:cs="Arial" w:eastAsia="Arial" w:hAnsi="Arial"/>
                <w:sz w:val="17"/>
                <w:szCs w:val="17"/>
                <w:b w:val="1"/>
                <w:bCs w:val="1"/>
                <w:color w:val="auto"/>
              </w:rPr>
              <w:t>AAA</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5080" w:type="dxa"/>
            <w:vAlign w:val="bottom"/>
            <w:gridSpan w:val="2"/>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operating costs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508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115.4</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(5.8)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(89.6)</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(14.6)</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(110.0)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340"/>
              <w:spacing w:after="0"/>
              <w:rPr>
                <w:sz w:val="20"/>
                <w:szCs w:val="20"/>
                <w:color w:val="auto"/>
              </w:rPr>
            </w:pPr>
            <w:r>
              <w:rPr>
                <w:rFonts w:ascii="Arial" w:cs="Arial" w:eastAsia="Arial" w:hAnsi="Arial"/>
                <w:sz w:val="17"/>
                <w:szCs w:val="17"/>
                <w:color w:val="auto"/>
              </w:rPr>
              <w:t>Interest income, net</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Loss on warrant liability</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6"/>
        </w:trPr>
        <w:tc>
          <w:tcPr>
            <w:tcW w:w="5080" w:type="dxa"/>
            <w:vAlign w:val="bottom"/>
            <w:gridSpan w:val="2"/>
          </w:tcPr>
          <w:p>
            <w:pPr>
              <w:ind w:left="340"/>
              <w:spacing w:after="0"/>
              <w:rPr>
                <w:sz w:val="20"/>
                <w:szCs w:val="20"/>
                <w:color w:val="auto"/>
              </w:rPr>
            </w:pPr>
            <w:r>
              <w:rPr>
                <w:rFonts w:ascii="Arial" w:cs="Arial" w:eastAsia="Arial" w:hAnsi="Arial"/>
                <w:sz w:val="17"/>
                <w:szCs w:val="17"/>
                <w:color w:val="auto"/>
              </w:rPr>
              <w:t>Other income, net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0.4</w:t>
            </w:r>
          </w:p>
        </w:tc>
        <w:tc>
          <w:tcPr>
            <w:tcW w:w="24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b w:val="1"/>
                <w:bCs w:val="1"/>
                <w:color w:val="auto"/>
              </w:rPr>
              <w:t>0.2</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0" w:type="dxa"/>
            <w:vAlign w:val="bottom"/>
          </w:tcPr>
          <w:p>
            <w:pPr>
              <w:spacing w:after="0"/>
              <w:rPr>
                <w:sz w:val="1"/>
                <w:szCs w:val="1"/>
                <w:color w:val="auto"/>
              </w:rPr>
            </w:pPr>
          </w:p>
        </w:tc>
      </w:tr>
      <w:tr>
        <w:trPr>
          <w:trHeight w:val="217"/>
        </w:trPr>
        <w:tc>
          <w:tcPr>
            <w:tcW w:w="508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(89.4)</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(116.9)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Income tax (expense) benefit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(0.2)</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BBB</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508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(89.6)</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(112.2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Net loss attributable to noncontrolling interest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(93.0)</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CCC</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06"/>
        </w:trPr>
        <w:tc>
          <w:tcPr>
            <w:tcW w:w="5080" w:type="dxa"/>
            <w:vAlign w:val="bottom"/>
            <w:gridSpan w:val="2"/>
          </w:tcPr>
          <w:p>
            <w:pPr>
              <w:ind w:left="340"/>
              <w:spacing w:after="0"/>
              <w:rPr>
                <w:sz w:val="20"/>
                <w:szCs w:val="20"/>
                <w:color w:val="auto"/>
              </w:rPr>
            </w:pPr>
            <w:r>
              <w:rPr>
                <w:rFonts w:ascii="Arial" w:cs="Arial" w:eastAsia="Arial" w:hAnsi="Arial"/>
                <w:sz w:val="17"/>
                <w:szCs w:val="17"/>
                <w:color w:val="auto"/>
              </w:rPr>
              <w:t>Net loss attributable to controlling interest</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(89.6)</w:t>
            </w:r>
          </w:p>
        </w:tc>
        <w:tc>
          <w:tcPr>
            <w:tcW w:w="2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83.3</w:t>
            </w:r>
          </w:p>
        </w:tc>
        <w:tc>
          <w:tcPr>
            <w:tcW w:w="760" w:type="dxa"/>
            <w:vAlign w:val="bottom"/>
          </w:tcPr>
          <w:p>
            <w:pPr>
              <w:jc w:val="right"/>
              <w:ind w:right="94"/>
              <w:spacing w:after="0"/>
              <w:rPr>
                <w:sz w:val="20"/>
                <w:szCs w:val="20"/>
                <w:color w:val="auto"/>
              </w:rPr>
            </w:pPr>
            <w:r>
              <w:rPr>
                <w:rFonts w:ascii="Arial" w:cs="Arial" w:eastAsia="Arial" w:hAnsi="Arial"/>
                <w:sz w:val="17"/>
                <w:szCs w:val="17"/>
                <w:b w:val="1"/>
                <w:bCs w:val="1"/>
                <w:color w:val="auto"/>
              </w:rPr>
              <w:t>CCC</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basic</w:t>
            </w:r>
          </w:p>
        </w:tc>
        <w:tc>
          <w:tcPr>
            <w:tcW w:w="10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w w:val="96"/>
              </w:rPr>
              <w:t>20,737,202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508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diluted</w:t>
            </w:r>
          </w:p>
        </w:tc>
        <w:tc>
          <w:tcPr>
            <w:tcW w:w="10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w w:val="96"/>
              </w:rPr>
              <w:t>20,737,202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508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basic</w:t>
            </w:r>
          </w:p>
        </w:tc>
        <w:tc>
          <w:tcPr>
            <w:tcW w:w="10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5,184,300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diluted</w:t>
            </w:r>
          </w:p>
        </w:tc>
        <w:tc>
          <w:tcPr>
            <w:tcW w:w="10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5,184,300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56"/>
              <w:spacing w:after="0"/>
              <w:rPr>
                <w:sz w:val="20"/>
                <w:szCs w:val="20"/>
                <w:color w:val="auto"/>
              </w:rPr>
            </w:pPr>
            <w:r>
              <w:rPr>
                <w:rFonts w:ascii="Arial" w:cs="Arial" w:eastAsia="Arial" w:hAnsi="Arial"/>
                <w:sz w:val="17"/>
                <w:szCs w:val="17"/>
                <w:color w:val="auto"/>
                <w:w w:val="84"/>
              </w:rPr>
              <w:t>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0580" cy="37465"/>
                    </a:xfrm>
                    <a:prstGeom prst="rect">
                      <a:avLst/>
                    </a:prstGeom>
                    <a:noFill/>
                  </pic:spPr>
                </pic:pic>
              </a:graphicData>
            </a:graphic>
          </wp:anchor>
        </w:drawing>
        <w:t>Unaudited Pro Forma Condensed Combined Statement of Operations for Year Ended December 31,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89"/>
              </w:rPr>
              <w:t>Historical Financials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Company</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Opco</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80"/>
              <w:spacing w:after="0" w:line="112" w:lineRule="exact"/>
              <w:rPr>
                <w:sz w:val="20"/>
                <w:szCs w:val="20"/>
                <w:color w:val="auto"/>
              </w:rPr>
            </w:pPr>
            <w:r>
              <w:rPr>
                <w:rFonts w:ascii="Arial" w:cs="Arial" w:eastAsia="Arial" w:hAnsi="Arial"/>
                <w:sz w:val="11"/>
                <w:szCs w:val="11"/>
                <w:b w:val="1"/>
                <w:bCs w:val="1"/>
                <w:color w:val="auto"/>
              </w:rPr>
              <w:t>Bridge2</w:t>
            </w:r>
          </w:p>
        </w:tc>
        <w:tc>
          <w:tcPr>
            <w:tcW w:w="100" w:type="dxa"/>
            <w:vAlign w:val="bottom"/>
          </w:tcPr>
          <w:p>
            <w:pPr>
              <w:spacing w:after="0"/>
              <w:rPr>
                <w:sz w:val="9"/>
                <w:szCs w:val="9"/>
                <w:color w:val="auto"/>
              </w:rPr>
            </w:pPr>
          </w:p>
        </w:tc>
        <w:tc>
          <w:tcPr>
            <w:tcW w:w="680" w:type="dxa"/>
            <w:vAlign w:val="bottom"/>
            <w:gridSpan w:val="2"/>
          </w:tcPr>
          <w:p>
            <w:pPr>
              <w:jc w:val="center"/>
              <w:spacing w:after="0" w:line="112" w:lineRule="exact"/>
              <w:rPr>
                <w:sz w:val="20"/>
                <w:szCs w:val="20"/>
                <w:color w:val="auto"/>
              </w:rPr>
            </w:pPr>
            <w:r>
              <w:rPr>
                <w:rFonts w:ascii="Arial" w:cs="Arial" w:eastAsia="Arial" w:hAnsi="Arial"/>
                <w:sz w:val="11"/>
                <w:szCs w:val="11"/>
                <w:b w:val="1"/>
                <w:bCs w:val="1"/>
                <w:color w:val="auto"/>
              </w:rPr>
              <w:t>Combined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4"/>
              </w:rPr>
              <w:t>Solutions</w:t>
            </w:r>
          </w:p>
        </w:tc>
        <w:tc>
          <w:tcPr>
            <w:tcW w:w="100" w:type="dxa"/>
            <w:vAlign w:val="bottom"/>
          </w:tcPr>
          <w:p>
            <w:pPr>
              <w:spacing w:after="0"/>
              <w:rPr>
                <w:sz w:val="12"/>
                <w:szCs w:val="12"/>
                <w:color w:val="auto"/>
              </w:rPr>
            </w:pPr>
          </w:p>
        </w:tc>
        <w:tc>
          <w:tcPr>
            <w:tcW w:w="82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90"/>
              </w:rPr>
              <w:t>Company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(Historical</w:t>
            </w:r>
          </w:p>
        </w:tc>
        <w:tc>
          <w:tcPr>
            <w:tcW w:w="260" w:type="dxa"/>
            <w:vAlign w:val="bottom"/>
          </w:tcPr>
          <w:p>
            <w:pPr>
              <w:spacing w:after="0"/>
              <w:rPr>
                <w:sz w:val="12"/>
                <w:szCs w:val="12"/>
                <w:color w:val="auto"/>
              </w:rPr>
            </w:pPr>
          </w:p>
        </w:tc>
        <w:tc>
          <w:tcPr>
            <w:tcW w:w="8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2"/>
                <w:szCs w:val="12"/>
                <w:color w:val="auto"/>
              </w:rPr>
            </w:pPr>
          </w:p>
        </w:tc>
        <w:tc>
          <w:tcPr>
            <w:tcW w:w="8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2"/>
                <w:szCs w:val="12"/>
                <w:color w:val="auto"/>
              </w:rPr>
            </w:pPr>
          </w:p>
        </w:tc>
        <w:tc>
          <w:tcPr>
            <w:tcW w:w="82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2"/>
                <w:szCs w:val="12"/>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Transaction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from 7/31/20</w:t>
            </w:r>
          </w:p>
        </w:tc>
        <w:tc>
          <w:tcPr>
            <w:tcW w:w="260" w:type="dxa"/>
            <w:vAlign w:val="bottom"/>
          </w:tcPr>
          <w:p>
            <w:pPr>
              <w:spacing w:after="0"/>
              <w:rPr>
                <w:sz w:val="12"/>
                <w:szCs w:val="12"/>
                <w:color w:val="auto"/>
              </w:rPr>
            </w:pPr>
          </w:p>
        </w:tc>
        <w:tc>
          <w:tcPr>
            <w:tcW w:w="8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from 1/1/20</w:t>
            </w:r>
          </w:p>
        </w:tc>
        <w:tc>
          <w:tcPr>
            <w:tcW w:w="100" w:type="dxa"/>
            <w:vAlign w:val="bottom"/>
          </w:tcPr>
          <w:p>
            <w:pPr>
              <w:spacing w:after="0"/>
              <w:rPr>
                <w:sz w:val="12"/>
                <w:szCs w:val="12"/>
                <w:color w:val="auto"/>
              </w:rPr>
            </w:pPr>
          </w:p>
        </w:tc>
        <w:tc>
          <w:tcPr>
            <w:tcW w:w="8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from 1/1/20</w:t>
            </w:r>
          </w:p>
        </w:tc>
        <w:tc>
          <w:tcPr>
            <w:tcW w:w="100" w:type="dxa"/>
            <w:vAlign w:val="bottom"/>
          </w:tcPr>
          <w:p>
            <w:pPr>
              <w:spacing w:after="0"/>
              <w:rPr>
                <w:sz w:val="12"/>
                <w:szCs w:val="12"/>
                <w:color w:val="auto"/>
              </w:rPr>
            </w:pPr>
          </w:p>
        </w:tc>
        <w:tc>
          <w:tcPr>
            <w:tcW w:w="82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89"/>
              </w:rPr>
              <w:t>from 1/1/20</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0" w:type="dxa"/>
            <w:vAlign w:val="bottom"/>
          </w:tcPr>
          <w:p>
            <w:pPr>
              <w:spacing w:after="0"/>
              <w:rPr>
                <w:sz w:val="12"/>
                <w:szCs w:val="12"/>
                <w:color w:val="auto"/>
              </w:rPr>
            </w:pPr>
          </w:p>
        </w:tc>
        <w:tc>
          <w:tcPr>
            <w:tcW w:w="780" w:type="dxa"/>
            <w:vAlign w:val="bottom"/>
          </w:tcPr>
          <w:p>
            <w:pPr>
              <w:jc w:val="center"/>
              <w:ind w:right="16"/>
              <w:spacing w:after="0" w:line="141" w:lineRule="exact"/>
              <w:rPr>
                <w:sz w:val="20"/>
                <w:szCs w:val="20"/>
                <w:color w:val="auto"/>
              </w:rPr>
            </w:pPr>
            <w:r>
              <w:rPr>
                <w:rFonts w:ascii="Arial" w:cs="Arial" w:eastAsia="Arial" w:hAnsi="Arial"/>
                <w:sz w:val="14"/>
                <w:szCs w:val="14"/>
                <w:b w:val="1"/>
                <w:bCs w:val="1"/>
                <w:color w:val="auto"/>
                <w:w w:val="90"/>
              </w:rPr>
              <w:t>through</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2"/>
              <w:spacing w:after="0" w:line="141"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20" w:type="dxa"/>
            <w:vAlign w:val="bottom"/>
            <w:gridSpan w:val="3"/>
          </w:tcPr>
          <w:p>
            <w:pPr>
              <w:jc w:val="right"/>
              <w:ind w:right="220"/>
              <w:spacing w:after="0" w:line="141" w:lineRule="exact"/>
              <w:rPr>
                <w:sz w:val="20"/>
                <w:szCs w:val="20"/>
                <w:color w:val="auto"/>
              </w:rPr>
            </w:pPr>
            <w:r>
              <w:rPr>
                <w:rFonts w:ascii="Arial" w:cs="Arial" w:eastAsia="Arial" w:hAnsi="Arial"/>
                <w:sz w:val="14"/>
                <w:szCs w:val="14"/>
                <w:b w:val="1"/>
                <w:bCs w:val="1"/>
                <w:color w:val="auto"/>
                <w:w w:val="90"/>
              </w:rPr>
              <w:t>Accounting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1"/>
              </w:rPr>
              <w:t>12/31/20)</w:t>
            </w:r>
          </w:p>
        </w:tc>
        <w:tc>
          <w:tcPr>
            <w:tcW w:w="94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12/31/20)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7"/>
              <w:spacing w:after="0" w:line="151" w:lineRule="exact"/>
              <w:rPr>
                <w:sz w:val="20"/>
                <w:szCs w:val="20"/>
                <w:color w:val="auto"/>
              </w:rPr>
            </w:pPr>
            <w:r>
              <w:rPr>
                <w:rFonts w:ascii="Arial" w:cs="Arial" w:eastAsia="Arial" w:hAnsi="Arial"/>
                <w:sz w:val="14"/>
                <w:szCs w:val="14"/>
                <w:b w:val="1"/>
                <w:bCs w:val="1"/>
                <w:color w:val="auto"/>
                <w:w w:val="89"/>
              </w:rPr>
              <w:t>2/21/20)</w:t>
            </w:r>
          </w:p>
        </w:tc>
        <w:tc>
          <w:tcPr>
            <w:tcW w:w="160" w:type="dxa"/>
            <w:vAlign w:val="bottom"/>
          </w:tcPr>
          <w:p>
            <w:pPr>
              <w:spacing w:after="0"/>
              <w:rPr>
                <w:sz w:val="13"/>
                <w:szCs w:val="13"/>
                <w:color w:val="auto"/>
              </w:rPr>
            </w:pPr>
          </w:p>
        </w:tc>
        <w:tc>
          <w:tcPr>
            <w:tcW w:w="780" w:type="dxa"/>
            <w:vAlign w:val="bottom"/>
            <w:gridSpan w:val="3"/>
          </w:tcPr>
          <w:p>
            <w:pPr>
              <w:jc w:val="center"/>
              <w:ind w:left="11"/>
              <w:spacing w:after="0" w:line="151" w:lineRule="exact"/>
              <w:rPr>
                <w:sz w:val="20"/>
                <w:szCs w:val="20"/>
                <w:color w:val="auto"/>
              </w:rPr>
            </w:pPr>
            <w:r>
              <w:rPr>
                <w:rFonts w:ascii="Arial" w:cs="Arial" w:eastAsia="Arial" w:hAnsi="Arial"/>
                <w:sz w:val="14"/>
                <w:szCs w:val="14"/>
                <w:b w:val="1"/>
                <w:bCs w:val="1"/>
                <w:color w:val="auto"/>
                <w:w w:val="91"/>
              </w:rPr>
              <w:t>12/31/20)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3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AA</w:t>
            </w: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vMerge w:val="continue"/>
            <w:shd w:val="clear" w:color="auto" w:fill="CCEEFF"/>
          </w:tcPr>
          <w:p>
            <w:pPr>
              <w:spacing w:after="0"/>
              <w:rPr>
                <w:sz w:val="16"/>
                <w:szCs w:val="16"/>
                <w:color w:val="auto"/>
              </w:rPr>
            </w:pPr>
          </w:p>
        </w:tc>
        <w:tc>
          <w:tcPr>
            <w:tcW w:w="3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ind w:right="16"/>
              <w:spacing w:after="0" w:line="192" w:lineRule="exact"/>
              <w:rPr>
                <w:sz w:val="20"/>
                <w:szCs w:val="20"/>
                <w:color w:val="auto"/>
              </w:rPr>
            </w:pPr>
            <w:r>
              <w:rPr>
                <w:rFonts w:ascii="Arial" w:cs="Arial" w:eastAsia="Arial" w:hAnsi="Arial"/>
                <w:sz w:val="17"/>
                <w:szCs w:val="17"/>
                <w:b w:val="1"/>
                <w:bCs w:val="1"/>
                <w:color w:val="auto"/>
              </w:rPr>
              <w:t>—</w:t>
            </w:r>
          </w:p>
        </w:tc>
        <w:tc>
          <w:tcPr>
            <w:tcW w:w="260" w:type="dxa"/>
            <w:vAlign w:val="bottom"/>
            <w:tcBorders>
              <w:lef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28.5</w:t>
            </w:r>
          </w:p>
        </w:tc>
        <w:tc>
          <w:tcPr>
            <w:tcW w:w="16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5.7</w:t>
            </w:r>
          </w:p>
        </w:tc>
        <w:tc>
          <w:tcPr>
            <w:tcW w:w="16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34.2</w:t>
            </w:r>
          </w:p>
        </w:tc>
        <w:tc>
          <w:tcPr>
            <w:tcW w:w="14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b w:val="1"/>
                <w:bCs w:val="1"/>
                <w:color w:val="auto"/>
              </w:rPr>
              <w:t>(0.1)</w:t>
            </w:r>
          </w:p>
        </w:tc>
        <w:tc>
          <w:tcPr>
            <w:tcW w:w="4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34.1</w:t>
            </w:r>
          </w:p>
        </w:tc>
        <w:tc>
          <w:tcPr>
            <w:tcW w:w="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Compensation and benefits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FF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06"/>
        </w:trPr>
        <w:tc>
          <w:tcPr>
            <w:tcW w:w="4260" w:type="dxa"/>
            <w:vAlign w:val="bottom"/>
            <w:gridSpan w:val="2"/>
          </w:tcPr>
          <w:p>
            <w:pPr>
              <w:ind w:left="340"/>
              <w:spacing w:after="0"/>
              <w:rPr>
                <w:sz w:val="20"/>
                <w:szCs w:val="20"/>
                <w:color w:val="auto"/>
              </w:rPr>
            </w:pPr>
            <w:r>
              <w:rPr>
                <w:rFonts w:ascii="Arial" w:cs="Arial" w:eastAsia="Arial" w:hAnsi="Arial"/>
                <w:sz w:val="17"/>
                <w:szCs w:val="17"/>
                <w:color w:val="auto"/>
              </w:rPr>
              <w:t>Professional services</w:t>
            </w:r>
          </w:p>
        </w:tc>
        <w:tc>
          <w:tcPr>
            <w:tcW w:w="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Technology and communication</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6"/>
        </w:trPr>
        <w:tc>
          <w:tcPr>
            <w:tcW w:w="4260" w:type="dxa"/>
            <w:vAlign w:val="bottom"/>
            <w:gridSpan w:val="2"/>
          </w:tcPr>
          <w:p>
            <w:pPr>
              <w:ind w:left="340"/>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Acquisition-related expenses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CC</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6"/>
        </w:trPr>
        <w:tc>
          <w:tcPr>
            <w:tcW w:w="4260" w:type="dxa"/>
            <w:vAlign w:val="bottom"/>
            <w:gridSpan w:val="2"/>
          </w:tcPr>
          <w:p>
            <w:pPr>
              <w:ind w:left="340"/>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20.6</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BB</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Affiliate expenses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260" w:type="dxa"/>
            <w:vAlign w:val="bottom"/>
            <w:gridSpan w:val="2"/>
          </w:tcPr>
          <w:p>
            <w:pPr>
              <w:ind w:left="340"/>
              <w:spacing w:after="0"/>
              <w:rPr>
                <w:sz w:val="20"/>
                <w:szCs w:val="20"/>
                <w:color w:val="auto"/>
              </w:rPr>
            </w:pPr>
            <w:r>
              <w:rPr>
                <w:rFonts w:ascii="Arial" w:cs="Arial" w:eastAsia="Arial" w:hAnsi="Arial"/>
                <w:sz w:val="17"/>
                <w:szCs w:val="17"/>
                <w:color w:val="auto"/>
              </w:rPr>
              <w:t>Impairment of long-lived assets</w:t>
            </w:r>
          </w:p>
        </w:tc>
        <w:tc>
          <w:tcPr>
            <w:tcW w:w="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operating costs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7"/>
        </w:trPr>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69.5</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(79.1)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2"/>
              <w:spacing w:after="0"/>
              <w:rPr>
                <w:sz w:val="20"/>
                <w:szCs w:val="20"/>
                <w:color w:val="auto"/>
              </w:rPr>
            </w:pPr>
            <w:r>
              <w:rPr>
                <w:rFonts w:ascii="Arial" w:cs="Arial" w:eastAsia="Arial" w:hAnsi="Arial"/>
                <w:sz w:val="17"/>
                <w:szCs w:val="17"/>
                <w:b w:val="1"/>
                <w:bCs w:val="1"/>
                <w:color w:val="auto"/>
              </w:rPr>
              <w:t>(79.3)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(69.6)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(149.9)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340"/>
              <w:spacing w:after="0"/>
              <w:rPr>
                <w:sz w:val="20"/>
                <w:szCs w:val="20"/>
                <w:color w:val="auto"/>
              </w:rPr>
            </w:pPr>
            <w:r>
              <w:rPr>
                <w:rFonts w:ascii="Arial" w:cs="Arial" w:eastAsia="Arial" w:hAnsi="Arial"/>
                <w:sz w:val="17"/>
                <w:szCs w:val="17"/>
                <w:color w:val="auto"/>
              </w:rPr>
              <w:t>Interest income, net</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7"/>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Loss on warrant liability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6"/>
        </w:trPr>
        <w:tc>
          <w:tcPr>
            <w:tcW w:w="4260" w:type="dxa"/>
            <w:vAlign w:val="bottom"/>
            <w:gridSpan w:val="2"/>
          </w:tcPr>
          <w:p>
            <w:pPr>
              <w:ind w:left="340"/>
              <w:spacing w:after="0"/>
              <w:rPr>
                <w:sz w:val="20"/>
                <w:szCs w:val="20"/>
                <w:color w:val="auto"/>
              </w:rPr>
            </w:pPr>
            <w:r>
              <w:rPr>
                <w:rFonts w:ascii="Arial" w:cs="Arial" w:eastAsia="Arial" w:hAnsi="Arial"/>
                <w:sz w:val="17"/>
                <w:szCs w:val="17"/>
                <w:color w:val="auto"/>
              </w:rPr>
              <w:t>Transaction costs—warrants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Compensation expense—warrants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6"/>
        </w:trPr>
        <w:tc>
          <w:tcPr>
            <w:tcW w:w="4260" w:type="dxa"/>
            <w:vAlign w:val="bottom"/>
            <w:gridSpan w:val="2"/>
          </w:tcPr>
          <w:p>
            <w:pPr>
              <w:ind w:left="340"/>
              <w:spacing w:after="0"/>
              <w:rPr>
                <w:sz w:val="20"/>
                <w:szCs w:val="20"/>
                <w:color w:val="auto"/>
              </w:rPr>
            </w:pPr>
            <w:r>
              <w:rPr>
                <w:rFonts w:ascii="Arial" w:cs="Arial" w:eastAsia="Arial" w:hAnsi="Arial"/>
                <w:sz w:val="17"/>
                <w:szCs w:val="17"/>
                <w:color w:val="auto"/>
              </w:rPr>
              <w:t>Other income, net</w:t>
            </w:r>
          </w:p>
        </w:tc>
        <w:tc>
          <w:tcPr>
            <w:tcW w:w="8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2"/>
              <w:spacing w:after="0"/>
              <w:rPr>
                <w:sz w:val="20"/>
                <w:szCs w:val="20"/>
                <w:color w:val="auto"/>
              </w:rPr>
            </w:pPr>
            <w:r>
              <w:rPr>
                <w:rFonts w:ascii="Arial" w:cs="Arial" w:eastAsia="Arial" w:hAnsi="Arial"/>
                <w:sz w:val="17"/>
                <w:szCs w:val="17"/>
                <w:b w:val="1"/>
                <w:bCs w:val="1"/>
                <w:color w:val="auto"/>
              </w:rPr>
              <w:t>(0.3)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0" w:type="dxa"/>
            <w:vAlign w:val="bottom"/>
          </w:tcPr>
          <w:p>
            <w:pPr>
              <w:spacing w:after="0"/>
              <w:rPr>
                <w:sz w:val="1"/>
                <w:szCs w:val="1"/>
                <w:color w:val="auto"/>
              </w:rPr>
            </w:pPr>
          </w:p>
        </w:tc>
      </w:tr>
      <w:tr>
        <w:trPr>
          <w:trHeight w:val="212"/>
        </w:trPr>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(69.6)</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Income tax (expense) benefit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2"/>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DD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2"/>
        </w:trPr>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(80.0</w:t>
            </w:r>
          </w:p>
        </w:tc>
        <w:tc>
          <w:tcPr>
            <w:tcW w:w="140" w:type="dxa"/>
            <w:vAlign w:val="bottom"/>
          </w:tcPr>
          <w:p>
            <w:pPr>
              <w:jc w:val="right"/>
              <w:ind w:right="62"/>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(63.2</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(148.1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Net loss attributable to noncontrolling interest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EE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0" w:type="dxa"/>
            <w:vAlign w:val="bottom"/>
          </w:tcPr>
          <w:p>
            <w:pPr>
              <w:spacing w:after="0"/>
              <w:rPr>
                <w:sz w:val="1"/>
                <w:szCs w:val="1"/>
                <w:color w:val="auto"/>
              </w:rPr>
            </w:pPr>
          </w:p>
        </w:tc>
      </w:tr>
      <w:tr>
        <w:trPr>
          <w:trHeight w:val="206"/>
        </w:trPr>
        <w:tc>
          <w:tcPr>
            <w:tcW w:w="4260" w:type="dxa"/>
            <w:vAlign w:val="bottom"/>
            <w:gridSpan w:val="2"/>
          </w:tcPr>
          <w:p>
            <w:pPr>
              <w:ind w:left="340"/>
              <w:spacing w:after="0"/>
              <w:rPr>
                <w:sz w:val="20"/>
                <w:szCs w:val="20"/>
                <w:color w:val="auto"/>
              </w:rPr>
            </w:pPr>
            <w:r>
              <w:rPr>
                <w:rFonts w:ascii="Arial" w:cs="Arial" w:eastAsia="Arial" w:hAnsi="Arial"/>
                <w:sz w:val="17"/>
                <w:szCs w:val="17"/>
                <w:color w:val="auto"/>
              </w:rPr>
              <w:t>Net loss attributable to controlling interest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59.9</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EE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basic</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20,737,202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260" w:type="dxa"/>
            <w:vAlign w:val="bottom"/>
            <w:gridSpan w:val="2"/>
          </w:tcPr>
          <w:p>
            <w:pPr>
              <w:spacing w:after="0"/>
              <w:rPr>
                <w:sz w:val="20"/>
                <w:szCs w:val="20"/>
                <w:color w:val="auto"/>
              </w:rPr>
            </w:pPr>
            <w:r>
              <w:rPr>
                <w:rFonts w:ascii="Arial" w:cs="Arial" w:eastAsia="Arial" w:hAnsi="Arial"/>
                <w:sz w:val="17"/>
                <w:szCs w:val="17"/>
                <w:color w:val="auto"/>
                <w:w w:val="99"/>
              </w:rPr>
              <w:t>Weighted average shares of Class A outstanding, diluted</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20,737,202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26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basic</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5,184,300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(0.94)</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spacing w:after="0"/>
              <w:rPr>
                <w:sz w:val="20"/>
                <w:szCs w:val="20"/>
                <w:color w:val="auto"/>
              </w:rPr>
            </w:pPr>
            <w:r>
              <w:rPr>
                <w:rFonts w:ascii="Arial" w:cs="Arial" w:eastAsia="Arial" w:hAnsi="Arial"/>
                <w:sz w:val="17"/>
                <w:szCs w:val="17"/>
                <w:color w:val="auto"/>
                <w:w w:val="99"/>
              </w:rPr>
              <w:t>Weighted average shares of Class B outstanding, diluted</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5,184,300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(0.94)</w:t>
            </w:r>
          </w:p>
        </w:tc>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jc w:val="right"/>
              <w:ind w:right="23"/>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72" w:name="page73"/>
    <w:bookmarkEnd w:id="72"/>
    <w:p>
      <w:pPr>
        <w:jc w:val="center"/>
        <w:ind w:right="-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37465"/>
                    </a:xfrm>
                    <a:prstGeom prst="rect">
                      <a:avLst/>
                    </a:prstGeom>
                    <a:noFill/>
                  </pic:spPr>
                </pic:pic>
              </a:graphicData>
            </a:graphic>
          </wp:anchor>
        </w:drawing>
        <w:t>NOTES TO UNAUDITED PRO FORMA CONDENSED COMBINED FINANCIAL INFORMATION</w:t>
      </w:r>
    </w:p>
    <w:p>
      <w:pPr>
        <w:spacing w:after="0" w:line="242" w:lineRule="exact"/>
        <w:rPr>
          <w:sz w:val="20"/>
          <w:szCs w:val="20"/>
          <w:color w:val="auto"/>
        </w:rPr>
      </w:pPr>
    </w:p>
    <w:p>
      <w:pPr>
        <w:ind w:left="404" w:hanging="404"/>
        <w:spacing w:after="0"/>
        <w:tabs>
          <w:tab w:leader="none" w:pos="404"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Pro Forma Presentation</w:t>
      </w:r>
    </w:p>
    <w:p>
      <w:pPr>
        <w:spacing w:after="0" w:line="119" w:lineRule="exact"/>
        <w:rPr>
          <w:sz w:val="20"/>
          <w:szCs w:val="20"/>
          <w:color w:val="auto"/>
        </w:rPr>
      </w:pPr>
    </w:p>
    <w:p>
      <w:pPr>
        <w:ind w:left="4" w:right="20"/>
        <w:spacing w:after="0" w:line="257" w:lineRule="auto"/>
        <w:rPr>
          <w:sz w:val="20"/>
          <w:szCs w:val="20"/>
          <w:color w:val="auto"/>
        </w:rPr>
      </w:pPr>
      <w:r>
        <w:rPr>
          <w:rFonts w:ascii="Arial" w:cs="Arial" w:eastAsia="Arial" w:hAnsi="Arial"/>
          <w:sz w:val="17"/>
          <w:szCs w:val="17"/>
          <w:color w:val="auto"/>
        </w:rPr>
        <w:t>The unaudited pro forma condensed combined financial statements have been prepared using the acquisition method of accounting with the Company as the acquiring entity. Under the acquisition method of accounting, the Company’s assets and liabilities will retain their carrying values and the assets and liabilities associated with Opco are recorded at their fair values measured as of the acquisition date. The excess of the purchase price over the estimated fair values of the net assets acquired, if applicable, are recorded as goodwill. The acquisition method of accounting is based on ASC 805 and uses the fair value concepts defined in ASC Topic 820, Fair Value Measurements (“</w:t>
      </w:r>
      <w:r>
        <w:rPr>
          <w:rFonts w:ascii="Arial" w:cs="Arial" w:eastAsia="Arial" w:hAnsi="Arial"/>
          <w:sz w:val="17"/>
          <w:szCs w:val="17"/>
          <w:b w:val="1"/>
          <w:bCs w:val="1"/>
          <w:color w:val="auto"/>
        </w:rPr>
        <w:t>ASC 820</w:t>
      </w:r>
      <w:r>
        <w:rPr>
          <w:rFonts w:ascii="Arial" w:cs="Arial" w:eastAsia="Arial" w:hAnsi="Arial"/>
          <w:sz w:val="17"/>
          <w:szCs w:val="17"/>
          <w:color w:val="auto"/>
        </w:rPr>
        <w:t>”). In general, ASC 805 requires, among other things, that assets acquired and liabilities assumed be recognized at their fair values as of the acquisition date by the Company, who was determined to be the accounting acquirer.</w:t>
      </w:r>
    </w:p>
    <w:p>
      <w:pPr>
        <w:spacing w:after="0" w:line="181"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71" w:lineRule="exact"/>
        <w:rPr>
          <w:sz w:val="20"/>
          <w:szCs w:val="20"/>
          <w:color w:val="auto"/>
        </w:rPr>
      </w:pPr>
    </w:p>
    <w:p>
      <w:pPr>
        <w:ind w:left="4" w:right="80"/>
        <w:spacing w:after="0" w:line="273" w:lineRule="auto"/>
        <w:rPr>
          <w:sz w:val="20"/>
          <w:szCs w:val="20"/>
          <w:color w:val="auto"/>
        </w:rPr>
      </w:pPr>
      <w:r>
        <w:rPr>
          <w:rFonts w:ascii="Arial" w:cs="Arial" w:eastAsia="Arial" w:hAnsi="Arial"/>
          <w:sz w:val="16"/>
          <w:szCs w:val="16"/>
          <w:color w:val="auto"/>
        </w:rPr>
        <w:t>The pro forma adjustments represent management’s estimates based on information available as of the date of the filing of the condensed combined financial statements and do not reflect possible adjustments related to restructuring or integration activities that have yet to be determined or transaction or other costs following the Business Combination that are not expected to have a continuing impact on the statement of operations. Further, estimated one-time transaction-related expenses incurred in connection with the consummation of the Business Combination are presented in the unaudited pro forma condensed combined statement of operations as if it was consummated on January 1, 2020. The impact of such transaction expenses incurred prior to the Business Combination are reflected in the unaudited pro forma condensed combined balance sheet as reductions to liabilities and a decrease to cash, whereas such transaction expenses incurred concurrently with the consummation of the Business Combination are reflected as an adjustment to retained earnings or members deficit and a decrease to cash. Such transaction expenses incurred and paid by Opco prior to the Business Combination have been adjusted as part of the Opco equity close out adjustment.</w:t>
      </w:r>
    </w:p>
    <w:p>
      <w:pPr>
        <w:spacing w:after="0" w:line="175" w:lineRule="exact"/>
        <w:rPr>
          <w:sz w:val="20"/>
          <w:szCs w:val="20"/>
          <w:color w:val="auto"/>
        </w:rPr>
      </w:pPr>
    </w:p>
    <w:p>
      <w:pPr>
        <w:ind w:left="4"/>
        <w:spacing w:after="0" w:line="301" w:lineRule="auto"/>
        <w:rPr>
          <w:sz w:val="20"/>
          <w:szCs w:val="20"/>
          <w:color w:val="auto"/>
        </w:rPr>
      </w:pPr>
      <w:r>
        <w:rPr>
          <w:rFonts w:ascii="Arial" w:cs="Arial" w:eastAsia="Arial" w:hAnsi="Arial"/>
          <w:sz w:val="15"/>
          <w:szCs w:val="15"/>
          <w:color w:val="auto"/>
        </w:rPr>
        <w:t>The accompanying unaudited pro forma condensed combined financial statements were prepared using the acquisition method of accounting in accordance with ASC 805 and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53" w:lineRule="exact"/>
        <w:rPr>
          <w:sz w:val="20"/>
          <w:szCs w:val="20"/>
          <w:color w:val="auto"/>
        </w:rPr>
      </w:pPr>
    </w:p>
    <w:p>
      <w:pPr>
        <w:ind w:left="4"/>
        <w:spacing w:after="0" w:line="306" w:lineRule="auto"/>
        <w:rPr>
          <w:sz w:val="20"/>
          <w:szCs w:val="20"/>
          <w:color w:val="auto"/>
        </w:rPr>
      </w:pPr>
      <w:r>
        <w:rPr>
          <w:rFonts w:ascii="Arial" w:cs="Arial" w:eastAsia="Arial" w:hAnsi="Arial"/>
          <w:sz w:val="15"/>
          <w:szCs w:val="15"/>
          <w:color w:val="auto"/>
        </w:rPr>
        <w:t>The unaudited pro forma condensed combined balance sheet as of September 30, 2021 gives pro forma effect to the Business Combination as if it had been consummated on September 30, 2021. The unaudited pro forma condensed combined statements of operations for the nine months ended September 30, 2021 and for the year ended December 31, 2020 present the pro forma effect of the Business Combination and B2S Acquisition as if each had been consummated on January 1, 2020. These periods are presented on the basis of the Company being the accounting acquirer.</w:t>
      </w:r>
    </w:p>
    <w:p>
      <w:pPr>
        <w:spacing w:after="0" w:line="8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84"/>
          </w:cols>
          <w:pgMar w:left="696" w:top="263" w:right="719" w:bottom="1440" w:gutter="0" w:footer="0" w:header="0"/>
        </w:sectPr>
      </w:pPr>
    </w:p>
    <w:bookmarkStart w:id="73" w:name="page74"/>
    <w:bookmarkEnd w:id="73"/>
    <w:p>
      <w:pPr>
        <w:ind w:left="404" w:hanging="404"/>
        <w:spacing w:after="0"/>
        <w:tabs>
          <w:tab w:leader="none" w:pos="40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0580" cy="37465"/>
                    </a:xfrm>
                    <a:prstGeom prst="rect">
                      <a:avLst/>
                    </a:prstGeom>
                    <a:noFill/>
                  </pic:spPr>
                </pic:pic>
              </a:graphicData>
            </a:graphic>
          </wp:anchor>
        </w:drawing>
        <w:t>Description of the Business Combination</w:t>
      </w:r>
    </w:p>
    <w:p>
      <w:pPr>
        <w:spacing w:after="0" w:line="119" w:lineRule="exact"/>
        <w:rPr>
          <w:sz w:val="20"/>
          <w:szCs w:val="20"/>
          <w:color w:val="auto"/>
        </w:rPr>
      </w:pPr>
    </w:p>
    <w:p>
      <w:pPr>
        <w:ind w:left="4"/>
        <w:spacing w:after="0" w:line="265" w:lineRule="auto"/>
        <w:rPr>
          <w:sz w:val="20"/>
          <w:szCs w:val="20"/>
          <w:color w:val="auto"/>
        </w:rPr>
      </w:pPr>
      <w:r>
        <w:rPr>
          <w:rFonts w:ascii="Arial" w:cs="Arial" w:eastAsia="Arial" w:hAnsi="Arial"/>
          <w:sz w:val="17"/>
          <w:szCs w:val="17"/>
          <w:color w:val="auto"/>
        </w:rPr>
        <w:t>Pursuant to the Merger Agreement, existing Opco owners received an aggregate of 208,200,000 Opco Common Units and an equal number of shares of Class V Common Stock. The Business Combination was structured as an Up-C transaction, whereby the existing Opco Owners own equity in Opco Common Units and a corresponding number of shares of Class V Common Stock.</w:t>
      </w:r>
    </w:p>
    <w:p>
      <w:pPr>
        <w:spacing w:after="0" w:line="311" w:lineRule="exact"/>
        <w:rPr>
          <w:sz w:val="20"/>
          <w:szCs w:val="20"/>
          <w:color w:val="auto"/>
        </w:rPr>
      </w:pPr>
    </w:p>
    <w:p>
      <w:pPr>
        <w:ind w:left="404" w:hanging="404"/>
        <w:spacing w:after="0"/>
        <w:tabs>
          <w:tab w:leader="none" w:pos="404"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Accounting Adjustments to Pro Forma Condensed Combined Balance Sheet</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7"/>
          <w:szCs w:val="17"/>
          <w:color w:val="auto"/>
        </w:rPr>
        <w:t>Explanations of the transaction accounting adjustments to the pro forma balance sheet are as follows:</w:t>
      </w:r>
    </w:p>
    <w:p>
      <w:pPr>
        <w:spacing w:after="0" w:line="126" w:lineRule="exact"/>
        <w:rPr>
          <w:sz w:val="20"/>
          <w:szCs w:val="20"/>
          <w:color w:val="auto"/>
        </w:rPr>
      </w:pPr>
    </w:p>
    <w:p>
      <w:pPr>
        <w:ind w:left="404" w:hanging="404"/>
        <w:spacing w:after="0"/>
        <w:tabs>
          <w:tab w:leader="none" w:pos="404"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adjustments to cash due to the following inflows and outflows as a result of the Business Combination.</w:t>
      </w:r>
    </w:p>
    <w:p>
      <w:pPr>
        <w:spacing w:after="0" w:line="232" w:lineRule="exact"/>
        <w:rPr>
          <w:sz w:val="20"/>
          <w:szCs w:val="20"/>
          <w:color w:val="auto"/>
        </w:rPr>
      </w:pPr>
    </w:p>
    <w:tbl>
      <w:tblPr>
        <w:tblLayout w:type="fixed"/>
        <w:tblInd w:w="1684" w:type="dxa"/>
        <w:tblCellMar>
          <w:top w:w="0" w:type="dxa"/>
          <w:left w:w="0" w:type="dxa"/>
          <w:bottom w:w="0" w:type="dxa"/>
          <w:right w:w="0" w:type="dxa"/>
        </w:tblCellMar>
      </w:tblPr>
      <w:tr>
        <w:trPr>
          <w:trHeight w:val="164"/>
        </w:trPr>
        <w:tc>
          <w:tcPr>
            <w:tcW w:w="65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Trust Account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$207.4</w:t>
            </w: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PIPE Investment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325.0</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Public Shareholder redemptions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(84.5)</w:t>
            </w: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Opco Incentive Unit redemptions</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Buyer transaction costs</w:t>
            </w:r>
            <w:r>
              <w:rPr>
                <w:rFonts w:ascii="Arial" w:cs="Arial" w:eastAsia="Arial" w:hAnsi="Arial"/>
                <w:sz w:val="14"/>
                <w:szCs w:val="14"/>
                <w:color w:val="auto"/>
              </w:rPr>
              <w:t>(1)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(36.8)</w:t>
            </w: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Seller expenses</w:t>
            </w:r>
            <w:r>
              <w:rPr>
                <w:rFonts w:ascii="Arial" w:cs="Arial" w:eastAsia="Arial" w:hAnsi="Arial"/>
                <w:sz w:val="14"/>
                <w:szCs w:val="14"/>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(19.6)</w:t>
            </w:r>
          </w:p>
        </w:tc>
      </w:tr>
      <w:tr>
        <w:trPr>
          <w:trHeight w:val="26"/>
        </w:trPr>
        <w:tc>
          <w:tcPr>
            <w:tcW w:w="6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88"/>
              </w:rPr>
              <w:t>$390.0</w:t>
            </w:r>
          </w:p>
        </w:tc>
      </w:tr>
    </w:tbl>
    <w:p>
      <w:pPr>
        <w:spacing w:after="0" w:line="219" w:lineRule="exact"/>
        <w:rPr>
          <w:sz w:val="20"/>
          <w:szCs w:val="20"/>
          <w:color w:val="auto"/>
        </w:rPr>
      </w:pPr>
    </w:p>
    <w:p>
      <w:pPr>
        <w:ind w:left="404" w:hanging="404"/>
        <w:spacing w:after="0"/>
        <w:tabs>
          <w:tab w:leader="none" w:pos="404" w:val="left"/>
        </w:tabs>
        <w:numPr>
          <w:ilvl w:val="0"/>
          <w:numId w:val="34"/>
        </w:numPr>
        <w:rPr>
          <w:rFonts w:ascii="Arial" w:cs="Arial" w:eastAsia="Arial" w:hAnsi="Arial"/>
          <w:sz w:val="15"/>
          <w:szCs w:val="15"/>
          <w:color w:val="auto"/>
        </w:rPr>
      </w:pPr>
      <w:r>
        <w:rPr>
          <w:rFonts w:ascii="Arial" w:cs="Arial" w:eastAsia="Arial" w:hAnsi="Arial"/>
          <w:sz w:val="17"/>
          <w:szCs w:val="17"/>
          <w:color w:val="auto"/>
        </w:rPr>
        <w:t>Includes $13.0 million fees associated with the PIPE Investment that are netted against the proceeds from the equity issuance.</w:t>
      </w:r>
    </w:p>
    <w:p>
      <w:pPr>
        <w:spacing w:after="0" w:line="21" w:lineRule="exact"/>
        <w:rPr>
          <w:rFonts w:ascii="Arial" w:cs="Arial" w:eastAsia="Arial" w:hAnsi="Arial"/>
          <w:sz w:val="15"/>
          <w:szCs w:val="15"/>
          <w:color w:val="auto"/>
        </w:rPr>
      </w:pPr>
    </w:p>
    <w:p>
      <w:pPr>
        <w:ind w:left="404" w:hanging="404"/>
        <w:spacing w:after="0"/>
        <w:tabs>
          <w:tab w:leader="none" w:pos="404" w:val="left"/>
        </w:tabs>
        <w:numPr>
          <w:ilvl w:val="0"/>
          <w:numId w:val="34"/>
        </w:numPr>
        <w:rPr>
          <w:rFonts w:ascii="Arial" w:cs="Arial" w:eastAsia="Arial" w:hAnsi="Arial"/>
          <w:sz w:val="15"/>
          <w:szCs w:val="15"/>
          <w:color w:val="auto"/>
        </w:rPr>
      </w:pPr>
      <w:r>
        <w:rPr>
          <w:rFonts w:ascii="Arial" w:cs="Arial" w:eastAsia="Arial" w:hAnsi="Arial"/>
          <w:sz w:val="17"/>
          <w:szCs w:val="17"/>
          <w:color w:val="auto"/>
        </w:rPr>
        <w:t>Excludes $6.4 million seller’s closing costs that were paid as of September 30, 2021.</w:t>
      </w:r>
    </w:p>
    <w:p>
      <w:pPr>
        <w:spacing w:after="0" w:line="141" w:lineRule="exact"/>
        <w:rPr>
          <w:sz w:val="20"/>
          <w:szCs w:val="20"/>
          <w:color w:val="auto"/>
        </w:rPr>
      </w:pPr>
    </w:p>
    <w:p>
      <w:pPr>
        <w:jc w:val="center"/>
        <w:ind w:right="-83"/>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04"/>
          </w:cols>
          <w:pgMar w:left="696" w:top="263" w:right="799" w:bottom="1440" w:gutter="0" w:footer="0" w:header="0"/>
        </w:sectPr>
      </w:pPr>
    </w:p>
    <w:bookmarkStart w:id="74" w:name="page75"/>
    <w:bookmarkEnd w:id="74"/>
    <w:p>
      <w:pPr>
        <w:ind w:left="404" w:right="40" w:hanging="404"/>
        <w:spacing w:after="0" w:line="265" w:lineRule="auto"/>
        <w:tabs>
          <w:tab w:leader="none" w:pos="404"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Reflects the release of $207.4 million of cash and cash equivalents held in the Trust Account that became available for transaction consideration, transaction expenses, underwriting commission, redemption of Public Shares, and the operating activities of the Company following the Business Combination.</w:t>
      </w:r>
    </w:p>
    <w:p>
      <w:pPr>
        <w:spacing w:after="0" w:line="85" w:lineRule="exact"/>
        <w:rPr>
          <w:rFonts w:ascii="Arial" w:cs="Arial" w:eastAsia="Arial" w:hAnsi="Arial"/>
          <w:sz w:val="17"/>
          <w:szCs w:val="17"/>
          <w:color w:val="auto"/>
        </w:rPr>
      </w:pPr>
    </w:p>
    <w:p>
      <w:pPr>
        <w:ind w:left="404" w:hanging="404"/>
        <w:spacing w:after="0" w:line="296" w:lineRule="auto"/>
        <w:tabs>
          <w:tab w:leader="none" w:pos="404"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Represents the adjustment for the estimated preliminary purchase price allocation for the Opco business resulting from the Business Combination. The preliminary calculation of total consideration and allocation of the purchase price to the fair value of Opco’s assets acquired and liabilities assumed is presented below as if the Business Combination was consummated on September 30, 2021. The Company’s evaluation of the fair value of assets acquired and the liabilities assumed is preliminary and, accordingly, the adjustments to record the assets acquired and liabilities assumed at fair value reflect the best estimates of the Company based on the information currently available and are subject to change once additional analyses are completed. Potential differences may include, but are not limited to, changes in balance sheet as of the Business Combination date which may change the allocation to intangible assets and change in fair value of property, plant, and equipment.</w:t>
      </w:r>
    </w:p>
    <w:p>
      <w:pPr>
        <w:spacing w:after="0" w:line="54" w:lineRule="exact"/>
        <w:rPr>
          <w:rFonts w:ascii="Arial" w:cs="Arial" w:eastAsia="Arial" w:hAnsi="Arial"/>
          <w:sz w:val="15"/>
          <w:szCs w:val="15"/>
          <w:color w:val="auto"/>
        </w:rPr>
      </w:pPr>
    </w:p>
    <w:p>
      <w:pPr>
        <w:ind w:left="424"/>
        <w:spacing w:after="0"/>
        <w:rPr>
          <w:rFonts w:ascii="Arial" w:cs="Arial" w:eastAsia="Arial" w:hAnsi="Arial"/>
          <w:sz w:val="15"/>
          <w:szCs w:val="15"/>
          <w:color w:val="auto"/>
        </w:rPr>
      </w:pPr>
      <w:r>
        <w:rPr>
          <w:rFonts w:ascii="Arial" w:cs="Arial" w:eastAsia="Arial" w:hAnsi="Arial"/>
          <w:sz w:val="17"/>
          <w:szCs w:val="17"/>
          <w:color w:val="auto"/>
        </w:rPr>
        <w:t>The following is a preliminary estimate of the fair value of consideration transferred in the Business Combination.</w:t>
      </w:r>
    </w:p>
    <w:p>
      <w:pPr>
        <w:spacing w:after="0" w:line="232" w:lineRule="exact"/>
        <w:rPr>
          <w:sz w:val="20"/>
          <w:szCs w:val="20"/>
          <w:color w:val="auto"/>
        </w:rPr>
      </w:pPr>
    </w:p>
    <w:tbl>
      <w:tblPr>
        <w:tblLayout w:type="fixed"/>
        <w:tblInd w:w="1684" w:type="dxa"/>
        <w:tblCellMar>
          <w:top w:w="0" w:type="dxa"/>
          <w:left w:w="0" w:type="dxa"/>
          <w:bottom w:w="0" w:type="dxa"/>
          <w:right w:w="0" w:type="dxa"/>
        </w:tblCellMar>
      </w:tblPr>
      <w:tr>
        <w:trPr>
          <w:trHeight w:val="184"/>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55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Pro Forma</w:t>
            </w:r>
          </w:p>
        </w:tc>
      </w:tr>
      <w:tr>
        <w:trPr>
          <w:trHeight w:val="166"/>
        </w:trPr>
        <w:tc>
          <w:tcPr>
            <w:tcW w:w="6380" w:type="dxa"/>
            <w:vAlign w:val="bottom"/>
            <w:tcBorders>
              <w:top w:val="single" w:sz="8" w:color="CCEEFF"/>
            </w:tcBorders>
            <w:gridSpan w:val="2"/>
            <w:shd w:val="clear" w:color="auto" w:fill="CCEEFF"/>
          </w:tcPr>
          <w:p>
            <w:pPr>
              <w:ind w:left="340"/>
              <w:spacing w:after="0" w:line="167" w:lineRule="exact"/>
              <w:rPr>
                <w:sz w:val="20"/>
                <w:szCs w:val="20"/>
                <w:color w:val="auto"/>
              </w:rPr>
            </w:pPr>
            <w:r>
              <w:rPr>
                <w:rFonts w:ascii="Arial" w:cs="Arial" w:eastAsia="Arial" w:hAnsi="Arial"/>
                <w:sz w:val="17"/>
                <w:szCs w:val="17"/>
                <w:color w:val="auto"/>
                <w:w w:val="99"/>
              </w:rPr>
              <w:t>Equity consideration paid to existing ownership in Opco (Common Units) and the</w:t>
            </w: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5"/>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Company (Class V Common Stock), net of $35.4 million post combination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9"/>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7"/>
              </w:rPr>
              <w:t>expense and $7.5 million of units issuable upon exercise of the Opco Warrant</w:t>
            </w:r>
            <w:r>
              <w:rPr>
                <w:rFonts w:ascii="Arial" w:cs="Arial" w:eastAsia="Arial" w:hAnsi="Arial"/>
                <w:sz w:val="14"/>
                <w:szCs w:val="14"/>
                <w:color w:val="auto"/>
                <w:w w:val="97"/>
              </w:rPr>
              <w:t>(1)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$ 1,926.7</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Cash paid for redeemed Opco Incentive Units</w:t>
            </w:r>
            <w:r>
              <w:rPr>
                <w:rFonts w:ascii="Arial" w:cs="Arial" w:eastAsia="Arial" w:hAnsi="Arial"/>
                <w:sz w:val="14"/>
                <w:szCs w:val="14"/>
                <w:color w:val="auto"/>
              </w:rPr>
              <w:t>(2)</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paid for seller transaction costs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26.0</w:t>
            </w:r>
          </w:p>
        </w:tc>
      </w:tr>
      <w:tr>
        <w:trPr>
          <w:trHeight w:val="212"/>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Total consideration</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Property, equipment and software, net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28.1</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Intangible assets</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574.6</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Goodwill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1,352.4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Non-current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noncurrent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16"/>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Net assets acquired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924" w:right="100" w:hanging="512"/>
        <w:spacing w:after="0" w:line="255" w:lineRule="auto"/>
        <w:tabs>
          <w:tab w:leader="none" w:pos="924" w:val="left"/>
        </w:tabs>
        <w:numPr>
          <w:ilvl w:val="0"/>
          <w:numId w:val="36"/>
        </w:numPr>
        <w:rPr>
          <w:rFonts w:ascii="Arial" w:cs="Arial" w:eastAsia="Arial" w:hAnsi="Arial"/>
          <w:sz w:val="15"/>
          <w:szCs w:val="15"/>
          <w:color w:val="auto"/>
        </w:rPr>
      </w:pPr>
      <w:r>
        <w:rPr>
          <w:rFonts w:ascii="Arial" w:cs="Arial" w:eastAsia="Arial" w:hAnsi="Arial"/>
          <w:sz w:val="17"/>
          <w:szCs w:val="17"/>
          <w:color w:val="auto"/>
        </w:rPr>
        <w:t>Represents the fair value of the 208.2 million Opco Common Units issued to Equity Holders based on the October 14, 2021 closing price of Class A Ordinary Shares of $9.46 per share, excluding $35.4 million attributable to the Opco Incentive Units, which vest in equal installments on each of the first and second anniversaries of the effective time of the Business Combination and will be reflected in post-combination compensation expense over the remaining two-year vesting period, and $7.5 million attributable to units issuable upon the exercise of the Opco Warrant.</w:t>
      </w:r>
    </w:p>
    <w:p>
      <w:pPr>
        <w:spacing w:after="0" w:line="1" w:lineRule="exact"/>
        <w:rPr>
          <w:rFonts w:ascii="Arial" w:cs="Arial" w:eastAsia="Arial" w:hAnsi="Arial"/>
          <w:sz w:val="15"/>
          <w:szCs w:val="15"/>
          <w:color w:val="auto"/>
        </w:rPr>
      </w:pPr>
    </w:p>
    <w:p>
      <w:pPr>
        <w:ind w:left="924" w:right="360" w:hanging="512"/>
        <w:spacing w:after="0" w:line="265" w:lineRule="auto"/>
        <w:tabs>
          <w:tab w:leader="none" w:pos="924" w:val="left"/>
        </w:tabs>
        <w:numPr>
          <w:ilvl w:val="0"/>
          <w:numId w:val="36"/>
        </w:numPr>
        <w:rPr>
          <w:rFonts w:ascii="Arial" w:cs="Arial" w:eastAsia="Arial" w:hAnsi="Arial"/>
          <w:sz w:val="15"/>
          <w:szCs w:val="15"/>
          <w:color w:val="auto"/>
        </w:rPr>
      </w:pPr>
      <w:r>
        <w:rPr>
          <w:rFonts w:ascii="Arial" w:cs="Arial" w:eastAsia="Arial" w:hAnsi="Arial"/>
          <w:sz w:val="17"/>
          <w:szCs w:val="17"/>
          <w:color w:val="auto"/>
        </w:rPr>
        <w:t>Represents the cash paid to Opco Equity Holders in exchange for the redemption of 40% of the first one-third of their Opco Incentive Units which vested at the effective time of the Business Combination.</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444"/>
          </w:cols>
          <w:pgMar w:left="696" w:top="269" w:right="759" w:bottom="1440" w:gutter="0" w:footer="0" w:header="0"/>
        </w:sectPr>
      </w:pPr>
    </w:p>
    <w:bookmarkStart w:id="75" w:name="page76"/>
    <w:bookmarkEnd w:id="75"/>
    <w:p>
      <w:pPr>
        <w:ind w:left="4" w:right="60"/>
        <w:spacing w:after="0" w:line="27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0580" cy="37465"/>
                    </a:xfrm>
                    <a:prstGeom prst="rect">
                      <a:avLst/>
                    </a:prstGeom>
                    <a:noFill/>
                  </pic:spPr>
                </pic:pic>
              </a:graphicData>
            </a:graphic>
          </wp:anchor>
        </w:drawing>
        <w:t xml:space="preserve">Intangible Assets: </w:t>
      </w:r>
      <w:r>
        <w:rPr>
          <w:rFonts w:ascii="Arial" w:cs="Arial" w:eastAsia="Arial" w:hAnsi="Arial"/>
          <w:sz w:val="16"/>
          <w:szCs w:val="16"/>
          <w:color w:val="auto"/>
        </w:rPr>
        <w:t>The following describes intangible assets that met either the separability criterion or the contractual-legal criterion described in ASC</w:t>
      </w:r>
      <w:r>
        <w:rPr>
          <w:rFonts w:ascii="Arial" w:cs="Arial" w:eastAsia="Arial" w:hAnsi="Arial"/>
          <w:sz w:val="16"/>
          <w:szCs w:val="16"/>
          <w:i w:val="1"/>
          <w:iCs w:val="1"/>
          <w:color w:val="auto"/>
        </w:rPr>
        <w:t xml:space="preserve"> </w:t>
      </w:r>
      <w:r>
        <w:rPr>
          <w:rFonts w:ascii="Arial" w:cs="Arial" w:eastAsia="Arial" w:hAnsi="Arial"/>
          <w:sz w:val="16"/>
          <w:szCs w:val="16"/>
          <w:color w:val="auto"/>
        </w:rPr>
        <w:t>805, and the anticipated valuation approach. The estimated fair values of intangible assets are based on information available as of the date of this filing and may differ materially as new information is made available and purchase accounting is applied. The trademark and trade name intangible assets represent the trade names that Opco originated or acquired which was valued using the relief-from-royalty method. The licenses intangible assets represent the money transmitter licenses, New York State virtual currency license, and other regulatory licenses held by Opco which were valued using the with-and-without method, a form of the income approach. The customer relationships intangible asset represents the existing customer relationships of Opco that was estimated by applying the multi-period excess earnings method. The developed technology intangible asset represents technology acquired or developed by Opco for the purpose of generating income for Opco, which was valued using the relief-from-royalty method. The access to exchanges intangible asset represents Opco’s rights to use exchange and clearing licenses which were valued using the multi-period excess earnings method.</w:t>
      </w:r>
    </w:p>
    <w:p>
      <w:pPr>
        <w:spacing w:after="0" w:line="167" w:lineRule="exact"/>
        <w:rPr>
          <w:sz w:val="20"/>
          <w:szCs w:val="20"/>
          <w:color w:val="auto"/>
        </w:rPr>
      </w:pPr>
    </w:p>
    <w:tbl>
      <w:tblPr>
        <w:tblLayout w:type="fixed"/>
        <w:tblInd w:w="1264" w:type="dxa"/>
        <w:tblCellMar>
          <w:top w:w="0" w:type="dxa"/>
          <w:left w:w="0" w:type="dxa"/>
          <w:bottom w:w="0" w:type="dxa"/>
          <w:right w:w="0" w:type="dxa"/>
        </w:tblCellMar>
      </w:tblPr>
      <w:tr>
        <w:trPr>
          <w:trHeight w:val="16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Weighted Average</w:t>
            </w:r>
          </w:p>
        </w:tc>
        <w:tc>
          <w:tcPr>
            <w:tcW w:w="360" w:type="dxa"/>
            <w:vAlign w:val="bottom"/>
          </w:tcPr>
          <w:p>
            <w:pPr>
              <w:spacing w:after="0"/>
              <w:rPr>
                <w:sz w:val="14"/>
                <w:szCs w:val="14"/>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1"/>
        </w:trPr>
        <w:tc>
          <w:tcPr>
            <w:tcW w:w="5480" w:type="dxa"/>
            <w:vAlign w:val="bottom"/>
            <w:gridSpan w:val="2"/>
            <w:vMerge w:val="continue"/>
          </w:tcPr>
          <w:p>
            <w:pPr>
              <w:spacing w:after="0"/>
              <w:rPr>
                <w:sz w:val="13"/>
                <w:szCs w:val="13"/>
                <w:color w:val="auto"/>
              </w:rPr>
            </w:pPr>
          </w:p>
        </w:tc>
        <w:tc>
          <w:tcPr>
            <w:tcW w:w="1460" w:type="dxa"/>
            <w:vAlign w:val="bottom"/>
            <w:gridSpan w:val="2"/>
          </w:tcPr>
          <w:p>
            <w:pPr>
              <w:jc w:val="right"/>
              <w:ind w:right="360"/>
              <w:spacing w:after="0" w:line="151" w:lineRule="exact"/>
              <w:rPr>
                <w:sz w:val="20"/>
                <w:szCs w:val="20"/>
                <w:color w:val="auto"/>
              </w:rPr>
            </w:pPr>
            <w:r>
              <w:rPr>
                <w:rFonts w:ascii="Arial" w:cs="Arial" w:eastAsia="Arial" w:hAnsi="Arial"/>
                <w:sz w:val="14"/>
                <w:szCs w:val="14"/>
                <w:b w:val="1"/>
                <w:bCs w:val="1"/>
                <w:color w:val="auto"/>
                <w:w w:val="87"/>
              </w:rPr>
              <w:t>Useful Life (Years)</w:t>
            </w:r>
          </w:p>
        </w:tc>
        <w:tc>
          <w:tcPr>
            <w:tcW w:w="36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8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Indefinite-lived</w:t>
            </w: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480" w:type="dxa"/>
            <w:vAlign w:val="bottom"/>
            <w:gridSpan w:val="2"/>
          </w:tcPr>
          <w:p>
            <w:pPr>
              <w:ind w:left="340"/>
              <w:spacing w:after="0"/>
              <w:rPr>
                <w:sz w:val="20"/>
                <w:szCs w:val="20"/>
                <w:color w:val="auto"/>
              </w:rPr>
            </w:pPr>
            <w:r>
              <w:rPr>
                <w:rFonts w:ascii="Arial" w:cs="Arial" w:eastAsia="Arial" w:hAnsi="Arial"/>
                <w:sz w:val="17"/>
                <w:szCs w:val="17"/>
                <w:color w:val="auto"/>
              </w:rPr>
              <w:t>Trademark / Trade Names</w:t>
            </w:r>
          </w:p>
        </w:tc>
        <w:tc>
          <w:tcPr>
            <w:tcW w:w="1460" w:type="dxa"/>
            <w:vAlign w:val="bottom"/>
            <w:gridSpan w:val="2"/>
          </w:tcPr>
          <w:p>
            <w:pPr>
              <w:jc w:val="right"/>
              <w:ind w:right="360"/>
              <w:spacing w:after="0"/>
              <w:rPr>
                <w:sz w:val="20"/>
                <w:szCs w:val="20"/>
                <w:color w:val="auto"/>
              </w:rPr>
            </w:pPr>
            <w:r>
              <w:rPr>
                <w:rFonts w:ascii="Arial" w:cs="Arial" w:eastAsia="Arial" w:hAnsi="Arial"/>
                <w:sz w:val="17"/>
                <w:szCs w:val="17"/>
                <w:color w:val="auto"/>
              </w:rPr>
              <w:t>n/a</w:t>
            </w:r>
          </w:p>
        </w:tc>
        <w:tc>
          <w:tcPr>
            <w:tcW w:w="5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6"/>
        </w:trPr>
        <w:tc>
          <w:tcPr>
            <w:tcW w:w="5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 – MTL and BIT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206"/>
        </w:trPr>
        <w:tc>
          <w:tcPr>
            <w:tcW w:w="5480" w:type="dxa"/>
            <w:vAlign w:val="bottom"/>
            <w:gridSpan w:val="2"/>
          </w:tcPr>
          <w:p>
            <w:pPr>
              <w:ind w:left="340"/>
              <w:spacing w:after="0"/>
              <w:rPr>
                <w:sz w:val="20"/>
                <w:szCs w:val="20"/>
                <w:color w:val="auto"/>
              </w:rPr>
            </w:pPr>
            <w:r>
              <w:rPr>
                <w:rFonts w:ascii="Arial" w:cs="Arial" w:eastAsia="Arial" w:hAnsi="Arial"/>
                <w:sz w:val="17"/>
                <w:szCs w:val="17"/>
                <w:color w:val="auto"/>
              </w:rPr>
              <w:t>Licenses – Trust</w:t>
            </w:r>
          </w:p>
        </w:tc>
        <w:tc>
          <w:tcPr>
            <w:tcW w:w="1460" w:type="dxa"/>
            <w:vAlign w:val="bottom"/>
            <w:gridSpan w:val="2"/>
          </w:tcPr>
          <w:p>
            <w:pPr>
              <w:jc w:val="right"/>
              <w:ind w:right="360"/>
              <w:spacing w:after="0"/>
              <w:rPr>
                <w:sz w:val="20"/>
                <w:szCs w:val="20"/>
                <w:color w:val="auto"/>
              </w:rPr>
            </w:pPr>
            <w:r>
              <w:rPr>
                <w:rFonts w:ascii="Arial" w:cs="Arial" w:eastAsia="Arial" w:hAnsi="Arial"/>
                <w:sz w:val="17"/>
                <w:szCs w:val="17"/>
                <w:color w:val="auto"/>
              </w:rPr>
              <w:t>n/a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06"/>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Definite-lived</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80" w:type="dxa"/>
            <w:vAlign w:val="bottom"/>
            <w:gridSpan w:val="2"/>
          </w:tcPr>
          <w:p>
            <w:pPr>
              <w:ind w:left="340"/>
              <w:spacing w:after="0"/>
              <w:rPr>
                <w:sz w:val="20"/>
                <w:szCs w:val="20"/>
                <w:color w:val="auto"/>
              </w:rPr>
            </w:pPr>
            <w:r>
              <w:rPr>
                <w:rFonts w:ascii="Arial" w:cs="Arial" w:eastAsia="Arial" w:hAnsi="Arial"/>
                <w:sz w:val="17"/>
                <w:szCs w:val="17"/>
                <w:color w:val="auto"/>
              </w:rPr>
              <w:t>Customer Relationship – Consumer</w:t>
            </w:r>
          </w:p>
        </w:tc>
        <w:tc>
          <w:tcPr>
            <w:tcW w:w="1460" w:type="dxa"/>
            <w:vAlign w:val="bottom"/>
            <w:gridSpan w:val="2"/>
          </w:tcPr>
          <w:p>
            <w:pPr>
              <w:jc w:val="right"/>
              <w:ind w:right="360"/>
              <w:spacing w:after="0"/>
              <w:rPr>
                <w:sz w:val="20"/>
                <w:szCs w:val="20"/>
                <w:color w:val="auto"/>
              </w:rPr>
            </w:pPr>
            <w:r>
              <w:rPr>
                <w:rFonts w:ascii="Arial" w:cs="Arial" w:eastAsia="Arial" w:hAnsi="Arial"/>
                <w:sz w:val="17"/>
                <w:szCs w:val="17"/>
                <w:color w:val="auto"/>
              </w:rPr>
              <w:t>8.5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5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 – Loyalty</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6"/>
        </w:trPr>
        <w:tc>
          <w:tcPr>
            <w:tcW w:w="5480" w:type="dxa"/>
            <w:vAlign w:val="bottom"/>
            <w:gridSpan w:val="2"/>
          </w:tcPr>
          <w:p>
            <w:pPr>
              <w:ind w:left="340"/>
              <w:spacing w:after="0"/>
              <w:rPr>
                <w:sz w:val="20"/>
                <w:szCs w:val="20"/>
                <w:color w:val="auto"/>
              </w:rPr>
            </w:pPr>
            <w:r>
              <w:rPr>
                <w:rFonts w:ascii="Arial" w:cs="Arial" w:eastAsia="Arial" w:hAnsi="Arial"/>
                <w:sz w:val="17"/>
                <w:szCs w:val="17"/>
                <w:color w:val="auto"/>
              </w:rPr>
              <w:t>Developed Technology – Consumer</w:t>
            </w:r>
          </w:p>
        </w:tc>
        <w:tc>
          <w:tcPr>
            <w:tcW w:w="1460" w:type="dxa"/>
            <w:vAlign w:val="bottom"/>
            <w:gridSpan w:val="2"/>
          </w:tcPr>
          <w:p>
            <w:pPr>
              <w:jc w:val="right"/>
              <w:ind w:right="360"/>
              <w:spacing w:after="0"/>
              <w:rPr>
                <w:sz w:val="20"/>
                <w:szCs w:val="20"/>
                <w:color w:val="auto"/>
              </w:rPr>
            </w:pPr>
            <w:r>
              <w:rPr>
                <w:rFonts w:ascii="Arial" w:cs="Arial" w:eastAsia="Arial" w:hAnsi="Arial"/>
                <w:sz w:val="17"/>
                <w:szCs w:val="17"/>
                <w:color w:val="auto"/>
              </w:rPr>
              <w:t>6.0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6"/>
        </w:trPr>
        <w:tc>
          <w:tcPr>
            <w:tcW w:w="5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 – Loyalty</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5480" w:type="dxa"/>
            <w:vAlign w:val="bottom"/>
            <w:gridSpan w:val="2"/>
          </w:tcPr>
          <w:p>
            <w:pPr>
              <w:ind w:left="340"/>
              <w:spacing w:after="0"/>
              <w:rPr>
                <w:sz w:val="20"/>
                <w:szCs w:val="20"/>
                <w:color w:val="auto"/>
              </w:rPr>
            </w:pPr>
            <w:r>
              <w:rPr>
                <w:rFonts w:ascii="Arial" w:cs="Arial" w:eastAsia="Arial" w:hAnsi="Arial"/>
                <w:sz w:val="17"/>
                <w:szCs w:val="17"/>
                <w:color w:val="auto"/>
              </w:rPr>
              <w:t>Developed Technology – Markets</w:t>
            </w:r>
          </w:p>
        </w:tc>
        <w:tc>
          <w:tcPr>
            <w:tcW w:w="1460" w:type="dxa"/>
            <w:vAlign w:val="bottom"/>
            <w:gridSpan w:val="2"/>
          </w:tcPr>
          <w:p>
            <w:pPr>
              <w:jc w:val="right"/>
              <w:ind w:right="360"/>
              <w:spacing w:after="0"/>
              <w:rPr>
                <w:sz w:val="20"/>
                <w:szCs w:val="20"/>
                <w:color w:val="auto"/>
              </w:rPr>
            </w:pPr>
            <w:r>
              <w:rPr>
                <w:rFonts w:ascii="Arial" w:cs="Arial" w:eastAsia="Arial" w:hAnsi="Arial"/>
                <w:sz w:val="17"/>
                <w:szCs w:val="17"/>
                <w:color w:val="auto"/>
              </w:rPr>
              <w:t>4.0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5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
        <w:spacing w:after="0" w:line="259"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Approximately $1,352.4 million has been allocated to goodwill. Goodwill represents the excess of the gross consideration transferred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 of the underlying net tangible and identifiable intangible assets acquired. Qualitative factors that contribute to the recognition of goodwill include certain intangible assets that are not recognized as separate identifiable intangible assets. Goodwill represents future economic benefits arising from acquiring Opco primarily due to its strong market position and its assembled workforce that are not individually identified and separately recognized as intangible assets.</w:t>
      </w:r>
    </w:p>
    <w:p>
      <w:pPr>
        <w:spacing w:after="0" w:line="180" w:lineRule="exact"/>
        <w:rPr>
          <w:sz w:val="20"/>
          <w:szCs w:val="20"/>
          <w:color w:val="auto"/>
        </w:rPr>
      </w:pPr>
    </w:p>
    <w:p>
      <w:pPr>
        <w:ind w:left="4" w:right="120"/>
        <w:spacing w:after="0" w:line="282" w:lineRule="auto"/>
        <w:rPr>
          <w:sz w:val="20"/>
          <w:szCs w:val="20"/>
          <w:color w:val="auto"/>
        </w:rPr>
      </w:pPr>
      <w:r>
        <w:rPr>
          <w:rFonts w:ascii="Arial" w:cs="Arial" w:eastAsia="Arial" w:hAnsi="Arial"/>
          <w:sz w:val="16"/>
          <w:szCs w:val="16"/>
          <w:color w:val="auto"/>
        </w:rPr>
        <w:t>In accordance with ASC Topic 350, Goodwill and Other Intangible Assets, goodwill and indefinite lived intangible assets related to certain acquired brands will not be amortized, but instead will be tested for impairment at least annually or more frequently if certain indicators are present. In the event management of the combined company determines that the value of goodwill and/or indefinite/finite lived intangible assets has become impaired, an accounting charge for impairment during the quarter in which the determination is made may be recognized.</w:t>
      </w:r>
    </w:p>
    <w:p>
      <w:pPr>
        <w:spacing w:after="0" w:line="74" w:lineRule="exact"/>
        <w:rPr>
          <w:sz w:val="20"/>
          <w:szCs w:val="20"/>
          <w:color w:val="auto"/>
        </w:rPr>
      </w:pPr>
    </w:p>
    <w:p>
      <w:pPr>
        <w:ind w:left="404" w:right="40" w:hanging="404"/>
        <w:spacing w:after="0" w:line="261" w:lineRule="auto"/>
        <w:tabs>
          <w:tab w:leader="none" w:pos="4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a reduction in deferred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88" w:lineRule="exact"/>
        <w:rPr>
          <w:rFonts w:ascii="Arial" w:cs="Arial" w:eastAsia="Arial" w:hAnsi="Arial"/>
          <w:sz w:val="17"/>
          <w:szCs w:val="17"/>
          <w:color w:val="auto"/>
        </w:rPr>
      </w:pPr>
    </w:p>
    <w:p>
      <w:pPr>
        <w:ind w:left="404" w:right="120" w:hanging="404"/>
        <w:spacing w:after="0" w:line="278" w:lineRule="auto"/>
        <w:tabs>
          <w:tab w:leader="none" w:pos="4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the payment of $11.6 million of estimated acquisition-related expenses and $7.3 million of deferred underwriters’ and legal fees payable incurred by Opco and the Company, respectively.</w:t>
      </w:r>
    </w:p>
    <w:p>
      <w:pPr>
        <w:spacing w:after="0" w:line="74" w:lineRule="exact"/>
        <w:rPr>
          <w:rFonts w:ascii="Arial" w:cs="Arial" w:eastAsia="Arial" w:hAnsi="Arial"/>
          <w:sz w:val="17"/>
          <w:szCs w:val="17"/>
          <w:color w:val="auto"/>
        </w:rPr>
      </w:pPr>
    </w:p>
    <w:p>
      <w:pPr>
        <w:ind w:left="404" w:right="260" w:hanging="404"/>
        <w:spacing w:after="0" w:line="278" w:lineRule="auto"/>
        <w:tabs>
          <w:tab w:leader="none" w:pos="4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the $6.0 million increase in the fair value of participation units issued by Opco to its management upon consummation of the Business Combination (“</w:t>
      </w:r>
      <w:r>
        <w:rPr>
          <w:rFonts w:ascii="Arial" w:cs="Arial" w:eastAsia="Arial" w:hAnsi="Arial"/>
          <w:sz w:val="17"/>
          <w:szCs w:val="17"/>
          <w:b w:val="1"/>
          <w:bCs w:val="1"/>
          <w:color w:val="auto"/>
        </w:rPr>
        <w:t>Opco Participation Units</w:t>
      </w:r>
      <w:r>
        <w:rPr>
          <w:rFonts w:ascii="Arial" w:cs="Arial" w:eastAsia="Arial" w:hAnsi="Arial"/>
          <w:sz w:val="17"/>
          <w:szCs w:val="17"/>
          <w:color w:val="auto"/>
        </w:rPr>
        <w:t>”).</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484"/>
          </w:cols>
          <w:pgMar w:left="696" w:top="269" w:right="719" w:bottom="1440" w:gutter="0" w:footer="0" w:header="0"/>
        </w:sectPr>
      </w:pPr>
    </w:p>
    <w:bookmarkStart w:id="76" w:name="page77"/>
    <w:bookmarkEnd w:id="76"/>
    <w:p>
      <w:pPr>
        <w:ind w:left="404" w:hanging="404"/>
        <w:spacing w:after="0"/>
        <w:tabs>
          <w:tab w:leader="none" w:pos="404"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0580" cy="36830"/>
                    </a:xfrm>
                    <a:prstGeom prst="rect">
                      <a:avLst/>
                    </a:prstGeom>
                    <a:noFill/>
                  </pic:spPr>
                </pic:pic>
              </a:graphicData>
            </a:graphic>
          </wp:anchor>
        </w:drawing>
        <w:t>The following table summarizes the pro forma adjustments impacting equity ($ in millions):</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Adjustments to</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1"/>
        </w:trPr>
        <w:tc>
          <w:tcPr>
            <w:tcW w:w="4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Historical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New Equity</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Transaction</w:t>
            </w:r>
          </w:p>
        </w:tc>
        <w:tc>
          <w:tcPr>
            <w:tcW w:w="0" w:type="dxa"/>
            <w:vAlign w:val="bottom"/>
          </w:tcPr>
          <w:p>
            <w:pPr>
              <w:spacing w:after="0"/>
              <w:rPr>
                <w:sz w:val="1"/>
                <w:szCs w:val="1"/>
                <w:color w:val="auto"/>
              </w:rPr>
            </w:pPr>
          </w:p>
        </w:tc>
      </w:tr>
      <w:tr>
        <w:trPr>
          <w:trHeight w:val="141"/>
        </w:trPr>
        <w:tc>
          <w:tcPr>
            <w:tcW w:w="4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2"/>
              </w:rPr>
              <w:t>Equity and</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Items</w:t>
            </w:r>
          </w:p>
        </w:tc>
        <w:tc>
          <w:tcPr>
            <w:tcW w:w="200" w:type="dxa"/>
            <w:vAlign w:val="bottom"/>
          </w:tcPr>
          <w:p>
            <w:pPr>
              <w:spacing w:after="0"/>
              <w:rPr>
                <w:sz w:val="12"/>
                <w:szCs w:val="12"/>
                <w:color w:val="auto"/>
              </w:rPr>
            </w:pPr>
          </w:p>
        </w:tc>
        <w:tc>
          <w:tcPr>
            <w:tcW w:w="8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5"/>
              </w:rPr>
              <w:t>Accounting</w:t>
            </w:r>
          </w:p>
        </w:tc>
        <w:tc>
          <w:tcPr>
            <w:tcW w:w="0" w:type="dxa"/>
            <w:vAlign w:val="bottom"/>
          </w:tcPr>
          <w:p>
            <w:pPr>
              <w:spacing w:after="0"/>
              <w:rPr>
                <w:sz w:val="1"/>
                <w:szCs w:val="1"/>
                <w:color w:val="auto"/>
              </w:rPr>
            </w:pPr>
          </w:p>
        </w:tc>
      </w:tr>
      <w:tr>
        <w:trPr>
          <w:trHeight w:val="164"/>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Structure</w:t>
            </w:r>
          </w:p>
        </w:tc>
        <w:tc>
          <w:tcPr>
            <w:tcW w:w="9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Adjustments</w:t>
            </w:r>
          </w:p>
        </w:tc>
        <w:tc>
          <w:tcPr>
            <w:tcW w:w="0" w:type="dxa"/>
            <w:vAlign w:val="bottom"/>
          </w:tcPr>
          <w:p>
            <w:pPr>
              <w:spacing w:after="0"/>
              <w:rPr>
                <w:sz w:val="1"/>
                <w:szCs w:val="1"/>
                <w:color w:val="auto"/>
              </w:rPr>
            </w:pPr>
          </w:p>
        </w:tc>
      </w:tr>
      <w:tr>
        <w:trPr>
          <w:trHeight w:val="186"/>
        </w:trPr>
        <w:tc>
          <w:tcPr>
            <w:tcW w:w="48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Company shareholders’ mezzanine equity and equity:</w:t>
            </w:r>
          </w:p>
        </w:tc>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40" w:type="dxa"/>
            <w:vAlign w:val="bottom"/>
          </w:tcPr>
          <w:p>
            <w:pPr>
              <w:ind w:left="340"/>
              <w:spacing w:after="0"/>
              <w:rPr>
                <w:sz w:val="20"/>
                <w:szCs w:val="20"/>
                <w:color w:val="auto"/>
              </w:rPr>
            </w:pPr>
            <w:r>
              <w:rPr>
                <w:rFonts w:ascii="Arial" w:cs="Arial" w:eastAsia="Arial" w:hAnsi="Arial"/>
                <w:sz w:val="17"/>
                <w:szCs w:val="17"/>
                <w:color w:val="auto"/>
              </w:rPr>
              <w:t>Class A ordinary shares subject to possible redemption</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(207.3)</w:t>
            </w:r>
          </w:p>
        </w:tc>
        <w:tc>
          <w:tcPr>
            <w:tcW w:w="4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 in capital</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93"/>
              </w:rPr>
              <w:t>472.7</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840" w:type="dxa"/>
            <w:vAlign w:val="bottom"/>
          </w:tcPr>
          <w:p>
            <w:pPr>
              <w:spacing w:after="0"/>
              <w:rPr>
                <w:sz w:val="20"/>
                <w:szCs w:val="20"/>
                <w:color w:val="auto"/>
              </w:rPr>
            </w:pPr>
            <w:r>
              <w:rPr>
                <w:rFonts w:ascii="Arial" w:cs="Arial" w:eastAsia="Arial" w:hAnsi="Arial"/>
                <w:sz w:val="17"/>
                <w:szCs w:val="17"/>
                <w:b w:val="1"/>
                <w:bCs w:val="1"/>
                <w:color w:val="auto"/>
              </w:rPr>
              <w:t>Opco members’ mezzanine equity and equity:</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units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6"/>
        </w:trPr>
        <w:tc>
          <w:tcPr>
            <w:tcW w:w="4840" w:type="dxa"/>
            <w:vAlign w:val="bottom"/>
          </w:tcPr>
          <w:p>
            <w:pPr>
              <w:ind w:left="340"/>
              <w:spacing w:after="0"/>
              <w:rPr>
                <w:sz w:val="20"/>
                <w:szCs w:val="20"/>
                <w:color w:val="auto"/>
              </w:rPr>
            </w:pPr>
            <w:r>
              <w:rPr>
                <w:rFonts w:ascii="Arial" w:cs="Arial" w:eastAsia="Arial" w:hAnsi="Arial"/>
                <w:sz w:val="17"/>
                <w:szCs w:val="17"/>
                <w:color w:val="auto"/>
              </w:rPr>
              <w:t>Class A voting units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Class B voting units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(187.9)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(187.9)</w:t>
            </w:r>
          </w:p>
        </w:tc>
        <w:tc>
          <w:tcPr>
            <w:tcW w:w="0" w:type="dxa"/>
            <w:vAlign w:val="bottom"/>
          </w:tcPr>
          <w:p>
            <w:pPr>
              <w:spacing w:after="0"/>
              <w:rPr>
                <w:sz w:val="1"/>
                <w:szCs w:val="1"/>
                <w:color w:val="auto"/>
              </w:rPr>
            </w:pPr>
          </w:p>
        </w:tc>
      </w:tr>
      <w:tr>
        <w:trPr>
          <w:trHeight w:val="206"/>
        </w:trPr>
        <w:tc>
          <w:tcPr>
            <w:tcW w:w="4840" w:type="dxa"/>
            <w:vAlign w:val="bottom"/>
          </w:tcPr>
          <w:p>
            <w:pPr>
              <w:ind w:left="340"/>
              <w:spacing w:after="0"/>
              <w:rPr>
                <w:sz w:val="20"/>
                <w:szCs w:val="20"/>
                <w:color w:val="auto"/>
              </w:rPr>
            </w:pPr>
            <w:r>
              <w:rPr>
                <w:rFonts w:ascii="Arial" w:cs="Arial" w:eastAsia="Arial" w:hAnsi="Arial"/>
                <w:sz w:val="17"/>
                <w:szCs w:val="17"/>
                <w:color w:val="auto"/>
              </w:rPr>
              <w:t>Class C voting units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(310.1)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Class C warrant</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4840" w:type="dxa"/>
            <w:vAlign w:val="bottom"/>
          </w:tcPr>
          <w:p>
            <w:pPr>
              <w:ind w:left="340"/>
              <w:spacing w:after="0"/>
              <w:rPr>
                <w:sz w:val="20"/>
                <w:szCs w:val="20"/>
                <w:color w:val="auto"/>
              </w:rPr>
            </w:pPr>
            <w:r>
              <w:rPr>
                <w:rFonts w:ascii="Arial" w:cs="Arial" w:eastAsia="Arial" w:hAnsi="Arial"/>
                <w:sz w:val="17"/>
                <w:szCs w:val="17"/>
                <w:color w:val="auto"/>
              </w:rPr>
              <w:t>Accumulated other comprehensive income</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Combined equity:</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4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202.1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6"/>
              </w:rPr>
              <w:t>Total members’ or shareholders’ mezzanine equity and equity</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(531.0)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b w:val="1"/>
                <w:bCs w:val="1"/>
                <w:color w:val="auto"/>
                <w:w w:val="93"/>
              </w:rPr>
              <w:t>472.7</w:t>
            </w: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10.5</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(47.8)</w:t>
            </w:r>
          </w:p>
        </w:tc>
        <w:tc>
          <w:tcPr>
            <w:tcW w:w="0" w:type="dxa"/>
            <w:vAlign w:val="bottom"/>
          </w:tcPr>
          <w:p>
            <w:pPr>
              <w:spacing w:after="0"/>
              <w:rPr>
                <w:sz w:val="1"/>
                <w:szCs w:val="1"/>
                <w:color w:val="auto"/>
              </w:rPr>
            </w:pPr>
          </w:p>
        </w:tc>
      </w:tr>
      <w:tr>
        <w:trPr>
          <w:trHeight w:val="346"/>
        </w:trPr>
        <w:tc>
          <w:tcPr>
            <w:tcW w:w="4840" w:type="dxa"/>
            <w:vAlign w:val="bottom"/>
          </w:tcPr>
          <w:p>
            <w:pPr>
              <w:spacing w:after="0"/>
              <w:rPr>
                <w:sz w:val="24"/>
                <w:szCs w:val="24"/>
                <w:color w:val="auto"/>
              </w:rPr>
            </w:pPr>
          </w:p>
        </w:tc>
        <w:tc>
          <w:tcPr>
            <w:tcW w:w="1200" w:type="dxa"/>
            <w:vAlign w:val="bottom"/>
          </w:tcPr>
          <w:p>
            <w:pPr>
              <w:jc w:val="right"/>
              <w:ind w:right="63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4"/>
          </w:cols>
          <w:pgMar w:left="696" w:top="268" w:right="699" w:bottom="1440" w:gutter="0" w:footer="0" w:header="0"/>
        </w:sectPr>
      </w:pPr>
    </w:p>
    <w:bookmarkStart w:id="77" w:name="page78"/>
    <w:bookmarkEnd w:id="77"/>
    <w:p>
      <w:pPr>
        <w:ind w:left="4"/>
        <w:spacing w:after="0" w:line="27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0580" cy="36830"/>
                    </a:xfrm>
                    <a:prstGeom prst="rect">
                      <a:avLst/>
                    </a:prstGeom>
                    <a:noFill/>
                  </pic:spPr>
                </pic:pic>
              </a:graphicData>
            </a:graphic>
          </wp:anchor>
        </w:drawing>
        <w:t xml:space="preserve">Adjustments to historical mezzanine equity and equity: </w:t>
      </w:r>
      <w:r>
        <w:rPr>
          <w:rFonts w:ascii="Arial" w:cs="Arial" w:eastAsia="Arial" w:hAnsi="Arial"/>
          <w:sz w:val="16"/>
          <w:szCs w:val="16"/>
          <w:color w:val="auto"/>
        </w:rPr>
        <w:t>Reflects the elimination of the Company’s historical mezzanine equity and Opco’s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and warrants. Opco Incentive Units converted into the right to receive a portion of the aggregate consideration of 208,200,000 Opco Common Units and 208,200,000 shares of Class V Common Stock (the “</w:t>
      </w:r>
      <w:r>
        <w:rPr>
          <w:rFonts w:ascii="Arial" w:cs="Arial" w:eastAsia="Arial" w:hAnsi="Arial"/>
          <w:sz w:val="16"/>
          <w:szCs w:val="16"/>
          <w:b w:val="1"/>
          <w:bCs w:val="1"/>
          <w:color w:val="auto"/>
        </w:rPr>
        <w:t>Aggregate Merger Consideration</w:t>
      </w:r>
      <w:r>
        <w:rPr>
          <w:rFonts w:ascii="Arial" w:cs="Arial" w:eastAsia="Arial" w:hAnsi="Arial"/>
          <w:sz w:val="16"/>
          <w:szCs w:val="16"/>
          <w:color w:val="auto"/>
        </w:rPr>
        <w:t>”) multiplied by the incentive unit holders’ pro rata percentage, determined by the aggregate number of incentive units held divided by the number of equity interests in Opco on a fully diluted basis. Pursuant to its authority under the Opco Plan, the plan administrator determined that, in accordance with the terms of the Opco Plan, the Opco Incentive Units would be treated, as to vesting, as if the Business Combination were an initial public offering (as defined in the Opco Plan). The number of Opco Common Units, along with a corresponding number of shares of Class V Common Stock (each a “</w:t>
      </w:r>
      <w:r>
        <w:rPr>
          <w:rFonts w:ascii="Arial" w:cs="Arial" w:eastAsia="Arial" w:hAnsi="Arial"/>
          <w:sz w:val="16"/>
          <w:szCs w:val="16"/>
          <w:b w:val="1"/>
          <w:bCs w:val="1"/>
          <w:color w:val="auto"/>
        </w:rPr>
        <w:t>Paired Interest</w:t>
      </w:r>
      <w:r>
        <w:rPr>
          <w:rFonts w:ascii="Arial" w:cs="Arial" w:eastAsia="Arial" w:hAnsi="Arial"/>
          <w:sz w:val="16"/>
          <w:szCs w:val="16"/>
          <w:color w:val="auto"/>
        </w:rPr>
        <w:t>”) that a holder of Opco Incentive Units was entitled to receive was based on the exchange ratio for the Paired Interests held by the Equity Holders, equitably adjusted to give effect to the terms of such holders’ grants and the underlying threshold value applicable to a grant. Converted Opco Incentive Units are reflected in the pro forma noncontrolling interest in Note 3(H). Opco’s Class C warrant converted from a warrant to purchase equity securities in Opco into a warrant to purchase an economically equivalent number of Paired Interests in Opco.</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 xml:space="preserve">New equity structure: </w:t>
      </w:r>
      <w:r>
        <w:rPr>
          <w:rFonts w:ascii="Arial" w:cs="Arial" w:eastAsia="Arial" w:hAnsi="Arial"/>
          <w:sz w:val="17"/>
          <w:szCs w:val="17"/>
          <w:color w:val="auto"/>
        </w:rPr>
        <w:t>Reflects the controlling interest of 49,969,460 shares at a per share price of $9.46 and par value of $0.0001.</w:t>
      </w:r>
    </w:p>
    <w:p>
      <w:pPr>
        <w:spacing w:after="0" w:line="216" w:lineRule="exact"/>
        <w:rPr>
          <w:sz w:val="20"/>
          <w:szCs w:val="20"/>
          <w:color w:val="auto"/>
        </w:rPr>
      </w:pPr>
    </w:p>
    <w:p>
      <w:pPr>
        <w:ind w:left="4" w:right="200"/>
        <w:spacing w:after="0" w:line="301" w:lineRule="auto"/>
        <w:rPr>
          <w:sz w:val="20"/>
          <w:szCs w:val="20"/>
          <w:color w:val="auto"/>
        </w:rPr>
      </w:pPr>
      <w:r>
        <w:rPr>
          <w:rFonts w:ascii="Arial" w:cs="Arial" w:eastAsia="Arial" w:hAnsi="Arial"/>
          <w:sz w:val="15"/>
          <w:szCs w:val="15"/>
          <w:i w:val="1"/>
          <w:iCs w:val="1"/>
          <w:color w:val="auto"/>
        </w:rPr>
        <w:t xml:space="preserve">Other items: </w:t>
      </w:r>
      <w:r>
        <w:rPr>
          <w:rFonts w:ascii="Arial" w:cs="Arial" w:eastAsia="Arial" w:hAnsi="Arial"/>
          <w:sz w:val="15"/>
          <w:szCs w:val="15"/>
          <w:color w:val="auto"/>
        </w:rPr>
        <w:t>Reflects the incremental non-recurring transaction-related expenses of $24.5 million to accumulated deficit, excluding $18.0 million of</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transaction-related costs already expensed and reflected in the Company’s and Opco’s accumulated deficit as of September 30, 2021, incremental expenses of $6.0 million related to the increase in the fair value of Opco Participation Units to accumulated deficit, $7.3 million of deferred underwriters’ and legal fees netted in the Company’s additional paid in capital as of September 30, 2021, fees associated with the PIPE Investment of $13.0 million to additional paid-in capital, and the adjustment to additional paid-in capital related to the application of purchase accounting.</w:t>
      </w:r>
    </w:p>
    <w:p>
      <w:pPr>
        <w:spacing w:after="0" w:line="179" w:lineRule="exact"/>
        <w:rPr>
          <w:sz w:val="20"/>
          <w:szCs w:val="20"/>
          <w:color w:val="auto"/>
        </w:rPr>
      </w:pPr>
    </w:p>
    <w:p>
      <w:pPr>
        <w:ind w:left="404" w:hanging="404"/>
        <w:spacing w:after="0"/>
        <w:tabs>
          <w:tab w:leader="none" w:pos="4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pro forma adjustment to record noncontrolling interest in Opco of 79.9%.</w:t>
      </w:r>
    </w:p>
    <w:p>
      <w:pPr>
        <w:spacing w:after="0" w:line="352" w:lineRule="exact"/>
        <w:rPr>
          <w:sz w:val="20"/>
          <w:szCs w:val="20"/>
          <w:color w:val="auto"/>
        </w:rPr>
      </w:pPr>
    </w:p>
    <w:p>
      <w:pPr>
        <w:ind w:left="404" w:right="300" w:hanging="404"/>
        <w:spacing w:after="0" w:line="286" w:lineRule="auto"/>
        <w:tabs>
          <w:tab w:leader="none" w:pos="404"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Accounting Adjustments to Pro Forma Condensed Combined Statement of Operations for the Year Ended December 31, 2020</w:t>
      </w:r>
    </w:p>
    <w:p>
      <w:pPr>
        <w:spacing w:after="0" w:line="55" w:lineRule="exact"/>
        <w:rPr>
          <w:sz w:val="20"/>
          <w:szCs w:val="20"/>
          <w:color w:val="auto"/>
        </w:rPr>
      </w:pPr>
    </w:p>
    <w:p>
      <w:pPr>
        <w:ind w:left="4"/>
        <w:spacing w:after="0"/>
        <w:rPr>
          <w:sz w:val="20"/>
          <w:szCs w:val="20"/>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126" w:lineRule="exact"/>
        <w:rPr>
          <w:sz w:val="20"/>
          <w:szCs w:val="20"/>
          <w:color w:val="auto"/>
        </w:rPr>
      </w:pPr>
    </w:p>
    <w:p>
      <w:pPr>
        <w:ind w:left="404" w:hanging="404"/>
        <w:spacing w:after="0" w:line="261" w:lineRule="auto"/>
        <w:tabs>
          <w:tab w:leader="none" w:pos="404"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Reflects a reduction in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444"/>
          </w:cols>
          <w:pgMar w:left="696" w:top="268" w:right="759" w:bottom="1440" w:gutter="0" w:footer="0" w:header="0"/>
        </w:sectPr>
      </w:pPr>
    </w:p>
    <w:bookmarkStart w:id="78" w:name="page79"/>
    <w:bookmarkEnd w:id="78"/>
    <w:p>
      <w:pPr>
        <w:ind w:left="404" w:right="20" w:hanging="404"/>
        <w:spacing w:after="0" w:line="282" w:lineRule="auto"/>
        <w:tabs>
          <w:tab w:leader="none" w:pos="404"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0580" cy="37465"/>
                    </a:xfrm>
                    <a:prstGeom prst="rect">
                      <a:avLst/>
                    </a:prstGeom>
                    <a:noFill/>
                  </pic:spPr>
                </pic:pic>
              </a:graphicData>
            </a:graphic>
          </wp:anchor>
        </w:drawing>
        <w:t>Represents adjustments to incorporate estimated additional tangible and intangible assets depreciation and amortization for the step-up basis from purchase price accounting (“</w:t>
      </w:r>
      <w:r>
        <w:rPr>
          <w:rFonts w:ascii="Arial" w:cs="Arial" w:eastAsia="Arial" w:hAnsi="Arial"/>
          <w:sz w:val="16"/>
          <w:szCs w:val="16"/>
          <w:b w:val="1"/>
          <w:bCs w:val="1"/>
          <w:color w:val="auto"/>
        </w:rPr>
        <w:t>PPA</w:t>
      </w:r>
      <w:r>
        <w:rPr>
          <w:rFonts w:ascii="Arial" w:cs="Arial" w:eastAsia="Arial" w:hAnsi="Arial"/>
          <w:sz w:val="16"/>
          <w:szCs w:val="16"/>
          <w:color w:val="auto"/>
        </w:rPr>
        <w:t>”) at the closing of the Business Combination.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61" w:lineRule="exact"/>
        <w:rPr>
          <w:sz w:val="20"/>
          <w:szCs w:val="20"/>
          <w:color w:val="auto"/>
        </w:rPr>
      </w:pPr>
    </w:p>
    <w:tbl>
      <w:tblPr>
        <w:tblLayout w:type="fixed"/>
        <w:tblInd w:w="844"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Fair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400" w:type="dxa"/>
            <w:vAlign w:val="bottom"/>
            <w:vMerge w:val="restart"/>
          </w:tcPr>
          <w:p>
            <w:pPr>
              <w:spacing w:after="0"/>
              <w:rPr>
                <w:sz w:val="12"/>
                <w:szCs w:val="12"/>
                <w:color w:val="auto"/>
              </w:rPr>
            </w:pP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87"/>
              </w:rPr>
              <w:t>for the Twelve Months</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8"/>
              </w:rPr>
              <w:t>(Years)</w:t>
            </w:r>
          </w:p>
        </w:tc>
        <w:tc>
          <w:tcPr>
            <w:tcW w:w="640" w:type="dxa"/>
            <w:vAlign w:val="bottom"/>
          </w:tcPr>
          <w:p>
            <w:pPr>
              <w:spacing w:after="0"/>
              <w:rPr>
                <w:sz w:val="14"/>
                <w:szCs w:val="14"/>
                <w:color w:val="auto"/>
              </w:rPr>
            </w:pPr>
          </w:p>
        </w:tc>
        <w:tc>
          <w:tcPr>
            <w:tcW w:w="4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Value</w:t>
            </w:r>
          </w:p>
        </w:tc>
        <w:tc>
          <w:tcPr>
            <w:tcW w:w="2280" w:type="dxa"/>
            <w:vAlign w:val="bottom"/>
            <w:gridSpan w:val="4"/>
          </w:tcPr>
          <w:p>
            <w:pPr>
              <w:jc w:val="right"/>
              <w:ind w:right="120"/>
              <w:spacing w:after="0" w:line="151" w:lineRule="exact"/>
              <w:rPr>
                <w:sz w:val="20"/>
                <w:szCs w:val="20"/>
                <w:color w:val="auto"/>
              </w:rPr>
            </w:pPr>
            <w:r>
              <w:rPr>
                <w:rFonts w:ascii="Arial" w:cs="Arial" w:eastAsia="Arial" w:hAnsi="Arial"/>
                <w:sz w:val="14"/>
                <w:szCs w:val="14"/>
                <w:b w:val="1"/>
                <w:bCs w:val="1"/>
                <w:color w:val="auto"/>
              </w:rPr>
              <w:t>Ended December 31, 2020</w:t>
            </w:r>
          </w:p>
        </w:tc>
        <w:tc>
          <w:tcPr>
            <w:tcW w:w="0" w:type="dxa"/>
            <w:vAlign w:val="bottom"/>
          </w:tcPr>
          <w:p>
            <w:pPr>
              <w:spacing w:after="0"/>
              <w:rPr>
                <w:sz w:val="1"/>
                <w:szCs w:val="1"/>
                <w:color w:val="auto"/>
              </w:rPr>
            </w:pPr>
          </w:p>
        </w:tc>
      </w:tr>
      <w:tr>
        <w:trPr>
          <w:trHeight w:val="192"/>
        </w:trPr>
        <w:tc>
          <w:tcPr>
            <w:tcW w:w="4220" w:type="dxa"/>
            <w:vAlign w:val="bottom"/>
            <w:tcBorders>
              <w:top w:val="single" w:sz="8" w:color="CCEEFF"/>
            </w:tcBorders>
            <w:gridSpan w:val="2"/>
            <w:shd w:val="clear" w:color="auto" w:fill="CCEEFF"/>
          </w:tcPr>
          <w:p>
            <w:pPr>
              <w:ind w:left="340"/>
              <w:spacing w:after="0" w:line="192" w:lineRule="exact"/>
              <w:rPr>
                <w:sz w:val="20"/>
                <w:szCs w:val="20"/>
                <w:color w:val="auto"/>
              </w:rPr>
            </w:pPr>
            <w:r>
              <w:rPr>
                <w:rFonts w:ascii="Arial" w:cs="Arial" w:eastAsia="Arial" w:hAnsi="Arial"/>
                <w:sz w:val="17"/>
                <w:szCs w:val="17"/>
                <w:color w:val="auto"/>
              </w:rPr>
              <w:t>Trademarks / Trade Names—Opco</w:t>
            </w: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n/a</w:t>
            </w: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26.3</w:t>
            </w: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n/a</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2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n/a</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272.8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 – Trust</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2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2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2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131.0</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2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89"/>
              </w:rPr>
              <w:t>574.6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04" w:right="120" w:hanging="404"/>
        <w:spacing w:after="0" w:line="298" w:lineRule="auto"/>
        <w:tabs>
          <w:tab w:leader="none" w:pos="404"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Reflects estimated transaction-related costs incurred by the Company and Opco related to the Business Combination as if it was consummated on January 1, 2020. These transaction-related costs are non-recurring. Pro forma transaction-related costs adjustment of $24.5 million excludes fees related to the PIPE Investment of $13.0 million netted against additional paid-in capital, $7.3 million of deferred underwriters’ and legal fees netted against additional paid-in capital, and $2.8 million of transaction-related costs already expensed in the Company’s and Opco’s historical statements of operations for the fiscal year ended December 31, 2020, and $15.2 million of transaction-related costs already expensed in the Company’s and Opco’s historical statements of operations for the nine months ended September 30, 2021.</w:t>
      </w:r>
    </w:p>
    <w:p>
      <w:pPr>
        <w:spacing w:after="0" w:line="65" w:lineRule="exact"/>
        <w:rPr>
          <w:rFonts w:ascii="Arial" w:cs="Arial" w:eastAsia="Arial" w:hAnsi="Arial"/>
          <w:sz w:val="15"/>
          <w:szCs w:val="15"/>
          <w:color w:val="auto"/>
        </w:rPr>
      </w:pPr>
    </w:p>
    <w:p>
      <w:pPr>
        <w:ind w:left="404" w:right="100" w:hanging="404"/>
        <w:spacing w:after="0" w:line="259" w:lineRule="auto"/>
        <w:tabs>
          <w:tab w:leader="none" w:pos="4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90" w:lineRule="exact"/>
        <w:rPr>
          <w:rFonts w:ascii="Arial" w:cs="Arial" w:eastAsia="Arial" w:hAnsi="Arial"/>
          <w:sz w:val="17"/>
          <w:szCs w:val="17"/>
          <w:color w:val="auto"/>
        </w:rPr>
      </w:pPr>
    </w:p>
    <w:p>
      <w:pPr>
        <w:ind w:left="404" w:right="260" w:hanging="404"/>
        <w:spacing w:after="0" w:line="278" w:lineRule="auto"/>
        <w:tabs>
          <w:tab w:leader="none" w:pos="4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adjustment to present noncontrolling interest in Opco of 79.9%. The adjustment includes the estimated income tax impacts from Note 4(DD).</w:t>
      </w:r>
    </w:p>
    <w:p>
      <w:pPr>
        <w:spacing w:after="0" w:line="74" w:lineRule="exact"/>
        <w:rPr>
          <w:rFonts w:ascii="Arial" w:cs="Arial" w:eastAsia="Arial" w:hAnsi="Arial"/>
          <w:sz w:val="17"/>
          <w:szCs w:val="17"/>
          <w:color w:val="auto"/>
        </w:rPr>
      </w:pPr>
    </w:p>
    <w:p>
      <w:pPr>
        <w:ind w:left="404" w:hanging="404"/>
        <w:spacing w:after="0" w:line="261" w:lineRule="auto"/>
        <w:tabs>
          <w:tab w:leader="none" w:pos="4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post combination pro forma expense adjustment associated with Opco Incentive Units and Opco Participation Units, one 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04"/>
          </w:cols>
          <w:pgMar w:left="696" w:top="269" w:right="699" w:bottom="1440" w:gutter="0" w:footer="0" w:header="0"/>
        </w:sectPr>
      </w:pPr>
    </w:p>
    <w:bookmarkStart w:id="79" w:name="page80"/>
    <w:bookmarkEnd w:id="79"/>
    <w:p>
      <w:pPr>
        <w:ind w:left="404" w:right="780" w:hanging="404"/>
        <w:spacing w:after="0" w:line="286" w:lineRule="auto"/>
        <w:tabs>
          <w:tab w:leader="none" w:pos="404"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0580" cy="37465"/>
                    </a:xfrm>
                    <a:prstGeom prst="rect">
                      <a:avLst/>
                    </a:prstGeom>
                    <a:noFill/>
                  </pic:spPr>
                </pic:pic>
              </a:graphicData>
            </a:graphic>
          </wp:anchor>
        </w:drawing>
        <w:t>Transaction Accounting Adjustments to Pro Forma Condensed Combined Statement of Operations for the Nine Months Ended September 30, 2021</w:t>
      </w:r>
    </w:p>
    <w:p>
      <w:pPr>
        <w:spacing w:after="0" w:line="55" w:lineRule="exact"/>
        <w:rPr>
          <w:sz w:val="20"/>
          <w:szCs w:val="20"/>
          <w:color w:val="auto"/>
        </w:rPr>
      </w:pPr>
    </w:p>
    <w:p>
      <w:pPr>
        <w:ind w:left="4"/>
        <w:spacing w:after="0"/>
        <w:rPr>
          <w:sz w:val="20"/>
          <w:szCs w:val="20"/>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126" w:lineRule="exact"/>
        <w:rPr>
          <w:sz w:val="20"/>
          <w:szCs w:val="20"/>
          <w:color w:val="auto"/>
        </w:rPr>
      </w:pPr>
    </w:p>
    <w:p>
      <w:pPr>
        <w:ind w:left="484" w:hanging="488"/>
        <w:spacing w:after="0" w:line="261" w:lineRule="auto"/>
        <w:rPr>
          <w:sz w:val="20"/>
          <w:szCs w:val="20"/>
          <w:color w:val="auto"/>
        </w:rPr>
      </w:pPr>
      <w:r>
        <w:rPr>
          <w:rFonts w:ascii="Arial" w:cs="Arial" w:eastAsia="Arial" w:hAnsi="Arial"/>
          <w:sz w:val="17"/>
          <w:szCs w:val="17"/>
          <w:color w:val="auto"/>
        </w:rPr>
        <w:t>(AAA)Represents adjustments to incorporate estimated additional tangible and intangible assets depreciation and amortization for the step-up basis from PPA at Closing.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5" w:lineRule="exact"/>
        <w:rPr>
          <w:sz w:val="20"/>
          <w:szCs w:val="20"/>
          <w:color w:val="auto"/>
        </w:rPr>
      </w:pPr>
    </w:p>
    <w:tbl>
      <w:tblPr>
        <w:tblLayout w:type="fixed"/>
        <w:tblInd w:w="844"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Fair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380" w:type="dxa"/>
            <w:vAlign w:val="bottom"/>
            <w:vMerge w:val="restart"/>
          </w:tcPr>
          <w:p>
            <w:pPr>
              <w:spacing w:after="0"/>
              <w:rPr>
                <w:sz w:val="12"/>
                <w:szCs w:val="12"/>
                <w:color w:val="auto"/>
              </w:rPr>
            </w:pPr>
          </w:p>
        </w:tc>
        <w:tc>
          <w:tcPr>
            <w:tcW w:w="11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3"/>
              </w:rPr>
              <w:t>for the Nine months</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8"/>
              </w:rPr>
              <w:t>(Years)</w:t>
            </w:r>
          </w:p>
        </w:tc>
        <w:tc>
          <w:tcPr>
            <w:tcW w:w="640" w:type="dxa"/>
            <w:vAlign w:val="bottom"/>
          </w:tcPr>
          <w:p>
            <w:pPr>
              <w:spacing w:after="0"/>
              <w:rPr>
                <w:sz w:val="14"/>
                <w:szCs w:val="14"/>
                <w:color w:val="auto"/>
              </w:rPr>
            </w:pPr>
          </w:p>
        </w:tc>
        <w:tc>
          <w:tcPr>
            <w:tcW w:w="4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Value</w:t>
            </w:r>
          </w:p>
        </w:tc>
        <w:tc>
          <w:tcPr>
            <w:tcW w:w="2320" w:type="dxa"/>
            <w:vAlign w:val="bottom"/>
            <w:gridSpan w:val="4"/>
          </w:tcPr>
          <w:p>
            <w:pPr>
              <w:jc w:val="right"/>
              <w:ind w:right="120"/>
              <w:spacing w:after="0" w:line="151" w:lineRule="exact"/>
              <w:rPr>
                <w:sz w:val="20"/>
                <w:szCs w:val="20"/>
                <w:color w:val="auto"/>
              </w:rPr>
            </w:pPr>
            <w:r>
              <w:rPr>
                <w:rFonts w:ascii="Arial" w:cs="Arial" w:eastAsia="Arial" w:hAnsi="Arial"/>
                <w:sz w:val="14"/>
                <w:szCs w:val="14"/>
                <w:b w:val="1"/>
                <w:bCs w:val="1"/>
                <w:color w:val="auto"/>
              </w:rPr>
              <w:t>Ended September 30, 2021</w:t>
            </w:r>
          </w:p>
        </w:tc>
        <w:tc>
          <w:tcPr>
            <w:tcW w:w="0" w:type="dxa"/>
            <w:vAlign w:val="bottom"/>
          </w:tcPr>
          <w:p>
            <w:pPr>
              <w:spacing w:after="0"/>
              <w:rPr>
                <w:sz w:val="1"/>
                <w:szCs w:val="1"/>
                <w:color w:val="auto"/>
              </w:rPr>
            </w:pPr>
          </w:p>
        </w:tc>
      </w:tr>
      <w:tr>
        <w:trPr>
          <w:trHeight w:val="192"/>
        </w:trPr>
        <w:tc>
          <w:tcPr>
            <w:tcW w:w="4200" w:type="dxa"/>
            <w:vAlign w:val="bottom"/>
            <w:tcBorders>
              <w:top w:val="single" w:sz="8" w:color="CCEEFF"/>
            </w:tcBorders>
            <w:gridSpan w:val="2"/>
            <w:shd w:val="clear" w:color="auto" w:fill="CCEEFF"/>
          </w:tcPr>
          <w:p>
            <w:pPr>
              <w:ind w:left="340"/>
              <w:spacing w:after="0" w:line="192" w:lineRule="exact"/>
              <w:rPr>
                <w:sz w:val="20"/>
                <w:szCs w:val="20"/>
                <w:color w:val="auto"/>
              </w:rPr>
            </w:pPr>
            <w:r>
              <w:rPr>
                <w:rFonts w:ascii="Arial" w:cs="Arial" w:eastAsia="Arial" w:hAnsi="Arial"/>
                <w:sz w:val="17"/>
                <w:szCs w:val="17"/>
                <w:color w:val="auto"/>
              </w:rPr>
              <w:t>Trademarks / Trade Names—Opco</w:t>
            </w:r>
          </w:p>
        </w:tc>
        <w:tc>
          <w:tcPr>
            <w:tcW w:w="5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n/a</w:t>
            </w: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26.3</w:t>
            </w: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n/a)</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n/a</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272.8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 – Trust</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131.0</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89"/>
              </w:rPr>
              <w:t>574.6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64" w:right="40" w:hanging="462"/>
        <w:spacing w:after="0" w:line="259" w:lineRule="auto"/>
        <w:rPr>
          <w:sz w:val="20"/>
          <w:szCs w:val="20"/>
          <w:color w:val="auto"/>
        </w:rPr>
      </w:pPr>
      <w:r>
        <w:rPr>
          <w:rFonts w:ascii="Arial" w:cs="Arial" w:eastAsia="Arial" w:hAnsi="Arial"/>
          <w:sz w:val="17"/>
          <w:szCs w:val="17"/>
          <w:color w:val="auto"/>
        </w:rPr>
        <w:t>(BBB)Represents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90" w:lineRule="exact"/>
        <w:rPr>
          <w:sz w:val="20"/>
          <w:szCs w:val="20"/>
          <w:color w:val="auto"/>
        </w:rPr>
      </w:pPr>
    </w:p>
    <w:p>
      <w:pPr>
        <w:ind w:left="464" w:right="180" w:hanging="462"/>
        <w:spacing w:after="0" w:line="278" w:lineRule="auto"/>
        <w:rPr>
          <w:sz w:val="20"/>
          <w:szCs w:val="20"/>
          <w:color w:val="auto"/>
        </w:rPr>
      </w:pPr>
      <w:r>
        <w:rPr>
          <w:rFonts w:ascii="Arial" w:cs="Arial" w:eastAsia="Arial" w:hAnsi="Arial"/>
          <w:sz w:val="17"/>
          <w:szCs w:val="17"/>
          <w:color w:val="auto"/>
        </w:rPr>
        <w:t>(CCC)Represents the adjustment to present noncontrolling interest in Opco of 79.9%. The adjustment includes the estimated income tax impacts from Note 5(BBB).</w:t>
      </w:r>
    </w:p>
    <w:p>
      <w:pPr>
        <w:spacing w:after="0" w:line="75" w:lineRule="exact"/>
        <w:rPr>
          <w:sz w:val="20"/>
          <w:szCs w:val="20"/>
          <w:color w:val="auto"/>
        </w:rPr>
      </w:pPr>
    </w:p>
    <w:p>
      <w:pPr>
        <w:ind w:left="484" w:right="140" w:hanging="488"/>
        <w:spacing w:after="0" w:line="261" w:lineRule="auto"/>
        <w:rPr>
          <w:sz w:val="20"/>
          <w:szCs w:val="20"/>
          <w:color w:val="auto"/>
        </w:rPr>
      </w:pPr>
      <w:r>
        <w:rPr>
          <w:rFonts w:ascii="Arial" w:cs="Arial" w:eastAsia="Arial" w:hAnsi="Arial"/>
          <w:sz w:val="17"/>
          <w:szCs w:val="17"/>
          <w:color w:val="auto"/>
        </w:rPr>
        <w:t>(DDD)Represents post-combination pro forma expense adjustment associated with Opco Incentive Units and Opco Participation Units, one-third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84"/>
          </w:cols>
          <w:pgMar w:left="696" w:top="263" w:right="719" w:bottom="1440" w:gutter="0" w:footer="0" w:header="0"/>
        </w:sectPr>
      </w:pPr>
    </w:p>
    <w:bookmarkStart w:id="80" w:name="page81"/>
    <w:bookmarkEnd w:id="80"/>
    <w:p>
      <w:pPr>
        <w:ind w:left="404" w:hanging="404"/>
        <w:spacing w:after="0"/>
        <w:tabs>
          <w:tab w:leader="none" w:pos="404"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37465"/>
                    </a:xfrm>
                    <a:prstGeom prst="rect">
                      <a:avLst/>
                    </a:prstGeom>
                    <a:noFill/>
                  </pic:spPr>
                </pic:pic>
              </a:graphicData>
            </a:graphic>
          </wp:anchor>
        </w:drawing>
        <w:t>Pro Forma Earnings Per Share Information</w:t>
      </w:r>
    </w:p>
    <w:p>
      <w:pPr>
        <w:spacing w:after="0" w:line="119" w:lineRule="exact"/>
        <w:rPr>
          <w:sz w:val="20"/>
          <w:szCs w:val="20"/>
          <w:color w:val="auto"/>
        </w:rPr>
      </w:pPr>
    </w:p>
    <w:p>
      <w:pPr>
        <w:ind w:left="4" w:right="40"/>
        <w:spacing w:after="0" w:line="278" w:lineRule="auto"/>
        <w:rPr>
          <w:sz w:val="20"/>
          <w:szCs w:val="20"/>
          <w:color w:val="auto"/>
        </w:rPr>
      </w:pPr>
      <w:r>
        <w:rPr>
          <w:rFonts w:ascii="Arial" w:cs="Arial" w:eastAsia="Arial" w:hAnsi="Arial"/>
          <w:sz w:val="17"/>
          <w:szCs w:val="17"/>
          <w:color w:val="auto"/>
        </w:rPr>
        <w:t>As a result of the Business Combination, both the pro forma basic and diluted number of shares are reflective of 49,969,460 shares of Class A Common Stock outstanding.</w:t>
      </w:r>
    </w:p>
    <w:p>
      <w:pPr>
        <w:spacing w:after="0" w:line="161" w:lineRule="exact"/>
        <w:rPr>
          <w:sz w:val="20"/>
          <w:szCs w:val="20"/>
          <w:color w:val="auto"/>
        </w:rPr>
      </w:pPr>
    </w:p>
    <w:tbl>
      <w:tblPr>
        <w:tblLayout w:type="fixed"/>
        <w:tblInd w:w="1684"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Nine Months Ended</w:t>
            </w:r>
          </w:p>
        </w:tc>
      </w:tr>
      <w:tr>
        <w:trPr>
          <w:trHeight w:val="164"/>
        </w:trPr>
        <w:tc>
          <w:tcPr>
            <w:tcW w:w="58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September 30, 2021</w:t>
            </w:r>
          </w:p>
        </w:tc>
        <w:tc>
          <w:tcPr>
            <w:tcW w:w="100" w:type="dxa"/>
            <w:vAlign w:val="bottom"/>
            <w:tcBorders>
              <w:bottom w:val="single" w:sz="8" w:color="CCEEFF"/>
            </w:tcBorders>
          </w:tcPr>
          <w:p>
            <w:pPr>
              <w:spacing w:after="0"/>
              <w:rPr>
                <w:sz w:val="14"/>
                <w:szCs w:val="14"/>
                <w:color w:val="auto"/>
              </w:rPr>
            </w:pPr>
          </w:p>
        </w:tc>
      </w:tr>
      <w:tr>
        <w:trPr>
          <w:trHeight w:val="199"/>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controlling interest ($ in millions)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w:t>
            </w:r>
          </w:p>
        </w:tc>
      </w:tr>
      <w:tr>
        <w:trPr>
          <w:trHeight w:val="206"/>
        </w:trPr>
        <w:tc>
          <w:tcPr>
            <w:tcW w:w="5840" w:type="dxa"/>
            <w:vAlign w:val="bottom"/>
          </w:tcPr>
          <w:p>
            <w:pPr>
              <w:spacing w:after="0"/>
              <w:rPr>
                <w:sz w:val="20"/>
                <w:szCs w:val="20"/>
                <w:color w:val="auto"/>
              </w:rPr>
            </w:pPr>
            <w:r>
              <w:rPr>
                <w:rFonts w:ascii="Arial" w:cs="Arial" w:eastAsia="Arial" w:hAnsi="Arial"/>
                <w:sz w:val="17"/>
                <w:szCs w:val="17"/>
                <w:color w:val="auto"/>
              </w:rPr>
              <w:t>Weighted average shares outstanding, controlling (shares in millions)</w:t>
            </w:r>
          </w:p>
        </w:tc>
        <w:tc>
          <w:tcPr>
            <w:tcW w:w="1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6"/>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(0.38)</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(0.38)</w:t>
            </w:r>
          </w:p>
        </w:tc>
      </w:tr>
      <w:tr>
        <w:trPr>
          <w:trHeight w:val="314"/>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r>
      <w:tr>
        <w:trPr>
          <w:trHeight w:val="164"/>
        </w:trPr>
        <w:tc>
          <w:tcPr>
            <w:tcW w:w="58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December 31, 2020</w:t>
            </w:r>
          </w:p>
        </w:tc>
        <w:tc>
          <w:tcPr>
            <w:tcW w:w="100" w:type="dxa"/>
            <w:vAlign w:val="bottom"/>
            <w:tcBorders>
              <w:bottom w:val="single" w:sz="8" w:color="CCEEFF"/>
            </w:tcBorders>
          </w:tcPr>
          <w:p>
            <w:pPr>
              <w:spacing w:after="0"/>
              <w:rPr>
                <w:sz w:val="14"/>
                <w:szCs w:val="14"/>
                <w:color w:val="auto"/>
              </w:rPr>
            </w:pPr>
          </w:p>
        </w:tc>
      </w:tr>
      <w:tr>
        <w:trPr>
          <w:trHeight w:val="199"/>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controlling interest ($ in millions)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r>
      <w:tr>
        <w:trPr>
          <w:trHeight w:val="206"/>
        </w:trPr>
        <w:tc>
          <w:tcPr>
            <w:tcW w:w="5840" w:type="dxa"/>
            <w:vAlign w:val="bottom"/>
          </w:tcPr>
          <w:p>
            <w:pPr>
              <w:spacing w:after="0"/>
              <w:rPr>
                <w:sz w:val="20"/>
                <w:szCs w:val="20"/>
                <w:color w:val="auto"/>
              </w:rPr>
            </w:pPr>
            <w:r>
              <w:rPr>
                <w:rFonts w:ascii="Arial" w:cs="Arial" w:eastAsia="Arial" w:hAnsi="Arial"/>
                <w:sz w:val="17"/>
                <w:szCs w:val="17"/>
                <w:color w:val="auto"/>
              </w:rPr>
              <w:t>Weighted average shares outstanding, controlling (shares in millions)</w:t>
            </w:r>
          </w:p>
        </w:tc>
        <w:tc>
          <w:tcPr>
            <w:tcW w:w="1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6"/>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(0.50)</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(0.50)</w:t>
            </w:r>
          </w:p>
        </w:tc>
      </w:tr>
    </w:tbl>
    <w:p>
      <w:pPr>
        <w:spacing w:after="0" w:line="182" w:lineRule="exact"/>
        <w:rPr>
          <w:sz w:val="20"/>
          <w:szCs w:val="20"/>
          <w:color w:val="auto"/>
        </w:rPr>
      </w:pPr>
    </w:p>
    <w:p>
      <w:pPr>
        <w:ind w:left="4"/>
        <w:spacing w:after="0" w:line="261" w:lineRule="auto"/>
        <w:rPr>
          <w:sz w:val="20"/>
          <w:szCs w:val="20"/>
          <w:color w:val="auto"/>
        </w:rPr>
      </w:pPr>
      <w:r>
        <w:rPr>
          <w:rFonts w:ascii="Arial" w:cs="Arial" w:eastAsia="Arial" w:hAnsi="Arial"/>
          <w:sz w:val="17"/>
          <w:szCs w:val="17"/>
          <w:color w:val="auto"/>
        </w:rPr>
        <w:t>Earnings per share exclude warrants and contingently issuable shares that would be anti-dilutive to pro forma EPS, including (i) 10,368,601 redeemable warrants issued by the Company in its IPO, (ii) 6,147,440 Private Placement Warrants, and (iii) 208,200,000 Opco Common Units owned by or issuable to the Flow-Through Sellers that are exchangeable (together with the cancellation of an equal number of shares of voting, non-economic Class V Common Stock) into Class A Common Stock.</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16</w:t>
      </w:r>
    </w:p>
    <w:sectPr>
      <w:pgSz w:w="11900" w:h="16838" w:orient="portrait"/>
      <w:cols w:equalWidth="0" w:num="1">
        <w:col w:w="10444"/>
      </w:cols>
      <w:pgMar w:left="696" w:top="26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1"/>
    </w:lvl>
  </w:abstractNum>
  <w:abstractNum w:abstractNumId="2">
    <w:nsid w:val="75A2A8D4"/>
    <w:multiLevelType w:val="hybridMultilevel"/>
    <w:lvl w:ilvl="0">
      <w:lvlJc w:val="left"/>
      <w:lvlText w:val="(%1)"/>
      <w:numFmt w:val="decimal"/>
      <w:start w:val="2"/>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Letter"/>
      <w:start w:val="4"/>
    </w:lvl>
  </w:abstractNum>
  <w:abstractNum w:abstractNumId="5">
    <w:nsid w:val="4353D0CD"/>
    <w:multiLevelType w:val="hybridMultilevel"/>
    <w:lvl w:ilvl="0">
      <w:lvlJc w:val="left"/>
      <w:lvlText w:val="%1"/>
      <w:numFmt w:val="decimal"/>
      <w:start w:val="104"/>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lowerRoman"/>
      <w:start w:val="2"/>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Roman"/>
      <w:start w:val="2"/>
    </w:lvl>
  </w:abstractNum>
  <w:abstractNum w:abstractNumId="20">
    <w:nsid w:val="4516DDE9"/>
    <w:multiLevelType w:val="hybridMultilevel"/>
    <w:lvl w:ilvl="0">
      <w:lvlJc w:val="left"/>
      <w:lvlText w:val="(%1)"/>
      <w:numFmt w:val="lowerRoman"/>
      <w:start w:val="4"/>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upperLetter"/>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upperLetter"/>
      <w:start w:val="2"/>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upperLetter"/>
      <w:start w:val="4"/>
    </w:lvl>
  </w:abstractNum>
  <w:abstractNum w:abstractNumId="37">
    <w:nsid w:val="3855585C"/>
    <w:multiLevelType w:val="hybridMultilevel"/>
    <w:lvl w:ilvl="0">
      <w:lvlJc w:val="left"/>
      <w:lvlText w:val="(%1)"/>
      <w:numFmt w:val="upperLetter"/>
      <w:start w:val="7"/>
    </w:lvl>
  </w:abstractNum>
  <w:abstractNum w:abstractNumId="38">
    <w:nsid w:val="70A64E2A"/>
    <w:multiLevelType w:val="hybridMultilevel"/>
    <w:lvl w:ilvl="0">
      <w:lvlJc w:val="left"/>
      <w:lvlText w:val="(%1)"/>
      <w:numFmt w:val="upperLetter"/>
      <w:start w:val="8"/>
    </w:lvl>
  </w:abstractNum>
  <w:abstractNum w:abstractNumId="39">
    <w:nsid w:val="6A2342EC"/>
    <w:multiLevelType w:val="hybridMultilevel"/>
    <w:lvl w:ilvl="0">
      <w:lvlJc w:val="left"/>
      <w:lvlText w:val="%1."/>
      <w:numFmt w:val="decimal"/>
      <w:start w:val="4"/>
    </w:lvl>
  </w:abstractNum>
  <w:abstractNum w:abstractNumId="40">
    <w:nsid w:val="2A487CB0"/>
    <w:multiLevelType w:val="hybridMultilevel"/>
    <w:lvl w:ilvl="0">
      <w:lvlJc w:val="left"/>
      <w:lvlText w:val="(%1)"/>
      <w:numFmt w:val="upperLetter"/>
      <w:start w:val="27"/>
    </w:lvl>
  </w:abstractNum>
  <w:abstractNum w:abstractNumId="41">
    <w:nsid w:val="1D4ED43B"/>
    <w:multiLevelType w:val="hybridMultilevel"/>
    <w:lvl w:ilvl="0">
      <w:lvlJc w:val="left"/>
      <w:lvlText w:val="(%1)"/>
      <w:numFmt w:val="upperLetter"/>
      <w:start w:val="28"/>
    </w:lvl>
  </w:abstractNum>
  <w:abstractNum w:abstractNumId="42">
    <w:nsid w:val="725A06FB"/>
    <w:multiLevelType w:val="hybridMultilevel"/>
    <w:lvl w:ilvl="0">
      <w:lvlJc w:val="left"/>
      <w:lvlText w:val="(%1)"/>
      <w:numFmt w:val="upperLetter"/>
      <w:start w:val="29"/>
    </w:lvl>
  </w:abstractNum>
  <w:abstractNum w:abstractNumId="43">
    <w:nsid w:val="2CD89A32"/>
    <w:multiLevelType w:val="hybridMultilevel"/>
    <w:lvl w:ilvl="0">
      <w:lvlJc w:val="left"/>
      <w:lvlText w:val="%1."/>
      <w:numFmt w:val="decimal"/>
      <w:start w:val="5"/>
    </w:lvl>
  </w:abstractNum>
  <w:abstractNum w:abstractNumId="44">
    <w:nsid w:val="57E4CCAF"/>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2021-11-12T09:35:16Z</dcterms:created>
  <dcterms:modified xsi:type="dcterms:W3CDTF">2021-11-12T09:35:16Z</dcterms:modified>
</cp:coreProperties>
</file>