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8105ds4.htm"/>
        <w:bookmarkStart w:id="1" w:name="ksd108105ds4"/>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United States Securities and Exchange Commission on March 31, 2021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FORM S-4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48"/>
        </w:rPr>
      </w:pPr>
      <w:r>
        <w:rPr>
          <w:rFonts w:ascii="Times New Roman" w:hAnsi="Times New Roman"/>
          <w:b/>
          <w:sz w:val="48"/>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Cayman Islands*</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6770</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98-1550750</w:t>
            </w:r>
          </w:p>
        </w:tc>
      </w:tr>
      <w:tr>
        <w:trPr/>
        <w:tc>
          <w:tcPr>
            <w:tcW w:w="3470" w:type="dxa"/>
            <w:tcBorders/>
            <w:shd w:fill="auto" w:val="clear"/>
          </w:tcPr>
          <w:p>
            <w:pPr>
              <w:pStyle w:val="TableContents"/>
              <w:spacing w:before="0" w:after="283"/>
              <w:jc w:val="center"/>
              <w:rPr>
                <w:b/>
              </w:rPr>
            </w:pPr>
            <w:r>
              <w:rPr>
                <w:b/>
              </w:rPr>
              <w:t>(State or Other Jurisdiction of</w:t>
              <w:br/>
              <w:t>Incorporation or Organization)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(Primary Standard Industrial</w:t>
              <w:br/>
              <w:t>Classification Code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(I.R.S. Employer</w:t>
              <w:br/>
              <w:t>Identification No.)</w:t>
            </w:r>
          </w:p>
        </w:tc>
      </w:tr>
    </w:tbl>
    <w:p>
      <w:pPr>
        <w:pStyle w:val="TextBody"/>
        <w:spacing w:before="0" w:after="0"/>
        <w:jc w:val="center"/>
        <w:rPr>
          <w:rFonts w:ascii="Times New Roman" w:hAnsi="Times New Roman"/>
          <w:b/>
          <w:sz w:val="20"/>
        </w:rPr>
      </w:pPr>
      <w:r>
        <w:rPr>
          <w:rFonts w:ascii="Times New Roman" w:hAnsi="Times New Roman"/>
          <w:b/>
          <w:sz w:val="20"/>
        </w:rPr>
        <w:t xml:space="preserve">Victory Park Capital Advisors, LLC </w:t>
      </w:r>
    </w:p>
    <w:p>
      <w:pPr>
        <w:pStyle w:val="TextBody"/>
        <w:spacing w:before="0" w:after="0"/>
        <w:jc w:val="center"/>
        <w:rPr>
          <w:rFonts w:ascii="Times New Roman" w:hAnsi="Times New Roman"/>
          <w:b/>
          <w:sz w:val="20"/>
        </w:rPr>
      </w:pPr>
      <w:r>
        <w:rPr>
          <w:rFonts w:ascii="Times New Roman" w:hAnsi="Times New Roman"/>
          <w:b/>
          <w:sz w:val="20"/>
        </w:rPr>
        <w:t xml:space="preserve">150 North Riverside Plaza, Suite 5200 </w:t>
      </w:r>
    </w:p>
    <w:p>
      <w:pPr>
        <w:pStyle w:val="TextBody"/>
        <w:spacing w:before="0" w:after="0"/>
        <w:jc w:val="center"/>
        <w:rPr>
          <w:rFonts w:ascii="Times New Roman" w:hAnsi="Times New Roman"/>
          <w:b/>
          <w:sz w:val="20"/>
        </w:rPr>
      </w:pPr>
      <w:r>
        <w:rPr>
          <w:rFonts w:ascii="Times New Roman" w:hAnsi="Times New Roman"/>
          <w:b/>
          <w:sz w:val="20"/>
        </w:rPr>
        <w:t xml:space="preserve">Chicago, IL 60606 </w:t>
      </w:r>
    </w:p>
    <w:p>
      <w:pPr>
        <w:pStyle w:val="TextBody"/>
        <w:spacing w:before="0" w:after="0"/>
        <w:jc w:val="center"/>
        <w:rPr>
          <w:rFonts w:ascii="Times New Roman" w:hAnsi="Times New Roman"/>
          <w:b/>
          <w:sz w:val="20"/>
        </w:rPr>
      </w:pPr>
      <w:r>
        <w:rPr>
          <w:rFonts w:ascii="Times New Roman" w:hAnsi="Times New Roman"/>
          <w:b/>
          <w:sz w:val="20"/>
        </w:rPr>
        <w:t xml:space="preserve">Telephone: (312) 701-1777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0"/>
        </w:rPr>
      </w:pPr>
      <w:r>
        <w:rPr>
          <w:rFonts w:ascii="Times New Roman" w:hAnsi="Times New Roman"/>
          <w:b/>
          <w:sz w:val="20"/>
        </w:rPr>
        <w:t xml:space="preserve">Scott R. Zemnick </w:t>
      </w:r>
    </w:p>
    <w:p>
      <w:pPr>
        <w:pStyle w:val="TextBody"/>
        <w:spacing w:before="0" w:after="0"/>
        <w:jc w:val="center"/>
        <w:rPr>
          <w:rFonts w:ascii="Times New Roman" w:hAnsi="Times New Roman"/>
          <w:b/>
          <w:sz w:val="20"/>
        </w:rPr>
      </w:pPr>
      <w:r>
        <w:rPr>
          <w:rFonts w:ascii="Times New Roman" w:hAnsi="Times New Roman"/>
          <w:b/>
          <w:sz w:val="20"/>
        </w:rPr>
        <w:t xml:space="preserve">Victory Park Capital Advisors, LLC </w:t>
      </w:r>
    </w:p>
    <w:p>
      <w:pPr>
        <w:pStyle w:val="TextBody"/>
        <w:spacing w:before="0" w:after="0"/>
        <w:jc w:val="center"/>
        <w:rPr>
          <w:rFonts w:ascii="Times New Roman" w:hAnsi="Times New Roman"/>
          <w:b/>
          <w:sz w:val="20"/>
        </w:rPr>
      </w:pPr>
      <w:r>
        <w:rPr>
          <w:rFonts w:ascii="Times New Roman" w:hAnsi="Times New Roman"/>
          <w:b/>
          <w:sz w:val="20"/>
        </w:rPr>
        <w:t xml:space="preserve">150 North Riverside Plaza, Suite 5200 </w:t>
      </w:r>
    </w:p>
    <w:p>
      <w:pPr>
        <w:pStyle w:val="TextBody"/>
        <w:spacing w:before="0" w:after="0"/>
        <w:jc w:val="center"/>
        <w:rPr>
          <w:rFonts w:ascii="Times New Roman" w:hAnsi="Times New Roman"/>
          <w:b/>
          <w:sz w:val="20"/>
        </w:rPr>
      </w:pPr>
      <w:r>
        <w:rPr>
          <w:rFonts w:ascii="Times New Roman" w:hAnsi="Times New Roman"/>
          <w:b/>
          <w:sz w:val="20"/>
        </w:rPr>
        <w:t xml:space="preserve">Chicago, IL 60606 </w:t>
      </w:r>
    </w:p>
    <w:p>
      <w:pPr>
        <w:pStyle w:val="TextBody"/>
        <w:spacing w:before="0" w:after="0"/>
        <w:jc w:val="center"/>
        <w:rPr>
          <w:rFonts w:ascii="Times New Roman" w:hAnsi="Times New Roman"/>
          <w:b/>
          <w:sz w:val="20"/>
        </w:rPr>
      </w:pPr>
      <w:r>
        <w:rPr>
          <w:rFonts w:ascii="Times New Roman" w:hAnsi="Times New Roman"/>
          <w:b/>
          <w:sz w:val="20"/>
        </w:rPr>
        <w:t xml:space="preserve">312-705-2786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i/>
          <w:sz w:val="20"/>
        </w:rPr>
      </w:pPr>
      <w:r>
        <w:rPr>
          <w:rFonts w:ascii="Times New Roman" w:hAnsi="Times New Roman"/>
          <w:b/>
          <w:i/>
          <w:sz w:val="20"/>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Joel L. Rubinstein, Esq.</w:t>
            </w:r>
          </w:p>
          <w:p>
            <w:pPr>
              <w:pStyle w:val="TableContents"/>
              <w:spacing w:before="0" w:after="0"/>
              <w:jc w:val="center"/>
              <w:rPr>
                <w:rFonts w:ascii="Times New Roman" w:hAnsi="Times New Roman"/>
                <w:b/>
                <w:sz w:val="20"/>
              </w:rPr>
            </w:pPr>
            <w:r>
              <w:rPr>
                <w:rFonts w:ascii="Times New Roman" w:hAnsi="Times New Roman"/>
                <w:b/>
                <w:sz w:val="20"/>
              </w:rPr>
              <w:t>Elliott M. Smith, Esq.</w:t>
            </w:r>
          </w:p>
          <w:p>
            <w:pPr>
              <w:pStyle w:val="TableContents"/>
              <w:spacing w:before="0" w:after="0"/>
              <w:jc w:val="center"/>
              <w:rPr>
                <w:rFonts w:ascii="Times New Roman" w:hAnsi="Times New Roman"/>
                <w:b/>
                <w:sz w:val="20"/>
              </w:rPr>
            </w:pPr>
            <w:r>
              <w:rPr>
                <w:rFonts w:ascii="Times New Roman" w:hAnsi="Times New Roman"/>
                <w:b/>
                <w:sz w:val="20"/>
              </w:rPr>
              <w:t>Era Anagnosti, Esq.</w:t>
            </w:r>
          </w:p>
          <w:p>
            <w:pPr>
              <w:pStyle w:val="TableContents"/>
              <w:spacing w:before="0" w:after="0"/>
              <w:jc w:val="center"/>
              <w:rPr>
                <w:rFonts w:ascii="Times New Roman" w:hAnsi="Times New Roman"/>
                <w:b/>
                <w:sz w:val="20"/>
              </w:rPr>
            </w:pPr>
            <w:r>
              <w:rPr>
                <w:rFonts w:ascii="Times New Roman" w:hAnsi="Times New Roman"/>
                <w:b/>
                <w:sz w:val="20"/>
              </w:rPr>
              <w:t>White &amp; Case LLP</w:t>
            </w:r>
          </w:p>
          <w:p>
            <w:pPr>
              <w:pStyle w:val="TableContents"/>
              <w:spacing w:before="0" w:after="0"/>
              <w:jc w:val="center"/>
              <w:rPr>
                <w:rFonts w:ascii="Times New Roman" w:hAnsi="Times New Roman"/>
                <w:b/>
                <w:sz w:val="20"/>
              </w:rPr>
            </w:pPr>
            <w:r>
              <w:rPr>
                <w:rFonts w:ascii="Times New Roman" w:hAnsi="Times New Roman"/>
                <w:b/>
                <w:sz w:val="20"/>
              </w:rPr>
              <w:t>1221 Avenue of the Americas</w:t>
            </w:r>
          </w:p>
          <w:p>
            <w:pPr>
              <w:pStyle w:val="TableContents"/>
              <w:spacing w:before="0" w:after="0"/>
              <w:jc w:val="center"/>
              <w:rPr>
                <w:rFonts w:ascii="Times New Roman" w:hAnsi="Times New Roman"/>
                <w:b/>
                <w:sz w:val="20"/>
              </w:rPr>
            </w:pPr>
            <w:r>
              <w:rPr>
                <w:rFonts w:ascii="Times New Roman" w:hAnsi="Times New Roman"/>
                <w:b/>
                <w:sz w:val="20"/>
              </w:rPr>
              <w:t>New York, NY 10020</w:t>
            </w:r>
          </w:p>
          <w:p>
            <w:pPr>
              <w:pStyle w:val="TableContents"/>
              <w:spacing w:before="0" w:after="20"/>
              <w:jc w:val="center"/>
              <w:rPr>
                <w:rFonts w:ascii="Times New Roman" w:hAnsi="Times New Roman"/>
                <w:b/>
                <w:sz w:val="20"/>
              </w:rPr>
            </w:pPr>
            <w:r>
              <w:rPr>
                <w:rFonts w:ascii="Times New Roman" w:hAnsi="Times New Roman"/>
                <w:b/>
                <w:sz w:val="20"/>
              </w:rPr>
              <w:t>(212) 819-8200</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Marc DAnnunzio</w:t>
            </w:r>
          </w:p>
          <w:p>
            <w:pPr>
              <w:pStyle w:val="TableContents"/>
              <w:spacing w:before="0" w:after="0"/>
              <w:jc w:val="center"/>
              <w:rPr>
                <w:rFonts w:ascii="Times New Roman" w:hAnsi="Times New Roman"/>
                <w:b/>
                <w:sz w:val="20"/>
              </w:rPr>
            </w:pPr>
            <w:r>
              <w:rPr>
                <w:rFonts w:ascii="Times New Roman" w:hAnsi="Times New Roman"/>
                <w:b/>
                <w:sz w:val="20"/>
              </w:rPr>
              <w:t>Bakkt Holdings, LLC</w:t>
            </w:r>
          </w:p>
          <w:p>
            <w:pPr>
              <w:pStyle w:val="TableContents"/>
              <w:spacing w:before="0" w:after="0"/>
              <w:jc w:val="center"/>
              <w:rPr>
                <w:rFonts w:ascii="Times New Roman" w:hAnsi="Times New Roman"/>
                <w:b/>
                <w:sz w:val="20"/>
              </w:rPr>
            </w:pPr>
            <w:r>
              <w:rPr>
                <w:rFonts w:ascii="Times New Roman" w:hAnsi="Times New Roman"/>
                <w:b/>
                <w:sz w:val="20"/>
              </w:rPr>
              <w:t>5900 Windward Parkway, Suite 450</w:t>
            </w:r>
          </w:p>
          <w:p>
            <w:pPr>
              <w:pStyle w:val="TableContents"/>
              <w:spacing w:before="0" w:after="0"/>
              <w:jc w:val="center"/>
              <w:rPr>
                <w:rFonts w:ascii="Times New Roman" w:hAnsi="Times New Roman"/>
                <w:b/>
                <w:sz w:val="20"/>
              </w:rPr>
            </w:pPr>
            <w:r>
              <w:rPr>
                <w:rFonts w:ascii="Times New Roman" w:hAnsi="Times New Roman"/>
                <w:b/>
                <w:sz w:val="20"/>
              </w:rPr>
              <w:t>Alpharetta, GA 30005</w:t>
            </w:r>
          </w:p>
          <w:p>
            <w:pPr>
              <w:pStyle w:val="TableContents"/>
              <w:spacing w:before="0" w:after="20"/>
              <w:jc w:val="center"/>
              <w:rPr>
                <w:rFonts w:ascii="Times New Roman" w:hAnsi="Times New Roman"/>
                <w:b/>
                <w:sz w:val="20"/>
              </w:rPr>
            </w:pPr>
            <w:r>
              <w:rPr>
                <w:rFonts w:ascii="Times New Roman" w:hAnsi="Times New Roman"/>
                <w:b/>
                <w:sz w:val="20"/>
              </w:rPr>
              <w:t>(678) 534-5849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J. Matthew Lyons</w:t>
            </w:r>
          </w:p>
          <w:p>
            <w:pPr>
              <w:pStyle w:val="TableContents"/>
              <w:spacing w:before="0" w:after="0"/>
              <w:jc w:val="center"/>
              <w:rPr>
                <w:rFonts w:ascii="Times New Roman" w:hAnsi="Times New Roman"/>
                <w:b/>
                <w:sz w:val="20"/>
              </w:rPr>
            </w:pPr>
            <w:r>
              <w:rPr>
                <w:rFonts w:ascii="Times New Roman" w:hAnsi="Times New Roman"/>
                <w:b/>
                <w:sz w:val="20"/>
              </w:rPr>
              <w:t>Alan Bickerstaff</w:t>
            </w:r>
          </w:p>
          <w:p>
            <w:pPr>
              <w:pStyle w:val="TableContents"/>
              <w:spacing w:before="0" w:after="0"/>
              <w:jc w:val="center"/>
              <w:rPr>
                <w:rFonts w:ascii="Times New Roman" w:hAnsi="Times New Roman"/>
                <w:b/>
                <w:sz w:val="20"/>
              </w:rPr>
            </w:pPr>
            <w:r>
              <w:rPr>
                <w:rFonts w:ascii="Times New Roman" w:hAnsi="Times New Roman"/>
                <w:b/>
                <w:sz w:val="20"/>
              </w:rPr>
              <w:t>Shearman &amp; Sterling LLP</w:t>
            </w:r>
          </w:p>
          <w:p>
            <w:pPr>
              <w:pStyle w:val="TableContents"/>
              <w:spacing w:before="0" w:after="0"/>
              <w:jc w:val="center"/>
              <w:rPr>
                <w:rFonts w:ascii="Times New Roman" w:hAnsi="Times New Roman"/>
                <w:b/>
                <w:sz w:val="20"/>
              </w:rPr>
            </w:pPr>
            <w:r>
              <w:rPr>
                <w:rFonts w:ascii="Times New Roman" w:hAnsi="Times New Roman"/>
                <w:b/>
                <w:sz w:val="20"/>
              </w:rPr>
              <w:t>300 West 6th Street, Suite 2250</w:t>
            </w:r>
          </w:p>
          <w:p>
            <w:pPr>
              <w:pStyle w:val="TableContents"/>
              <w:spacing w:before="0" w:after="0"/>
              <w:jc w:val="center"/>
              <w:rPr>
                <w:rFonts w:ascii="Times New Roman" w:hAnsi="Times New Roman"/>
                <w:b/>
                <w:sz w:val="20"/>
              </w:rPr>
            </w:pPr>
            <w:r>
              <w:rPr>
                <w:rFonts w:ascii="Times New Roman" w:hAnsi="Times New Roman"/>
                <w:b/>
                <w:sz w:val="20"/>
              </w:rPr>
              <w:t>Austin, TX 78701</w:t>
            </w:r>
          </w:p>
          <w:p>
            <w:pPr>
              <w:pStyle w:val="TableContents"/>
              <w:spacing w:before="0" w:after="20"/>
              <w:jc w:val="center"/>
              <w:rPr>
                <w:rFonts w:ascii="Times New Roman" w:hAnsi="Times New Roman"/>
                <w:b/>
                <w:sz w:val="20"/>
              </w:rPr>
            </w:pPr>
            <w:r>
              <w:rPr>
                <w:rFonts w:ascii="Times New Roman" w:hAnsi="Times New Roman"/>
                <w:b/>
                <w:sz w:val="20"/>
              </w:rPr>
              <w:t>(512) 647-1900</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As soon as practicable after (i) this registration statement is declared effective and (ii) upon completion of the applicable transactions described in the enclosed proxy statement/prospectus. </w:t>
      </w:r>
    </w:p>
    <w:p>
      <w:pPr>
        <w:pStyle w:val="TextBody"/>
        <w:spacing w:before="120" w:after="0"/>
        <w:jc w:val="left"/>
        <w:rPr>
          <w:rFonts w:ascii="Times New Roman" w:hAnsi="Times New Roman"/>
          <w:sz w:val="20"/>
        </w:rPr>
      </w:pPr>
      <w:r>
        <w:rPr>
          <w:rFonts w:ascii="Times New Roman" w:hAnsi="Times New Roman"/>
          <w:sz w:val="20"/>
        </w:rPr>
        <w:t xml:space="preserve">If the securities being registered on this Form are being offered in connection with the formation of a holding company and there is compliance with General Instruction G, check the following box:  ☐ </w:t>
      </w:r>
    </w:p>
    <w:p>
      <w:pPr>
        <w:pStyle w:val="TextBody"/>
        <w:spacing w:before="12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20"/>
        </w:rPr>
      </w:pPr>
      <w:r>
        <w:rPr>
          <w:rFonts w:ascii="Times New Roman" w:hAnsi="Times New Roman"/>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78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200"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pPr>
            <w:r>
              <w:rPr/>
              <w:t>☐</w:t>
            </w:r>
          </w:p>
        </w:tc>
        <w:tc>
          <w:tcPr>
            <w:tcW w:w="127" w:type="dxa"/>
            <w:tcBorders/>
            <w:shd w:fill="auto" w:val="clear"/>
            <w:vAlign w:val="bottom"/>
          </w:tcPr>
          <w:p>
            <w:pPr>
              <w:pStyle w:val="TableContents"/>
              <w:spacing w:before="0" w:after="283"/>
              <w:rPr/>
            </w:pPr>
            <w:r>
              <w:rPr/>
              <w:t>  </w:t>
            </w:r>
          </w:p>
        </w:tc>
        <w:tc>
          <w:tcPr>
            <w:tcW w:w="2636"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r>
        <w:trPr>
          <w:trHeight w:val="60" w:hRule="atLeast"/>
        </w:trPr>
        <w:tc>
          <w:tcPr>
            <w:tcW w:w="2200" w:type="dxa"/>
            <w:tcBorders/>
            <w:shd w:fill="auto" w:val="clear"/>
            <w:vAlign w:val="center"/>
          </w:tcPr>
          <w:p>
            <w:pPr>
              <w:pStyle w:val="TableContents"/>
              <w:spacing w:before="0" w:after="283"/>
              <w:rPr>
                <w:sz w:val="4"/>
                <w:szCs w:val="4"/>
              </w:rPr>
            </w:pPr>
            <w:r>
              <w:rPr>
                <w:sz w:val="4"/>
                <w:szCs w:val="4"/>
              </w:rPr>
            </w:r>
          </w:p>
        </w:tc>
        <w:tc>
          <w:tcPr>
            <w:tcW w:w="4883"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9" w:type="dxa"/>
            <w:gridSpan w:val="2"/>
            <w:tcBorders/>
            <w:shd w:fill="auto" w:val="clear"/>
            <w:vAlign w:val="center"/>
          </w:tcPr>
          <w:p>
            <w:pPr>
              <w:pStyle w:val="TableContents"/>
              <w:spacing w:before="0" w:after="283"/>
              <w:rPr>
                <w:sz w:val="4"/>
                <w:szCs w:val="4"/>
              </w:rPr>
            </w:pPr>
            <w:r>
              <w:rPr>
                <w:sz w:val="4"/>
                <w:szCs w:val="4"/>
              </w:rPr>
            </w:r>
          </w:p>
        </w:tc>
      </w:tr>
      <w:tr>
        <w:trPr/>
        <w:tc>
          <w:tcPr>
            <w:tcW w:w="2200" w:type="dxa"/>
            <w:tcBorders/>
            <w:shd w:fill="auto" w:val="clear"/>
            <w:vAlign w:val="bottom"/>
          </w:tcPr>
          <w:p>
            <w:pPr>
              <w:pStyle w:val="TableContents"/>
              <w:spacing w:before="0" w:after="283"/>
              <w:rPr/>
            </w:pPr>
            <w:r>
              <w:rPr/>
              <w:t>Non-accelerated</w:t>
            </w:r>
          </w:p>
        </w:tc>
        <w:tc>
          <w:tcPr>
            <w:tcW w:w="103"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pPr>
            <w:r>
              <w:rPr/>
              <w:t>☒</w:t>
            </w:r>
          </w:p>
        </w:tc>
        <w:tc>
          <w:tcPr>
            <w:tcW w:w="127" w:type="dxa"/>
            <w:tcBorders/>
            <w:shd w:fill="auto" w:val="clear"/>
            <w:vAlign w:val="bottom"/>
          </w:tcPr>
          <w:p>
            <w:pPr>
              <w:pStyle w:val="TableContents"/>
              <w:spacing w:before="0" w:after="283"/>
              <w:rPr/>
            </w:pPr>
            <w:r>
              <w:rPr/>
              <w:t>  </w:t>
            </w:r>
          </w:p>
        </w:tc>
        <w:tc>
          <w:tcPr>
            <w:tcW w:w="2636"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r>
        <w:trPr>
          <w:trHeight w:val="60" w:hRule="atLeast"/>
        </w:trPr>
        <w:tc>
          <w:tcPr>
            <w:tcW w:w="2200" w:type="dxa"/>
            <w:tcBorders/>
            <w:shd w:fill="auto" w:val="clear"/>
            <w:vAlign w:val="center"/>
          </w:tcPr>
          <w:p>
            <w:pPr>
              <w:pStyle w:val="TableContents"/>
              <w:spacing w:before="0" w:after="283"/>
              <w:rPr>
                <w:sz w:val="4"/>
                <w:szCs w:val="4"/>
              </w:rPr>
            </w:pPr>
            <w:r>
              <w:rPr>
                <w:sz w:val="4"/>
                <w:szCs w:val="4"/>
              </w:rPr>
            </w:r>
          </w:p>
        </w:tc>
        <w:tc>
          <w:tcPr>
            <w:tcW w:w="4883"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9" w:type="dxa"/>
            <w:gridSpan w:val="2"/>
            <w:tcBorders/>
            <w:shd w:fill="auto" w:val="clear"/>
            <w:vAlign w:val="center"/>
          </w:tcPr>
          <w:p>
            <w:pPr>
              <w:pStyle w:val="TableContents"/>
              <w:spacing w:before="0" w:after="283"/>
              <w:rPr>
                <w:sz w:val="4"/>
                <w:szCs w:val="4"/>
              </w:rPr>
            </w:pPr>
            <w:r>
              <w:rPr>
                <w:sz w:val="4"/>
                <w:szCs w:val="4"/>
              </w:rPr>
            </w:r>
          </w:p>
        </w:tc>
      </w:tr>
      <w:tr>
        <w:trPr/>
        <w:tc>
          <w:tcPr>
            <w:tcW w:w="220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2636"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bl>
    <w:p>
      <w:pPr>
        <w:pStyle w:val="TextBody"/>
        <w:spacing w:before="12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120" w:after="0"/>
        <w:jc w:val="left"/>
        <w:rPr>
          <w:rFonts w:ascii="Times New Roman" w:hAnsi="Times New Roman"/>
          <w:sz w:val="20"/>
        </w:rPr>
      </w:pPr>
      <w:r>
        <w:rPr>
          <w:rFonts w:ascii="Times New Roman" w:hAnsi="Times New Roman"/>
          <w:sz w:val="20"/>
        </w:rPr>
        <w:t xml:space="preserve">If applicable, place an X in the box to designate the appropriate rule provision relied upon in conducting this transaction: </w:t>
      </w:r>
    </w:p>
    <w:p>
      <w:pPr>
        <w:pStyle w:val="TextBody"/>
        <w:spacing w:before="120" w:after="0"/>
        <w:jc w:val="left"/>
        <w:rPr>
          <w:rFonts w:ascii="Times New Roman" w:hAnsi="Times New Roman"/>
          <w:sz w:val="20"/>
        </w:rPr>
      </w:pPr>
      <w:r>
        <w:rPr>
          <w:rFonts w:ascii="Times New Roman" w:hAnsi="Times New Roman"/>
          <w:sz w:val="20"/>
        </w:rPr>
        <w:t xml:space="preserve">Exchange Act Rule 13e-4(i) (Cross-Border Issuer Tender Offer)  ☐ </w:t>
      </w:r>
    </w:p>
    <w:p>
      <w:pPr>
        <w:pStyle w:val="TextBody"/>
        <w:spacing w:before="120" w:after="0"/>
        <w:jc w:val="left"/>
        <w:rPr>
          <w:rFonts w:ascii="Times New Roman" w:hAnsi="Times New Roman"/>
          <w:sz w:val="20"/>
        </w:rPr>
      </w:pPr>
      <w:r>
        <w:rPr>
          <w:rFonts w:ascii="Times New Roman" w:hAnsi="Times New Roman"/>
          <w:sz w:val="20"/>
        </w:rPr>
        <w:t xml:space="preserve">Exchange Act Rule 14d-1(d) (Cross-Border Third-Party Tender Offer)  ☐ </w:t>
      </w:r>
    </w:p>
    <w:p>
      <w:pPr>
        <w:pStyle w:val="TextBody"/>
        <w:spacing w:before="120" w:after="0"/>
        <w:jc w:val="left"/>
        <w:rPr>
          <w:rFonts w:ascii="Times New Roman" w:hAnsi="Times New Roman"/>
          <w:sz w:val="20"/>
        </w:rPr>
      </w:pPr>
      <w:r>
        <w:rPr>
          <w:rFonts w:ascii="Times New Roman" w:hAnsi="Times New Roman"/>
          <w:sz w:val="20"/>
        </w:rPr>
        <w:t>* Prior to the consummation of the Business Combination described herein, the Registrant intends to effect a deregistration under the Cayman Islands Companies Act (As Revised) and a domestication under Section 388 of the Delaware General Corporation Law, pursuant to which the Registrants jurisdiction of incorporation will be changed from the Cayman Islands to the State of Delaware. All securities being registered will be issued by VPC Impact Acquisition Holdings. (after its domestication as a corporation incorporated in the State of Delaware), the continuing entity following the Domestication, which will be renamed </w:t>
      </w:r>
      <w:r>
        <w:rPr>
          <w:rFonts w:ascii="Times New Roman" w:hAnsi="Times New Roman"/>
          <w:b/>
          <w:sz w:val="20"/>
        </w:rPr>
        <w:t>Bakkt Holdings, Inc.</w:t>
      </w:r>
      <w:r>
        <w:rPr>
          <w:rFonts w:ascii="Times New Roman" w:hAnsi="Times New Roman"/>
          <w:sz w:val="20"/>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16"/>
        <w:gridCol w:w="98"/>
        <w:gridCol w:w="1425"/>
        <w:gridCol w:w="98"/>
        <w:gridCol w:w="1412"/>
        <w:gridCol w:w="98"/>
        <w:gridCol w:w="1667"/>
        <w:gridCol w:w="98"/>
        <w:gridCol w:w="1693"/>
      </w:tblGrid>
      <w:tr>
        <w:trPr/>
        <w:tc>
          <w:tcPr>
            <w:tcW w:w="361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r>
        <w:trPr/>
        <w:tc>
          <w:tcPr>
            <w:tcW w:w="361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Title of each class of</w:t>
            </w:r>
          </w:p>
          <w:p>
            <w:pPr>
              <w:pStyle w:val="TableContents"/>
              <w:spacing w:before="0" w:after="20"/>
              <w:jc w:val="center"/>
              <w:rPr>
                <w:rFonts w:ascii="Times New Roman" w:hAnsi="Times New Roman"/>
                <w:b/>
                <w:sz w:val="16"/>
              </w:rPr>
            </w:pPr>
            <w:r>
              <w:rPr>
                <w:rFonts w:ascii="Times New Roman" w:hAnsi="Times New Roman"/>
                <w:b/>
                <w:sz w:val="16"/>
              </w:rPr>
              <w:t>securities to be registered</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25" w:type="dxa"/>
            <w:tcBorders>
              <w:top w:val="single" w:sz="2" w:space="0" w:color="000000"/>
            </w:tcBorders>
            <w:shd w:fill="auto" w:val="clear"/>
            <w:tcMar>
              <w:top w:w="28" w:type="dxa"/>
            </w:tcMar>
            <w:vAlign w:val="bottom"/>
          </w:tcPr>
          <w:p>
            <w:pPr>
              <w:pStyle w:val="TableContents"/>
              <w:spacing w:before="0" w:after="283"/>
              <w:jc w:val="center"/>
              <w:rPr>
                <w:b/>
              </w:rPr>
            </w:pPr>
            <w:r>
              <w:rPr>
                <w:b/>
              </w:rPr>
              <w:t>Amount</w:t>
              <w:br/>
              <w:t>to be</w:t>
              <w:br/>
              <w:t>Registered</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2" w:type="dxa"/>
            <w:tcBorders>
              <w:top w:val="single" w:sz="2" w:space="0" w:color="000000"/>
            </w:tcBorders>
            <w:shd w:fill="auto" w:val="clear"/>
            <w:tcMar>
              <w:top w:w="28" w:type="dxa"/>
            </w:tcMar>
            <w:vAlign w:val="bottom"/>
          </w:tcPr>
          <w:p>
            <w:pPr>
              <w:pStyle w:val="TableContents"/>
              <w:spacing w:before="0" w:after="283"/>
              <w:jc w:val="center"/>
              <w:rPr>
                <w:b/>
              </w:rPr>
            </w:pPr>
            <w:r>
              <w:rPr>
                <w:b/>
              </w:rPr>
              <w:t>Proposed</w:t>
              <w:br/>
              <w:t>Maximum</w:t>
              <w:br/>
              <w:t>Offering</w:t>
              <w:br/>
              <w:t>Price Per</w:t>
              <w:br/>
              <w:t>Share</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67" w:type="dxa"/>
            <w:tcBorders>
              <w:top w:val="single" w:sz="2" w:space="0" w:color="000000"/>
            </w:tcBorders>
            <w:shd w:fill="auto" w:val="clear"/>
            <w:tcMar>
              <w:top w:w="28" w:type="dxa"/>
            </w:tcMar>
            <w:vAlign w:val="bottom"/>
          </w:tcPr>
          <w:p>
            <w:pPr>
              <w:pStyle w:val="TableContents"/>
              <w:spacing w:before="0" w:after="283"/>
              <w:jc w:val="center"/>
              <w:rPr>
                <w:b/>
              </w:rPr>
            </w:pPr>
            <w:r>
              <w:rPr>
                <w:b/>
              </w:rPr>
              <w:t>Proposed</w:t>
              <w:br/>
              <w:t>Maximum</w:t>
              <w:br/>
              <w:t>Aggregate</w:t>
              <w:br/>
              <w:t>Offering Price</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3" w:type="dxa"/>
            <w:tcBorders>
              <w:top w:val="single" w:sz="2" w:space="0" w:color="000000"/>
            </w:tcBorders>
            <w:shd w:fill="auto" w:val="clear"/>
            <w:tcMar>
              <w:top w:w="28" w:type="dxa"/>
            </w:tcMar>
            <w:vAlign w:val="bottom"/>
          </w:tcPr>
          <w:p>
            <w:pPr>
              <w:pStyle w:val="TableContents"/>
              <w:spacing w:before="0" w:after="283"/>
              <w:jc w:val="center"/>
              <w:rPr>
                <w:b/>
              </w:rPr>
            </w:pPr>
            <w:r>
              <w:rPr>
                <w:b/>
              </w:rPr>
              <w:t>Amount of</w:t>
              <w:br/>
              <w:t>Registration Fee</w:t>
            </w:r>
          </w:p>
        </w:tc>
      </w:tr>
      <w:tr>
        <w:trPr/>
        <w:tc>
          <w:tcPr>
            <w:tcW w:w="3616"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Class A common stock(1)(2)(3)</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25" w:type="dxa"/>
            <w:tcBorders>
              <w:top w:val="single" w:sz="2" w:space="0" w:color="000000"/>
            </w:tcBorders>
            <w:shd w:fill="auto" w:val="clear"/>
            <w:tcMar>
              <w:top w:w="28" w:type="dxa"/>
            </w:tcMar>
            <w:vAlign w:val="bottom"/>
          </w:tcPr>
          <w:p>
            <w:pPr>
              <w:pStyle w:val="TableContents"/>
              <w:spacing w:before="0" w:after="20"/>
              <w:jc w:val="center"/>
              <w:rPr>
                <w:rFonts w:ascii="Times New Roman" w:hAnsi="Times New Roman"/>
                <w:sz w:val="20"/>
              </w:rPr>
            </w:pPr>
            <w:r>
              <w:rPr>
                <w:rFonts w:ascii="Times New Roman" w:hAnsi="Times New Roman"/>
                <w:sz w:val="20"/>
              </w:rPr>
              <w:t>25,921,502</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2" w:type="dxa"/>
            <w:tcBorders>
              <w:top w:val="single" w:sz="2" w:space="0" w:color="000000"/>
            </w:tcBorders>
            <w:shd w:fill="auto" w:val="clear"/>
            <w:tcMar>
              <w:top w:w="28" w:type="dxa"/>
            </w:tcMar>
            <w:vAlign w:val="bottom"/>
          </w:tcPr>
          <w:p>
            <w:pPr>
              <w:pStyle w:val="TableContents"/>
              <w:spacing w:before="0" w:after="283"/>
              <w:jc w:val="center"/>
              <w:rPr/>
            </w:pPr>
            <w:r>
              <w:rPr/>
              <w:t>$12.36(4)</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67" w:type="dxa"/>
            <w:tcBorders>
              <w:top w:val="single" w:sz="2" w:space="0" w:color="000000"/>
            </w:tcBorders>
            <w:shd w:fill="auto" w:val="clear"/>
            <w:tcMar>
              <w:top w:w="28" w:type="dxa"/>
            </w:tcMar>
            <w:vAlign w:val="bottom"/>
          </w:tcPr>
          <w:p>
            <w:pPr>
              <w:pStyle w:val="TableContents"/>
              <w:spacing w:before="0" w:after="283"/>
              <w:jc w:val="center"/>
              <w:rPr/>
            </w:pPr>
            <w:r>
              <w:rPr/>
              <w:t>$320,389,765</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3" w:type="dxa"/>
            <w:tcBorders>
              <w:top w:val="single" w:sz="2" w:space="0" w:color="000000"/>
            </w:tcBorders>
            <w:shd w:fill="auto" w:val="clear"/>
            <w:tcMar>
              <w:top w:w="28" w:type="dxa"/>
            </w:tcMar>
            <w:vAlign w:val="bottom"/>
          </w:tcPr>
          <w:p>
            <w:pPr>
              <w:pStyle w:val="TableContents"/>
              <w:spacing w:before="0" w:after="283"/>
              <w:jc w:val="center"/>
              <w:rPr/>
            </w:pPr>
            <w:r>
              <w:rPr/>
              <w:t>$34,954.52</w:t>
            </w:r>
          </w:p>
        </w:tc>
      </w:tr>
      <w:tr>
        <w:trPr/>
        <w:tc>
          <w:tcPr>
            <w:tcW w:w="3616"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Redeemable warrants(1)(2)(5)</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25" w:type="dxa"/>
            <w:tcBorders>
              <w:top w:val="single" w:sz="2" w:space="0" w:color="000000"/>
            </w:tcBorders>
            <w:shd w:fill="auto" w:val="clear"/>
            <w:tcMar>
              <w:top w:w="28" w:type="dxa"/>
            </w:tcMar>
            <w:vAlign w:val="bottom"/>
          </w:tcPr>
          <w:p>
            <w:pPr>
              <w:pStyle w:val="TableContents"/>
              <w:spacing w:before="0" w:after="20"/>
              <w:jc w:val="center"/>
              <w:rPr>
                <w:rFonts w:ascii="Times New Roman" w:hAnsi="Times New Roman"/>
                <w:sz w:val="20"/>
              </w:rPr>
            </w:pPr>
            <w:r>
              <w:rPr>
                <w:rFonts w:ascii="Times New Roman" w:hAnsi="Times New Roman"/>
                <w:sz w:val="20"/>
              </w:rPr>
              <w:t>16,516,041</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2"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67"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3" w:type="dxa"/>
            <w:tcBorders>
              <w:top w:val="single" w:sz="2" w:space="0" w:color="000000"/>
            </w:tcBorders>
            <w:shd w:fill="auto" w:val="clear"/>
            <w:tcMar>
              <w:top w:w="28" w:type="dxa"/>
            </w:tcMar>
            <w:vAlign w:val="bottom"/>
          </w:tcPr>
          <w:p>
            <w:pPr>
              <w:pStyle w:val="TableContents"/>
              <w:spacing w:before="0" w:after="283"/>
              <w:jc w:val="center"/>
              <w:rPr/>
            </w:pPr>
            <w:r>
              <w:rPr/>
              <w:t>  (6)</w:t>
            </w:r>
          </w:p>
        </w:tc>
      </w:tr>
      <w:tr>
        <w:trPr/>
        <w:tc>
          <w:tcPr>
            <w:tcW w:w="3616"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Class A common stock issuable upon exercise of the redeemable warrants(1)(2)(7)</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25" w:type="dxa"/>
            <w:tcBorders>
              <w:top w:val="single" w:sz="2" w:space="0" w:color="000000"/>
            </w:tcBorders>
            <w:shd w:fill="auto" w:val="clear"/>
            <w:tcMar>
              <w:top w:w="28" w:type="dxa"/>
            </w:tcMar>
            <w:vAlign w:val="bottom"/>
          </w:tcPr>
          <w:p>
            <w:pPr>
              <w:pStyle w:val="TableContents"/>
              <w:spacing w:before="0" w:after="20"/>
              <w:jc w:val="center"/>
              <w:rPr>
                <w:rFonts w:ascii="Times New Roman" w:hAnsi="Times New Roman"/>
                <w:sz w:val="20"/>
              </w:rPr>
            </w:pPr>
            <w:r>
              <w:rPr>
                <w:rFonts w:ascii="Times New Roman" w:hAnsi="Times New Roman"/>
                <w:sz w:val="20"/>
              </w:rPr>
              <w:t>16,516,041</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2" w:type="dxa"/>
            <w:tcBorders>
              <w:top w:val="single" w:sz="2" w:space="0" w:color="000000"/>
            </w:tcBorders>
            <w:shd w:fill="auto" w:val="clear"/>
            <w:tcMar>
              <w:top w:w="28" w:type="dxa"/>
            </w:tcMar>
            <w:vAlign w:val="bottom"/>
          </w:tcPr>
          <w:p>
            <w:pPr>
              <w:pStyle w:val="TableContents"/>
              <w:spacing w:before="0" w:after="283"/>
              <w:jc w:val="center"/>
              <w:rPr/>
            </w:pPr>
            <w:r>
              <w:rPr/>
              <w:t>$11.50(8)</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67" w:type="dxa"/>
            <w:tcBorders>
              <w:top w:val="single" w:sz="2" w:space="0" w:color="000000"/>
            </w:tcBorders>
            <w:shd w:fill="auto" w:val="clear"/>
            <w:tcMar>
              <w:top w:w="28" w:type="dxa"/>
            </w:tcMar>
            <w:vAlign w:val="bottom"/>
          </w:tcPr>
          <w:p>
            <w:pPr>
              <w:pStyle w:val="TableContents"/>
              <w:spacing w:before="0" w:after="283"/>
              <w:jc w:val="center"/>
              <w:rPr/>
            </w:pPr>
            <w:r>
              <w:rPr/>
              <w:t>$189,934,471.50</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3" w:type="dxa"/>
            <w:tcBorders>
              <w:top w:val="single" w:sz="2" w:space="0" w:color="000000"/>
            </w:tcBorders>
            <w:shd w:fill="auto" w:val="clear"/>
            <w:tcMar>
              <w:top w:w="28" w:type="dxa"/>
            </w:tcMar>
            <w:vAlign w:val="bottom"/>
          </w:tcPr>
          <w:p>
            <w:pPr>
              <w:pStyle w:val="TableContents"/>
              <w:spacing w:before="0" w:after="283"/>
              <w:jc w:val="center"/>
              <w:rPr/>
            </w:pPr>
            <w:r>
              <w:rPr/>
              <w:t>$20,721.85</w:t>
            </w:r>
          </w:p>
        </w:tc>
      </w:tr>
      <w:tr>
        <w:trPr/>
        <w:tc>
          <w:tcPr>
            <w:tcW w:w="3616"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Total</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25" w:type="dxa"/>
            <w:tcBorders>
              <w:top w:val="single" w:sz="2" w:space="0" w:color="000000"/>
            </w:tcBorders>
            <w:shd w:fill="auto" w:val="clear"/>
            <w:tcMar>
              <w:top w:w="28" w:type="dxa"/>
            </w:tcMar>
            <w:vAlign w:val="bottom"/>
          </w:tcPr>
          <w:p>
            <w:pPr>
              <w:pStyle w:val="TableContents"/>
              <w:spacing w:before="0" w:after="283"/>
              <w:rPr/>
            </w:pPr>
            <w:r>
              <w:rPr/>
              <w:t> </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2" w:type="dxa"/>
            <w:tcBorders>
              <w:top w:val="single" w:sz="2" w:space="0" w:color="000000"/>
            </w:tcBorders>
            <w:shd w:fill="auto" w:val="clear"/>
            <w:tcMar>
              <w:top w:w="28" w:type="dxa"/>
            </w:tcMar>
            <w:vAlign w:val="bottom"/>
          </w:tcPr>
          <w:p>
            <w:pPr>
              <w:pStyle w:val="TableContents"/>
              <w:spacing w:before="0" w:after="283"/>
              <w:rPr/>
            </w:pPr>
            <w:r>
              <w:rPr/>
              <w:t> </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67" w:type="dxa"/>
            <w:tcBorders>
              <w:top w:val="single" w:sz="2" w:space="0" w:color="000000"/>
            </w:tcBorders>
            <w:shd w:fill="auto" w:val="clear"/>
            <w:tcMar>
              <w:top w:w="28" w:type="dxa"/>
            </w:tcMar>
            <w:vAlign w:val="bottom"/>
          </w:tcPr>
          <w:p>
            <w:pPr>
              <w:pStyle w:val="TableContents"/>
              <w:spacing w:before="0" w:after="283"/>
              <w:jc w:val="center"/>
              <w:rPr/>
            </w:pPr>
            <w:r>
              <w:rPr/>
              <w:t>$510,324,236.50</w:t>
            </w:r>
          </w:p>
        </w:tc>
        <w:tc>
          <w:tcPr>
            <w:tcW w:w="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3" w:type="dxa"/>
            <w:tcBorders>
              <w:top w:val="single" w:sz="2" w:space="0" w:color="000000"/>
            </w:tcBorders>
            <w:shd w:fill="auto" w:val="clear"/>
            <w:tcMar>
              <w:top w:w="28" w:type="dxa"/>
            </w:tcMar>
            <w:vAlign w:val="bottom"/>
          </w:tcPr>
          <w:p>
            <w:pPr>
              <w:pStyle w:val="TableContents"/>
              <w:spacing w:before="0" w:after="283"/>
              <w:jc w:val="center"/>
              <w:rPr/>
            </w:pPr>
            <w:r>
              <w:rPr/>
              <w:t>$55,676.37</w:t>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Simultaneously with the completion of the Proposed Transaction described herein, the registrant, a Cayman Islands exempted company, intends to effect a deregistration under Section 206 of the Companies Act (As Revised) and a domestication under Section 388 of the Delaware General Corporation Law (the </w:t>
            </w:r>
            <w:r>
              <w:rPr>
                <w:rFonts w:ascii="Times New Roman" w:hAnsi="Times New Roman"/>
                <w:b/>
                <w:sz w:val="20"/>
              </w:rPr>
              <w:t>Domestication</w:t>
            </w:r>
            <w:r>
              <w:rPr>
                <w:rFonts w:ascii="Times New Roman" w:hAnsi="Times New Roman"/>
                <w:sz w:val="20"/>
              </w:rPr>
              <w:t>), pursuant to which the registrants jurisdiction of incorporation will be transferred by way of continuation from the Cayman Islands to the State of Delaware and the name of the registrant will be changed to </w:t>
            </w:r>
            <w:r>
              <w:rPr>
                <w:rFonts w:ascii="Times New Roman" w:hAnsi="Times New Roman"/>
                <w:b/>
                <w:sz w:val="20"/>
              </w:rPr>
              <w:t>Bakkt Holdings, Inc.</w:t>
            </w:r>
            <w:r>
              <w:rPr>
                <w:rFonts w:ascii="Times New Roman" w:hAnsi="Times New Roman"/>
                <w:sz w:val="20"/>
              </w:rPr>
              <w:t> (the </w:t>
            </w:r>
            <w:r>
              <w:rPr>
                <w:rFonts w:ascii="Times New Roman" w:hAnsi="Times New Roman"/>
                <w:b/>
                <w:sz w:val="20"/>
              </w:rPr>
              <w:t>Company</w:t>
            </w:r>
            <w:r>
              <w:rPr>
                <w:rFonts w:ascii="Times New Roman" w:hAnsi="Times New Roman"/>
                <w:sz w:val="20"/>
              </w:rPr>
              <w:t xml:space="preserv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Pursuant to Rule 416(a) of the Securities Act of 1933, as amended (the </w:t>
            </w:r>
            <w:r>
              <w:rPr>
                <w:rFonts w:ascii="Times New Roman" w:hAnsi="Times New Roman"/>
                <w:b/>
                <w:sz w:val="20"/>
              </w:rPr>
              <w:t>Securities Act</w:t>
            </w:r>
            <w:r>
              <w:rPr>
                <w:rFonts w:ascii="Times New Roman" w:hAnsi="Times New Roman"/>
                <w:sz w:val="20"/>
              </w:rPr>
              <w:t xml:space="preserve">), there are also being registered an indeterminable number of additional securities as may be issued to prevent dilution resulting from share splits, share dividends or similar transactions.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20,737,202 of Class A Ordinary Shares (including Class A Ordinary Shares included in units) issued by the registrant in its initial public offering registered on Form S-1 (SEC File No. 333-248619) and (ii) of 5,184,300 Class B Ordinary Shares, which Class A and Class B Ordinary Shares, as a result of the Domestication, will automatically be converted by operation of law into shares of Class A common stock.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based on the average of the high and low prices of the Class A Ordinary Shares on The Nasdaq Capital Market on March 29, 2021 in accordance with Rule 457(f)(1) under the Securities Act.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10,368,601 redeemable warrants issued by the registrant in its initial public offering registered on Form S-1 (SEC File No. 333- 248619) (including redeemable warrants included in units) and (ii) 6,147,440 warrants issued by the registrant in a private placement concurrently with the initial public offering, which warrants altogether, as a result of the Domestication, will become warrants to acquire the same number of shares of Class A common stock of the Company at the same price and on the same terms set forth in the respective warrant agreement.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registration fee is required pursuant to Rule 457(g) under the Securities Act.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number of shares of Class A common stock issuable upon exercise of warrants pursuant to their terms. Each whole warrant will entitle the warrant holder to purchase one share of Class A common stock of the Company at a price of $11.50 per quarter share.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exercise price of the warrants.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Section 8(a), may determine. </w:t>
      </w:r>
    </w:p>
    <w:p>
      <w:pPr>
        <w:pStyle w:val="TextBody"/>
        <w:spacing w:before="120" w:after="0"/>
        <w:jc w:val="left"/>
        <w:rPr>
          <w:rFonts w:ascii="Times New Roman" w:hAnsi="Times New Roman"/>
          <w:sz w:val="20"/>
        </w:rPr>
      </w:pPr>
      <w:r>
        <w:rPr>
          <w:rFonts w:ascii="Times New Roman" w:hAnsi="Times New Roman"/>
          <w:sz w:val="20"/>
        </w:rPr>
        <w:t>As used in this Registration Statement, the term </w:t>
      </w:r>
      <w:r>
        <w:rPr>
          <w:rFonts w:ascii="Times New Roman" w:hAnsi="Times New Roman"/>
          <w:b/>
          <w:sz w:val="20"/>
        </w:rPr>
        <w:t>Registrant</w:t>
      </w:r>
      <w:r>
        <w:rPr>
          <w:rFonts w:ascii="Times New Roman" w:hAnsi="Times New Roman"/>
          <w:sz w:val="20"/>
        </w:rPr>
        <w:t xml:space="preserve"> refers to the Registrant (a Cayman Islands exempted company) prior to the Domestication and to the Company (a Delaware corporation) following the Domestication.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18"/>
        </w:rPr>
      </w:pPr>
      <w:r>
        <w:rPr>
          <w:rFonts w:ascii="Arial Narrow" w:hAnsi="Arial Narrow"/>
          <w:b/>
          <w:color w:val="FF4338"/>
          <w:sz w:val="18"/>
        </w:rPr>
        <w:t xml:space="preserve">The information in this proxy statement/prospectus is not complete and may be changed. VPC Impact Acquisition Holdings may not issue the securities offered by this proxy statement/prospectus until the registration statement filed with the Securities and Exchange Commission, of which this proxy statement/prospectus is a part, is declared effective. This proxy statement/prospectus does not constitute an offer to sell these securities and it is not soliciting an offer to buy these securities in any jurisdiction where the offer or sale of these securities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PRELIMINARYSUBJECT TO COMPLETION, DATED MARCH 31, 2021 </w:t>
      </w:r>
    </w:p>
    <w:p>
      <w:pPr>
        <w:pStyle w:val="TextBody"/>
        <w:spacing w:before="240" w:after="0"/>
        <w:jc w:val="center"/>
        <w:rPr>
          <w:rFonts w:ascii="Times New Roman" w:hAnsi="Times New Roman"/>
          <w:b/>
          <w:sz w:val="20"/>
        </w:rPr>
      </w:pPr>
      <w:r>
        <w:rPr>
          <w:rFonts w:ascii="Times New Roman" w:hAnsi="Times New Roman"/>
          <w:b/>
          <w:sz w:val="20"/>
        </w:rPr>
        <w:t xml:space="preserve">PROXY STATEMENT FOR EXTRAORDINARY GENERAL MEETING OF </w:t>
      </w:r>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(A CAYMAN ISLANDS EXEMPTED COMPANY) </w:t>
      </w:r>
    </w:p>
    <w:p>
      <w:pPr>
        <w:pStyle w:val="TextBody"/>
        <w:spacing w:before="240" w:after="0"/>
        <w:jc w:val="center"/>
        <w:rPr>
          <w:rFonts w:ascii="Times New Roman" w:hAnsi="Times New Roman"/>
          <w:b/>
          <w:sz w:val="20"/>
        </w:rPr>
      </w:pPr>
      <w:r>
        <w:rPr>
          <w:rFonts w:ascii="Times New Roman" w:hAnsi="Times New Roman"/>
          <w:b/>
          <w:sz w:val="20"/>
        </w:rPr>
        <w:t xml:space="preserve">PROSPECTUS FOR 25,921,502 SHARES OF CLASS A COMMON STOCK AND </w:t>
      </w:r>
    </w:p>
    <w:p>
      <w:pPr>
        <w:pStyle w:val="TextBody"/>
        <w:spacing w:before="0" w:after="0"/>
        <w:jc w:val="center"/>
        <w:rPr>
          <w:rFonts w:ascii="Times New Roman" w:hAnsi="Times New Roman"/>
          <w:b/>
          <w:sz w:val="20"/>
        </w:rPr>
      </w:pPr>
      <w:r>
        <w:rPr>
          <w:rFonts w:ascii="Times New Roman" w:hAnsi="Times New Roman"/>
          <w:b/>
          <w:sz w:val="20"/>
        </w:rPr>
        <w:t xml:space="preserve">16,516,041 WARRANTS TO PURCHASE SHARES OF CLASS A COMMON STOCK OF </w:t>
      </w:r>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(TO BE RENAMED BAKKT HOLDINGS, INC. FOLLOWING DOMESTICATION IN THE STATE OF DELAWARE AND IN CONNECTION WITH THE BUSINESS COMBINATION DESCRIBED HEREIN) </w:t>
      </w:r>
    </w:p>
    <w:p>
      <w:pPr>
        <w:pStyle w:val="TextBody"/>
        <w:spacing w:before="240" w:after="0"/>
        <w:jc w:val="left"/>
        <w:rPr>
          <w:rFonts w:ascii="Times New Roman" w:hAnsi="Times New Roman"/>
          <w:sz w:val="20"/>
        </w:rPr>
      </w:pPr>
      <w:r>
        <w:rPr>
          <w:rFonts w:ascii="Times New Roman" w:hAnsi="Times New Roman"/>
          <w:sz w:val="20"/>
        </w:rPr>
        <w:t>The board of directors of VPC Impact Acquisition Holdings, a Cayman Islands exempted company (</w:t>
      </w:r>
      <w:r>
        <w:rPr>
          <w:rFonts w:ascii="Times New Roman" w:hAnsi="Times New Roman"/>
          <w:b/>
          <w:sz w:val="20"/>
        </w:rPr>
        <w:t>VIH</w:t>
      </w:r>
      <w:r>
        <w:rPr>
          <w:rFonts w:ascii="Times New Roman" w:hAnsi="Times New Roman"/>
          <w:sz w:val="20"/>
        </w:rPr>
        <w:t>), has unanimously approved (a) the merger (the </w:t>
      </w:r>
      <w:r>
        <w:rPr>
          <w:rFonts w:ascii="Times New Roman" w:hAnsi="Times New Roman"/>
          <w:b/>
          <w:sz w:val="20"/>
        </w:rPr>
        <w:t>Merger</w:t>
      </w:r>
      <w:r>
        <w:rPr>
          <w:rFonts w:ascii="Times New Roman" w:hAnsi="Times New Roman"/>
          <w:sz w:val="20"/>
        </w:rPr>
        <w:t>) of Pylon Merger Company LLC, a Delaware limited liability company and a direct wholly-owned subsidiary of VIH (</w:t>
      </w:r>
      <w:r>
        <w:rPr>
          <w:rFonts w:ascii="Times New Roman" w:hAnsi="Times New Roman"/>
          <w:b/>
          <w:sz w:val="20"/>
        </w:rPr>
        <w:t>Merger Sub</w:t>
      </w:r>
      <w:r>
        <w:rPr>
          <w:rFonts w:ascii="Times New Roman" w:hAnsi="Times New Roman"/>
          <w:sz w:val="20"/>
        </w:rPr>
        <w:t>), and Bakkt Holdings, LLC, a Delaware limited liability company (</w:t>
      </w:r>
      <w:r>
        <w:rPr>
          <w:rFonts w:ascii="Times New Roman" w:hAnsi="Times New Roman"/>
          <w:b/>
          <w:sz w:val="20"/>
        </w:rPr>
        <w:t>Bakkt</w:t>
      </w:r>
      <w:r>
        <w:rPr>
          <w:rFonts w:ascii="Times New Roman" w:hAnsi="Times New Roman"/>
          <w:sz w:val="20"/>
        </w:rPr>
        <w:t>), pursuant to which, at the closing of the transactions contemplated by the Merger Agreement (the </w:t>
      </w:r>
      <w:r>
        <w:rPr>
          <w:rFonts w:ascii="Times New Roman" w:hAnsi="Times New Roman"/>
          <w:b/>
          <w:sz w:val="20"/>
        </w:rPr>
        <w:t>Closing</w:t>
      </w:r>
      <w:r>
        <w:rPr>
          <w:rFonts w:ascii="Times New Roman" w:hAnsi="Times New Roman"/>
          <w:sz w:val="20"/>
        </w:rPr>
        <w:t>), Merger Sub will merge with and into Bakkt, the separate corporate existence of Merger Sub will cease and Bakkt will be the surviving limited liability company, to be renamed Bakkt Opco Holdings, LLC (</w:t>
      </w:r>
      <w:r>
        <w:rPr>
          <w:rFonts w:ascii="Times New Roman" w:hAnsi="Times New Roman"/>
          <w:b/>
          <w:sz w:val="20"/>
        </w:rPr>
        <w:t>Bakkt Opco</w:t>
      </w:r>
      <w:r>
        <w:rPr>
          <w:rFonts w:ascii="Times New Roman" w:hAnsi="Times New Roman"/>
          <w:sz w:val="20"/>
        </w:rPr>
        <w:t xml:space="preserve">), pursuant to the terms of the Agreement and Plan of Merger, dated as of January 11, 2021, by and among VIH, Merger Sub and Bakkt, as amended by the Amendment to Agreement and Plan of Merger, dated as of March 30, 2021, attached to this proxy statement/prospectus as </w:t>
      </w:r>
      <w:r>
        <w:rPr>
          <w:rFonts w:ascii="Times New Roman" w:hAnsi="Times New Roman"/>
          <w:i/>
          <w:sz w:val="20"/>
        </w:rPr>
        <w:t>Annex A-1</w:t>
      </w:r>
      <w:r>
        <w:rPr>
          <w:rFonts w:ascii="Times New Roman" w:hAnsi="Times New Roman"/>
          <w:sz w:val="20"/>
        </w:rPr>
        <w:t xml:space="preserve"> and </w:t>
      </w:r>
      <w:r>
        <w:rPr>
          <w:rFonts w:ascii="Times New Roman" w:hAnsi="Times New Roman"/>
          <w:i/>
          <w:sz w:val="20"/>
        </w:rPr>
        <w:t>Annex A-2</w:t>
      </w:r>
      <w:r>
        <w:rPr>
          <w:rFonts w:ascii="Times New Roman" w:hAnsi="Times New Roman"/>
          <w:sz w:val="20"/>
        </w:rPr>
        <w:t xml:space="preserve"> (as it may be further amended from time to time, the </w:t>
      </w:r>
      <w:r>
        <w:rPr>
          <w:rFonts w:ascii="Times New Roman" w:hAnsi="Times New Roman"/>
          <w:b/>
          <w:sz w:val="20"/>
        </w:rPr>
        <w:t>Merger Agreement</w:t>
      </w:r>
      <w:r>
        <w:rPr>
          <w:rFonts w:ascii="Times New Roman" w:hAnsi="Times New Roman"/>
          <w:sz w:val="20"/>
        </w:rPr>
        <w:t>), as more fully described elsewhere in this proxy statement/prospectus; (b) the domestication of VIH as a Delaware corporation in accordance with the Delaware General Corporation Law (</w:t>
      </w:r>
      <w:r>
        <w:rPr>
          <w:rFonts w:ascii="Times New Roman" w:hAnsi="Times New Roman"/>
          <w:b/>
          <w:sz w:val="20"/>
        </w:rPr>
        <w:t>DGCL</w:t>
      </w:r>
      <w:r>
        <w:rPr>
          <w:rFonts w:ascii="Times New Roman" w:hAnsi="Times New Roman"/>
          <w:sz w:val="20"/>
        </w:rPr>
        <w:t>), the Cayman Islands Companies Act (As Revised) (the </w:t>
      </w:r>
      <w:r>
        <w:rPr>
          <w:rFonts w:ascii="Times New Roman" w:hAnsi="Times New Roman"/>
          <w:b/>
          <w:sz w:val="20"/>
        </w:rPr>
        <w:t>Companies Act</w:t>
      </w:r>
      <w:r>
        <w:rPr>
          <w:rFonts w:ascii="Times New Roman" w:hAnsi="Times New Roman"/>
          <w:sz w:val="20"/>
        </w:rPr>
        <w:t>) and the amended and restated memorandum and articles of association of VIH (as may be amended from time to time, the </w:t>
      </w:r>
      <w:r>
        <w:rPr>
          <w:rFonts w:ascii="Times New Roman" w:hAnsi="Times New Roman"/>
          <w:b/>
          <w:sz w:val="20"/>
        </w:rPr>
        <w:t>Cayman Constitutional Documents</w:t>
      </w:r>
      <w:r>
        <w:rPr>
          <w:rFonts w:ascii="Times New Roman" w:hAnsi="Times New Roman"/>
          <w:sz w:val="20"/>
        </w:rPr>
        <w:t>), in which VIH will effect a deregistration under the Companies Act and a domestication under Section 388 of the DGCL (by means of filing a certificate of corporate domestication with the Secretary of State of Delaware) (the </w:t>
      </w:r>
      <w:r>
        <w:rPr>
          <w:rFonts w:ascii="Times New Roman" w:hAnsi="Times New Roman"/>
          <w:b/>
          <w:sz w:val="20"/>
        </w:rPr>
        <w:t>Domestication</w:t>
      </w:r>
      <w:r>
        <w:rPr>
          <w:rFonts w:ascii="Times New Roman" w:hAnsi="Times New Roman"/>
          <w:sz w:val="20"/>
        </w:rPr>
        <w:t>) and (c) the other transactions contemplated by the Merger Agreement and documents related thereto (such transactions, together with the Merger and the Domestication, the </w:t>
      </w:r>
      <w:r>
        <w:rPr>
          <w:rFonts w:ascii="Times New Roman" w:hAnsi="Times New Roman"/>
          <w:b/>
          <w:sz w:val="20"/>
        </w:rPr>
        <w:t>Proposed Transaction</w:t>
      </w:r>
      <w:r>
        <w:rPr>
          <w:rFonts w:ascii="Times New Roman" w:hAnsi="Times New Roman"/>
          <w:sz w:val="20"/>
        </w:rPr>
        <w:t>). In connection with the Proposed Transaction, VIH will be renamed Bakkt Holdings, Inc. (</w:t>
      </w:r>
      <w:r>
        <w:rPr>
          <w:rFonts w:ascii="Times New Roman" w:hAnsi="Times New Roman"/>
          <w:b/>
          <w:sz w:val="20"/>
        </w:rPr>
        <w:t>Bakkt Pubco</w:t>
      </w:r>
      <w:r>
        <w:rPr>
          <w:rFonts w:ascii="Times New Roman" w:hAnsi="Times New Roman"/>
          <w:sz w:val="20"/>
        </w:rPr>
        <w:t>). Bakkt Pubco and VIH, following the Domestication, are both referred to herein as the </w:t>
      </w:r>
      <w:r>
        <w:rPr>
          <w:rFonts w:ascii="Times New Roman" w:hAnsi="Times New Roman"/>
          <w:b/>
          <w:sz w:val="20"/>
        </w:rPr>
        <w:t>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As a result of and upon the effective time of the Domestication, (a) each unit of VIH issued in the IPO (as defined in the accompanying proxy statement/prospectus) (each a </w:t>
      </w:r>
      <w:r>
        <w:rPr>
          <w:rFonts w:ascii="Times New Roman" w:hAnsi="Times New Roman"/>
          <w:b/>
          <w:sz w:val="20"/>
        </w:rPr>
        <w:t>VIH Unit</w:t>
      </w:r>
      <w:r>
        <w:rPr>
          <w:rFonts w:ascii="Times New Roman" w:hAnsi="Times New Roman"/>
          <w:sz w:val="20"/>
        </w:rPr>
        <w:t>) then issued and outstanding as of immediately prior to the Domestication will automatically be separated into the underlying VIH Class A Ordinary Share, par value $0.0001 per share, of VIH (each a </w:t>
      </w:r>
      <w:r>
        <w:rPr>
          <w:rFonts w:ascii="Times New Roman" w:hAnsi="Times New Roman"/>
          <w:b/>
          <w:sz w:val="20"/>
        </w:rPr>
        <w:t>VIH Class</w:t>
      </w:r>
      <w:r>
        <w:rPr>
          <w:rFonts w:ascii="Times New Roman" w:hAnsi="Times New Roman"/>
          <w:sz w:val="20"/>
        </w:rPr>
        <w:t> </w:t>
      </w:r>
      <w:r>
        <w:rPr>
          <w:rFonts w:ascii="Times New Roman" w:hAnsi="Times New Roman"/>
          <w:b/>
          <w:sz w:val="20"/>
        </w:rPr>
        <w:t>A Ordinary Share</w:t>
      </w:r>
      <w:r>
        <w:rPr>
          <w:rFonts w:ascii="Times New Roman" w:hAnsi="Times New Roman"/>
          <w:sz w:val="20"/>
        </w:rPr>
        <w:t>) and one-half of a redeemable warrant exercisable for a VIH Class A Ordinary Share (</w:t>
      </w:r>
      <w:r>
        <w:rPr>
          <w:rFonts w:ascii="Times New Roman" w:hAnsi="Times New Roman"/>
          <w:b/>
          <w:sz w:val="20"/>
        </w:rPr>
        <w:t>VIH Warrants</w:t>
      </w:r>
      <w:r>
        <w:rPr>
          <w:rFonts w:ascii="Times New Roman" w:hAnsi="Times New Roman"/>
          <w:sz w:val="20"/>
        </w:rPr>
        <w:t>), (b) each VIH Class A Ordinary Share issued and outstanding immediately prior to the Domestication will remain outstanding and will automatically convert into one share of Bakkt Pubco Class A Common Stock, par value $0.0001 per share of Bakkt Pubco (each a </w:t>
      </w:r>
      <w:r>
        <w:rPr>
          <w:rFonts w:ascii="Times New Roman" w:hAnsi="Times New Roman"/>
          <w:b/>
          <w:sz w:val="20"/>
        </w:rPr>
        <w:t>Bakkt Pubco Class</w:t>
      </w:r>
      <w:r>
        <w:rPr>
          <w:rFonts w:ascii="Times New Roman" w:hAnsi="Times New Roman"/>
          <w:sz w:val="20"/>
        </w:rPr>
        <w:t> </w:t>
      </w:r>
      <w:r>
        <w:rPr>
          <w:rFonts w:ascii="Times New Roman" w:hAnsi="Times New Roman"/>
          <w:b/>
          <w:sz w:val="20"/>
        </w:rPr>
        <w:t>A Share</w:t>
      </w:r>
      <w:r>
        <w:rPr>
          <w:rFonts w:ascii="Times New Roman" w:hAnsi="Times New Roman"/>
          <w:sz w:val="20"/>
        </w:rPr>
        <w:t>) (provided that each VIH Class A Ordinary Share owned by Public Shareholders (as defined in the accompanying proxy statement/prospectus) who have validly elected to redeem their VIH Class A Ordinary Shares will be redeemed for cash in an amount equal to the Redemption Price (as defined in the accompanying proxy statement/prospectus)), (c) each VIH Class B Ordinary Share, par value $0.0001 per share, of VIH (each a </w:t>
      </w:r>
      <w:r>
        <w:rPr>
          <w:rFonts w:ascii="Times New Roman" w:hAnsi="Times New Roman"/>
          <w:b/>
          <w:sz w:val="20"/>
        </w:rPr>
        <w:t>VIH Class</w:t>
      </w:r>
      <w:r>
        <w:rPr>
          <w:rFonts w:ascii="Times New Roman" w:hAnsi="Times New Roman"/>
          <w:sz w:val="20"/>
        </w:rPr>
        <w:t> </w:t>
      </w:r>
      <w:r>
        <w:rPr>
          <w:rFonts w:ascii="Times New Roman" w:hAnsi="Times New Roman"/>
          <w:b/>
          <w:sz w:val="20"/>
        </w:rPr>
        <w:t>B Ordinary Share</w:t>
      </w:r>
      <w:r>
        <w:rPr>
          <w:rFonts w:ascii="Times New Roman" w:hAnsi="Times New Roman"/>
          <w:sz w:val="20"/>
        </w:rPr>
        <w:t>) issued and outstanding immediately prior to the Domestication will be automatically converted into one Bakkt Pubco Class A Share, (d) each VIH Warrant will be automatically converted into a redeemable warrant exercisable for one Bakkt Pubco Class A Share (</w:t>
      </w:r>
      <w:r>
        <w:rPr>
          <w:rFonts w:ascii="Times New Roman" w:hAnsi="Times New Roman"/>
          <w:b/>
          <w:sz w:val="20"/>
        </w:rPr>
        <w:t>Bakkt Pubco Warrants</w:t>
      </w:r>
      <w:r>
        <w:rPr>
          <w:rFonts w:ascii="Times New Roman" w:hAnsi="Times New Roman"/>
          <w:sz w:val="20"/>
        </w:rPr>
        <w:t xml:space="preserve">) on the same terms as the VIH Warrants; and (e) each Private Placement Warrant (as defined in the accompanying proxy statement/prospectus) issued and outstanding prior to the Domestication will be automatically converted into a warrant exercisable for one Bakkt Pubco Class A Share on the terms and subject to the conditions set forth in the applicable warrant agreement. </w:t>
      </w:r>
    </w:p>
    <w:p>
      <w:pPr>
        <w:pStyle w:val="TextBody"/>
        <w:spacing w:before="240" w:after="0"/>
        <w:jc w:val="left"/>
        <w:rPr>
          <w:rFonts w:ascii="Times New Roman" w:hAnsi="Times New Roman"/>
          <w:sz w:val="20"/>
        </w:rPr>
      </w:pPr>
      <w:r>
        <w:rPr>
          <w:rFonts w:ascii="Times New Roman" w:hAnsi="Times New Roman"/>
          <w:sz w:val="20"/>
        </w:rPr>
        <w:t>As a result of the Merger, among other things, the aggregate consideration to be received in respect of the Merger by all of the Bakkt equity holders (assuming the exercise by Bakkt warrant holders to convert all outstanding Bakkt warrants into Bakkt common units prior to the Closing) will be an aggregate of 208,200,000 common units of Bakkt Opco (</w:t>
      </w:r>
      <w:r>
        <w:rPr>
          <w:rFonts w:ascii="Times New Roman" w:hAnsi="Times New Roman"/>
          <w:b/>
          <w:sz w:val="20"/>
        </w:rPr>
        <w:t>Bakkt</w:t>
      </w:r>
      <w:r>
        <w:rPr>
          <w:rFonts w:ascii="Times New Roman" w:hAnsi="Times New Roman"/>
          <w:sz w:val="20"/>
        </w:rPr>
        <w:t xml:space="preserve"> </w:t>
      </w:r>
      <w:r>
        <w:rPr>
          <w:rFonts w:ascii="Times New Roman" w:hAnsi="Times New Roman"/>
          <w:b/>
          <w:sz w:val="20"/>
        </w:rPr>
        <w:t>Opco Common Units</w:t>
      </w:r>
      <w:r>
        <w:rPr>
          <w:rFonts w:ascii="Times New Roman" w:hAnsi="Times New Roman"/>
          <w:sz w:val="20"/>
        </w:rPr>
        <w:t>) and 208,200,000 shares of Bakkt Pubco Class V Common Stock of Bakkt Pubco (each a </w:t>
      </w:r>
      <w:r>
        <w:rPr>
          <w:rFonts w:ascii="Times New Roman" w:hAnsi="Times New Roman"/>
          <w:b/>
          <w:sz w:val="20"/>
        </w:rPr>
        <w:t>Bakkt Pubco Class</w:t>
      </w:r>
      <w:r>
        <w:rPr>
          <w:rFonts w:ascii="Times New Roman" w:hAnsi="Times New Roman"/>
          <w:sz w:val="20"/>
        </w:rPr>
        <w:t> </w:t>
      </w:r>
      <w:r>
        <w:rPr>
          <w:rFonts w:ascii="Times New Roman" w:hAnsi="Times New Roman"/>
          <w:b/>
          <w:sz w:val="20"/>
        </w:rPr>
        <w:t>V Share</w:t>
      </w:r>
      <w:r>
        <w:rPr>
          <w:rFonts w:ascii="Times New Roman" w:hAnsi="Times New Roman"/>
          <w:sz w:val="20"/>
        </w:rPr>
        <w:t xml:space="preserve">), which will be non-economic, voting shares of Bakkt Pubco. Each Bakkt Opco Common Unit, when coupled with one Bakkt Pubco Class V Share may be exchanged for one Bakkt Pubco Class A Share or the Cash Amount (as defined in the accompanying proxy statement/prospectus) in accordance with the Surviving Company LLC Agreement and the Exchange Agreement (each, as defined in the accompanying proxy statement/prospectus).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 is anticipated that following the Closing of the Proposed Transaction: (a) the Public Shareholders (as defined in the accompanying proxy statement/prospectus) are expected to own approximately 8% of the outstanding Companys Shares; (b) Bakkt Equity Holders (without taking into account any Public Shares held by Bakkt Equity Holders prior to the consummation of the Proposed Transaction or purchased in the PIPE Investment (as defined in the accompanying proxy statement/prospectus)) are expected to own approximately 78% of the outstanding Companys Shares; (c) the Sponsor and related parties are expected to collectively own approximately 2% of the outstanding Companys Shares and (d) the PIPE Investors (as defined in the accompanying proxy statement/prospectus) are expected to own approximately 12% of the outstanding Companys Shares. These percentages assume (i) that no Public Shareholders exercise their Redemption Rights in connection with the Proposed Transaction and (ii) that Bakkt Pubco issues 32,500,000 of the Companys Shares to the PIPE Investors pursuant to the PIPE Investment. If there are redemptions by the Public Shareholders up to the maximum level that would permit completion of the Business Combination, (a) the Public Shareholders will own approximately 4% of the outstanding Companys Shares, (b) Bakkt Equity Holders (without taking into account any Public Shares held by Bakkt Equity Holders prior to the consummation of the Proposed Transaction or purchased in the PIPE Investment) will own approximately 81% of the outstanding Companys Shares, (c) the Sponsor and related parties will own approximately 2% of the outstanding Companys Shares and (d) the PIPE Investors will own approximately 13% of the outstanding Companys Shares. These percentages assume (i) that 10,737,202 Public Shareholders exercise their Redemption Rights in connection with the Proposed Transaction and (ii) that Bakkt Pubco issues 32,500,000 of the Companys Shares to the PIPE Investors pursuant to the PIPE Investment. </w:t>
      </w:r>
    </w:p>
    <w:p>
      <w:pPr>
        <w:pStyle w:val="TextBody"/>
        <w:spacing w:before="240" w:after="0"/>
        <w:jc w:val="left"/>
        <w:rPr>
          <w:rFonts w:ascii="Times New Roman" w:hAnsi="Times New Roman"/>
          <w:sz w:val="20"/>
        </w:rPr>
      </w:pPr>
      <w:r>
        <w:rPr>
          <w:rFonts w:ascii="Times New Roman" w:hAnsi="Times New Roman"/>
          <w:sz w:val="20"/>
        </w:rPr>
        <w:t>Upon the Closing, Bakkt Pubco, Bakkt Opco and its subsidiaries will be organized in an umbrella partnership-C corporation (or </w:t>
      </w:r>
      <w:r>
        <w:rPr>
          <w:rFonts w:ascii="Times New Roman" w:hAnsi="Times New Roman"/>
          <w:b/>
          <w:sz w:val="20"/>
        </w:rPr>
        <w:t>Up-C</w:t>
      </w:r>
      <w:r>
        <w:rPr>
          <w:rFonts w:ascii="Times New Roman" w:hAnsi="Times New Roman"/>
          <w:sz w:val="20"/>
        </w:rPr>
        <w:t>) structure in which substantially all of the assets and the business of Bakkt Pubco will be held by Bakkt Opco and its subsidiaries, and Bakkt Pubcos only direct assets will consist of its ownership of Bakkt Opco Common Units. Assuming there are no Redemptions (as defined in the accompanying proxy statement/prospectus) in connection with the Proposed Transaction, upon the Closing, Bakkt Pubco is expected to own approximately 22% of Bakkt Opco Common Units and will be the managing member of Bakkt Opco. All remaining Bakkt Opco Common Units will be owned by the former equity owners of Bakkt (</w:t>
      </w:r>
      <w:r>
        <w:rPr>
          <w:rFonts w:ascii="Times New Roman" w:hAnsi="Times New Roman"/>
          <w:b/>
          <w:sz w:val="20"/>
        </w:rPr>
        <w:t>Bakkt Equity 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The VIH Units, VIH Class A Ordinary Shares and VIH Warrants are currently listed on The Nasdaq Capital Market (</w:t>
      </w:r>
      <w:r>
        <w:rPr>
          <w:rFonts w:ascii="Times New Roman" w:hAnsi="Times New Roman"/>
          <w:b/>
          <w:sz w:val="20"/>
        </w:rPr>
        <w:t>Nasdaq</w:t>
      </w:r>
      <w:r>
        <w:rPr>
          <w:rFonts w:ascii="Times New Roman" w:hAnsi="Times New Roman"/>
          <w:sz w:val="20"/>
        </w:rPr>
        <w:t>) under the symbols VIHAU, VIH and VIHAW, respectively. Pursuant to the terms of the Merger Agreement, as a closing condition, VIH is required to cause the Bakkt Pubco Class A Shares to be issued in connection with the Proposed Transaction and the PIPE Investment (as defined herein) and Bakkt Pubco Warrants to be approved for listing on the New York Stock Exchange (the </w:t>
      </w:r>
      <w:r>
        <w:rPr>
          <w:rFonts w:ascii="Times New Roman" w:hAnsi="Times New Roman"/>
          <w:b/>
          <w:sz w:val="20"/>
        </w:rPr>
        <w:t>NYSE</w:t>
      </w:r>
      <w:r>
        <w:rPr>
          <w:rFonts w:ascii="Times New Roman" w:hAnsi="Times New Roman"/>
          <w:sz w:val="20"/>
        </w:rPr>
        <w:t xml:space="preserve">) as of the Closing under the proposed symbols BKKT and BKKTAW, respectively. Bakkt Pubco will not have publicly traded units nor will the Bakkt Opco Common Units or the Bakkt Pubco Class V Shares be publicly traded. </w:t>
      </w:r>
    </w:p>
    <w:p>
      <w:pPr>
        <w:pStyle w:val="TextBody"/>
        <w:spacing w:before="240" w:after="0"/>
        <w:jc w:val="left"/>
        <w:rPr>
          <w:rFonts w:ascii="Times New Roman" w:hAnsi="Times New Roman"/>
          <w:sz w:val="20"/>
        </w:rPr>
      </w:pPr>
      <w:r>
        <w:rPr>
          <w:rFonts w:ascii="Times New Roman" w:hAnsi="Times New Roman"/>
          <w:sz w:val="20"/>
        </w:rPr>
        <w:t>VIH will hold an extraordinary general meeting (the </w:t>
      </w:r>
      <w:r>
        <w:rPr>
          <w:rFonts w:ascii="Times New Roman" w:hAnsi="Times New Roman"/>
          <w:b/>
          <w:sz w:val="20"/>
        </w:rPr>
        <w:t>extraordinary general meeting</w:t>
      </w:r>
      <w:r>
        <w:rPr>
          <w:rFonts w:ascii="Times New Roman" w:hAnsi="Times New Roman"/>
          <w:sz w:val="20"/>
        </w:rPr>
        <w:t xml:space="preserve">) to consider matters relating to the Proposed Transaction at [●], Eastern Time, on [●], 2021. For the purposes of Cayman Islands law and the Cayman Constitutional Documents, the physical location of the extraordinary general meeting will be at the offices of White &amp; Case LLP at 1221 Avenue of the Americas, New York, New York 10020. You or your proxyholder will also be able to attend and vote at the extraordinary general meeting online by visiting [●] and using a control number assigned by Continental Stock Transfer &amp; Trust Company. To register and receive access to the extraordinary general meeting, registered shareholders and beneficial shareholders (those holding shares through a stock brokerage account or by a bank or other holder of record) will need to follow the instructions applicable to them provided in the accompanying proxy statement/prospectus. </w:t>
      </w:r>
    </w:p>
    <w:p>
      <w:pPr>
        <w:pStyle w:val="TextBody"/>
        <w:spacing w:before="240" w:after="0"/>
        <w:jc w:val="left"/>
        <w:rPr>
          <w:rFonts w:ascii="Times New Roman" w:hAnsi="Times New Roman"/>
          <w:sz w:val="20"/>
        </w:rPr>
      </w:pPr>
      <w:r>
        <w:rPr>
          <w:rFonts w:ascii="Times New Roman" w:hAnsi="Times New Roman"/>
          <w:sz w:val="20"/>
        </w:rPr>
        <w:t xml:space="preserve">If you have any questions or need assistance voting your VIH Shares, please contact Morrow Sodali LLC, our proxy solicitor, by calling (800) 662-5200, or banks and brokers can call collect at (203) 658-9400, or by emailing VIH.info@investor.morrowsodali.com. The notice of the extraordinary general meeting and the proxy statement/prospectus relating to the Proposed Transaction will be available at https://[●]. </w:t>
      </w:r>
    </w:p>
    <w:p>
      <w:pPr>
        <w:pStyle w:val="TextBody"/>
        <w:spacing w:before="240" w:after="0"/>
        <w:jc w:val="left"/>
        <w:rPr/>
      </w:pPr>
      <w:r>
        <w:rPr>
          <w:rFonts w:ascii="Times New Roman" w:hAnsi="Times New Roman"/>
          <w:b/>
          <w:sz w:val="24"/>
        </w:rPr>
        <w:t xml:space="preserve">This proxy statement/prospectus provides shareholders of VIH with detailed information about the Proposed Transaction and other matters to be considered at the extraordinary general meeting of VIH. We encourage you to read this entire document, including the Annexes and other documents referred to herein, carefully and in their entirety. You should also carefully consider the risk factors described under the heading </w:t>
      </w:r>
      <w:r>
        <w:rPr>
          <w:rFonts w:ascii="Times New Roman" w:hAnsi="Times New Roman"/>
          <w:b/>
          <w:i/>
          <w:sz w:val="24"/>
        </w:rPr>
        <w:t></w:t>
      </w:r>
      <w:hyperlink w:anchor="toc108105_9">
        <w:r>
          <w:rPr>
            <w:rStyle w:val="InternetLink"/>
            <w:rFonts w:ascii="Times New Roman" w:hAnsi="Times New Roman"/>
            <w:b/>
            <w:i/>
            <w:sz w:val="24"/>
          </w:rPr>
          <w:t>Risk Factors</w:t>
        </w:r>
      </w:hyperlink>
      <w:r>
        <w:rPr>
          <w:rFonts w:ascii="Times New Roman" w:hAnsi="Times New Roman"/>
          <w:b/>
          <w:i/>
          <w:sz w:val="24"/>
        </w:rPr>
        <w:t></w:t>
      </w:r>
      <w:r>
        <w:rPr>
          <w:rFonts w:ascii="Times New Roman" w:hAnsi="Times New Roman"/>
          <w:sz w:val="24"/>
        </w:rPr>
        <w:t xml:space="preserve"> </w:t>
      </w:r>
      <w:r>
        <w:rPr>
          <w:rFonts w:ascii="Times New Roman" w:hAnsi="Times New Roman"/>
          <w:b/>
          <w:sz w:val="24"/>
        </w:rPr>
        <w:t xml:space="preserve">beginning on page 52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NEITHER THE SECURITIES AND EXCHANGE COMMISSION NOR ANY STATE SECURITIES REGULATORY AGENCY HAS APPROVED OR DISAPPROVED THE TRANSACTIONS DESCRIBED IN THIS PROXY STATEMENT/PROSPECTUS, PASSED UPON THE MERITS OR FAIRNESS OF THE PROPOSED TRANSACTION OR PASSED UPON THE ADEQUACY OR ACCURACY OF THE DISCLOSURE IN THIS PROXY STATEMENT/PROSPECTUS. ANY REPRESENTATION TO THE CONTRARY CONSTITUTES A CRIMINAL OFFENSE.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is dated [●], 2021, and is first being mailed to VIHs shareholders on or about [●],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240" w:after="0"/>
        <w:jc w:val="center"/>
        <w:rPr>
          <w:rFonts w:ascii="Times New Roman" w:hAnsi="Times New Roman"/>
          <w:b/>
          <w:sz w:val="20"/>
        </w:rPr>
      </w:pPr>
      <w:r>
        <w:rPr>
          <w:rFonts w:ascii="Times New Roman" w:hAnsi="Times New Roman"/>
          <w:b/>
          <w:sz w:val="20"/>
        </w:rPr>
        <w:t xml:space="preserve">A Cayman Islands Exempted Company </w:t>
      </w:r>
    </w:p>
    <w:p>
      <w:pPr>
        <w:pStyle w:val="TextBody"/>
        <w:spacing w:before="0" w:after="0"/>
        <w:jc w:val="center"/>
        <w:rPr>
          <w:rFonts w:ascii="Times New Roman" w:hAnsi="Times New Roman"/>
          <w:b/>
          <w:sz w:val="20"/>
        </w:rPr>
      </w:pPr>
      <w:r>
        <w:rPr>
          <w:rFonts w:ascii="Times New Roman" w:hAnsi="Times New Roman"/>
          <w:b/>
          <w:sz w:val="20"/>
        </w:rPr>
        <w:t xml:space="preserve">(Company Number 364819) </w:t>
      </w:r>
    </w:p>
    <w:p>
      <w:pPr>
        <w:pStyle w:val="TextBody"/>
        <w:spacing w:before="0" w:after="0"/>
        <w:jc w:val="center"/>
        <w:rPr>
          <w:rFonts w:ascii="Times New Roman" w:hAnsi="Times New Roman"/>
          <w:b/>
          <w:sz w:val="20"/>
        </w:rPr>
      </w:pPr>
      <w:r>
        <w:rPr>
          <w:rFonts w:ascii="Times New Roman" w:hAnsi="Times New Roman"/>
          <w:b/>
          <w:sz w:val="20"/>
        </w:rPr>
        <w:t xml:space="preserve">150 North Riverside Plaza, Suite 5200 </w:t>
      </w:r>
    </w:p>
    <w:p>
      <w:pPr>
        <w:pStyle w:val="TextBody"/>
        <w:spacing w:before="0" w:after="0"/>
        <w:jc w:val="center"/>
        <w:rPr>
          <w:rFonts w:ascii="Times New Roman" w:hAnsi="Times New Roman"/>
          <w:b/>
          <w:sz w:val="20"/>
        </w:rPr>
      </w:pPr>
      <w:r>
        <w:rPr>
          <w:rFonts w:ascii="Times New Roman" w:hAnsi="Times New Roman"/>
          <w:b/>
          <w:sz w:val="20"/>
        </w:rPr>
        <w:t xml:space="preserve">Chicago, Illinois 60606 </w:t>
      </w:r>
    </w:p>
    <w:p>
      <w:pPr>
        <w:pStyle w:val="TextBody"/>
        <w:spacing w:before="240" w:after="0"/>
        <w:jc w:val="left"/>
        <w:rPr>
          <w:rFonts w:ascii="Times New Roman" w:hAnsi="Times New Roman"/>
          <w:sz w:val="20"/>
        </w:rPr>
      </w:pPr>
      <w:r>
        <w:rPr>
          <w:rFonts w:ascii="Times New Roman" w:hAnsi="Times New Roman"/>
          <w:sz w:val="20"/>
        </w:rPr>
        <w:t xml:space="preserve">Dear VPC Impact Acquisition Holdings Shareholders: </w:t>
      </w:r>
    </w:p>
    <w:p>
      <w:pPr>
        <w:pStyle w:val="TextBody"/>
        <w:spacing w:before="240" w:after="0"/>
        <w:jc w:val="left"/>
        <w:rPr>
          <w:rFonts w:ascii="Times New Roman" w:hAnsi="Times New Roman"/>
          <w:sz w:val="20"/>
        </w:rPr>
      </w:pPr>
      <w:r>
        <w:rPr>
          <w:rFonts w:ascii="Times New Roman" w:hAnsi="Times New Roman"/>
          <w:sz w:val="20"/>
        </w:rPr>
        <w:t>You are cordially invited to attend the extraordinary general meeting (the </w:t>
      </w:r>
      <w:r>
        <w:rPr>
          <w:rFonts w:ascii="Times New Roman" w:hAnsi="Times New Roman"/>
          <w:b/>
          <w:sz w:val="20"/>
        </w:rPr>
        <w:t>extraordinary general meeting</w:t>
      </w:r>
      <w:r>
        <w:rPr>
          <w:rFonts w:ascii="Times New Roman" w:hAnsi="Times New Roman"/>
          <w:sz w:val="20"/>
        </w:rPr>
        <w:t>) of VPC Impact Acquisition Holdings, a Cayman Islands exempted company (</w:t>
      </w:r>
      <w:r>
        <w:rPr>
          <w:rFonts w:ascii="Times New Roman" w:hAnsi="Times New Roman"/>
          <w:b/>
          <w:sz w:val="20"/>
        </w:rPr>
        <w:t>VIH</w:t>
      </w:r>
      <w:r>
        <w:rPr>
          <w:rFonts w:ascii="Times New Roman" w:hAnsi="Times New Roman"/>
          <w:sz w:val="20"/>
        </w:rPr>
        <w:t> and, after the Domestication, as described below, </w:t>
      </w:r>
      <w:r>
        <w:rPr>
          <w:rFonts w:ascii="Times New Roman" w:hAnsi="Times New Roman"/>
          <w:b/>
          <w:sz w:val="20"/>
        </w:rPr>
        <w:t>Bakkt Pubco</w:t>
      </w:r>
      <w:r>
        <w:rPr>
          <w:rFonts w:ascii="Times New Roman" w:hAnsi="Times New Roman"/>
          <w:sz w:val="20"/>
        </w:rPr>
        <w:t> or the </w:t>
      </w:r>
      <w:r>
        <w:rPr>
          <w:rFonts w:ascii="Times New Roman" w:hAnsi="Times New Roman"/>
          <w:b/>
          <w:sz w:val="20"/>
        </w:rPr>
        <w:t>Company</w:t>
      </w:r>
      <w:r>
        <w:rPr>
          <w:rFonts w:ascii="Times New Roman" w:hAnsi="Times New Roman"/>
          <w:sz w:val="20"/>
        </w:rPr>
        <w:t>), to be held virtually at [●], Eastern Time, on [●], 2021. In light of ongoing developments related to the novel coronavirus (</w:t>
      </w:r>
      <w:r>
        <w:rPr>
          <w:rFonts w:ascii="Times New Roman" w:hAnsi="Times New Roman"/>
          <w:b/>
          <w:sz w:val="20"/>
        </w:rPr>
        <w:t>COVID-19</w:t>
      </w:r>
      <w:r>
        <w:rPr>
          <w:rFonts w:ascii="Times New Roman" w:hAnsi="Times New Roman"/>
          <w:sz w:val="20"/>
        </w:rPr>
        <w:t>), after careful consideration, the Company has determined that the extraordinary general meeting will be a virtual meeting conducted via live webcast at [●] in order to facilitate shareholder attendance and participation while safeguarding the health and safety of our shareholders, directors and management team. For the purposes of Cayman Islands law and the amended and restated memorandum and articles of association of VIH (as may be amended from time to time, the </w:t>
      </w:r>
      <w:r>
        <w:rPr>
          <w:rFonts w:ascii="Times New Roman" w:hAnsi="Times New Roman"/>
          <w:b/>
          <w:sz w:val="20"/>
        </w:rPr>
        <w:t>Cayman Constitutional Documents</w:t>
      </w:r>
      <w:r>
        <w:rPr>
          <w:rFonts w:ascii="Times New Roman" w:hAnsi="Times New Roman"/>
          <w:sz w:val="20"/>
        </w:rPr>
        <w:t xml:space="preserve">), the physical location of the extraordinary general meeting will be at the offices of White &amp; Case LLP at 1221 Avenue of the Americas, New York, New York 10020. You or your proxyholder will also be able to attend and vote at the extraordinary general meeting online by visiting https://[●] and using a control number assigned by Continental Stock Transfer &amp; Trust Company. To register and receive access to the extraordinary general meeting, registered shareholders and beneficial shareholders (those holding shares through a stock brokerage account or by a bank or other holder of record) will need to follow the instructions applicable to them provided in the accompanying proxy statement/prospectus. </w:t>
      </w:r>
    </w:p>
    <w:p>
      <w:pPr>
        <w:pStyle w:val="TextBody"/>
        <w:spacing w:before="240" w:after="0"/>
        <w:jc w:val="left"/>
        <w:rPr>
          <w:rFonts w:ascii="Times New Roman" w:hAnsi="Times New Roman"/>
          <w:sz w:val="20"/>
        </w:rPr>
      </w:pPr>
      <w:r>
        <w:rPr>
          <w:rFonts w:ascii="Times New Roman" w:hAnsi="Times New Roman"/>
          <w:sz w:val="20"/>
        </w:rPr>
        <w:t>At the extraordinary general meeting, VIH shareholders will be asked to consider and vote upon a proposal to approve and adopt the Agreement and Plan of Merger, dated as of January 11, 2021, as amended by the Amendment to Agreement and Plan of Merger, dated as of March 30, 2021 (as the same may be further amended, the </w:t>
      </w:r>
      <w:r>
        <w:rPr>
          <w:rFonts w:ascii="Times New Roman" w:hAnsi="Times New Roman"/>
          <w:b/>
          <w:sz w:val="20"/>
        </w:rPr>
        <w:t>Merger Agreement</w:t>
      </w:r>
      <w:r>
        <w:rPr>
          <w:rFonts w:ascii="Times New Roman" w:hAnsi="Times New Roman"/>
          <w:sz w:val="20"/>
        </w:rPr>
        <w:t>), by and among VIH, Pylon Merger Company LLC, a Delaware limited liability company and a direct wholly-owned subsidiary of VIH (</w:t>
      </w:r>
      <w:r>
        <w:rPr>
          <w:rFonts w:ascii="Times New Roman" w:hAnsi="Times New Roman"/>
          <w:b/>
          <w:sz w:val="20"/>
        </w:rPr>
        <w:t>Merger Sub</w:t>
      </w:r>
      <w:r>
        <w:rPr>
          <w:rFonts w:ascii="Times New Roman" w:hAnsi="Times New Roman"/>
          <w:sz w:val="20"/>
        </w:rPr>
        <w:t>), and Bakkt Holdings, LLC, a Delaware limited liability company (</w:t>
      </w:r>
      <w:r>
        <w:rPr>
          <w:rFonts w:ascii="Times New Roman" w:hAnsi="Times New Roman"/>
          <w:b/>
          <w:sz w:val="20"/>
        </w:rPr>
        <w:t>Bakkt</w:t>
      </w:r>
      <w:r>
        <w:rPr>
          <w:rFonts w:ascii="Times New Roman" w:hAnsi="Times New Roman"/>
          <w:sz w:val="20"/>
        </w:rPr>
        <w:t xml:space="preserve">), a copy of which is attached to the accompanying proxy statement/prospectus as </w:t>
      </w:r>
      <w:r>
        <w:rPr>
          <w:rFonts w:ascii="Times New Roman" w:hAnsi="Times New Roman"/>
          <w:i/>
          <w:sz w:val="20"/>
        </w:rPr>
        <w:t>Annex A-1</w:t>
      </w:r>
      <w:r>
        <w:rPr>
          <w:rFonts w:ascii="Times New Roman" w:hAnsi="Times New Roman"/>
          <w:sz w:val="20"/>
        </w:rPr>
        <w:t xml:space="preserve"> and </w:t>
      </w:r>
      <w:r>
        <w:rPr>
          <w:rFonts w:ascii="Times New Roman" w:hAnsi="Times New Roman"/>
          <w:i/>
          <w:sz w:val="20"/>
        </w:rPr>
        <w:t>Annex A-2</w:t>
      </w:r>
      <w:r>
        <w:rPr>
          <w:rFonts w:ascii="Times New Roman" w:hAnsi="Times New Roman"/>
          <w:sz w:val="20"/>
        </w:rPr>
        <w:t xml:space="preserve"> (the </w:t>
      </w:r>
      <w:r>
        <w:rPr>
          <w:rFonts w:ascii="Times New Roman" w:hAnsi="Times New Roman"/>
          <w:b/>
          <w:sz w:val="20"/>
        </w:rPr>
        <w:t>Business Combination Proposal</w:t>
      </w:r>
      <w:r>
        <w:rPr>
          <w:rFonts w:ascii="Times New Roman" w:hAnsi="Times New Roman"/>
          <w:sz w:val="20"/>
        </w:rPr>
        <w:t>). The Merger Agreement provides for, among other things, following the Domestication of VIH to Delaware as described below, the merger of Merger Sub with and into Bakkt (the </w:t>
      </w:r>
      <w:r>
        <w:rPr>
          <w:rFonts w:ascii="Times New Roman" w:hAnsi="Times New Roman"/>
          <w:b/>
          <w:sz w:val="20"/>
        </w:rPr>
        <w:t>Merger</w:t>
      </w:r>
      <w:r>
        <w:rPr>
          <w:rFonts w:ascii="Times New Roman" w:hAnsi="Times New Roman"/>
          <w:sz w:val="20"/>
        </w:rPr>
        <w:t> and, together with the other agreements and transactions contemplated by the Merger Agreement, the </w:t>
      </w:r>
      <w:r>
        <w:rPr>
          <w:rFonts w:ascii="Times New Roman" w:hAnsi="Times New Roman"/>
          <w:b/>
          <w:sz w:val="20"/>
        </w:rPr>
        <w:t>Proposed Transaction</w:t>
      </w:r>
      <w:r>
        <w:rPr>
          <w:rFonts w:ascii="Times New Roman" w:hAnsi="Times New Roman"/>
          <w:sz w:val="20"/>
        </w:rPr>
        <w:t>), with Bakkt (to be renamed Bakkt Opco Holdings, LLC (</w:t>
      </w:r>
      <w:r>
        <w:rPr>
          <w:rFonts w:ascii="Times New Roman" w:hAnsi="Times New Roman"/>
          <w:b/>
          <w:sz w:val="20"/>
        </w:rPr>
        <w:t>Bakkt Opco</w:t>
      </w:r>
      <w:r>
        <w:rPr>
          <w:rFonts w:ascii="Times New Roman" w:hAnsi="Times New Roman"/>
          <w:sz w:val="20"/>
        </w:rPr>
        <w:t xml:space="preserve">)) surviving the Merger in accordance with the terms and subject to the conditions of the Merger Agreement as more fully described elsewhere in the accompanying proxy statement/prospectus. </w:t>
      </w:r>
    </w:p>
    <w:p>
      <w:pPr>
        <w:pStyle w:val="TextBody"/>
        <w:spacing w:before="240" w:after="0"/>
        <w:jc w:val="left"/>
        <w:rPr>
          <w:rFonts w:ascii="Times New Roman" w:hAnsi="Times New Roman"/>
          <w:sz w:val="20"/>
        </w:rPr>
      </w:pPr>
      <w:r>
        <w:rPr>
          <w:rFonts w:ascii="Times New Roman" w:hAnsi="Times New Roman"/>
          <w:sz w:val="20"/>
        </w:rPr>
        <w:t>As a condition to the consummation of the Merger, the board of directors of VIH (the </w:t>
      </w:r>
      <w:r>
        <w:rPr>
          <w:rFonts w:ascii="Times New Roman" w:hAnsi="Times New Roman"/>
          <w:b/>
          <w:sz w:val="20"/>
        </w:rPr>
        <w:t>VIH Board</w:t>
      </w:r>
      <w:r>
        <w:rPr>
          <w:rFonts w:ascii="Times New Roman" w:hAnsi="Times New Roman"/>
          <w:sz w:val="20"/>
        </w:rPr>
        <w:t>) has unanimously approved a change of VIHs jurisdiction of incorporation by deregistering as an exempted company in the Cayman Islands and continuing and domesticating as a corporation incorporated under the laws of the State of Delaware (the </w:t>
      </w:r>
      <w:r>
        <w:rPr>
          <w:rFonts w:ascii="Times New Roman" w:hAnsi="Times New Roman"/>
          <w:b/>
          <w:sz w:val="20"/>
        </w:rPr>
        <w:t>Domestication</w:t>
      </w:r>
      <w:r>
        <w:rPr>
          <w:rFonts w:ascii="Times New Roman" w:hAnsi="Times New Roman"/>
          <w:sz w:val="20"/>
        </w:rPr>
        <w:t>). As described in the accompanying proxy statement/prospectus, you will be asked to consider and vote upon a proposal to approve the Domestication (the </w:t>
      </w:r>
      <w:r>
        <w:rPr>
          <w:rFonts w:ascii="Times New Roman" w:hAnsi="Times New Roman"/>
          <w:b/>
          <w:sz w:val="20"/>
        </w:rPr>
        <w:t>Domestication Proposal</w:t>
      </w:r>
      <w:r>
        <w:rPr>
          <w:rFonts w:ascii="Times New Roman" w:hAnsi="Times New Roman"/>
          <w:sz w:val="20"/>
        </w:rPr>
        <w:t xml:space="preserve">). In connection with the consummation of the Proposed Transaction, VIH will change its name to Bakkt Holdings, Inc. </w:t>
      </w:r>
    </w:p>
    <w:p>
      <w:pPr>
        <w:pStyle w:val="TextBody"/>
        <w:spacing w:before="240" w:after="0"/>
        <w:jc w:val="left"/>
        <w:rPr>
          <w:rFonts w:ascii="Times New Roman" w:hAnsi="Times New Roman"/>
          <w:sz w:val="20"/>
        </w:rPr>
      </w:pPr>
      <w:r>
        <w:rPr>
          <w:rFonts w:ascii="Times New Roman" w:hAnsi="Times New Roman"/>
          <w:sz w:val="20"/>
        </w:rPr>
        <w:t>In connection with the Domestication, (a) each unit of VIH issued in the IPO (as defined in the accompanying proxy statement/prospectus) (each a </w:t>
      </w:r>
      <w:r>
        <w:rPr>
          <w:rFonts w:ascii="Times New Roman" w:hAnsi="Times New Roman"/>
          <w:b/>
          <w:sz w:val="20"/>
        </w:rPr>
        <w:t>VIH Unit</w:t>
      </w:r>
      <w:r>
        <w:rPr>
          <w:rFonts w:ascii="Times New Roman" w:hAnsi="Times New Roman"/>
          <w:sz w:val="20"/>
        </w:rPr>
        <w:t>) issued and outstanding immediately prior to the Domestication will automatically be separated into the underlying VIH Class A Ordinary Share, par value $0.0001 per share, of VIH (each a </w:t>
      </w:r>
      <w:r>
        <w:rPr>
          <w:rFonts w:ascii="Times New Roman" w:hAnsi="Times New Roman"/>
          <w:b/>
          <w:sz w:val="20"/>
        </w:rPr>
        <w:t>VIH Class</w:t>
      </w:r>
      <w:r>
        <w:rPr>
          <w:rFonts w:ascii="Times New Roman" w:hAnsi="Times New Roman"/>
          <w:sz w:val="20"/>
        </w:rPr>
        <w:t> </w:t>
      </w:r>
      <w:r>
        <w:rPr>
          <w:rFonts w:ascii="Times New Roman" w:hAnsi="Times New Roman"/>
          <w:b/>
          <w:sz w:val="20"/>
        </w:rPr>
        <w:t>A Ordinary Share</w:t>
      </w:r>
      <w:r>
        <w:rPr>
          <w:rFonts w:ascii="Times New Roman" w:hAnsi="Times New Roman"/>
          <w:sz w:val="20"/>
        </w:rPr>
        <w:t>) and one-half of a redeemable warrant exercisable for a VIH Class A Ordinary Share (</w:t>
      </w:r>
      <w:r>
        <w:rPr>
          <w:rFonts w:ascii="Times New Roman" w:hAnsi="Times New Roman"/>
          <w:b/>
          <w:sz w:val="20"/>
        </w:rPr>
        <w:t>VIH Warrants</w:t>
      </w:r>
      <w:r>
        <w:rPr>
          <w:rFonts w:ascii="Times New Roman" w:hAnsi="Times New Roman"/>
          <w:sz w:val="20"/>
        </w:rPr>
        <w:t>), (b) each VIH Class A Ordinary Share issued and outstanding immediately prior to the Domestication will remain outstanding and will automatically convert into one share of Bakkt Pubco Class A Common Stock, par value $0.0001 per share of Bakkt Pubco (each a </w:t>
      </w:r>
      <w:r>
        <w:rPr>
          <w:rFonts w:ascii="Times New Roman" w:hAnsi="Times New Roman"/>
          <w:b/>
          <w:sz w:val="20"/>
        </w:rPr>
        <w:t>Bakkt Pubco Class</w:t>
      </w:r>
      <w:r>
        <w:rPr>
          <w:rFonts w:ascii="Times New Roman" w:hAnsi="Times New Roman"/>
          <w:sz w:val="20"/>
        </w:rPr>
        <w:t> </w:t>
      </w:r>
      <w:r>
        <w:rPr>
          <w:rFonts w:ascii="Times New Roman" w:hAnsi="Times New Roman"/>
          <w:b/>
          <w:sz w:val="20"/>
        </w:rPr>
        <w:t>A Share</w:t>
      </w:r>
      <w:r>
        <w:rPr>
          <w:rFonts w:ascii="Times New Roman" w:hAnsi="Times New Roman"/>
          <w:sz w:val="20"/>
        </w:rPr>
        <w:t xml:space="preserve">) (provided that each VIH Class A Ordinary Share owned by Public Shareholders (as defined in the accompanying proxy statement/prospectus) who have validly elected to redeem their VIH Class A Ordinary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Shares will be redeemed for cash in an amount equal to the Redemption Price (as defined in the accompanying proxy statement/prospectus), (c) each VIH Class B Ordinary Share, par value $0.0001 per share, of VIH (each a </w:t>
      </w:r>
      <w:r>
        <w:rPr>
          <w:rFonts w:ascii="Times New Roman" w:hAnsi="Times New Roman"/>
          <w:b/>
          <w:sz w:val="20"/>
        </w:rPr>
        <w:t>VIH Class</w:t>
      </w:r>
      <w:r>
        <w:rPr>
          <w:rFonts w:ascii="Times New Roman" w:hAnsi="Times New Roman"/>
          <w:sz w:val="20"/>
        </w:rPr>
        <w:t> </w:t>
      </w:r>
      <w:r>
        <w:rPr>
          <w:rFonts w:ascii="Times New Roman" w:hAnsi="Times New Roman"/>
          <w:b/>
          <w:sz w:val="20"/>
        </w:rPr>
        <w:t>B Ordinary Share</w:t>
      </w:r>
      <w:r>
        <w:rPr>
          <w:rFonts w:ascii="Times New Roman" w:hAnsi="Times New Roman"/>
          <w:sz w:val="20"/>
        </w:rPr>
        <w:t>) issued and outstanding immediately prior to the Domestication will be automatically converted into one Bakkt Pubco Class A Share, (d) each VIH Warrant will be automatically converted into a redeemable warrant exercisable for one Bakkt Pubco Class A Share (</w:t>
      </w:r>
      <w:r>
        <w:rPr>
          <w:rFonts w:ascii="Times New Roman" w:hAnsi="Times New Roman"/>
          <w:b/>
          <w:sz w:val="20"/>
        </w:rPr>
        <w:t>Bakkt Pubco Warrants</w:t>
      </w:r>
      <w:r>
        <w:rPr>
          <w:rFonts w:ascii="Times New Roman" w:hAnsi="Times New Roman"/>
          <w:sz w:val="20"/>
        </w:rPr>
        <w:t xml:space="preserve">) on the same terms as the VIH Warrants and (e) each Private Placement Warrant (as defined in the accompanying proxy statement/prospectus) issued and outstanding prior to the Domestication will be automatically converted into a warrant exercisable for one Bakkt Pubco Class A Share on the terms and subject to the conditions set forth in the applicable warrant agreement. </w:t>
      </w:r>
    </w:p>
    <w:p>
      <w:pPr>
        <w:pStyle w:val="TextBody"/>
        <w:spacing w:before="240" w:after="0"/>
        <w:jc w:val="left"/>
        <w:rPr>
          <w:rFonts w:ascii="Times New Roman" w:hAnsi="Times New Roman"/>
          <w:sz w:val="20"/>
        </w:rPr>
      </w:pPr>
      <w:r>
        <w:rPr>
          <w:rFonts w:ascii="Times New Roman" w:hAnsi="Times New Roman"/>
          <w:sz w:val="20"/>
        </w:rPr>
        <w:t>In addition to the Business Combination Proposal and the Domestication Proposal, you will also be asked to consider and vote upon: (1) a proposal to approve by ordinary resolution the issuance of Bakkt Pubco Class A Shares to (a) the PIPE Investors pursuant to the PIPE Investment (each as defined in the accompanying proxy statement/prospectus) and (b) the Bakkt Equity Holders (defined below) pursuant to the Merger Agreement (the </w:t>
      </w:r>
      <w:r>
        <w:rPr>
          <w:rFonts w:ascii="Times New Roman" w:hAnsi="Times New Roman"/>
          <w:b/>
          <w:sz w:val="20"/>
        </w:rPr>
        <w:t>Stock Issuance Proposal</w:t>
      </w:r>
      <w:r>
        <w:rPr>
          <w:rFonts w:ascii="Times New Roman" w:hAnsi="Times New Roman"/>
          <w:sz w:val="20"/>
        </w:rPr>
        <w:t>); (2) a proposal to approve by special resolution the proposed new certificate of incorporation (the </w:t>
      </w:r>
      <w:r>
        <w:rPr>
          <w:rFonts w:ascii="Times New Roman" w:hAnsi="Times New Roman"/>
          <w:b/>
          <w:sz w:val="20"/>
        </w:rPr>
        <w:t>Proposed Certificate of Incorporation</w:t>
      </w:r>
      <w:r>
        <w:rPr>
          <w:rFonts w:ascii="Times New Roman" w:hAnsi="Times New Roman"/>
          <w:sz w:val="20"/>
        </w:rPr>
        <w:t>) and the proposed new By-Laws (the </w:t>
      </w:r>
      <w:r>
        <w:rPr>
          <w:rFonts w:ascii="Times New Roman" w:hAnsi="Times New Roman"/>
          <w:b/>
          <w:sz w:val="20"/>
        </w:rPr>
        <w:t>Proposed By-Laws</w:t>
      </w:r>
      <w:r>
        <w:rPr>
          <w:rFonts w:ascii="Times New Roman" w:hAnsi="Times New Roman"/>
          <w:sz w:val="20"/>
        </w:rPr>
        <w:t>) of Bakkt Holdings, Inc. (the </w:t>
      </w:r>
      <w:r>
        <w:rPr>
          <w:rFonts w:ascii="Times New Roman" w:hAnsi="Times New Roman"/>
          <w:b/>
          <w:sz w:val="20"/>
        </w:rPr>
        <w:t>Organizational Documents Proposal</w:t>
      </w:r>
      <w:r>
        <w:rPr>
          <w:rFonts w:ascii="Times New Roman" w:hAnsi="Times New Roman"/>
          <w:sz w:val="20"/>
        </w:rPr>
        <w:t>); (3) seven separate proposals to approve on an advisory non-binding basis by special resolution material differences between the Cayman Constitutional Documents and the Proposed Certificate of Incorporation and the Proposed By-Laws (collectively, the </w:t>
      </w:r>
      <w:r>
        <w:rPr>
          <w:rFonts w:ascii="Times New Roman" w:hAnsi="Times New Roman"/>
          <w:b/>
          <w:sz w:val="20"/>
        </w:rPr>
        <w:t>Advisory Organizational Documents Proposals</w:t>
      </w:r>
      <w:r>
        <w:rPr>
          <w:rFonts w:ascii="Times New Roman" w:hAnsi="Times New Roman"/>
          <w:sz w:val="20"/>
        </w:rPr>
        <w:t>); (4) a proposal to approve by ordinary resolution and adopt the Bakkt Pubco Equity Incentive Plan (the </w:t>
      </w:r>
      <w:r>
        <w:rPr>
          <w:rFonts w:ascii="Times New Roman" w:hAnsi="Times New Roman"/>
          <w:b/>
          <w:sz w:val="20"/>
        </w:rPr>
        <w:t>Bakkt Pubco Equity Incentive Plan Proposal</w:t>
      </w:r>
      <w:r>
        <w:rPr>
          <w:rFonts w:ascii="Times New Roman" w:hAnsi="Times New Roman"/>
          <w:sz w:val="20"/>
        </w:rPr>
        <w:t>); (5) a proposal to approve by ordinary resolution the election of the members of the board of directors of Bakkt Pubco following Closing (the </w:t>
      </w:r>
      <w:r>
        <w:rPr>
          <w:rFonts w:ascii="Times New Roman" w:hAnsi="Times New Roman"/>
          <w:b/>
          <w:sz w:val="20"/>
        </w:rPr>
        <w:t>Director Election Proposal</w:t>
      </w:r>
      <w:r>
        <w:rPr>
          <w:rFonts w:ascii="Times New Roman" w:hAnsi="Times New Roman"/>
          <w:sz w:val="20"/>
        </w:rPr>
        <w:t>); and (6) a proposal to approve by ordinary resolution the adjournment of the extraordinary general meeting to a later date or dates, if necessary, to permit further solicitation and vote of proxies in the event that there are insufficient votes for the approval of one or more proposals at the extraordinary general meeting (the </w:t>
      </w:r>
      <w:r>
        <w:rPr>
          <w:rFonts w:ascii="Times New Roman" w:hAnsi="Times New Roman"/>
          <w:b/>
          <w:sz w:val="20"/>
        </w:rPr>
        <w:t>Shareholder Adjournment Proposal</w:t>
      </w:r>
      <w:r>
        <w:rPr>
          <w:rFonts w:ascii="Times New Roman" w:hAnsi="Times New Roman"/>
          <w:sz w:val="20"/>
        </w:rPr>
        <w:t>). The Proposed Transaction will be consummated only if the Business Combination Proposal, the Domestication Proposal, the Stock Issuance Proposal, the Organizational Documents Proposal and the Bakkt Pubco Equity Incentive Plan Proposal (collectively, the </w:t>
      </w:r>
      <w:r>
        <w:rPr>
          <w:rFonts w:ascii="Times New Roman" w:hAnsi="Times New Roman"/>
          <w:b/>
          <w:sz w:val="20"/>
        </w:rPr>
        <w:t>Condition Precedent Proposals</w:t>
      </w:r>
      <w:r>
        <w:rPr>
          <w:rFonts w:ascii="Times New Roman" w:hAnsi="Times New Roman"/>
          <w:sz w:val="20"/>
        </w:rPr>
        <w:t xml:space="preserve">) are approved at the extraordinary general meeting. Each of the Condition Precedent Proposals is cross-conditioned on the approval of each other. The Advisory Organizational Documents Proposals, the Director Election Proposal and the Shareholder Adjournment Proposal are not conditioned upon the approval of any other proposal. Each of these proposals is more fully described in the accompanying proxy statement/prospectus, which each shareholder is encouraged to read carefully and in its entirety. </w:t>
      </w:r>
    </w:p>
    <w:p>
      <w:pPr>
        <w:pStyle w:val="TextBody"/>
        <w:spacing w:before="240" w:after="0"/>
        <w:jc w:val="left"/>
        <w:rPr>
          <w:rFonts w:ascii="Times New Roman" w:hAnsi="Times New Roman"/>
          <w:sz w:val="20"/>
        </w:rPr>
      </w:pPr>
      <w:r>
        <w:rPr>
          <w:rFonts w:ascii="Times New Roman" w:hAnsi="Times New Roman"/>
          <w:sz w:val="20"/>
        </w:rPr>
        <w:t>As a result of the Merger, the aggregate consideration to be received in respect of the Merger by all of the Bakkt Equity Holders (assuming the exercise by Bakkt warrant holders to convert all outstanding Bakkt warrants into Bakkt common units prior to the Closing) will be an aggregate of 208,200,000 common units of Bakkt Opco (</w:t>
      </w:r>
      <w:r>
        <w:rPr>
          <w:rFonts w:ascii="Times New Roman" w:hAnsi="Times New Roman"/>
          <w:b/>
          <w:sz w:val="20"/>
        </w:rPr>
        <w:t>Bakkt Opco Common Units</w:t>
      </w:r>
      <w:r>
        <w:rPr>
          <w:rFonts w:ascii="Times New Roman" w:hAnsi="Times New Roman"/>
          <w:sz w:val="20"/>
        </w:rPr>
        <w:t>) and 208,200,000 shares of Class V Common Stock of Bakkt Pubco (each a </w:t>
      </w:r>
      <w:r>
        <w:rPr>
          <w:rFonts w:ascii="Times New Roman" w:hAnsi="Times New Roman"/>
          <w:b/>
          <w:sz w:val="20"/>
        </w:rPr>
        <w:t>Bakkt Pubco Class</w:t>
      </w:r>
      <w:r>
        <w:rPr>
          <w:rFonts w:ascii="Times New Roman" w:hAnsi="Times New Roman"/>
          <w:sz w:val="20"/>
        </w:rPr>
        <w:t> </w:t>
      </w:r>
      <w:r>
        <w:rPr>
          <w:rFonts w:ascii="Times New Roman" w:hAnsi="Times New Roman"/>
          <w:b/>
          <w:sz w:val="20"/>
        </w:rPr>
        <w:t>V Share</w:t>
      </w:r>
      <w:r>
        <w:rPr>
          <w:rFonts w:ascii="Times New Roman" w:hAnsi="Times New Roman"/>
          <w:sz w:val="20"/>
        </w:rPr>
        <w:t xml:space="preserve">), which will be non-economic, voting shares of Bakkt Pubco. Each Bakkt Opco Common Unit may be exchanged for one Bakkt Pubco Class A Share or the Cash Amount (as defined in the accompanying proxy statement/prospectus) in accordance with the Surviving Company LLC Agreement and the Exchange Agreement. </w:t>
      </w:r>
    </w:p>
    <w:p>
      <w:pPr>
        <w:pStyle w:val="TextBody"/>
        <w:spacing w:before="240" w:after="0"/>
        <w:jc w:val="left"/>
        <w:rPr>
          <w:rFonts w:ascii="Times New Roman" w:hAnsi="Times New Roman"/>
          <w:sz w:val="20"/>
        </w:rPr>
      </w:pPr>
      <w:r>
        <w:rPr>
          <w:rFonts w:ascii="Times New Roman" w:hAnsi="Times New Roman"/>
          <w:sz w:val="20"/>
        </w:rPr>
        <w:t xml:space="preserve">It is anticipated that following the Closing of the Proposed Transaction, (a) the Public Shareholders are expected to own approximately 8% of the outstanding Companys Shares; (b) Bakkt Equity Holders (without taking into account any Public Shares held by Bakkt Equity Holders prior to the consummation of the Proposed Transaction or purchased in the PIPE Investment) are expected to own approximately 78% of the outstanding Companys Shares, (c) the Sponsor and related parties are expected to collectively own approximately 2% of the outstanding Companys Shares; and (d) the PIPE Investors are expected to own approximately 12% of the outstanding Companys Shares. These percentages assume (i) that no Public Shareholders exercise their Redemption Rights in connection with the Proposed Transaction and (ii) that Bakkt Pubco issues 32,500,000 of the Companys Shares to the PIPE Investors pursuant to the PIPE Investment. If there are redemptions by the Public Shareholders up to the maximum level that would permit completion of the Business Combination, (a) the Public Shareholders will own approximately 4% of the outstanding Companys Shares, (b) Bakkt Equity Holders (without taking into account any Public Shares held by Bakkt Equity Holders prior to the consummation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Proposed Transaction or purchased in the PIPE Investment) will own approximately 81% of the outstanding Companys Shares, (c) the Sponsor and related parties will own approximately 2% of the outstanding Companys Shares and (d) the PIPE Investors will own approximately 13% of the outstanding Companys Shares. These percentages assume (i) that 10,737,202 Public Shareholders exercise their Redemption Rights in connection with the Proposed Transaction and (ii) that Bakkt Pubco issues 32,500,000 of the Companys Shares to the PIPE Investors pursuant to the PIPE Investment. </w:t>
      </w:r>
    </w:p>
    <w:p>
      <w:pPr>
        <w:pStyle w:val="TextBody"/>
        <w:spacing w:before="240" w:after="0"/>
        <w:jc w:val="left"/>
        <w:rPr>
          <w:rFonts w:ascii="Times New Roman" w:hAnsi="Times New Roman"/>
          <w:sz w:val="20"/>
        </w:rPr>
      </w:pPr>
      <w:r>
        <w:rPr>
          <w:rFonts w:ascii="Times New Roman" w:hAnsi="Times New Roman"/>
          <w:sz w:val="20"/>
        </w:rPr>
        <w:t>Upon the Closing, Bakkt Pubco will be organized in an umbrella partnership-C corporation (or </w:t>
      </w:r>
      <w:r>
        <w:rPr>
          <w:rFonts w:ascii="Times New Roman" w:hAnsi="Times New Roman"/>
          <w:b/>
          <w:sz w:val="20"/>
        </w:rPr>
        <w:t>Up-C</w:t>
      </w:r>
      <w:r>
        <w:rPr>
          <w:rFonts w:ascii="Times New Roman" w:hAnsi="Times New Roman"/>
          <w:sz w:val="20"/>
        </w:rPr>
        <w:t>) structure in which substantially all of the assets and the business of Bakkt Pubco will continue to be held by Bakkt Opco and its subsidiaries, and Bakkt Pubcos only direct assets will consist of Bakkt Opco Common Units. Assuming there are no Redemptions in connection with the Proposed Transaction, upon the Closing, Bakkt Pubco is expected to own approximately 22% of Bakkt Opco Common Units and will be the managing member of Bakkt Opco. All remaining Bakkt Opco Common Units will be owned by the former equity owners of Bakkt (</w:t>
      </w:r>
      <w:r>
        <w:rPr>
          <w:rFonts w:ascii="Times New Roman" w:hAnsi="Times New Roman"/>
          <w:b/>
          <w:sz w:val="20"/>
        </w:rPr>
        <w:t>Bakkt Equity 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On January 11, 2021, concurrently with the execution of the Merger Agreement, VIH entered into subscription agreements (the </w:t>
      </w:r>
      <w:r>
        <w:rPr>
          <w:rFonts w:ascii="Times New Roman" w:hAnsi="Times New Roman"/>
          <w:b/>
          <w:sz w:val="20"/>
        </w:rPr>
        <w:t>Subscription Agreements</w:t>
      </w:r>
      <w:r>
        <w:rPr>
          <w:rFonts w:ascii="Times New Roman" w:hAnsi="Times New Roman"/>
          <w:sz w:val="20"/>
        </w:rPr>
        <w:t>) with certain investors (collectively, the </w:t>
      </w:r>
      <w:r>
        <w:rPr>
          <w:rFonts w:ascii="Times New Roman" w:hAnsi="Times New Roman"/>
          <w:b/>
          <w:sz w:val="20"/>
        </w:rPr>
        <w:t>PIPE Investors</w:t>
      </w:r>
      <w:r>
        <w:rPr>
          <w:rFonts w:ascii="Times New Roman" w:hAnsi="Times New Roman"/>
          <w:sz w:val="20"/>
        </w:rPr>
        <w:t>, which include certain existing equityholders of VIH and Bakkt), pursuant to, and on the terms and subject to the conditions of which, the PIPE Investors have collectively subscribed for 32,500,000 Bakkt Pubco Class A Shares for an aggregate purchase price equal to $325,000,000 (the </w:t>
      </w:r>
      <w:r>
        <w:rPr>
          <w:rFonts w:ascii="Times New Roman" w:hAnsi="Times New Roman"/>
          <w:b/>
          <w:sz w:val="20"/>
        </w:rPr>
        <w:t>PIPE Investment</w:t>
      </w:r>
      <w:r>
        <w:rPr>
          <w:rFonts w:ascii="Times New Roman" w:hAnsi="Times New Roman"/>
          <w:sz w:val="20"/>
        </w:rPr>
        <w:t xml:space="preserve">). The PIPE Investment will be consummated following the Domestication but immediately prior to the Closing. </w:t>
      </w:r>
    </w:p>
    <w:p>
      <w:pPr>
        <w:pStyle w:val="TextBody"/>
        <w:spacing w:before="240" w:after="0"/>
        <w:jc w:val="left"/>
        <w:rPr>
          <w:rFonts w:ascii="Times New Roman" w:hAnsi="Times New Roman"/>
          <w:sz w:val="20"/>
        </w:rPr>
      </w:pPr>
      <w:r>
        <w:rPr>
          <w:rFonts w:ascii="Times New Roman" w:hAnsi="Times New Roman"/>
          <w:sz w:val="20"/>
        </w:rPr>
        <w:t>Pursuant to the Cayman Constitutional Documents, a holder of Public Shares (as defined in the accompanying proxy statement/prospectus) (a </w:t>
      </w:r>
      <w:r>
        <w:rPr>
          <w:rFonts w:ascii="Times New Roman" w:hAnsi="Times New Roman"/>
          <w:b/>
          <w:sz w:val="20"/>
        </w:rPr>
        <w:t>Public Shareholder</w:t>
      </w:r>
      <w:r>
        <w:rPr>
          <w:rFonts w:ascii="Times New Roman" w:hAnsi="Times New Roman"/>
          <w:sz w:val="20"/>
        </w:rPr>
        <w:t>), which excludes shares held by VPC Impact Acquisition Holdings Sponsor, LLC (the </w:t>
      </w:r>
      <w:r>
        <w:rPr>
          <w:rFonts w:ascii="Times New Roman" w:hAnsi="Times New Roman"/>
          <w:b/>
          <w:sz w:val="20"/>
        </w:rPr>
        <w:t>Sponsor</w:t>
      </w:r>
      <w:r>
        <w:rPr>
          <w:rFonts w:ascii="Times New Roman" w:hAnsi="Times New Roman"/>
          <w:sz w:val="20"/>
        </w:rPr>
        <w:t xml:space="preserve">), may request that VIH redeem all or a portion of such Public Shareholders Public Shares for cash if the Proposed Transaction is consummated. Holders of VIH Units must elect to separate the VIH Units into the underlying Public Shares and VIH Warrants prior to exercising Redemption Rights with respect to the Public Shares. If holders hold their VIH Units in an account at a brokerage firm or bank, holders must notify their broker or bank that they elect to separate the VIH Units into the underlying Public Shares and VIH Warrants, or if a holder holds VIH Units registered in its own name, the holder must contact the transfer agent directly and instruct it to do so. Public Shareholders may elect to redeem their Public Shares even if they vote for the Business Combination Proposal or any other Condition Precedent Proposal. If the Proposed Transaction is not consummated, the Public Shares will be returned to the respective holder, broker or bank. If the Proposed Transaction is consummated, and if a Public Shareholder properly exercises its right to redeem all or a portion of the Public Shares that it holds and timely delivers the certificates for its shares (if any) along with the redemption forms to Continental Stock Transfer &amp; Trust Company, VIHs transfer agent, Bakkt Pubco will redeem such Public Shares for a per-share price, payable in cash, equal to the </w:t>
      </w:r>
      <w:r>
        <w:rPr>
          <w:rFonts w:ascii="Times New Roman" w:hAnsi="Times New Roman"/>
          <w:i/>
          <w:sz w:val="20"/>
        </w:rPr>
        <w:t>pro rata</w:t>
      </w:r>
      <w:r>
        <w:rPr>
          <w:rFonts w:ascii="Times New Roman" w:hAnsi="Times New Roman"/>
          <w:sz w:val="20"/>
        </w:rPr>
        <w:t xml:space="preserve"> portion of the trust account established at the consummation of VIHs initial public offering (the </w:t>
      </w:r>
      <w:r>
        <w:rPr>
          <w:rFonts w:ascii="Times New Roman" w:hAnsi="Times New Roman"/>
          <w:b/>
          <w:sz w:val="20"/>
        </w:rPr>
        <w:t>Trust Account</w:t>
      </w:r>
      <w:r>
        <w:rPr>
          <w:rFonts w:ascii="Times New Roman" w:hAnsi="Times New Roman"/>
          <w:sz w:val="20"/>
        </w:rPr>
        <w:t>), calculated as of two business days prior to the consummation of the Proposed Transaction. For illustrative purposes, as of March 29,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Bakkt Pubco Class A Common Stock that will be redeemed immediately after consummation of the Proposed Transaction. See </w:t>
      </w:r>
      <w:r>
        <w:rPr>
          <w:rFonts w:ascii="Times New Roman" w:hAnsi="Times New Roman"/>
          <w:i/>
          <w:sz w:val="20"/>
        </w:rPr>
        <w:t>Extraordinary General Meeting of VIHRedemption Rights</w:t>
      </w:r>
      <w:r>
        <w:rPr>
          <w:rFonts w:ascii="Times New Roman" w:hAnsi="Times New Roman"/>
          <w:sz w:val="20"/>
        </w:rPr>
        <w:t xml:space="preserve"> beginning on page 115 of the accompanying proxy statement/prospectus for a detailed description of the procedures to be followed if you wish to redeem your Public Shares for cash. </w:t>
      </w:r>
    </w:p>
    <w:p>
      <w:pPr>
        <w:pStyle w:val="TextBody"/>
        <w:spacing w:before="240" w:after="0"/>
        <w:jc w:val="left"/>
        <w:rPr>
          <w:rFonts w:ascii="Times New Roman" w:hAnsi="Times New Roman"/>
          <w:sz w:val="20"/>
        </w:rPr>
      </w:pPr>
      <w:r>
        <w:rPr>
          <w:rFonts w:ascii="Times New Roman" w:hAnsi="Times New Roman"/>
          <w:sz w:val="20"/>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(the </w:t>
      </w:r>
      <w:r>
        <w:rPr>
          <w:rFonts w:ascii="Times New Roman" w:hAnsi="Times New Roman"/>
          <w:b/>
          <w:sz w:val="20"/>
        </w:rPr>
        <w:t>Exchange Act</w:t>
      </w:r>
      <w:r>
        <w:rPr>
          <w:rFonts w:ascii="Times New Roman" w:hAnsi="Times New Roman"/>
          <w:sz w:val="20"/>
        </w:rPr>
        <w:t xml:space="preserve">)),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Sponsor and each director and each officer of VIH have agreed to, among other things, vote in favor of the Proposed Transaction, and to waive their Redemption Rights in connection with the consummation of the Proposed Transaction with respect to any VIH Shares held by them. The VIH Shares held by the Sponsor will be excluded from the </w:t>
      </w:r>
      <w:r>
        <w:rPr>
          <w:rFonts w:ascii="Times New Roman" w:hAnsi="Times New Roman"/>
          <w:i/>
          <w:sz w:val="20"/>
        </w:rPr>
        <w:t>pro rata</w:t>
      </w:r>
      <w:r>
        <w:rPr>
          <w:rFonts w:ascii="Times New Roman" w:hAnsi="Times New Roman"/>
          <w:sz w:val="20"/>
        </w:rPr>
        <w:t xml:space="preserve"> calculation used to determine the per-share redemption price. As of the date of the accompanying proxy statement/prospectus, the Sponsor and certain of the members of the VIH Board own 20% of the issued and outstanding VIH Shares. </w:t>
      </w:r>
    </w:p>
    <w:p>
      <w:pPr>
        <w:pStyle w:val="TextBody"/>
        <w:spacing w:before="240" w:after="0"/>
        <w:jc w:val="left"/>
        <w:rPr>
          <w:rFonts w:ascii="Times New Roman" w:hAnsi="Times New Roman"/>
          <w:sz w:val="20"/>
        </w:rPr>
      </w:pPr>
      <w:r>
        <w:rPr>
          <w:rFonts w:ascii="Times New Roman" w:hAnsi="Times New Roman"/>
          <w:sz w:val="20"/>
        </w:rPr>
        <w:t>The Merger Agreement provides that the obligations of Bakkt to consummate the Merger are conditioned on, among other things, that as of the Closing, the aggregate amount of cash available following the extraordinary general meeting of VIH shareholders (the </w:t>
      </w:r>
      <w:r>
        <w:rPr>
          <w:rFonts w:ascii="Times New Roman" w:hAnsi="Times New Roman"/>
          <w:b/>
          <w:sz w:val="20"/>
        </w:rPr>
        <w:t>Available Cash</w:t>
      </w:r>
      <w:r>
        <w:rPr>
          <w:rFonts w:ascii="Times New Roman" w:hAnsi="Times New Roman"/>
          <w:sz w:val="20"/>
        </w:rPr>
        <w:t>) from (a) the Trust Account, after deducting the amount required to satisfy redemptions of VIH Class A Ordinary Shares, if any (but prior to payment of (i) deferred underwriting commissions and (ii) transaction expenses of VIH or its affiliates), (b) outside of the Trust Account, and (c) the gross proceeds of the PIPE Investment, is at least $425,000,000 (the </w:t>
      </w:r>
      <w:r>
        <w:rPr>
          <w:rFonts w:ascii="Times New Roman" w:hAnsi="Times New Roman"/>
          <w:b/>
          <w:sz w:val="20"/>
        </w:rPr>
        <w:t>Available</w:t>
      </w:r>
      <w:r>
        <w:rPr>
          <w:rFonts w:ascii="Times New Roman" w:hAnsi="Times New Roman"/>
          <w:sz w:val="20"/>
        </w:rPr>
        <w:t xml:space="preserve"> </w:t>
      </w:r>
      <w:r>
        <w:rPr>
          <w:rFonts w:ascii="Times New Roman" w:hAnsi="Times New Roman"/>
          <w:b/>
          <w:sz w:val="20"/>
        </w:rPr>
        <w:t>Cash Condition</w:t>
      </w:r>
      <w:r>
        <w:rPr>
          <w:rFonts w:ascii="Times New Roman" w:hAnsi="Times New Roman"/>
          <w:sz w:val="20"/>
        </w:rPr>
        <w:t xml:space="preserve">). If such condition is not met, and such condition is not or cannot be waived under the terms of the Merger Agreement, then the Merger Agreement could be terminated and the Proposed Transaction may not be consummated. </w:t>
      </w:r>
    </w:p>
    <w:p>
      <w:pPr>
        <w:pStyle w:val="TextBody"/>
        <w:spacing w:before="240" w:after="0"/>
        <w:jc w:val="left"/>
        <w:rPr>
          <w:rFonts w:ascii="Times New Roman" w:hAnsi="Times New Roman"/>
          <w:sz w:val="20"/>
        </w:rPr>
      </w:pPr>
      <w:r>
        <w:rPr>
          <w:rFonts w:ascii="Times New Roman" w:hAnsi="Times New Roman"/>
          <w:sz w:val="20"/>
        </w:rPr>
        <w:t xml:space="preserve">In addition to the Available Cash Condition, the Merger Agreement is subject to the satisfaction or waiver of the following other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filed by VIH in connection with the Domestication; (c) all specified authorizations, consents, orders, regulatory approvals, non-objections, declarations, filings or waiting periods having been made, received or expired; (d) delivery of closing deliverables and documentation; (e) absence of a material adverse effect in respect of Bakkt, VIH and Merger Sub; (f) accuracy of the applicable representations, warranties and covenants, each to an applicable standard; (g) the Bakkt Pubco Class A Shares and Bakkt Pubco Warrants having been listed on a national stock exchange and being eligible for continued listing on a national stock exchange immediately following the closing; (h) the PIPE Investment having been completed; (i) the Domestication having been completed; (j) the existing members of the VIH Board having resigned as of the closing and the post-closing directors having been appointed to serve on the board of directors of Bakkt Pubco effective as of the closing; (k) the existing officers of VIH having resigned as of the closing and the post-closing officers having been appointed to serve effective as of the Closing; and (l) the absence of any injunctions or restraints in respect of consummation of the Proposed Transaction. </w:t>
      </w:r>
    </w:p>
    <w:p>
      <w:pPr>
        <w:pStyle w:val="TextBody"/>
        <w:spacing w:before="240" w:after="0"/>
        <w:jc w:val="left"/>
        <w:rPr>
          <w:rFonts w:ascii="Times New Roman" w:hAnsi="Times New Roman"/>
          <w:sz w:val="20"/>
        </w:rPr>
      </w:pPr>
      <w:r>
        <w:rPr>
          <w:rFonts w:ascii="Times New Roman" w:hAnsi="Times New Roman"/>
          <w:sz w:val="20"/>
        </w:rPr>
        <w:t>The VIH Units, VIH Class A Ordinary Shares and VIH Warrants are currently listed on The Nasdaq Capital Market (</w:t>
      </w:r>
      <w:r>
        <w:rPr>
          <w:rFonts w:ascii="Times New Roman" w:hAnsi="Times New Roman"/>
          <w:b/>
          <w:sz w:val="20"/>
        </w:rPr>
        <w:t>Nasdaq</w:t>
      </w:r>
      <w:r>
        <w:rPr>
          <w:rFonts w:ascii="Times New Roman" w:hAnsi="Times New Roman"/>
          <w:sz w:val="20"/>
        </w:rPr>
        <w:t>) under the symbols VIHAU, VIH and VIHAW, respectively. Pursuant to the terms of the Merger Agreement, as a closing condition, VIH is required to cause the Bakkt Pubco Class A Shares to be issued in connection with the Proposed Transaction and the PIPE Investment (as defined herein) and Bakkt Pubco Warrants to be approved for listing on the New York Stock Exchange (the </w:t>
      </w:r>
      <w:r>
        <w:rPr>
          <w:rFonts w:ascii="Times New Roman" w:hAnsi="Times New Roman"/>
          <w:b/>
          <w:sz w:val="20"/>
        </w:rPr>
        <w:t>NYSE</w:t>
      </w:r>
      <w:r>
        <w:rPr>
          <w:rFonts w:ascii="Times New Roman" w:hAnsi="Times New Roman"/>
          <w:sz w:val="20"/>
        </w:rPr>
        <w:t xml:space="preserve">) as of the Closing under the proposed symbols BKKT and BKKTAW, respectively. Bakkt Pubco will not have publicly traded units nor will the Bakkt Opco Common Units or the Bakkt Pubco Class V Shares be publicly traded. </w:t>
      </w:r>
    </w:p>
    <w:p>
      <w:pPr>
        <w:pStyle w:val="TextBody"/>
        <w:spacing w:before="240" w:after="0"/>
        <w:jc w:val="left"/>
        <w:rPr>
          <w:rFonts w:ascii="Times New Roman" w:hAnsi="Times New Roman"/>
          <w:sz w:val="20"/>
        </w:rPr>
      </w:pPr>
      <w:r>
        <w:rPr>
          <w:rFonts w:ascii="Times New Roman" w:hAnsi="Times New Roman"/>
          <w:sz w:val="20"/>
        </w:rPr>
        <w:t xml:space="preserve">VIH is providing the accompanying proxy statement/prospectus and accompanying proxy card to VIHs shareholders in connection with the solicitation of proxies to be voted at the extraordinary general meeting and at any adjournments of the extraordinary general meeting. Information about the extraordinary general meeting, the Proposed Transaction and other related business to be considered by VIHs shareholders at the extraordinary general meeting is included in the accompanying proxy statement/prospectus. </w:t>
      </w:r>
      <w:r>
        <w:rPr>
          <w:rFonts w:ascii="Times New Roman" w:hAnsi="Times New Roman"/>
          <w:b/>
          <w:sz w:val="20"/>
        </w:rPr>
        <w:t>Whether or not you plan to attend the extraordinary general meeting, all of VIHs shareholders are urged to read the accompanying proxy statement/prospectus, including the Annexes and other documents referred to therein, carefully and in their entirety. You should also carefully consider the risk factors described under the heading </w:t>
      </w:r>
      <w:r>
        <w:rPr>
          <w:rFonts w:ascii="Times New Roman" w:hAnsi="Times New Roman"/>
          <w:b/>
          <w:i/>
          <w:sz w:val="20"/>
        </w:rPr>
        <w:t>Risk Factors</w:t>
      </w:r>
      <w:r>
        <w:rPr>
          <w:rFonts w:ascii="Times New Roman" w:hAnsi="Times New Roman"/>
          <w:b/>
          <w:sz w:val="20"/>
        </w:rPr>
        <w:t> beginning on page 52 of this proxy statement/prospectus.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After careful consideration, the VIH Board has unanimously approved the Proposed Transaction and unanimously recommends that shareholders vote FOR adoption of the Merger Agreement, and approval of the transactions contemplated thereby, including the Proposed Transaction, and FOR all other proposals presented to VIHs shareholders in the accompanying proxy statement/prospectus. When you consider the recommendation of these proposals by the VIH Board, you should keep in mind that VIHs directors and officers have interests in the Proposed Transaction that may conflict with your interests as a shareholder. See the section entitled </w:t>
      </w:r>
      <w:r>
        <w:rPr>
          <w:rFonts w:ascii="Times New Roman" w:hAnsi="Times New Roman"/>
          <w:b/>
          <w:i/>
          <w:sz w:val="20"/>
        </w:rPr>
        <w:t>The Business Combination ProposalCertain Benefits of VIHs Directors and Officers and Others in the Business Combination</w:t>
      </w:r>
      <w:r>
        <w:rPr>
          <w:rFonts w:ascii="Times New Roman" w:hAnsi="Times New Roman"/>
          <w:b/>
          <w:sz w:val="20"/>
        </w:rPr>
        <w:t xml:space="preserve"> beginning on page 155 of the accompanying proxy statement/prospectus for a further discussion of these considerations. </w:t>
      </w:r>
    </w:p>
    <w:p>
      <w:pPr>
        <w:pStyle w:val="TextBody"/>
        <w:spacing w:before="240" w:after="0"/>
        <w:jc w:val="left"/>
        <w:rPr>
          <w:rFonts w:ascii="Times New Roman" w:hAnsi="Times New Roman"/>
          <w:sz w:val="20"/>
        </w:rPr>
      </w:pPr>
      <w:r>
        <w:rPr>
          <w:rFonts w:ascii="Times New Roman" w:hAnsi="Times New Roman"/>
          <w:sz w:val="20"/>
        </w:rPr>
        <w:t xml:space="preserve">The approval of each of the Domestication Proposal, the Organizational Documents Proposal and the Advisory Organizational Documents Proposals requires a special resolution, being the affirmative vote of holders of a majority of at least two-thirds of the VIH Shares, who being present in person or by proxy and entitled to vote at an extraordinary general meeting, vote at the extraordinary general meeting. The approval of each of the Business Combination Proposal, the Stock Issuance Proposal, the Bakkt Pubco Equity Incentive Plan Proposal, the Director Election Proposal and the Shareholder Adjournment Proposal requires an ordinary resolution, being the affirmative vote of the holders of a majority of the VIH Shares, who, being present in person or by proxy and entitled to vote at an extraordinary general meeting, vote at the extraordinary general meeting. Although the Cayman Constitutional Documents indicate that, prior to the Closing, holders of VIH Class A Ordinary Shares will have no right to vote on the appointment or removal of any director, the Director Election Proposal is being voted on by all holders of VIH Shares. In the event that one or more nominees is not elected under the Director Election Proposal, the VIH Board is permitted under Article 31 of the Cayman Constitutional Documents to appoint any person to be a director. </w:t>
      </w:r>
    </w:p>
    <w:p>
      <w:pPr>
        <w:pStyle w:val="TextBody"/>
        <w:spacing w:before="240" w:after="0"/>
        <w:jc w:val="left"/>
        <w:rPr>
          <w:rFonts w:ascii="Times New Roman" w:hAnsi="Times New Roman"/>
          <w:sz w:val="20"/>
        </w:rPr>
      </w:pPr>
      <w:r>
        <w:rPr>
          <w:rFonts w:ascii="Times New Roman" w:hAnsi="Times New Roman"/>
          <w:b/>
          <w:i/>
          <w:sz w:val="20"/>
        </w:rPr>
        <w:t>Your vote is very important</w:t>
      </w:r>
      <w:r>
        <w:rPr>
          <w:rFonts w:ascii="Times New Roman" w:hAnsi="Times New Roman"/>
          <w:b/>
          <w:sz w:val="20"/>
        </w:rPr>
        <w:t xml:space="preserve">. Whether or not you plan to attend the extraordinary general meeting, please vote as soon as possible by following 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Merger Agreement will be consummated only if the Condition Precedent Proposals are approved at the extraordinary general meeting. Each of the Condition Precedent Proposals is cross-conditioned on the approval of each other. The Advisory Organizational Documents Proposals and the Shareholder Adjournment Proposal, are not conditioned upon the approval of any other proposal set forth in the accompanying proxy statement/prospectus. </w:t>
      </w:r>
    </w:p>
    <w:p>
      <w:pPr>
        <w:pStyle w:val="TextBody"/>
        <w:spacing w:before="240" w:after="0"/>
        <w:jc w:val="left"/>
        <w:rPr>
          <w:rFonts w:ascii="Times New Roman" w:hAnsi="Times New Roman"/>
          <w:sz w:val="20"/>
        </w:rPr>
      </w:pPr>
      <w:r>
        <w:rPr>
          <w:rFonts w:ascii="Times New Roman" w:hAnsi="Times New Roman"/>
          <w:sz w:val="20"/>
        </w:rPr>
        <w:t xml:space="preserve">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and will not be voted. An abstention or broker non-vote will be counted towards the quorum requirement but will not count as a vote cast at the extraordinary general meeting and otherwise will have no effect on a particular proposal. If you are a shareholder of record and you attend the extraordinary general meeting and wish to vote in person, you may withdraw your proxy and vote in person. </w:t>
      </w:r>
    </w:p>
    <w:p>
      <w:pPr>
        <w:pStyle w:val="TextBody"/>
        <w:spacing w:before="240" w:after="0"/>
        <w:jc w:val="left"/>
        <w:rPr>
          <w:rFonts w:ascii="Times New Roman" w:hAnsi="Times New Roman"/>
          <w:sz w:val="20"/>
        </w:rPr>
      </w:pPr>
      <w:r>
        <w:rPr>
          <w:rFonts w:ascii="Times New Roman" w:hAnsi="Times New Roman"/>
          <w:sz w:val="20"/>
        </w:rPr>
        <w:t xml:space="preserve">TO EXERCISE YOUR REDEMPTION RIGHTS, YOU MUST DEMAND IN WRITING THAT YOUR PUBLIC SHARES ARE REDEEMED FOR A </w:t>
      </w:r>
      <w:r>
        <w:rPr>
          <w:rFonts w:ascii="Times New Roman" w:hAnsi="Times New Roman"/>
          <w:i/>
          <w:sz w:val="20"/>
        </w:rPr>
        <w:t>PRO RATA</w:t>
      </w:r>
      <w:r>
        <w:rPr>
          <w:rFonts w:ascii="Times New Roman" w:hAnsi="Times New Roman"/>
          <w:sz w:val="20"/>
        </w:rPr>
        <w:t xml:space="preserve"> PORTION OF THE FUNDS HELD IN THE TRUST ACCOUNT AND TENDER YOUR SHARES TO VIHS TRANSFER AGENT AT LEAST TWO BUSINESS DAYS PRIOR TO THE VOTE AT THE GENERAL MEETING.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behalf of the VIH Board, I would like to thank you for your support and look forward to the successful completion of the Proposed Transaction.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0" w:after="0"/>
        <w:jc w:val="left"/>
        <w:rPr/>
      </w:pPr>
      <w:r>
        <w:rPr/>
        <w:t> </w:t>
      </w:r>
    </w:p>
    <w:p>
      <w:pPr>
        <w:pStyle w:val="TextBody"/>
        <w:spacing w:before="240" w:after="0"/>
        <w:jc w:val="left"/>
        <w:rPr/>
      </w:pPr>
      <w:r>
        <w:rPr/>
        <w:t>      </w:t>
      </w:r>
    </w:p>
    <w:p>
      <w:pPr>
        <w:pStyle w:val="TextBody"/>
        <w:pBdr>
          <w:bottom w:val="single" w:sz="2" w:space="1" w:color="000000"/>
        </w:pBdr>
        <w:spacing w:lineRule="atLeast" w:line="160" w:before="0" w:after="4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John Martin </w:t>
      </w:r>
    </w:p>
    <w:p>
      <w:pPr>
        <w:pStyle w:val="TextBody"/>
        <w:spacing w:before="0" w:after="0"/>
        <w:jc w:val="left"/>
        <w:rPr>
          <w:rFonts w:ascii="Times New Roman" w:hAnsi="Times New Roman"/>
          <w:sz w:val="20"/>
        </w:rPr>
      </w:pPr>
      <w:r>
        <w:rPr>
          <w:rFonts w:ascii="Times New Roman" w:hAnsi="Times New Roman"/>
          <w:sz w:val="20"/>
        </w:rPr>
        <w:t xml:space="preserve">Chairman of the Board of Directors </w:t>
      </w:r>
    </w:p>
    <w:p>
      <w:pPr>
        <w:pStyle w:val="TextBody"/>
        <w:spacing w:before="240" w:after="0"/>
        <w:jc w:val="left"/>
        <w:rPr>
          <w:rFonts w:ascii="Times New Roman" w:hAnsi="Times New Roman"/>
          <w:sz w:val="20"/>
        </w:rPr>
      </w:pPr>
      <w:r>
        <w:rPr>
          <w:rFonts w:ascii="Times New Roman" w:hAnsi="Times New Roman"/>
          <w:sz w:val="20"/>
        </w:rPr>
        <w:t xml:space="preserve">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 </w:t>
      </w:r>
    </w:p>
    <w:p>
      <w:pPr>
        <w:pStyle w:val="TextBody"/>
        <w:spacing w:before="240" w:after="0"/>
        <w:jc w:val="left"/>
        <w:rPr>
          <w:rFonts w:ascii="Times New Roman" w:hAnsi="Times New Roman"/>
          <w:sz w:val="20"/>
        </w:rPr>
      </w:pPr>
      <w:r>
        <w:rPr>
          <w:rFonts w:ascii="Times New Roman" w:hAnsi="Times New Roman"/>
          <w:sz w:val="20"/>
        </w:rPr>
        <w:t xml:space="preserve">The accompanying proxy statement/prospectus is dated [●], 2021 and is first being mailed to shareholders on or about [●],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240" w:after="0"/>
        <w:jc w:val="center"/>
        <w:rPr>
          <w:rFonts w:ascii="Times New Roman" w:hAnsi="Times New Roman"/>
          <w:b/>
          <w:sz w:val="20"/>
        </w:rPr>
      </w:pPr>
      <w:r>
        <w:rPr>
          <w:rFonts w:ascii="Times New Roman" w:hAnsi="Times New Roman"/>
          <w:b/>
          <w:sz w:val="20"/>
        </w:rPr>
        <w:t xml:space="preserve">A Cayman Islands Exempted Company </w:t>
      </w:r>
    </w:p>
    <w:p>
      <w:pPr>
        <w:pStyle w:val="TextBody"/>
        <w:spacing w:before="0" w:after="0"/>
        <w:jc w:val="center"/>
        <w:rPr>
          <w:rFonts w:ascii="Times New Roman" w:hAnsi="Times New Roman"/>
          <w:b/>
          <w:sz w:val="20"/>
        </w:rPr>
      </w:pPr>
      <w:r>
        <w:rPr>
          <w:rFonts w:ascii="Times New Roman" w:hAnsi="Times New Roman"/>
          <w:b/>
          <w:sz w:val="20"/>
        </w:rPr>
        <w:t xml:space="preserve">(Company Number 364819) </w:t>
      </w:r>
    </w:p>
    <w:p>
      <w:pPr>
        <w:pStyle w:val="TextBody"/>
        <w:spacing w:before="0" w:after="0"/>
        <w:jc w:val="center"/>
        <w:rPr>
          <w:rFonts w:ascii="Times New Roman" w:hAnsi="Times New Roman"/>
          <w:b/>
          <w:sz w:val="20"/>
        </w:rPr>
      </w:pPr>
      <w:r>
        <w:rPr>
          <w:rFonts w:ascii="Times New Roman" w:hAnsi="Times New Roman"/>
          <w:b/>
          <w:sz w:val="20"/>
        </w:rPr>
        <w:t xml:space="preserve">150 North Riverside Plaza, Suite 5200 </w:t>
      </w:r>
    </w:p>
    <w:p>
      <w:pPr>
        <w:pStyle w:val="TextBody"/>
        <w:spacing w:before="0" w:after="0"/>
        <w:jc w:val="center"/>
        <w:rPr>
          <w:rFonts w:ascii="Times New Roman" w:hAnsi="Times New Roman"/>
          <w:b/>
          <w:sz w:val="20"/>
        </w:rPr>
      </w:pPr>
      <w:r>
        <w:rPr>
          <w:rFonts w:ascii="Times New Roman" w:hAnsi="Times New Roman"/>
          <w:b/>
          <w:sz w:val="20"/>
        </w:rPr>
        <w:t xml:space="preserve">Chicago, Illinois 60606 </w:t>
      </w:r>
    </w:p>
    <w:p>
      <w:pPr>
        <w:pStyle w:val="TextBody"/>
        <w:spacing w:before="24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spacing w:before="0" w:after="0"/>
        <w:jc w:val="center"/>
        <w:rPr>
          <w:rFonts w:ascii="Times New Roman" w:hAnsi="Times New Roman"/>
          <w:sz w:val="20"/>
        </w:rPr>
      </w:pPr>
      <w:r>
        <w:rPr>
          <w:rFonts w:ascii="Times New Roman" w:hAnsi="Times New Roman"/>
          <w:b/>
          <w:sz w:val="20"/>
        </w:rPr>
        <w:t>TO BE HELD ON [</w:t>
      </w:r>
      <w:r>
        <w:rPr>
          <w:rFonts w:ascii="Times New Roman" w:hAnsi="Times New Roman"/>
          <w:sz w:val="20"/>
        </w:rPr>
        <w:t>●</w:t>
      </w:r>
      <w:r>
        <w:rPr>
          <w:rFonts w:ascii="Times New Roman" w:hAnsi="Times New Roman"/>
          <w:b/>
          <w:sz w:val="20"/>
        </w:rPr>
        <w:t xml:space="preserve">], 2021 </w:t>
      </w:r>
    </w:p>
    <w:p>
      <w:pPr>
        <w:pStyle w:val="TextBody"/>
        <w:spacing w:before="240" w:after="0"/>
        <w:jc w:val="left"/>
        <w:rPr>
          <w:rFonts w:ascii="Times New Roman" w:hAnsi="Times New Roman"/>
          <w:sz w:val="20"/>
        </w:rPr>
      </w:pPr>
      <w:r>
        <w:rPr>
          <w:rFonts w:ascii="Times New Roman" w:hAnsi="Times New Roman"/>
          <w:sz w:val="20"/>
        </w:rPr>
        <w:t xml:space="preserve">TO THE SHAREHOLDERS OF VPC IMPACT ACQUISITION HOLDINGS: </w:t>
      </w:r>
    </w:p>
    <w:p>
      <w:pPr>
        <w:pStyle w:val="TextBody"/>
        <w:spacing w:before="240" w:after="0"/>
        <w:jc w:val="left"/>
        <w:rPr>
          <w:rFonts w:ascii="Times New Roman" w:hAnsi="Times New Roman"/>
          <w:sz w:val="20"/>
        </w:rPr>
      </w:pPr>
      <w:r>
        <w:rPr>
          <w:rFonts w:ascii="Times New Roman" w:hAnsi="Times New Roman"/>
          <w:sz w:val="20"/>
        </w:rPr>
        <w:t>NOTICE IS HEREBY GIVEN that an extraordinary general meeting (the </w:t>
      </w:r>
      <w:r>
        <w:rPr>
          <w:rFonts w:ascii="Times New Roman" w:hAnsi="Times New Roman"/>
          <w:b/>
          <w:sz w:val="20"/>
        </w:rPr>
        <w:t>extraordinary general meeting</w:t>
      </w:r>
      <w:r>
        <w:rPr>
          <w:rFonts w:ascii="Times New Roman" w:hAnsi="Times New Roman"/>
          <w:sz w:val="20"/>
        </w:rPr>
        <w:t>) of VPC Impact Acquisition Holdings, a Cayman Islands exempted company (</w:t>
      </w:r>
      <w:r>
        <w:rPr>
          <w:rFonts w:ascii="Times New Roman" w:hAnsi="Times New Roman"/>
          <w:b/>
          <w:sz w:val="20"/>
        </w:rPr>
        <w:t>VIH</w:t>
      </w:r>
      <w:r>
        <w:rPr>
          <w:rFonts w:ascii="Times New Roman" w:hAnsi="Times New Roman"/>
          <w:sz w:val="20"/>
        </w:rPr>
        <w:t>), will be held virtually at [●] a.m. Eastern Time, on [●], 2021. In light of ongoing developments related to the novel coronavirus (</w:t>
      </w:r>
      <w:r>
        <w:rPr>
          <w:rFonts w:ascii="Times New Roman" w:hAnsi="Times New Roman"/>
          <w:b/>
          <w:sz w:val="20"/>
        </w:rPr>
        <w:t>COVID-19</w:t>
      </w:r>
      <w:r>
        <w:rPr>
          <w:rFonts w:ascii="Times New Roman" w:hAnsi="Times New Roman"/>
          <w:sz w:val="20"/>
        </w:rPr>
        <w:t>), after careful consideration, the Company has determined that the extraordinary general meeting will be a virtual meeting conducted via live webcast at [●] in order to facilitate shareholder attendance and participation while safeguarding the health and safety of our shareholders, directors and management team. For the purposes of Cayman Islands law and the amended and restated memorandum and articles of association of VIH (as may be amended from time to time, the </w:t>
      </w:r>
      <w:r>
        <w:rPr>
          <w:rFonts w:ascii="Times New Roman" w:hAnsi="Times New Roman"/>
          <w:b/>
          <w:sz w:val="20"/>
        </w:rPr>
        <w:t>Cayman Constitutional Documents</w:t>
      </w:r>
      <w:r>
        <w:rPr>
          <w:rFonts w:ascii="Times New Roman" w:hAnsi="Times New Roman"/>
          <w:sz w:val="20"/>
        </w:rPr>
        <w:t xml:space="preserve">), the physical location of the extraordinary general meeting will be at the offices of White &amp; Case LLP at 1221 Avenue of the Americas, New York, New York 10020. You are cordially invited to attend the extraordinary general meeting, which will be held for the following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 </w:t>
            </w:r>
            <w:r>
              <w:rPr>
                <w:rFonts w:ascii="Times New Roman" w:hAnsi="Times New Roman"/>
                <w:sz w:val="20"/>
              </w:rPr>
              <w:t xml:space="preserve"> To consider and vote upon a proposal to approve by ordinary resolution and adopt the Agreement and Plan of Merger, dated as of January 11, 2021, as amended by the Amendment to Agreement and Plan of Merger, dated as of March 30, 2021 (as the same may be amended, the </w:t>
            </w:r>
            <w:r>
              <w:rPr>
                <w:rFonts w:ascii="Times New Roman" w:hAnsi="Times New Roman"/>
                <w:b/>
                <w:sz w:val="20"/>
              </w:rPr>
              <w:t>Merger Agreement</w:t>
            </w:r>
            <w:r>
              <w:rPr>
                <w:rFonts w:ascii="Times New Roman" w:hAnsi="Times New Roman"/>
                <w:sz w:val="20"/>
              </w:rPr>
              <w:t>), by and among VIH, Pylon Merger Company LLC, a Delaware limited liability company and a direct wholly-owned subsidiary of VIH (</w:t>
            </w:r>
            <w:r>
              <w:rPr>
                <w:rFonts w:ascii="Times New Roman" w:hAnsi="Times New Roman"/>
                <w:b/>
                <w:sz w:val="20"/>
              </w:rPr>
              <w:t>Merger Sub</w:t>
            </w:r>
            <w:r>
              <w:rPr>
                <w:rFonts w:ascii="Times New Roman" w:hAnsi="Times New Roman"/>
                <w:sz w:val="20"/>
              </w:rPr>
              <w:t>), and Bakkt Holdings, LLC, a Delaware limited liability company (</w:t>
            </w:r>
            <w:r>
              <w:rPr>
                <w:rFonts w:ascii="Times New Roman" w:hAnsi="Times New Roman"/>
                <w:b/>
                <w:sz w:val="20"/>
              </w:rPr>
              <w:t>Bakkt</w:t>
            </w:r>
            <w:r>
              <w:rPr>
                <w:rFonts w:ascii="Times New Roman" w:hAnsi="Times New Roman"/>
                <w:sz w:val="20"/>
              </w:rPr>
              <w:t>), and the transactions contemplated by the Merger Agreement, including the issuance of the merger consideration thereunder (collectively, the </w:t>
            </w:r>
            <w:r>
              <w:rPr>
                <w:rFonts w:ascii="Times New Roman" w:hAnsi="Times New Roman"/>
                <w:b/>
                <w:sz w:val="20"/>
              </w:rPr>
              <w:t>Business Combination</w:t>
            </w:r>
            <w:r>
              <w:rPr>
                <w:rFonts w:ascii="Times New Roman" w:hAnsi="Times New Roman"/>
                <w:sz w:val="20"/>
              </w:rPr>
              <w:t>). Pursuant to the Merger Agreement, Merger Sub will merge with and into Bakkt (the </w:t>
            </w:r>
            <w:r>
              <w:rPr>
                <w:rFonts w:ascii="Times New Roman" w:hAnsi="Times New Roman"/>
                <w:b/>
                <w:sz w:val="20"/>
              </w:rPr>
              <w:t>Merger</w:t>
            </w:r>
            <w:r>
              <w:rPr>
                <w:rFonts w:ascii="Times New Roman" w:hAnsi="Times New Roman"/>
                <w:sz w:val="20"/>
              </w:rPr>
              <w:t>), with Bakkt being renamed as Bakkt Opco Holdings, LLC (</w:t>
            </w:r>
            <w:r>
              <w:rPr>
                <w:rFonts w:ascii="Times New Roman" w:hAnsi="Times New Roman"/>
                <w:b/>
                <w:sz w:val="20"/>
              </w:rPr>
              <w:t>Bakkt Opco</w:t>
            </w:r>
            <w:r>
              <w:rPr>
                <w:rFonts w:ascii="Times New Roman" w:hAnsi="Times New Roman"/>
                <w:sz w:val="20"/>
              </w:rPr>
              <w:t>) and continuing as the surviving entity of the Merger and becoming a subsidiary of the Company as described in more detail in the attached proxy statement/prospectus. We refer to this proposal as the </w:t>
            </w:r>
            <w:r>
              <w:rPr>
                <w:rFonts w:ascii="Times New Roman" w:hAnsi="Times New Roman"/>
                <w:b/>
                <w:sz w:val="20"/>
              </w:rPr>
              <w:t>Business Combination Proposal</w:t>
            </w:r>
            <w:r>
              <w:rPr>
                <w:rFonts w:ascii="Times New Roman" w:hAnsi="Times New Roman"/>
                <w:sz w:val="20"/>
              </w:rPr>
              <w:t xml:space="preserve">. A copy of the Merger Agreement is attached to the accompanying proxy statement/prospectus as </w:t>
            </w:r>
            <w:r>
              <w:rPr>
                <w:rFonts w:ascii="Times New Roman" w:hAnsi="Times New Roman"/>
                <w:i/>
                <w:sz w:val="20"/>
              </w:rPr>
              <w:t>Annex A-1</w:t>
            </w:r>
            <w:r>
              <w:rPr>
                <w:rFonts w:ascii="Times New Roman" w:hAnsi="Times New Roman"/>
                <w:sz w:val="20"/>
              </w:rPr>
              <w:t xml:space="preserve"> and </w:t>
            </w:r>
            <w:r>
              <w:rPr>
                <w:rFonts w:ascii="Times New Roman" w:hAnsi="Times New Roman"/>
                <w:i/>
                <w:sz w:val="20"/>
              </w:rPr>
              <w:t>Annex A-2</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Domestication Proposal </w:t>
            </w:r>
            <w:r>
              <w:rPr>
                <w:rFonts w:ascii="Times New Roman" w:hAnsi="Times New Roman"/>
                <w:sz w:val="20"/>
              </w:rPr>
              <w:t xml:space="preserve"> To consider and vote upon a proposal to approve by special resolution, to change the corporate structure and domicile of VIH by way of continuation from an exempted company incorporated in accordance with the laws of the Cayman Islands to a corporation incorporated under the laws of the State of Delaware (the </w:t>
            </w:r>
            <w:r>
              <w:rPr>
                <w:rFonts w:ascii="Times New Roman" w:hAnsi="Times New Roman"/>
                <w:b/>
                <w:sz w:val="20"/>
              </w:rPr>
              <w:t>Domestication</w:t>
            </w:r>
            <w:r>
              <w:rPr>
                <w:rFonts w:ascii="Times New Roman" w:hAnsi="Times New Roman"/>
                <w:sz w:val="20"/>
              </w:rPr>
              <w:t>). The Domestication will be effected immediately prior to the Business Combination by VIH filing a certificate of corporate domestication and the proposed new certificate of incorporation of Bakkt Pubco (the </w:t>
            </w:r>
            <w:r>
              <w:rPr>
                <w:rFonts w:ascii="Times New Roman" w:hAnsi="Times New Roman"/>
                <w:b/>
                <w:sz w:val="20"/>
              </w:rPr>
              <w:t>Proposed Certificate of Incorporation</w:t>
            </w:r>
            <w:r>
              <w:rPr>
                <w:rFonts w:ascii="Times New Roman" w:hAnsi="Times New Roman"/>
                <w:sz w:val="20"/>
              </w:rPr>
              <w:t>) with the Delaware Secretary of State and filing an application to de-register with the Registrar of Companies of the Cayman Islands. Upon the effectiveness of the Domestication, VIH will become a Delaware corporation and will change its corporate name to Bakkt Holdings, Inc. (Bakkt Holdings, Inc. and VIH following the Domestication and the Business Combination, the </w:t>
            </w:r>
            <w:r>
              <w:rPr>
                <w:rFonts w:ascii="Times New Roman" w:hAnsi="Times New Roman"/>
                <w:b/>
                <w:sz w:val="20"/>
              </w:rPr>
              <w:t>Company</w:t>
            </w:r>
            <w:r>
              <w:rPr>
                <w:rFonts w:ascii="Times New Roman" w:hAnsi="Times New Roman"/>
                <w:sz w:val="20"/>
              </w:rPr>
              <w:t> or </w:t>
            </w:r>
            <w:r>
              <w:rPr>
                <w:rFonts w:ascii="Times New Roman" w:hAnsi="Times New Roman"/>
                <w:b/>
                <w:sz w:val="20"/>
              </w:rPr>
              <w:t>Bakkt Pubco</w:t>
            </w:r>
            <w:r>
              <w:rPr>
                <w:rFonts w:ascii="Times New Roman" w:hAnsi="Times New Roman"/>
                <w:sz w:val="20"/>
              </w:rPr>
              <w:t>) and all outstanding securities of VIH will convert to outstanding securities of the Company, as described in more detail in the accompanying proxy statement/prospectus. We refer to this proposal as the </w:t>
            </w:r>
            <w:r>
              <w:rPr>
                <w:rFonts w:ascii="Times New Roman" w:hAnsi="Times New Roman"/>
                <w:b/>
                <w:sz w:val="20"/>
              </w:rPr>
              <w:t>Domestication Proposal</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that the Company be de-registered in the Cayman Islands pursuant to Article 49 of the Amended and Restated Articles of Association of the Company (as amended) and be registered by way of continuation as a corporation in the State of Delaware and conditional upon, and with effect from, the registration of the Company in the State of Delaware as a corporation with the laws of the State of Delaware, the name of the Company be changed to Bakkt Holdings, Inc.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Stock Issuance Proposal </w:t>
            </w:r>
            <w:r>
              <w:rPr>
                <w:rFonts w:ascii="Times New Roman" w:hAnsi="Times New Roman"/>
                <w:sz w:val="20"/>
              </w:rPr>
              <w:t xml:space="preserve"> To consider and vote upon a proposal to approve by ordinary resolution for purposes of complying with the applicable provisions of Nasdaq Listing Rule 5635(d), the issuance of Bakkt Pubco Class A Shares to (a) the PIPE Investors pursuant to the PIPE Investment (each as defined in the accompanying proxy statement/prospectus) and (b) the Bakkt Equity Holders pursuant to the Merger Agreement (the </w:t>
            </w:r>
            <w:r>
              <w:rPr>
                <w:rFonts w:ascii="Times New Roman" w:hAnsi="Times New Roman"/>
                <w:b/>
                <w:sz w:val="20"/>
              </w:rPr>
              <w:t>Stock Issuance Proposal</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  Organizational Documents Proposal </w:t>
            </w:r>
            <w:r>
              <w:rPr>
                <w:rFonts w:ascii="Times New Roman" w:hAnsi="Times New Roman"/>
                <w:sz w:val="20"/>
              </w:rPr>
              <w:t xml:space="preserve"> To consider and vote upon a proposal to approve by special resolution the Proposed Certificate of Incorporation and the proposed new by-laws of Bakkt Pubco (</w:t>
            </w:r>
            <w:r>
              <w:rPr>
                <w:rFonts w:ascii="Times New Roman" w:hAnsi="Times New Roman"/>
                <w:b/>
                <w:sz w:val="20"/>
              </w:rPr>
              <w:t>Proposed By-Laws</w:t>
            </w:r>
            <w:r>
              <w:rPr>
                <w:rFonts w:ascii="Times New Roman" w:hAnsi="Times New Roman"/>
                <w:sz w:val="20"/>
              </w:rPr>
              <w:t> and, together with the Proposed Certificate of Incorporation, the </w:t>
            </w:r>
            <w:r>
              <w:rPr>
                <w:rFonts w:ascii="Times New Roman" w:hAnsi="Times New Roman"/>
                <w:b/>
                <w:sz w:val="20"/>
              </w:rPr>
              <w:t>Proposed Organizational Documents</w:t>
            </w:r>
            <w:r>
              <w:rPr>
                <w:rFonts w:ascii="Times New Roman" w:hAnsi="Times New Roman"/>
                <w:sz w:val="20"/>
              </w:rPr>
              <w:t>) of Bakkt Pubco (a corporation incorporated in the State of Delaware, and the filing with and acceptance by the Secretary of State of Delaware of the certificate of corporate domestication in accordance with Section 388 of the Delaware General Corporation Law (the </w:t>
            </w:r>
            <w:r>
              <w:rPr>
                <w:rFonts w:ascii="Times New Roman" w:hAnsi="Times New Roman"/>
                <w:b/>
                <w:sz w:val="20"/>
              </w:rPr>
              <w:t>DGCL</w:t>
            </w:r>
            <w:r>
              <w:rPr>
                <w:rFonts w:ascii="Times New Roman" w:hAnsi="Times New Roman"/>
                <w:sz w:val="20"/>
              </w:rPr>
              <w:t>)), which will be renamed Bakkt Holdings, Inc. in connection with the Business Combination (the </w:t>
            </w:r>
            <w:r>
              <w:rPr>
                <w:rFonts w:ascii="Times New Roman" w:hAnsi="Times New Roman"/>
                <w:b/>
                <w:sz w:val="20"/>
              </w:rPr>
              <w:t>Organizational Documents Proposal</w:t>
            </w:r>
            <w:r>
              <w:rPr>
                <w:rFonts w:ascii="Times New Roman" w:hAnsi="Times New Roman"/>
                <w:sz w:val="20"/>
              </w:rPr>
              <w:t xml:space="preserve">). The form of each of the Proposed Certificate of Incorporation and the Proposed By-Laws is attached to the accompanying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respectively.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that the Cayman Constitutional Documents currently in effect be amended and restated by the deletion in their entirety and the substitution in their place of the Proposed Certificate of Incorporation and Proposed By-Laws (copies of which are attached to the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respectively), with such principal changes as described in the Advisory Organizational Documents Proposals A through 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  The Advisory Organizational Documents Proposals </w:t>
            </w:r>
            <w:r>
              <w:rPr>
                <w:rFonts w:ascii="Times New Roman" w:hAnsi="Times New Roman"/>
                <w:sz w:val="20"/>
              </w:rPr>
              <w:t xml:space="preserve"> To consider and vote upon the following seven separate proposals (collectively, the </w:t>
            </w:r>
            <w:r>
              <w:rPr>
                <w:rFonts w:ascii="Times New Roman" w:hAnsi="Times New Roman"/>
                <w:b/>
                <w:sz w:val="20"/>
              </w:rPr>
              <w:t>Advisory Organizational Documents Proposals</w:t>
            </w:r>
            <w:r>
              <w:rPr>
                <w:rFonts w:ascii="Times New Roman" w:hAnsi="Times New Roman"/>
                <w:sz w:val="20"/>
              </w:rPr>
              <w:t xml:space="preserve">) to approve on an advisory non-binding basis by special resolution the following material differences between the Cayman Constitutional Documents and the Proposed Organizational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5A</w:t>
            </w:r>
            <w:r>
              <w:rPr>
                <w:rFonts w:ascii="Times New Roman" w:hAnsi="Times New Roman"/>
                <w:sz w:val="20"/>
              </w:rPr>
              <w:t>to authorize the change in the authorized capital stock of VIH from 200,000,000 VIH Class A Ordinary Shares, par value $0.0001 per share (the </w:t>
            </w:r>
            <w:r>
              <w:rPr>
                <w:rFonts w:ascii="Times New Roman" w:hAnsi="Times New Roman"/>
                <w:b/>
                <w:sz w:val="20"/>
              </w:rPr>
              <w:t>VIH Class</w:t>
            </w:r>
            <w:r>
              <w:rPr>
                <w:rFonts w:ascii="Times New Roman" w:hAnsi="Times New Roman"/>
                <w:sz w:val="20"/>
              </w:rPr>
              <w:t> </w:t>
            </w:r>
            <w:r>
              <w:rPr>
                <w:rFonts w:ascii="Times New Roman" w:hAnsi="Times New Roman"/>
                <w:b/>
                <w:sz w:val="20"/>
              </w:rPr>
              <w:t>A Ordinary Shares</w:t>
            </w:r>
            <w:r>
              <w:rPr>
                <w:rFonts w:ascii="Times New Roman" w:hAnsi="Times New Roman"/>
                <w:sz w:val="20"/>
              </w:rPr>
              <w:t>), 20,000,000 VIH Class B Ordinary Shares, par value $0.0001 per share (the </w:t>
            </w:r>
            <w:r>
              <w:rPr>
                <w:rFonts w:ascii="Times New Roman" w:hAnsi="Times New Roman"/>
                <w:b/>
                <w:sz w:val="20"/>
              </w:rPr>
              <w:t>VIH Class</w:t>
            </w:r>
            <w:r>
              <w:rPr>
                <w:rFonts w:ascii="Times New Roman" w:hAnsi="Times New Roman"/>
                <w:sz w:val="20"/>
              </w:rPr>
              <w:t> </w:t>
            </w:r>
            <w:r>
              <w:rPr>
                <w:rFonts w:ascii="Times New Roman" w:hAnsi="Times New Roman"/>
                <w:b/>
                <w:sz w:val="20"/>
              </w:rPr>
              <w:t>B Ordinary Shares</w:t>
            </w:r>
            <w:r>
              <w:rPr>
                <w:rFonts w:ascii="Times New Roman" w:hAnsi="Times New Roman"/>
                <w:sz w:val="20"/>
              </w:rPr>
              <w:t> and, together with the VIH Class A Ordinary Shares, the </w:t>
            </w:r>
            <w:r>
              <w:rPr>
                <w:rFonts w:ascii="Times New Roman" w:hAnsi="Times New Roman"/>
                <w:b/>
                <w:sz w:val="20"/>
              </w:rPr>
              <w:t>Ordinary Shares</w:t>
            </w:r>
            <w:r>
              <w:rPr>
                <w:rFonts w:ascii="Times New Roman" w:hAnsi="Times New Roman"/>
                <w:sz w:val="20"/>
              </w:rPr>
              <w:t>), and 1,000,000 preference shares, par value $0.0001 per share (the </w:t>
            </w:r>
            <w:r>
              <w:rPr>
                <w:rFonts w:ascii="Times New Roman" w:hAnsi="Times New Roman"/>
                <w:b/>
                <w:sz w:val="20"/>
              </w:rPr>
              <w:t>Preference Shares</w:t>
            </w:r>
            <w:r>
              <w:rPr>
                <w:rFonts w:ascii="Times New Roman" w:hAnsi="Times New Roman"/>
                <w:sz w:val="20"/>
              </w:rPr>
              <w:t>), to 750,000,000 shares of Class A Common Stock, par value $0.0001 per share of Bakkt Pubco (the </w:t>
            </w:r>
            <w:r>
              <w:rPr>
                <w:rFonts w:ascii="Times New Roman" w:hAnsi="Times New Roman"/>
                <w:b/>
                <w:sz w:val="20"/>
              </w:rPr>
              <w:t>Bakkt Pubco Class</w:t>
            </w:r>
            <w:r>
              <w:rPr>
                <w:rFonts w:ascii="Times New Roman" w:hAnsi="Times New Roman"/>
                <w:sz w:val="20"/>
              </w:rPr>
              <w:t> </w:t>
            </w:r>
            <w:r>
              <w:rPr>
                <w:rFonts w:ascii="Times New Roman" w:hAnsi="Times New Roman"/>
                <w:b/>
                <w:sz w:val="20"/>
              </w:rPr>
              <w:t>A Common Stock</w:t>
            </w:r>
            <w:r>
              <w:rPr>
                <w:rFonts w:ascii="Times New Roman" w:hAnsi="Times New Roman"/>
                <w:sz w:val="20"/>
              </w:rPr>
              <w:t>), and 250,000,000 shares of Class V Common Stock, par value $0.0001 per share, of Bakkt Pubco (the </w:t>
            </w:r>
            <w:r>
              <w:rPr>
                <w:rFonts w:ascii="Times New Roman" w:hAnsi="Times New Roman"/>
                <w:b/>
                <w:sz w:val="20"/>
              </w:rPr>
              <w:t>Bakkt Pubco Class</w:t>
            </w:r>
            <w:r>
              <w:rPr>
                <w:rFonts w:ascii="Times New Roman" w:hAnsi="Times New Roman"/>
                <w:sz w:val="20"/>
              </w:rPr>
              <w:t> </w:t>
            </w:r>
            <w:r>
              <w:rPr>
                <w:rFonts w:ascii="Times New Roman" w:hAnsi="Times New Roman"/>
                <w:b/>
                <w:sz w:val="20"/>
              </w:rPr>
              <w:t>V Common Stock</w:t>
            </w:r>
            <w:r>
              <w:rPr>
                <w:rFonts w:ascii="Times New Roman" w:hAnsi="Times New Roman"/>
                <w:sz w:val="20"/>
              </w:rPr>
              <w:t>, together with the Bakkt Pubco Class A Common Stock, the </w:t>
            </w:r>
            <w:r>
              <w:rPr>
                <w:rFonts w:ascii="Times New Roman" w:hAnsi="Times New Roman"/>
                <w:b/>
                <w:sz w:val="20"/>
              </w:rPr>
              <w:t>Bakkt Pubco Common Stock</w:t>
            </w:r>
            <w:r>
              <w:rPr>
                <w:rFonts w:ascii="Times New Roman" w:hAnsi="Times New Roman"/>
                <w:sz w:val="20"/>
              </w:rPr>
              <w:t>) and 1,000,000 shares of preferred stock, par value $0.0001 per share, of Bakkt Pubco (the </w:t>
            </w:r>
            <w:r>
              <w:rPr>
                <w:rFonts w:ascii="Times New Roman" w:hAnsi="Times New Roman"/>
                <w:b/>
                <w:sz w:val="20"/>
              </w:rPr>
              <w:t>Bakkt Pubco Preferred Stock</w:t>
            </w:r>
            <w:r>
              <w:rPr>
                <w:rFonts w:ascii="Times New Roman" w:hAnsi="Times New Roman"/>
                <w:sz w:val="20"/>
              </w:rPr>
              <w:t>) (</w:t>
            </w:r>
            <w:r>
              <w:rPr>
                <w:rFonts w:ascii="Times New Roman" w:hAnsi="Times New Roman"/>
                <w:b/>
                <w:sz w:val="20"/>
              </w:rPr>
              <w:t>Advisory Organizational Documents Proposal 5A</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the authorized capital stock of VIH be changed from 200,000,000 VIH Class A Ordinary Shares, par value $0.0001 per share, 20,000,000 VIH Class B Ordinary Shares, par value $0.0001 per share, and 1,000,000 Preference Shares, par value $0.0001 per share, to 750,000,000 shares of Bakkt Pubco Class A Common Stock, par value $0.0001 per share of Bakkt Pubco, and 250,000,000 shares of Bakkt Pubco Class V Common Stock, par value $0.0001 per share, of Bakkt Pubco, and 1,000,000 shares of Bakkt Pubco Preferred Stock, par value $0.0001 per share, as described in Advisory Organizational Documents Proposal 5A.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5B</w:t>
            </w:r>
            <w:r>
              <w:rPr>
                <w:rFonts w:ascii="Times New Roman" w:hAnsi="Times New Roman"/>
                <w:sz w:val="20"/>
              </w:rPr>
              <w:t>to authorize adopting Delaware as the exclusive forum for certain stockholder litigation (</w:t>
            </w:r>
            <w:r>
              <w:rPr>
                <w:rFonts w:ascii="Times New Roman" w:hAnsi="Times New Roman"/>
                <w:b/>
                <w:sz w:val="20"/>
              </w:rPr>
              <w:t>Advisory Organizational Documents Proposal 5B</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Delaware be adopted as the exclusive forum for certain stockholder litigation, as described in Advisory Organizational Documents Proposal 5B.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5C</w:t>
            </w:r>
            <w:r>
              <w:rPr>
                <w:rFonts w:ascii="Times New Roman" w:hAnsi="Times New Roman"/>
                <w:sz w:val="20"/>
              </w:rPr>
              <w:t>to authorize electing not to be governed by Section 203 of the DGCL relating to takeovers by interested stockholders and, instead, be governed by a provision similar to Section 203 of the DGCL (</w:t>
            </w:r>
            <w:r>
              <w:rPr>
                <w:rFonts w:ascii="Times New Roman" w:hAnsi="Times New Roman"/>
                <w:b/>
                <w:sz w:val="20"/>
              </w:rPr>
              <w:t>Advisory Organizational Documents Proposal 5C</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electing not be governed by Section 203 of the DGCL relating to takeovers by interested stockholders and, instead, be governed by a provision similar to Section 203 of the DGCL, as described in Advisory Organizational Documents Proposal 5C, be approved.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5D</w:t>
            </w:r>
            <w:r>
              <w:rPr>
                <w:rFonts w:ascii="Times New Roman" w:hAnsi="Times New Roman"/>
                <w:sz w:val="20"/>
              </w:rPr>
              <w:t>to approve provisions providing that the affirmative vote of at least 66 2/3% of the 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w:t>
            </w:r>
            <w:r>
              <w:rPr>
                <w:rFonts w:ascii="Times New Roman" w:hAnsi="Times New Roman"/>
                <w:b/>
                <w:sz w:val="20"/>
              </w:rPr>
              <w:t>Advisory Organizational Documents Proposal 5D</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the provisions providing that the affirmative vote of at least 66 2/3% of the 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as described in Advisory Organizational Documents Proposal 5D, be approved.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(E)</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5E</w:t>
            </w:r>
            <w:r>
              <w:rPr>
                <w:rFonts w:ascii="Times New Roman" w:hAnsi="Times New Roman"/>
                <w:sz w:val="20"/>
              </w:rPr>
              <w:t>to approve provisions permitting the removal of a director only for cause and only by the affirmative vote of the holders of at least 66 2/3% of the outstanding shares entitled to vote at an election of directors, voting together as a single class (</w:t>
            </w:r>
            <w:r>
              <w:rPr>
                <w:rFonts w:ascii="Times New Roman" w:hAnsi="Times New Roman"/>
                <w:b/>
                <w:sz w:val="20"/>
              </w:rPr>
              <w:t>Advisory Organizational Documents Proposal 5E</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the provisions permitting the removal of a director only for cause and only by the affirmative vote of the holders of at least 66 2/3% of the outstanding shares entitled to vote at an election of directors, voting together as a single class, as described in Advisory Organizational Documents Proposal 5E, be approved.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b/>
              </w:rPr>
            </w:pPr>
            <w:r>
              <w:rPr>
                <w:b/>
              </w:rPr>
              <w:t>(F)</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5F</w:t>
            </w:r>
            <w:r>
              <w:rPr>
                <w:rFonts w:ascii="Times New Roman" w:hAnsi="Times New Roman"/>
                <w:sz w:val="20"/>
              </w:rPr>
              <w:t>to approve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w:t>
            </w:r>
            <w:r>
              <w:rPr>
                <w:rFonts w:ascii="Times New Roman" w:hAnsi="Times New Roman"/>
                <w:b/>
                <w:sz w:val="20"/>
              </w:rPr>
              <w:t>Advisory Organizational Documents Proposal 5F</w:t>
            </w:r>
            <w:r>
              <w:rPr>
                <w:rFonts w:ascii="Times New Roman" w:hAnsi="Times New Roman"/>
                <w:sz w:val="20"/>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the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as described in Advisory Organizational Documents Proposal 5F, be approved. and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(G)</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Advisory Organizational Documents Proposal 5G</w:t>
            </w:r>
            <w:r>
              <w:rPr>
                <w:rFonts w:ascii="Times New Roman" w:hAnsi="Times New Roman"/>
                <w:sz w:val="20"/>
              </w:rPr>
              <w:t xml:space="preserve">to provide for certain additional changes, including, among other things, (i) making Bakkt Pubcos corporate existence perpetual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vAlign w:val="center"/>
          </w:tcPr>
          <w:p>
            <w:pPr>
              <w:pStyle w:val="TableContents"/>
              <w:spacing w:before="0" w:after="283"/>
              <w:rPr/>
            </w:pPr>
            <w:r>
              <w:rPr/>
              <w:t> </w:t>
            </w:r>
          </w:p>
        </w:tc>
        <w:tc>
          <w:tcPr>
            <w:tcW w:w="9291" w:type="dxa"/>
            <w:tcBorders/>
            <w:shd w:fill="auto" w:val="clear"/>
          </w:tcPr>
          <w:p>
            <w:pPr>
              <w:pStyle w:val="TableContents"/>
              <w:spacing w:before="0" w:after="283"/>
              <w:jc w:val="left"/>
              <w:rPr/>
            </w:pPr>
            <w:r>
              <w:rPr/>
              <w:t>(ii)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w:t>
            </w:r>
            <w:r>
              <w:rPr>
                <w:b/>
              </w:rPr>
              <w:t>Advisory Organizational Documents Proposal 5G</w:t>
            </w:r>
            <w:r>
              <w:rPr/>
              <w:t xml:space="preserve">). The full text of the resolution to be considered and if though fit, passed and approved is as follows: </w:t>
            </w:r>
          </w:p>
        </w:tc>
      </w:tr>
    </w:tbl>
    <w:p>
      <w:pPr>
        <w:pStyle w:val="TextBody"/>
        <w:spacing w:before="120" w:after="0"/>
        <w:jc w:val="left"/>
        <w:rPr>
          <w:rFonts w:ascii="Times New Roman" w:hAnsi="Times New Roman"/>
          <w:sz w:val="20"/>
        </w:rPr>
      </w:pPr>
      <w:r>
        <w:rPr>
          <w:rFonts w:ascii="Times New Roman" w:hAnsi="Times New Roman"/>
          <w:sz w:val="20"/>
        </w:rPr>
        <w:t xml:space="preserve">RESOLVED, as a special resolution, on an advisory non-binding basis, that certain additional changes, including, among other things, (i) making Bakkt Pubcos corporate existence perpetual and (ii)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as described in Advisory Organizational Documents Proposal 5G, be approved.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  The Bakkt Pubco Equity Incentive Plan Proposal </w:t>
            </w:r>
            <w:r>
              <w:rPr>
                <w:rFonts w:ascii="Times New Roman" w:hAnsi="Times New Roman"/>
                <w:sz w:val="20"/>
              </w:rPr>
              <w:t xml:space="preserve"> To consider and vote upon a proposal to approve by ordinary resolution the Bakkt Pubco Equity Incentive Plan (the </w:t>
            </w:r>
            <w:r>
              <w:rPr>
                <w:rFonts w:ascii="Times New Roman" w:hAnsi="Times New Roman"/>
                <w:b/>
                <w:sz w:val="20"/>
              </w:rPr>
              <w:t>Bakkt Pubco Equity Incentive Plan Proposal</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7  The Director Election Proposal </w:t>
            </w:r>
            <w:r>
              <w:rPr>
                <w:rFonts w:ascii="Times New Roman" w:hAnsi="Times New Roman"/>
                <w:sz w:val="20"/>
              </w:rPr>
              <w:t xml:space="preserve"> To consider and vote upon a proposal to approve by ordinary resolution the election of nine directors to serve staggered terms on the Companys board of directors until the 2022, 2023 and 2024 annual meeting of stockholders, respectively and until their respective successors are duly elected and qualified (the </w:t>
            </w:r>
            <w:r>
              <w:rPr>
                <w:rFonts w:ascii="Times New Roman" w:hAnsi="Times New Roman"/>
                <w:b/>
                <w:sz w:val="20"/>
              </w:rPr>
              <w:t>Director Election Proposal</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8  The Shareholder Adjournment Proposal </w:t>
            </w:r>
            <w:r>
              <w:rPr>
                <w:rFonts w:ascii="Times New Roman" w:hAnsi="Times New Roman"/>
                <w:sz w:val="20"/>
              </w:rPr>
              <w:t xml:space="preserve"> To consider and vote upon a proposal to approve by ordinary resolution the adjournment of the extraordinary general meeting to a later date or dates, if necessary, to permit further solicitation and vote of proxies in the event that there are insufficient votes for the approval of one or more proposals at the extraordinary general meeting (the </w:t>
            </w:r>
            <w:r>
              <w:rPr>
                <w:rFonts w:ascii="Times New Roman" w:hAnsi="Times New Roman"/>
                <w:b/>
                <w:sz w:val="20"/>
              </w:rPr>
              <w:t>Shareholder Adjournment Proposal</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Each of Proposals No. 1, No. 2, No. 3, No. 4 and No. 6 is cross-conditioned on the approval of each other. The Director Election Proposal, the Shareholder Adjournment Proposal and the Advisory Organizational Documents Proposals are not cross-conditioned upon the approval of any other proposal set forth in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These items of business are described in this proxy statement/prospectus, which we encourage you to read carefully and in its entirety before voting. </w:t>
      </w:r>
    </w:p>
    <w:p>
      <w:pPr>
        <w:pStyle w:val="TextBody"/>
        <w:spacing w:before="240" w:after="0"/>
        <w:jc w:val="left"/>
        <w:rPr>
          <w:rFonts w:ascii="Times New Roman" w:hAnsi="Times New Roman"/>
          <w:sz w:val="20"/>
        </w:rPr>
      </w:pPr>
      <w:r>
        <w:rPr>
          <w:rFonts w:ascii="Times New Roman" w:hAnsi="Times New Roman"/>
          <w:sz w:val="20"/>
        </w:rPr>
        <w:t>Only holders of record of VIH Shares at the close of business on [●], 2021 (the </w:t>
      </w:r>
      <w:r>
        <w:rPr>
          <w:rFonts w:ascii="Times New Roman" w:hAnsi="Times New Roman"/>
          <w:b/>
          <w:sz w:val="20"/>
        </w:rPr>
        <w:t>Record Date</w:t>
      </w:r>
      <w:r>
        <w:rPr>
          <w:rFonts w:ascii="Times New Roman" w:hAnsi="Times New Roman"/>
          <w:sz w:val="20"/>
        </w:rPr>
        <w:t xml:space="preserve">) are entitled to notice of and to vote at and to have their votes counted at the extraordinary general meeting and any adjournment of the extraordinary general meeting. </w:t>
      </w:r>
    </w:p>
    <w:p>
      <w:pPr>
        <w:pStyle w:val="TextBody"/>
        <w:spacing w:before="240" w:after="0"/>
        <w:jc w:val="left"/>
        <w:rPr/>
      </w:pPr>
      <w:r>
        <w:rPr>
          <w:rFonts w:ascii="Times New Roman" w:hAnsi="Times New Roman"/>
          <w:sz w:val="20"/>
        </w:rPr>
        <w:t xml:space="preserve">This proxy statement/prospectus and accompanying proxy card is being provided to VIHs shareholders in connection with the solicitation of proxies to be voted at the extraordinary general meeting and at any adjournment of the extraordinary general meeting. </w:t>
      </w:r>
      <w:r>
        <w:rPr>
          <w:rFonts w:ascii="Times New Roman" w:hAnsi="Times New Roman"/>
          <w:b/>
          <w:sz w:val="20"/>
        </w:rPr>
        <w:t>Whether or not you plan to attend the extraordinary general meeting, all of VIHs shareholders are urged to read this proxy statement/prospectus, including the Annexes and the documents referred to herein, carefully and in their entirety. You should also carefully consider the risk factors described under the heading </w:t>
      </w:r>
      <w:hyperlink w:anchor="toc108105_9">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beginning on page 52 of this proxy statement/prospectus.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After careful consideration, the board of directors of VIH (the VIH Board) has unanimously approved the Proposed Transaction and unanimously recommends that shareholders vote FOR the adoption of the Merger Agreement, and approval of the transactions contemplated thereby, including the Proposed Transaction, and FOR all other proposals presented to VIHs shareholders in this proxy statement/prospectus. When you consider the recommendation of these proposals by the VIH Board, you should keep in mind that VIHs directors and officers have interests in the Proposed Transaction that may conflict with your interests as a shareholder. See the section entitled </w:t>
      </w:r>
      <w:r>
        <w:rPr>
          <w:rFonts w:ascii="Times New Roman" w:hAnsi="Times New Roman"/>
          <w:b/>
          <w:i/>
          <w:sz w:val="20"/>
        </w:rPr>
        <w:t>The Business Combination ProposalCertain Benefits of VIHs Directors and Officers and Others in the Business Combination</w:t>
      </w:r>
      <w:r>
        <w:rPr>
          <w:rFonts w:ascii="Times New Roman" w:hAnsi="Times New Roman"/>
          <w:b/>
          <w:sz w:val="20"/>
        </w:rPr>
        <w:t xml:space="preserve"> beginning on page 155 of this proxy statement/prospectus for a further discussion of these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Pursuant to the Cayman Constitutional Documents, a holder of Public Shares (as defined herein) (a </w:t>
      </w:r>
      <w:r>
        <w:rPr>
          <w:rFonts w:ascii="Times New Roman" w:hAnsi="Times New Roman"/>
          <w:b/>
          <w:sz w:val="20"/>
        </w:rPr>
        <w:t>Public Shareholder</w:t>
      </w:r>
      <w:r>
        <w:rPr>
          <w:rFonts w:ascii="Times New Roman" w:hAnsi="Times New Roman"/>
          <w:sz w:val="20"/>
        </w:rPr>
        <w:t xml:space="preserve">) may request of VIH that Bakkt Pubco redeem all or a portion of its Public Shares for cash if the Proposed Transaction is consummated. As a holder of Public Shares, you will be entitled to receive cash for any Public Shares to be redeemed only if you: </w:t>
      </w:r>
    </w:p>
    <w:p>
      <w:pPr>
        <w:pStyle w:val="TextBody"/>
        <w:spacing w:before="240" w:after="0"/>
        <w:jc w:val="left"/>
        <w:rPr>
          <w:rFonts w:ascii="Times New Roman" w:hAnsi="Times New Roman"/>
          <w:sz w:val="20"/>
        </w:rPr>
      </w:pPr>
      <w:r>
        <w:rPr>
          <w:rFonts w:ascii="Times New Roman" w:hAnsi="Times New Roman"/>
          <w:sz w:val="20"/>
        </w:rPr>
        <w:t xml:space="preserve">(a) hold Public Shares or you elect to separate your VIH Units into the underlying Public Shares and public warrants prior to exercising your redemption rights with respect to the Public Shares; </w:t>
      </w:r>
    </w:p>
    <w:p>
      <w:pPr>
        <w:pStyle w:val="TextBody"/>
        <w:spacing w:before="240" w:after="0"/>
        <w:jc w:val="left"/>
        <w:rPr>
          <w:rFonts w:ascii="Times New Roman" w:hAnsi="Times New Roman"/>
          <w:sz w:val="20"/>
        </w:rPr>
      </w:pPr>
      <w:r>
        <w:rPr>
          <w:rFonts w:ascii="Times New Roman" w:hAnsi="Times New Roman"/>
          <w:sz w:val="20"/>
        </w:rPr>
        <w:t>(b) submit a written request to Continental Stock Transfer &amp; Trust Company (</w:t>
      </w:r>
      <w:r>
        <w:rPr>
          <w:rFonts w:ascii="Times New Roman" w:hAnsi="Times New Roman"/>
          <w:b/>
          <w:sz w:val="20"/>
        </w:rPr>
        <w:t>Continental</w:t>
      </w:r>
      <w:r>
        <w:rPr>
          <w:rFonts w:ascii="Times New Roman" w:hAnsi="Times New Roman"/>
          <w:sz w:val="20"/>
        </w:rPr>
        <w:t xml:space="preserve">), VIHs transfer agent, that Bakkt Pubco redeem all or a portion of your Public Shares for cash; and </w:t>
      </w:r>
    </w:p>
    <w:p>
      <w:pPr>
        <w:pStyle w:val="TextBody"/>
        <w:spacing w:before="240" w:after="0"/>
        <w:jc w:val="left"/>
        <w:rPr>
          <w:rFonts w:ascii="Times New Roman" w:hAnsi="Times New Roman"/>
          <w:sz w:val="20"/>
        </w:rPr>
      </w:pPr>
      <w:r>
        <w:rPr>
          <w:rFonts w:ascii="Times New Roman" w:hAnsi="Times New Roman"/>
          <w:sz w:val="20"/>
        </w:rPr>
        <w:t>(c) deliver your share certificates for Public Shares (if any) along with the redemption forms to Continental, physically or electronically through The Depository Trust Company (</w:t>
      </w:r>
      <w:r>
        <w:rPr>
          <w:rFonts w:ascii="Times New Roman" w:hAnsi="Times New Roman"/>
          <w:b/>
          <w:sz w:val="20"/>
        </w:rPr>
        <w:t>DTC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Holders must complete the procedures for electing to redeem their Public Shares in the manner described above prior to [●], Eastern Time, on [●], 2021 (two business days before the extraordinary general meeting) in order for their shares to be redeemed. </w:t>
      </w:r>
    </w:p>
    <w:p>
      <w:pPr>
        <w:pStyle w:val="TextBody"/>
        <w:spacing w:before="240" w:after="0"/>
        <w:jc w:val="left"/>
        <w:rPr>
          <w:rFonts w:ascii="Times New Roman" w:hAnsi="Times New Roman"/>
          <w:sz w:val="20"/>
        </w:rPr>
      </w:pPr>
      <w:r>
        <w:rPr>
          <w:rFonts w:ascii="Times New Roman" w:hAnsi="Times New Roman"/>
          <w:sz w:val="20"/>
        </w:rPr>
        <w:t xml:space="preserve">Each VIH Unit issued and outstanding as of immediately prior to the Domestication will automatically be separated into the underlying VIH Class A Ordinary Share and one-half of a VIH Warrant. Public Shareholders may elect to redeem Public Shares regardless of if or how they vote in respect of the Business Combination Proposal. If the Proposed Transaction is not consummated, the Public Shares will be returned to the respective holder, broker or bank. </w:t>
      </w:r>
    </w:p>
    <w:p>
      <w:pPr>
        <w:pStyle w:val="TextBody"/>
        <w:spacing w:before="240" w:after="0"/>
        <w:jc w:val="left"/>
        <w:rPr>
          <w:rFonts w:ascii="Times New Roman" w:hAnsi="Times New Roman"/>
          <w:sz w:val="20"/>
        </w:rPr>
      </w:pPr>
      <w:r>
        <w:rPr>
          <w:rFonts w:ascii="Times New Roman" w:hAnsi="Times New Roman"/>
          <w:sz w:val="20"/>
        </w:rPr>
        <w:t xml:space="preserve">If the Proposed Transaction is consummated, and if a Public Shareholder properly exercises its right to redeem all or a portion of the Public Shares that it holds and timely delivers its share certificates (if any) and other redemption forms (as applicable) to Continental, Bakkt Pubco will redeem such Public Shares for a per-share price, payable in cash, equal to the </w:t>
      </w:r>
      <w:r>
        <w:rPr>
          <w:rFonts w:ascii="Times New Roman" w:hAnsi="Times New Roman"/>
          <w:i/>
          <w:sz w:val="20"/>
        </w:rPr>
        <w:t>pro rata</w:t>
      </w:r>
      <w:r>
        <w:rPr>
          <w:rFonts w:ascii="Times New Roman" w:hAnsi="Times New Roman"/>
          <w:sz w:val="20"/>
        </w:rPr>
        <w:t xml:space="preserve"> portion of the trust account established at the consummation of VIHs initial public offering (the </w:t>
      </w:r>
      <w:r>
        <w:rPr>
          <w:rFonts w:ascii="Times New Roman" w:hAnsi="Times New Roman"/>
          <w:b/>
          <w:sz w:val="20"/>
        </w:rPr>
        <w:t>Trust Account</w:t>
      </w:r>
      <w:r>
        <w:rPr>
          <w:rFonts w:ascii="Times New Roman" w:hAnsi="Times New Roman"/>
          <w:sz w:val="20"/>
        </w:rPr>
        <w:t>), calculated as of two business days prior to the consummation of the Proposed Transaction. For illustrative purposes, as of March 29,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Bakkt Pubco Class A Common Stock that will be redeemed promptly after consummation of the Proposed Transaction. See </w:t>
      </w:r>
      <w:r>
        <w:rPr>
          <w:rFonts w:ascii="Times New Roman" w:hAnsi="Times New Roman"/>
          <w:i/>
          <w:sz w:val="20"/>
        </w:rPr>
        <w:t>Extraordinary General Meeting of VIHRedemption Rights</w:t>
      </w:r>
      <w:r>
        <w:rPr>
          <w:rFonts w:ascii="Times New Roman" w:hAnsi="Times New Roman"/>
          <w:sz w:val="20"/>
        </w:rPr>
        <w:t xml:space="preserve"> beginning on page 115 of this proxy statement/prospectus for a detailed description of the procedures to be followed if you wish to redeem your Public Shares for cash. </w:t>
      </w:r>
    </w:p>
    <w:p>
      <w:pPr>
        <w:pStyle w:val="TextBody"/>
        <w:spacing w:before="240" w:after="0"/>
        <w:jc w:val="left"/>
        <w:rPr>
          <w:rFonts w:ascii="Times New Roman" w:hAnsi="Times New Roman"/>
          <w:sz w:val="20"/>
        </w:rPr>
      </w:pPr>
      <w:r>
        <w:rPr>
          <w:rFonts w:ascii="Times New Roman" w:hAnsi="Times New Roman"/>
          <w:sz w:val="20"/>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(the </w:t>
      </w:r>
      <w:r>
        <w:rPr>
          <w:rFonts w:ascii="Times New Roman" w:hAnsi="Times New Roman"/>
          <w:b/>
          <w:sz w:val="20"/>
        </w:rPr>
        <w:t>Exchange Act</w:t>
      </w:r>
      <w:r>
        <w:rPr>
          <w:rFonts w:ascii="Times New Roman" w:hAnsi="Times New Roman"/>
          <w:sz w:val="20"/>
        </w:rPr>
        <w:t xml:space="preserve">)),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spacing w:before="240" w:after="0"/>
        <w:jc w:val="left"/>
        <w:rPr>
          <w:rFonts w:ascii="Times New Roman" w:hAnsi="Times New Roman"/>
          <w:sz w:val="20"/>
        </w:rPr>
      </w:pPr>
      <w:r>
        <w:rPr>
          <w:rFonts w:ascii="Times New Roman" w:hAnsi="Times New Roman"/>
          <w:sz w:val="20"/>
        </w:rPr>
        <w:t>VPC Impact Acquisition Holdings LLC, a Delaware limited liability company and shareholder of VIH (the </w:t>
      </w:r>
      <w:r>
        <w:rPr>
          <w:rFonts w:ascii="Times New Roman" w:hAnsi="Times New Roman"/>
          <w:b/>
          <w:sz w:val="20"/>
        </w:rPr>
        <w:t>Sponsor</w:t>
      </w:r>
      <w:r>
        <w:rPr>
          <w:rFonts w:ascii="Times New Roman" w:hAnsi="Times New Roman"/>
          <w:sz w:val="20"/>
        </w:rPr>
        <w:t xml:space="preserve">), and each director of VIH have agreed to, among other things, vote in favor of the Proposed Transaction, and to waive their redemption rights in connection with the consummation of the Proposed Transaction with respect to any VIH Shares held by them, in the case of the Sponsor. The VIH Shares held by the Sponsor will be excluded from the </w:t>
      </w:r>
      <w:r>
        <w:rPr>
          <w:rFonts w:ascii="Times New Roman" w:hAnsi="Times New Roman"/>
          <w:i/>
          <w:sz w:val="20"/>
        </w:rPr>
        <w:t>pro rata</w:t>
      </w:r>
      <w:r>
        <w:rPr>
          <w:rFonts w:ascii="Times New Roman" w:hAnsi="Times New Roman"/>
          <w:sz w:val="20"/>
        </w:rPr>
        <w:t xml:space="preserve"> calculation used to determine the per-share redemption price. As of the date of the accompanying proxy statement/prospectus, the Sponsor and certain of the members of the VIH Board own 20% of the issued and outstanding VIH Shares. </w:t>
      </w:r>
    </w:p>
    <w:p>
      <w:pPr>
        <w:pStyle w:val="TextBody"/>
        <w:spacing w:before="240" w:after="0"/>
        <w:jc w:val="left"/>
        <w:rPr>
          <w:rFonts w:ascii="Times New Roman" w:hAnsi="Times New Roman"/>
          <w:sz w:val="20"/>
        </w:rPr>
      </w:pPr>
      <w:r>
        <w:rPr>
          <w:rFonts w:ascii="Times New Roman" w:hAnsi="Times New Roman"/>
          <w:sz w:val="20"/>
        </w:rPr>
        <w:t>The Merger Agreement provides that the obligations of Bakkt to consummate the Merger are conditioned on, among other things, that as of the Closing, (a) the Domestication will have been completed, and (b) the amount of cash available following the extraordinary general meeting of VIH shareholders (the </w:t>
      </w:r>
      <w:r>
        <w:rPr>
          <w:rFonts w:ascii="Times New Roman" w:hAnsi="Times New Roman"/>
          <w:b/>
          <w:sz w:val="20"/>
        </w:rPr>
        <w:t>Available Cash</w:t>
      </w:r>
      <w:r>
        <w:rPr>
          <w:rFonts w:ascii="Times New Roman" w:hAnsi="Times New Roman"/>
          <w:sz w:val="20"/>
        </w:rPr>
        <w:t xml:space="preserve">) (i)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Trust Account, after deducting the amount required to satisfy redemptions of VIH Class A Ordinary Shares, if any (but prior to payment of (x) deferred underwriting commissions and (y) transaction expenses of VIH or its affiliates), (ii) outside of the Trust Account, and (iii) from the gross proceeds of the PIPE Investment, is at least $425,000,000. If such condition is not met, and such condition is not or cannot be waived under the terms of the Merger Agreement, then the Merger Agreement could be terminated and the Proposed Transaction may not be consummated. </w:t>
      </w:r>
    </w:p>
    <w:p>
      <w:pPr>
        <w:pStyle w:val="TextBody"/>
        <w:spacing w:before="240" w:after="0"/>
        <w:jc w:val="left"/>
        <w:rPr>
          <w:rFonts w:ascii="Times New Roman" w:hAnsi="Times New Roman"/>
          <w:sz w:val="20"/>
        </w:rPr>
      </w:pPr>
      <w:r>
        <w:rPr>
          <w:rFonts w:ascii="Times New Roman" w:hAnsi="Times New Roman"/>
          <w:sz w:val="20"/>
        </w:rPr>
        <w:t xml:space="preserve">In addition to the Available Cash Condition, the Merger Agreement is subject to the satisfaction or waiver of the following other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filed by VIH in connection with the Domestication; (c) all specified authorizations, consents, orders, regulatory approvals, non-objections, declarations, filings or waiting periods having been made, received or expired; (d) delivery of closing deliverables and documentation; (e) absence of a material adverse effect in respect of Bakkt, VIH and Merger Sub; (f) accuracy of the applicable representations, warranties and covenants, each to an applicable standard; (g) the Bakkt Pubco Class A Shares and Bakkt Pubco Warrants having been listed on a national stock exchange and being eligible for continued listing on a national stock exchange immediately following the closing; (h) the PIPE Investment having been completed; (i) the Domestication having been completed; (j) the existing members of the VIH Board having resigned as of the closing and the post-closing directors having been appointed to serve on the board of directors of the Company effective as of the closing; (k) the existing officers of VIH having resigned as of the closing and the post-closing officers having been appointed to serve effective as of the closing; and (l) the absence of any injunctions or restraints in respect of consummation of the Proposed Transaction. </w:t>
      </w:r>
    </w:p>
    <w:p>
      <w:pPr>
        <w:pStyle w:val="TextBody"/>
        <w:spacing w:before="240" w:after="0"/>
        <w:jc w:val="left"/>
        <w:rPr>
          <w:rFonts w:ascii="Times New Roman" w:hAnsi="Times New Roman"/>
          <w:sz w:val="20"/>
        </w:rPr>
      </w:pPr>
      <w:r>
        <w:rPr>
          <w:rFonts w:ascii="Times New Roman" w:hAnsi="Times New Roman"/>
          <w:sz w:val="20"/>
        </w:rPr>
        <w:t xml:space="preserve">The approval of each of the Domestication Proposal, the Organizational Documents Proposal and the Advisory Organizational Documents Proposals requires a special resolution under Cayman Islands law, being the affirmative vote of holders of a majority of at least two-thirds of the VIH Shares, who, being present in person or by proxy and entitled to vote at the extraordinary general meeting, vote at the extraordinary general meeting. The approval of each of the Business Combination Proposal, the Stock Issuance Proposal, the Bakkt Pubco Equity Incentive Plan Proposal, the Director Election Proposal and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p>
      <w:pPr>
        <w:pStyle w:val="TextBody"/>
        <w:spacing w:before="240" w:after="0"/>
        <w:jc w:val="left"/>
        <w:rPr>
          <w:rFonts w:ascii="Times New Roman" w:hAnsi="Times New Roman"/>
          <w:sz w:val="20"/>
        </w:rPr>
      </w:pPr>
      <w:r>
        <w:rPr>
          <w:rFonts w:ascii="Times New Roman" w:hAnsi="Times New Roman"/>
          <w:b/>
          <w:i/>
          <w:sz w:val="20"/>
        </w:rPr>
        <w:t>Your vote is very important</w:t>
      </w:r>
      <w:r>
        <w:rPr>
          <w:rFonts w:ascii="Times New Roman" w:hAnsi="Times New Roman"/>
          <w:b/>
          <w:sz w:val="20"/>
        </w:rPr>
        <w:t xml:space="preserve">. Whether or not you plan to attend the extraordinary general meeting, please vote as soon as possible by following 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Merger Agreement will be consummated only if the Condition Precedent Proposals are approved at the extraordinary general meeting. Each of the Condition Precedent Proposals is cross-conditioned on the approval of each other. The Shareholder Adjournment Proposal and the Advisory Organizational Documents Proposals are not conditioned upon the approval of any other proposal set forth in the accompanying proxy statement/prospectus. </w:t>
      </w:r>
    </w:p>
    <w:p>
      <w:pPr>
        <w:pStyle w:val="TextBody"/>
        <w:spacing w:before="240" w:after="0"/>
        <w:jc w:val="left"/>
        <w:rPr>
          <w:rFonts w:ascii="Times New Roman" w:hAnsi="Times New Roman"/>
          <w:sz w:val="20"/>
        </w:rPr>
      </w:pPr>
      <w:r>
        <w:rPr>
          <w:rFonts w:ascii="Times New Roman" w:hAnsi="Times New Roman"/>
          <w:sz w:val="20"/>
        </w:rPr>
        <w:t xml:space="preserve">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and will not be voted. An abstention or broker non-vote will be counted towards the quorum requirement but will not count as a vote cast at the extraordinary general meeting and otherwise will have no effect on a particular proposal. If you are a shareholder of record and you attend the extraordinary general meeting and wish to vote in person, you may withdraw your proxy and vote in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Your attention is directed to the remainder of the proxy statement/prospectus following this notice (including the Annexes and other documents referred to herein) for a more complete description of the Proposed Transaction and related transactions and each of the proposals. You are encouraged to read this proxy statement/prospectus carefully and in its entirety, including the Annexes and other documents referred to herein. If you have any questions or need assistance voting your VIH Shares, please contact Morrow Sodali LLC, our proxy solicitor, by calling (800) 662-5200, or banks and brokers can call collect at (203) 658-9400, or by emailing VIH.info@investor.morrowsodali.com. This notice of extraordinary general meeting and the proxy statement/prospectus are available at https://[●]. </w:t>
      </w:r>
    </w:p>
    <w:p>
      <w:pPr>
        <w:pStyle w:val="TextBody"/>
        <w:spacing w:before="240" w:after="0"/>
        <w:jc w:val="left"/>
        <w:rPr>
          <w:rFonts w:ascii="Times New Roman" w:hAnsi="Times New Roman"/>
          <w:sz w:val="20"/>
        </w:rPr>
      </w:pPr>
      <w:r>
        <w:rPr>
          <w:rFonts w:ascii="Times New Roman" w:hAnsi="Times New Roman"/>
          <w:sz w:val="20"/>
        </w:rPr>
        <w:t xml:space="preserve">Thank you for your participation. We look forward to your continued support. </w:t>
      </w:r>
    </w:p>
    <w:p>
      <w:pPr>
        <w:pStyle w:val="TextBody"/>
        <w:spacing w:before="240" w:after="0"/>
        <w:jc w:val="left"/>
        <w:rPr>
          <w:rFonts w:ascii="Times New Roman" w:hAnsi="Times New Roman"/>
          <w:sz w:val="20"/>
        </w:rPr>
      </w:pPr>
      <w:r>
        <w:rPr>
          <w:rFonts w:ascii="Times New Roman" w:hAnsi="Times New Roman"/>
          <w:sz w:val="20"/>
        </w:rPr>
        <w:t xml:space="preserve">By Order of the Board of Directors of VPC Impact Acquisition Holdings </w:t>
      </w:r>
    </w:p>
    <w:p>
      <w:pPr>
        <w:pStyle w:val="TextBody"/>
        <w:spacing w:before="0" w:after="0"/>
        <w:jc w:val="left"/>
        <w:rPr/>
      </w:pPr>
      <w:r>
        <w:rPr/>
        <w:t> </w:t>
      </w:r>
    </w:p>
    <w:p>
      <w:pPr>
        <w:pStyle w:val="TextBody"/>
        <w:spacing w:before="240" w:after="0"/>
        <w:jc w:val="left"/>
        <w:rPr/>
      </w:pPr>
      <w:r>
        <w:rPr/>
        <w:t>      </w:t>
      </w:r>
    </w:p>
    <w:p>
      <w:pPr>
        <w:pStyle w:val="TextBody"/>
        <w:pBdr>
          <w:bottom w:val="single" w:sz="2" w:space="1" w:color="000000"/>
        </w:pBdr>
        <w:spacing w:lineRule="atLeast" w:line="160" w:before="0" w:after="4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John Martin </w:t>
      </w:r>
    </w:p>
    <w:p>
      <w:pPr>
        <w:pStyle w:val="TextBody"/>
        <w:spacing w:before="0" w:after="0"/>
        <w:jc w:val="left"/>
        <w:rPr>
          <w:rFonts w:ascii="Times New Roman" w:hAnsi="Times New Roman"/>
          <w:sz w:val="20"/>
        </w:rPr>
      </w:pPr>
      <w:r>
        <w:rPr>
          <w:rFonts w:ascii="Times New Roman" w:hAnsi="Times New Roman"/>
          <w:sz w:val="20"/>
        </w:rPr>
        <w:t xml:space="preserve">Chairman of the Board of Directors </w:t>
      </w:r>
    </w:p>
    <w:p>
      <w:pPr>
        <w:pStyle w:val="TextBody"/>
        <w:spacing w:before="240" w:after="0"/>
        <w:jc w:val="left"/>
        <w:rPr>
          <w:rFonts w:ascii="Times New Roman" w:hAnsi="Times New Roman"/>
          <w:sz w:val="20"/>
        </w:rPr>
      </w:pPr>
      <w:r>
        <w:rPr>
          <w:rFonts w:ascii="Times New Roman" w:hAnsi="Times New Roman"/>
          <w:b/>
          <w:sz w:val="20"/>
        </w:rPr>
        <w:t xml:space="preserve">TO EXERCISE YOUR REDEMPTION RIGHTS, YOU MUST DEMAND IN WRITING THAT YOUR PUBLIC SHARES ARE REDEEMED FOR A </w:t>
      </w:r>
      <w:r>
        <w:rPr>
          <w:rFonts w:ascii="Times New Roman" w:hAnsi="Times New Roman"/>
          <w:b/>
          <w:i/>
          <w:sz w:val="20"/>
        </w:rPr>
        <w:t>PRO RATA</w:t>
      </w:r>
      <w:r>
        <w:rPr>
          <w:rFonts w:ascii="Times New Roman" w:hAnsi="Times New Roman"/>
          <w:sz w:val="20"/>
        </w:rPr>
        <w:t xml:space="preserve"> </w:t>
      </w:r>
      <w:r>
        <w:rPr>
          <w:rFonts w:ascii="Times New Roman" w:hAnsi="Times New Roman"/>
          <w:b/>
          <w:sz w:val="20"/>
        </w:rPr>
        <w:t xml:space="preserve">PORTION OF THE FUNDS HELD IN THE TRUST ACCOUNT AND TENDER YOUR SHARES TO VIHS TRANSFER AGENT AT LEAST TWO BUSINESS DAYS PRIOR TO THE VOTE AT THE EXTRAORDINARY GENERAL MEETING. YOU MAY TENDER YOUR SHARES BY EITHER DELIVERING YOUR SHARE CERTIFICATE TO THE TRANSFER AGENT OR BY DELIVERING YOUR SHARES ELECTRONICALLY USING THE DEPOSITORY TRUST COMPANYS DWAC (DEPOSIT WITHDRAWAL AT CUSTODIAN) SYSTEM. IF THE BUSINESS COMBINATION IS NOT CONSUMMATED, THEN THESE SHARES WILL BE RETURNED TO YOU OR YOUR ACCOUNT. IF YOU HOLD THE SHARES IN STREET NAME, YOU WILL NEED TO INSTRUCT THE ACCOUNT EXECUTIVE AT YOUR BANK OR BROKER TO WITHDRAW THE SHARES FROM YOUR ACCOUNT IN ORDER TO EXERCISE YOUR REDEMPTION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47"/>
        <w:gridCol w:w="153"/>
        <w:gridCol w:w="60"/>
        <w:gridCol w:w="382"/>
        <w:gridCol w:w="63"/>
      </w:tblGrid>
      <w:tr>
        <w:trPr/>
        <w:tc>
          <w:tcPr>
            <w:tcW w:w="954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547" w:type="dxa"/>
            <w:tcBorders/>
            <w:shd w:fill="auto" w:val="clear"/>
            <w:vAlign w:val="bottom"/>
          </w:tcPr>
          <w:p>
            <w:pPr>
              <w:pStyle w:val="TableContents"/>
              <w:spacing w:before="0" w:after="0"/>
              <w:rPr/>
            </w:pPr>
            <w:hyperlink w:anchor="toc108105_1">
              <w:r>
                <w:rPr>
                  <w:rStyle w:val="InternetLink"/>
                  <w:rFonts w:ascii="Times New Roman" w:hAnsi="Times New Roman"/>
                  <w:sz w:val="20"/>
                </w:rPr>
                <w:t>REFERENCES TO ADDITIONAL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
              <w:r>
                <w:rPr>
                  <w:rStyle w:val="InternetLink"/>
                  <w:rFonts w:ascii="Times New Roman" w:hAnsi="Times New Roman"/>
                  <w:sz w:val="20"/>
                </w:rPr>
                <w:t>FREQUENTLY USED TERMS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
              <w:r>
                <w:rPr>
                  <w:rStyle w:val="InternetLink"/>
                  <w:rFonts w:ascii="Times New Roman" w:hAnsi="Times New Roman"/>
                  <w:sz w:val="20"/>
                </w:rPr>
                <w:t>MARKET AND INDUSTRY DATA</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4">
              <w:r>
                <w:rPr>
                  <w:rStyle w:val="InternetLink"/>
                  <w:rFonts w:ascii="Times New Roman" w:hAnsi="Times New Roman"/>
                  <w:sz w:val="20"/>
                </w:rPr>
                <w:t>CAUTIONARY NOTE REGARDING FORWARD-LOOKING STATEMENTS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5">
              <w:r>
                <w:rPr>
                  <w:rStyle w:val="InternetLink"/>
                  <w:rFonts w:ascii="Times New Roman" w:hAnsi="Times New Roman"/>
                  <w:sz w:val="20"/>
                </w:rPr>
                <w:t>QUESTIONS AND ANSWERS FOR SHAREHOLDERS OF VIH</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6">
              <w:r>
                <w:rPr>
                  <w:rStyle w:val="InternetLink"/>
                  <w:rFonts w:ascii="Times New Roman" w:hAnsi="Times New Roman"/>
                  <w:sz w:val="20"/>
                </w:rPr>
                <w:t>SUMMARY OF THE PROXY STATEMENT/PROSPECTUS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7">
              <w:r>
                <w:rPr>
                  <w:rStyle w:val="InternetLink"/>
                  <w:rFonts w:ascii="Times New Roman" w:hAnsi="Times New Roman"/>
                  <w:sz w:val="20"/>
                </w:rPr>
                <w:t>SELECTED UNAUDITED PRO FORMA CONDENSED COMBINED FINANCIAL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47</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8">
              <w:r>
                <w:rPr>
                  <w:rStyle w:val="InternetLink"/>
                  <w:rFonts w:ascii="Times New Roman" w:hAnsi="Times New Roman"/>
                  <w:sz w:val="20"/>
                </w:rPr>
                <w:t>COMPARATIVE PER SHARE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51</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9">
              <w:r>
                <w:rPr>
                  <w:rStyle w:val="InternetLink"/>
                  <w:rFonts w:ascii="Times New Roman" w:hAnsi="Times New Roman"/>
                  <w:sz w:val="20"/>
                </w:rPr>
                <w:t>RISK FACTORS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0">
              <w:r>
                <w:rPr>
                  <w:rStyle w:val="InternetLink"/>
                  <w:rFonts w:ascii="Times New Roman" w:hAnsi="Times New Roman"/>
                  <w:sz w:val="20"/>
                </w:rPr>
                <w:t>EXTRAORDINARY GENERAL MEETING OF VIH</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111</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1">
              <w:r>
                <w:rPr>
                  <w:rStyle w:val="InternetLink"/>
                  <w:rFonts w:ascii="Times New Roman" w:hAnsi="Times New Roman"/>
                  <w:sz w:val="20"/>
                </w:rPr>
                <w:t>THE BUSINESS COMBINATION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2">
              <w:r>
                <w:rPr>
                  <w:rStyle w:val="InternetLink"/>
                  <w:rFonts w:ascii="Times New Roman" w:hAnsi="Times New Roman"/>
                  <w:sz w:val="20"/>
                </w:rPr>
                <w:t>THE DOMESTICATION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162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3">
              <w:r>
                <w:rPr>
                  <w:rStyle w:val="InternetLink"/>
                  <w:rFonts w:ascii="Times New Roman" w:hAnsi="Times New Roman"/>
                  <w:sz w:val="20"/>
                </w:rPr>
                <w:t>THE STOCK ISSUANCE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170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4">
              <w:r>
                <w:rPr>
                  <w:rStyle w:val="InternetLink"/>
                  <w:rFonts w:ascii="Times New Roman" w:hAnsi="Times New Roman"/>
                  <w:sz w:val="20"/>
                </w:rPr>
                <w:t>ORGANIZATIONAL DOCUMENTS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172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5">
              <w:r>
                <w:rPr>
                  <w:rStyle w:val="InternetLink"/>
                  <w:rFonts w:ascii="Times New Roman" w:hAnsi="Times New Roman"/>
                  <w:sz w:val="20"/>
                </w:rPr>
                <w:t>THE ADVISORY ORGANIZATIONAL DOCUMENTS PROPOSALS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174</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6">
              <w:r>
                <w:rPr>
                  <w:rStyle w:val="InternetLink"/>
                  <w:rFonts w:ascii="Times New Roman" w:hAnsi="Times New Roman"/>
                  <w:sz w:val="20"/>
                </w:rPr>
                <w:t>THE BAKKT PUBCO EQUITY INCENTIVE PLAN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184</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7">
              <w:r>
                <w:rPr>
                  <w:rStyle w:val="InternetLink"/>
                  <w:rFonts w:ascii="Times New Roman" w:hAnsi="Times New Roman"/>
                  <w:sz w:val="20"/>
                </w:rPr>
                <w:t>THE DIRECTOR ELECTION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191</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8">
              <w:r>
                <w:rPr>
                  <w:rStyle w:val="InternetLink"/>
                  <w:rFonts w:ascii="Times New Roman" w:hAnsi="Times New Roman"/>
                  <w:sz w:val="20"/>
                </w:rPr>
                <w:t>THE SHAREHOLDER ADJOURNMENT PROPOSAL</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194</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19">
              <w:r>
                <w:rPr>
                  <w:rStyle w:val="InternetLink"/>
                  <w:rFonts w:ascii="Times New Roman" w:hAnsi="Times New Roman"/>
                  <w:sz w:val="20"/>
                </w:rPr>
                <w:t>U.S. FEDERAL INCOME TAX CONSIDERATIONS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195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0">
              <w:r>
                <w:rPr>
                  <w:rStyle w:val="InternetLink"/>
                  <w:rFonts w:ascii="Times New Roman" w:hAnsi="Times New Roman"/>
                  <w:sz w:val="20"/>
                </w:rPr>
                <w:t>UNAUDITED PRO FORMA CONDENSED COMBINED FINANCIAL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210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1">
              <w:r>
                <w:rPr>
                  <w:rStyle w:val="InternetLink"/>
                  <w:rFonts w:ascii="Times New Roman" w:hAnsi="Times New Roman"/>
                  <w:sz w:val="20"/>
                </w:rPr>
                <w:t>INFORMATION ABOUT VIH</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222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2">
              <w:r>
                <w:rPr>
                  <w:rStyle w:val="InternetLink"/>
                  <w:rFonts w:ascii="Times New Roman" w:hAnsi="Times New Roman"/>
                  <w:sz w:val="20"/>
                </w:rPr>
                <w:t>DIRECTORS, OFFICERS, EXECUTIVE COMPENSATION AND CORPORATE GOVERNANCE OF VIH PRIOR TO THE BUSINESS COMBINATION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226</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3">
              <w:r>
                <w:rPr>
                  <w:rStyle w:val="InternetLink"/>
                  <w:rFonts w:ascii="Times New Roman" w:hAnsi="Times New Roman"/>
                  <w:sz w:val="20"/>
                </w:rPr>
                <w:t>MANAGEMENTS DISCUSSION AND ANALYSIS OF FINANCIAL CONDITION AND RESULTS OF OPERATIONS OF VIH</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4">
              <w:r>
                <w:rPr>
                  <w:rStyle w:val="InternetLink"/>
                  <w:rFonts w:ascii="Times New Roman" w:hAnsi="Times New Roman"/>
                  <w:sz w:val="20"/>
                </w:rPr>
                <w:t>DESCRIPTION OF VIHS AND THE COMPANYS SECURITIES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237</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5">
              <w:r>
                <w:rPr>
                  <w:rStyle w:val="InternetLink"/>
                  <w:rFonts w:ascii="Times New Roman" w:hAnsi="Times New Roman"/>
                  <w:sz w:val="20"/>
                </w:rPr>
                <w:t>MARKET PRICE AND DIVIDENDS OF SECURITIES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252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6">
              <w:r>
                <w:rPr>
                  <w:rStyle w:val="InternetLink"/>
                  <w:rFonts w:ascii="Times New Roman" w:hAnsi="Times New Roman"/>
                  <w:sz w:val="20"/>
                </w:rPr>
                <w:t>BENEFICIAL OWNERSHIP OF SECURITIES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253</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7">
              <w:r>
                <w:rPr>
                  <w:rStyle w:val="InternetLink"/>
                  <w:rFonts w:ascii="Times New Roman" w:hAnsi="Times New Roman"/>
                  <w:sz w:val="20"/>
                </w:rPr>
                <w:t>CERTAIN RELATIONSHIPS AND RELATED PERSON TRANSACTIONS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257</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8">
              <w:r>
                <w:rPr>
                  <w:rStyle w:val="InternetLink"/>
                  <w:rFonts w:ascii="Times New Roman" w:hAnsi="Times New Roman"/>
                  <w:sz w:val="20"/>
                </w:rPr>
                <w:t>INFORMATION ABOUT BAKKT</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260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29">
              <w:r>
                <w:rPr>
                  <w:rStyle w:val="InternetLink"/>
                  <w:rFonts w:ascii="Times New Roman" w:hAnsi="Times New Roman"/>
                  <w:sz w:val="20"/>
                </w:rPr>
                <w:t>MANAGEMENTS DISCUSSION AND ANALYSIS OF FINANCIAL CONDITION AND RESULTS OF OPERATIONS OF BAKKT</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274</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0">
              <w:r>
                <w:rPr>
                  <w:rStyle w:val="InternetLink"/>
                  <w:rFonts w:ascii="Times New Roman" w:hAnsi="Times New Roman"/>
                  <w:sz w:val="20"/>
                </w:rPr>
                <w:t>MANAGEMENT OF BAKKT</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293</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1">
              <w:r>
                <w:rPr>
                  <w:rStyle w:val="InternetLink"/>
                  <w:rFonts w:ascii="Times New Roman" w:hAnsi="Times New Roman"/>
                  <w:sz w:val="20"/>
                </w:rPr>
                <w:t>EXECUTIVE COMPENSATION OF BAKKT</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298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2">
              <w:r>
                <w:rPr>
                  <w:rStyle w:val="InternetLink"/>
                  <w:rFonts w:ascii="Times New Roman" w:hAnsi="Times New Roman"/>
                  <w:sz w:val="20"/>
                </w:rPr>
                <w:t>MANAGEMENT OF THE COMPANY FOLLOWING THE BUSINESS COMBINATION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303</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3">
              <w:r>
                <w:rPr>
                  <w:rStyle w:val="InternetLink"/>
                  <w:rFonts w:ascii="Times New Roman" w:hAnsi="Times New Roman"/>
                  <w:sz w:val="20"/>
                </w:rPr>
                <w:t>SECURITIES ACT RESTRICTIONS ON RESALE OF THE COMPANYS SECURITIES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4">
              <w:r>
                <w:rPr>
                  <w:rStyle w:val="InternetLink"/>
                  <w:rFonts w:ascii="Times New Roman" w:hAnsi="Times New Roman"/>
                  <w:sz w:val="20"/>
                </w:rPr>
                <w:t>SHAREHOLDER PROPOSALS AND NOMINATIONS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313</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5">
              <w:r>
                <w:rPr>
                  <w:rStyle w:val="InternetLink"/>
                  <w:rFonts w:ascii="Times New Roman" w:hAnsi="Times New Roman"/>
                  <w:sz w:val="20"/>
                </w:rPr>
                <w:t>SHAREHOLDER COMMUNICATIONS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6">
              <w:r>
                <w:rPr>
                  <w:rStyle w:val="InternetLink"/>
                  <w:rFonts w:ascii="Times New Roman" w:hAnsi="Times New Roman"/>
                  <w:sz w:val="20"/>
                </w:rPr>
                <w:t>LEGAL MATTERS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316</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7">
              <w:r>
                <w:rPr>
                  <w:rStyle w:val="InternetLink"/>
                  <w:rFonts w:ascii="Times New Roman" w:hAnsi="Times New Roman"/>
                  <w:sz w:val="20"/>
                </w:rPr>
                <w:t>OTHER MATTERS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317</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8">
              <w:r>
                <w:rPr>
                  <w:rStyle w:val="InternetLink"/>
                  <w:rFonts w:ascii="Times New Roman" w:hAnsi="Times New Roman"/>
                  <w:sz w:val="20"/>
                </w:rPr>
                <w:t>EXPERTS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39">
              <w:r>
                <w:rPr>
                  <w:rStyle w:val="InternetLink"/>
                  <w:rFonts w:ascii="Times New Roman" w:hAnsi="Times New Roman"/>
                  <w:sz w:val="20"/>
                </w:rPr>
                <w:t>DELIVERY OF DOCUMENTS TO SHAREHOLDERS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319</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40">
              <w:r>
                <w:rPr>
                  <w:rStyle w:val="InternetLink"/>
                  <w:rFonts w:ascii="Times New Roman" w:hAnsi="Times New Roman"/>
                  <w:sz w:val="20"/>
                </w:rPr>
                <w:t>ENFORCEABILITY OF CIVIL LIABILITY</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320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41">
              <w:r>
                <w:rPr>
                  <w:rStyle w:val="InternetLink"/>
                  <w:rFonts w:ascii="Times New Roman" w:hAnsi="Times New Roman"/>
                  <w:sz w:val="20"/>
                </w:rPr>
                <w:t>WHERE YOU CAN FIND MORE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321</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toc108105_42">
              <w:r>
                <w:rPr>
                  <w:rStyle w:val="InternetLink"/>
                  <w:rFonts w:ascii="Times New Roman" w:hAnsi="Times New Roman"/>
                  <w:sz w:val="20"/>
                </w:rPr>
                <w:t>INDEX TO FINANCIAL STATEMENTS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F-1</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02"/>
        <w:gridCol w:w="104"/>
        <w:gridCol w:w="7944"/>
        <w:gridCol w:w="135"/>
        <w:gridCol w:w="60"/>
        <w:gridCol w:w="596"/>
        <w:gridCol w:w="64"/>
      </w:tblGrid>
      <w:tr>
        <w:trPr/>
        <w:tc>
          <w:tcPr>
            <w:tcW w:w="130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794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302" w:type="dxa"/>
            <w:tcBorders/>
            <w:shd w:fill="auto" w:val="clear"/>
          </w:tcPr>
          <w:p>
            <w:pPr>
              <w:pStyle w:val="TableContents"/>
              <w:spacing w:before="0" w:after="20"/>
              <w:rPr>
                <w:rFonts w:ascii="Times New Roman" w:hAnsi="Times New Roman"/>
                <w:sz w:val="20"/>
              </w:rPr>
            </w:pPr>
            <w:r>
              <w:rPr>
                <w:rFonts w:ascii="Times New Roman" w:hAnsi="Times New Roman"/>
                <w:sz w:val="20"/>
              </w:rPr>
              <w:t>Annex A-1</w:t>
            </w:r>
          </w:p>
        </w:tc>
        <w:tc>
          <w:tcPr>
            <w:tcW w:w="104" w:type="dxa"/>
            <w:tcBorders/>
            <w:shd w:fill="auto" w:val="clear"/>
            <w:vAlign w:val="bottom"/>
          </w:tcPr>
          <w:p>
            <w:pPr>
              <w:pStyle w:val="TableContents"/>
              <w:spacing w:before="0" w:after="283"/>
              <w:rPr/>
            </w:pPr>
            <w:r>
              <w:rPr/>
              <w:t> </w:t>
            </w:r>
          </w:p>
        </w:tc>
        <w:tc>
          <w:tcPr>
            <w:tcW w:w="7944" w:type="dxa"/>
            <w:tcBorders/>
            <w:shd w:fill="auto" w:val="clear"/>
          </w:tcPr>
          <w:p>
            <w:pPr>
              <w:pStyle w:val="TableContents"/>
              <w:spacing w:before="0" w:after="0"/>
              <w:rPr/>
            </w:pPr>
            <w:hyperlink w:anchor="toc108105_43">
              <w:r>
                <w:rPr>
                  <w:rStyle w:val="InternetLink"/>
                  <w:rFonts w:ascii="Times New Roman" w:hAnsi="Times New Roman"/>
                  <w:sz w:val="20"/>
                </w:rPr>
                <w:t>Merger Agreement</w:t>
              </w:r>
            </w:hyperlink>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A-1-1</w:t>
            </w:r>
          </w:p>
        </w:tc>
        <w:tc>
          <w:tcPr>
            <w:tcW w:w="64" w:type="dxa"/>
            <w:tcBorders/>
            <w:shd w:fill="auto" w:val="clear"/>
            <w:vAlign w:val="bottom"/>
          </w:tcPr>
          <w:p>
            <w:pPr>
              <w:pStyle w:val="TableContents"/>
              <w:spacing w:before="0" w:after="283"/>
              <w:rPr/>
            </w:pPr>
            <w:r>
              <w:rPr/>
              <w:t> </w:t>
            </w:r>
          </w:p>
        </w:tc>
      </w:tr>
      <w:tr>
        <w:trPr/>
        <w:tc>
          <w:tcPr>
            <w:tcW w:w="1302" w:type="dxa"/>
            <w:tcBorders/>
            <w:shd w:fill="auto" w:val="clear"/>
          </w:tcPr>
          <w:p>
            <w:pPr>
              <w:pStyle w:val="TableContents"/>
              <w:spacing w:before="0" w:after="283"/>
              <w:rPr/>
            </w:pPr>
            <w:r>
              <w:rPr/>
              <w:t>Annex A-2</w:t>
            </w:r>
          </w:p>
        </w:tc>
        <w:tc>
          <w:tcPr>
            <w:tcW w:w="104" w:type="dxa"/>
            <w:tcBorders/>
            <w:shd w:fill="auto" w:val="clear"/>
            <w:vAlign w:val="bottom"/>
          </w:tcPr>
          <w:p>
            <w:pPr>
              <w:pStyle w:val="TableContents"/>
              <w:spacing w:before="0" w:after="283"/>
              <w:rPr/>
            </w:pPr>
            <w:r>
              <w:rPr/>
              <w:t> </w:t>
            </w:r>
          </w:p>
        </w:tc>
        <w:tc>
          <w:tcPr>
            <w:tcW w:w="7944" w:type="dxa"/>
            <w:tcBorders/>
            <w:shd w:fill="auto" w:val="clear"/>
            <w:vAlign w:val="bottom"/>
          </w:tcPr>
          <w:p>
            <w:pPr>
              <w:pStyle w:val="TableContents"/>
              <w:spacing w:before="0" w:after="0"/>
              <w:rPr/>
            </w:pPr>
            <w:hyperlink w:anchor="toc108105_43a">
              <w:r>
                <w:rPr>
                  <w:rStyle w:val="InternetLink"/>
                  <w:rFonts w:ascii="Times New Roman" w:hAnsi="Times New Roman"/>
                  <w:sz w:val="20"/>
                </w:rPr>
                <w:t>Amendment to Agreement and Plan of Merger</w:t>
              </w:r>
            </w:hyperlink>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A-2-1</w:t>
            </w:r>
          </w:p>
        </w:tc>
        <w:tc>
          <w:tcPr>
            <w:tcW w:w="64" w:type="dxa"/>
            <w:tcBorders/>
            <w:shd w:fill="auto" w:val="clear"/>
            <w:vAlign w:val="bottom"/>
          </w:tcPr>
          <w:p>
            <w:pPr>
              <w:pStyle w:val="TableContents"/>
              <w:spacing w:before="0" w:after="283"/>
              <w:rPr/>
            </w:pPr>
            <w:r>
              <w:rPr/>
              <w:t> </w:t>
            </w:r>
          </w:p>
        </w:tc>
      </w:tr>
      <w:tr>
        <w:trPr/>
        <w:tc>
          <w:tcPr>
            <w:tcW w:w="1302" w:type="dxa"/>
            <w:tcBorders/>
            <w:shd w:fill="auto" w:val="clear"/>
          </w:tcPr>
          <w:p>
            <w:pPr>
              <w:pStyle w:val="TableContents"/>
              <w:spacing w:before="0" w:after="283"/>
              <w:rPr/>
            </w:pPr>
            <w:r>
              <w:rPr/>
              <w:t>Annex B-1</w:t>
            </w:r>
          </w:p>
        </w:tc>
        <w:tc>
          <w:tcPr>
            <w:tcW w:w="104" w:type="dxa"/>
            <w:tcBorders/>
            <w:shd w:fill="auto" w:val="clear"/>
            <w:vAlign w:val="bottom"/>
          </w:tcPr>
          <w:p>
            <w:pPr>
              <w:pStyle w:val="TableContents"/>
              <w:spacing w:before="0" w:after="283"/>
              <w:rPr/>
            </w:pPr>
            <w:r>
              <w:rPr/>
              <w:t> </w:t>
            </w:r>
          </w:p>
        </w:tc>
        <w:tc>
          <w:tcPr>
            <w:tcW w:w="7944" w:type="dxa"/>
            <w:tcBorders/>
            <w:shd w:fill="auto" w:val="clear"/>
          </w:tcPr>
          <w:p>
            <w:pPr>
              <w:pStyle w:val="TableContents"/>
              <w:spacing w:before="0" w:after="0"/>
              <w:rPr/>
            </w:pPr>
            <w:hyperlink w:anchor="toc108105_44">
              <w:r>
                <w:rPr>
                  <w:rStyle w:val="InternetLink"/>
                  <w:rFonts w:ascii="Times New Roman" w:hAnsi="Times New Roman"/>
                  <w:sz w:val="20"/>
                </w:rPr>
                <w:t>Form of Proposed Certificate of Incorporation</w:t>
              </w:r>
            </w:hyperlink>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B-1-1</w:t>
            </w:r>
          </w:p>
        </w:tc>
        <w:tc>
          <w:tcPr>
            <w:tcW w:w="64" w:type="dxa"/>
            <w:tcBorders/>
            <w:shd w:fill="auto" w:val="clear"/>
            <w:vAlign w:val="bottom"/>
          </w:tcPr>
          <w:p>
            <w:pPr>
              <w:pStyle w:val="TableContents"/>
              <w:spacing w:before="0" w:after="283"/>
              <w:rPr/>
            </w:pPr>
            <w:r>
              <w:rPr/>
              <w:t> </w:t>
            </w:r>
          </w:p>
        </w:tc>
      </w:tr>
      <w:tr>
        <w:trPr/>
        <w:tc>
          <w:tcPr>
            <w:tcW w:w="1302" w:type="dxa"/>
            <w:tcBorders/>
            <w:shd w:fill="auto" w:val="clear"/>
          </w:tcPr>
          <w:p>
            <w:pPr>
              <w:pStyle w:val="TableContents"/>
              <w:spacing w:before="0" w:after="283"/>
              <w:rPr/>
            </w:pPr>
            <w:r>
              <w:rPr/>
              <w:t>Annex B-2</w:t>
            </w:r>
          </w:p>
        </w:tc>
        <w:tc>
          <w:tcPr>
            <w:tcW w:w="104" w:type="dxa"/>
            <w:tcBorders/>
            <w:shd w:fill="auto" w:val="clear"/>
            <w:vAlign w:val="bottom"/>
          </w:tcPr>
          <w:p>
            <w:pPr>
              <w:pStyle w:val="TableContents"/>
              <w:spacing w:before="0" w:after="283"/>
              <w:rPr/>
            </w:pPr>
            <w:r>
              <w:rPr/>
              <w:t> </w:t>
            </w:r>
          </w:p>
        </w:tc>
        <w:tc>
          <w:tcPr>
            <w:tcW w:w="7944" w:type="dxa"/>
            <w:tcBorders/>
            <w:shd w:fill="auto" w:val="clear"/>
          </w:tcPr>
          <w:p>
            <w:pPr>
              <w:pStyle w:val="TableContents"/>
              <w:spacing w:before="0" w:after="0"/>
              <w:rPr/>
            </w:pPr>
            <w:hyperlink w:anchor="toc108105_45">
              <w:r>
                <w:rPr>
                  <w:rStyle w:val="InternetLink"/>
                  <w:rFonts w:ascii="Times New Roman" w:hAnsi="Times New Roman"/>
                  <w:sz w:val="20"/>
                </w:rPr>
                <w:t>Form of Proposed By-Laws</w:t>
              </w:r>
            </w:hyperlink>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B-2-1</w:t>
            </w:r>
          </w:p>
        </w:tc>
        <w:tc>
          <w:tcPr>
            <w:tcW w:w="64" w:type="dxa"/>
            <w:tcBorders/>
            <w:shd w:fill="auto" w:val="clear"/>
            <w:vAlign w:val="bottom"/>
          </w:tcPr>
          <w:p>
            <w:pPr>
              <w:pStyle w:val="TableContents"/>
              <w:spacing w:before="0" w:after="283"/>
              <w:rPr/>
            </w:pPr>
            <w:r>
              <w:rPr/>
              <w:t> </w:t>
            </w:r>
          </w:p>
        </w:tc>
      </w:tr>
      <w:tr>
        <w:trPr/>
        <w:tc>
          <w:tcPr>
            <w:tcW w:w="1302" w:type="dxa"/>
            <w:tcBorders/>
            <w:shd w:fill="auto" w:val="clear"/>
          </w:tcPr>
          <w:p>
            <w:pPr>
              <w:pStyle w:val="TableContents"/>
              <w:spacing w:before="0" w:after="283"/>
              <w:rPr/>
            </w:pPr>
            <w:r>
              <w:rPr/>
              <w:t>Annex C</w:t>
            </w:r>
          </w:p>
        </w:tc>
        <w:tc>
          <w:tcPr>
            <w:tcW w:w="104" w:type="dxa"/>
            <w:tcBorders/>
            <w:shd w:fill="auto" w:val="clear"/>
            <w:vAlign w:val="bottom"/>
          </w:tcPr>
          <w:p>
            <w:pPr>
              <w:pStyle w:val="TableContents"/>
              <w:spacing w:before="0" w:after="283"/>
              <w:rPr/>
            </w:pPr>
            <w:r>
              <w:rPr/>
              <w:t> </w:t>
            </w:r>
          </w:p>
        </w:tc>
        <w:tc>
          <w:tcPr>
            <w:tcW w:w="7944" w:type="dxa"/>
            <w:tcBorders/>
            <w:shd w:fill="auto" w:val="clear"/>
          </w:tcPr>
          <w:p>
            <w:pPr>
              <w:pStyle w:val="TableContents"/>
              <w:spacing w:before="0" w:after="0"/>
              <w:rPr/>
            </w:pPr>
            <w:hyperlink w:anchor="toc108105_46">
              <w:r>
                <w:rPr>
                  <w:rStyle w:val="InternetLink"/>
                  <w:rFonts w:ascii="Times New Roman" w:hAnsi="Times New Roman"/>
                  <w:sz w:val="20"/>
                </w:rPr>
                <w:t>Form of Bakkt Pubco Equity Incentive Plan</w:t>
              </w:r>
            </w:hyperlink>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C-1</w:t>
            </w:r>
          </w:p>
        </w:tc>
        <w:tc>
          <w:tcPr>
            <w:tcW w:w="64" w:type="dxa"/>
            <w:tcBorders/>
            <w:shd w:fill="auto" w:val="clear"/>
            <w:vAlign w:val="bottom"/>
          </w:tcPr>
          <w:p>
            <w:pPr>
              <w:pStyle w:val="TableContents"/>
              <w:spacing w:before="0" w:after="283"/>
              <w:rPr/>
            </w:pPr>
            <w:r>
              <w:rPr/>
              <w:t> </w:t>
            </w:r>
          </w:p>
        </w:tc>
      </w:tr>
      <w:tr>
        <w:trPr/>
        <w:tc>
          <w:tcPr>
            <w:tcW w:w="1302" w:type="dxa"/>
            <w:tcBorders/>
            <w:shd w:fill="auto" w:val="clear"/>
          </w:tcPr>
          <w:p>
            <w:pPr>
              <w:pStyle w:val="TableContents"/>
              <w:spacing w:before="0" w:after="283"/>
              <w:rPr/>
            </w:pPr>
            <w:r>
              <w:rPr/>
              <w:t>Annex D</w:t>
            </w:r>
          </w:p>
        </w:tc>
        <w:tc>
          <w:tcPr>
            <w:tcW w:w="104" w:type="dxa"/>
            <w:tcBorders/>
            <w:shd w:fill="auto" w:val="clear"/>
            <w:vAlign w:val="bottom"/>
          </w:tcPr>
          <w:p>
            <w:pPr>
              <w:pStyle w:val="TableContents"/>
              <w:spacing w:before="0" w:after="283"/>
              <w:rPr/>
            </w:pPr>
            <w:r>
              <w:rPr/>
              <w:t> </w:t>
            </w:r>
          </w:p>
        </w:tc>
        <w:tc>
          <w:tcPr>
            <w:tcW w:w="7944" w:type="dxa"/>
            <w:tcBorders/>
            <w:shd w:fill="auto" w:val="clear"/>
          </w:tcPr>
          <w:p>
            <w:pPr>
              <w:pStyle w:val="TableContents"/>
              <w:spacing w:before="0" w:after="0"/>
              <w:rPr/>
            </w:pPr>
            <w:hyperlink w:anchor="toc108105_47">
              <w:r>
                <w:rPr>
                  <w:rStyle w:val="InternetLink"/>
                  <w:rFonts w:ascii="Times New Roman" w:hAnsi="Times New Roman"/>
                  <w:sz w:val="20"/>
                </w:rPr>
                <w:t>Form of Exchange Agreement</w:t>
              </w:r>
            </w:hyperlink>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D-1</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(i)</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349"/>
        <w:gridCol w:w="122"/>
        <w:gridCol w:w="8056"/>
        <w:gridCol w:w="156"/>
        <w:gridCol w:w="60"/>
        <w:gridCol w:w="400"/>
        <w:gridCol w:w="62"/>
      </w:tblGrid>
      <w:tr>
        <w:trPr/>
        <w:tc>
          <w:tcPr>
            <w:tcW w:w="134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80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1349" w:type="dxa"/>
            <w:tcBorders/>
            <w:shd w:fill="auto" w:val="clear"/>
          </w:tcPr>
          <w:p>
            <w:pPr>
              <w:pStyle w:val="TableContents"/>
              <w:spacing w:before="0" w:after="283"/>
              <w:rPr/>
            </w:pPr>
            <w:r>
              <w:rPr/>
              <w:t>Annex E</w:t>
            </w:r>
          </w:p>
        </w:tc>
        <w:tc>
          <w:tcPr>
            <w:tcW w:w="122" w:type="dxa"/>
            <w:tcBorders/>
            <w:shd w:fill="auto" w:val="clear"/>
            <w:vAlign w:val="bottom"/>
          </w:tcPr>
          <w:p>
            <w:pPr>
              <w:pStyle w:val="TableContents"/>
              <w:spacing w:before="0" w:after="283"/>
              <w:rPr/>
            </w:pPr>
            <w:r>
              <w:rPr/>
              <w:t> </w:t>
            </w:r>
          </w:p>
        </w:tc>
        <w:tc>
          <w:tcPr>
            <w:tcW w:w="8056" w:type="dxa"/>
            <w:tcBorders/>
            <w:shd w:fill="auto" w:val="clear"/>
          </w:tcPr>
          <w:p>
            <w:pPr>
              <w:pStyle w:val="TableContents"/>
              <w:spacing w:before="0" w:after="0"/>
              <w:rPr/>
            </w:pPr>
            <w:hyperlink w:anchor="toc108105_48">
              <w:r>
                <w:rPr>
                  <w:rStyle w:val="InternetLink"/>
                  <w:rFonts w:ascii="Times New Roman" w:hAnsi="Times New Roman"/>
                  <w:sz w:val="20"/>
                </w:rPr>
                <w:t>Form of Registration Rights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E-1</w:t>
            </w:r>
          </w:p>
        </w:tc>
        <w:tc>
          <w:tcPr>
            <w:tcW w:w="62" w:type="dxa"/>
            <w:tcBorders/>
            <w:shd w:fill="auto" w:val="clear"/>
            <w:vAlign w:val="bottom"/>
          </w:tcPr>
          <w:p>
            <w:pPr>
              <w:pStyle w:val="TableContents"/>
              <w:spacing w:before="0" w:after="283"/>
              <w:rPr/>
            </w:pPr>
            <w:r>
              <w:rPr/>
              <w:t> </w:t>
            </w:r>
          </w:p>
        </w:tc>
      </w:tr>
      <w:tr>
        <w:trPr/>
        <w:tc>
          <w:tcPr>
            <w:tcW w:w="1349" w:type="dxa"/>
            <w:tcBorders/>
            <w:shd w:fill="auto" w:val="clear"/>
          </w:tcPr>
          <w:p>
            <w:pPr>
              <w:pStyle w:val="TableContents"/>
              <w:spacing w:before="0" w:after="283"/>
              <w:rPr/>
            </w:pPr>
            <w:r>
              <w:rPr/>
              <w:t>Annex F</w:t>
            </w:r>
          </w:p>
        </w:tc>
        <w:tc>
          <w:tcPr>
            <w:tcW w:w="122" w:type="dxa"/>
            <w:tcBorders/>
            <w:shd w:fill="auto" w:val="clear"/>
            <w:vAlign w:val="bottom"/>
          </w:tcPr>
          <w:p>
            <w:pPr>
              <w:pStyle w:val="TableContents"/>
              <w:spacing w:before="0" w:after="283"/>
              <w:rPr/>
            </w:pPr>
            <w:r>
              <w:rPr/>
              <w:t> </w:t>
            </w:r>
          </w:p>
        </w:tc>
        <w:tc>
          <w:tcPr>
            <w:tcW w:w="8056" w:type="dxa"/>
            <w:tcBorders/>
            <w:shd w:fill="auto" w:val="clear"/>
          </w:tcPr>
          <w:p>
            <w:pPr>
              <w:pStyle w:val="TableContents"/>
              <w:spacing w:before="0" w:after="0"/>
              <w:rPr/>
            </w:pPr>
            <w:hyperlink w:anchor="toc108105_49">
              <w:r>
                <w:rPr>
                  <w:rStyle w:val="InternetLink"/>
                  <w:rFonts w:ascii="Times New Roman" w:hAnsi="Times New Roman"/>
                  <w:sz w:val="20"/>
                </w:rPr>
                <w:t>Form of Stockholders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F-1</w:t>
            </w:r>
          </w:p>
        </w:tc>
        <w:tc>
          <w:tcPr>
            <w:tcW w:w="62" w:type="dxa"/>
            <w:tcBorders/>
            <w:shd w:fill="auto" w:val="clear"/>
            <w:vAlign w:val="bottom"/>
          </w:tcPr>
          <w:p>
            <w:pPr>
              <w:pStyle w:val="TableContents"/>
              <w:spacing w:before="0" w:after="283"/>
              <w:rPr/>
            </w:pPr>
            <w:r>
              <w:rPr/>
              <w:t> </w:t>
            </w:r>
          </w:p>
        </w:tc>
      </w:tr>
      <w:tr>
        <w:trPr/>
        <w:tc>
          <w:tcPr>
            <w:tcW w:w="1349" w:type="dxa"/>
            <w:tcBorders/>
            <w:shd w:fill="auto" w:val="clear"/>
          </w:tcPr>
          <w:p>
            <w:pPr>
              <w:pStyle w:val="TableContents"/>
              <w:spacing w:before="0" w:after="283"/>
              <w:rPr/>
            </w:pPr>
            <w:r>
              <w:rPr/>
              <w:t>Annex G</w:t>
            </w:r>
          </w:p>
        </w:tc>
        <w:tc>
          <w:tcPr>
            <w:tcW w:w="122" w:type="dxa"/>
            <w:tcBorders/>
            <w:shd w:fill="auto" w:val="clear"/>
            <w:vAlign w:val="bottom"/>
          </w:tcPr>
          <w:p>
            <w:pPr>
              <w:pStyle w:val="TableContents"/>
              <w:spacing w:before="0" w:after="283"/>
              <w:rPr/>
            </w:pPr>
            <w:r>
              <w:rPr/>
              <w:t> </w:t>
            </w:r>
          </w:p>
        </w:tc>
        <w:tc>
          <w:tcPr>
            <w:tcW w:w="8056" w:type="dxa"/>
            <w:tcBorders/>
            <w:shd w:fill="auto" w:val="clear"/>
          </w:tcPr>
          <w:p>
            <w:pPr>
              <w:pStyle w:val="TableContents"/>
              <w:spacing w:before="0" w:after="0"/>
              <w:rPr/>
            </w:pPr>
            <w:hyperlink w:anchor="toc108105_50">
              <w:r>
                <w:rPr>
                  <w:rStyle w:val="InternetLink"/>
                  <w:rFonts w:ascii="Times New Roman" w:hAnsi="Times New Roman"/>
                  <w:sz w:val="20"/>
                </w:rPr>
                <w:t>Form of Tax Receivable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G-1</w:t>
            </w:r>
          </w:p>
        </w:tc>
        <w:tc>
          <w:tcPr>
            <w:tcW w:w="62" w:type="dxa"/>
            <w:tcBorders/>
            <w:shd w:fill="auto" w:val="clear"/>
            <w:vAlign w:val="bottom"/>
          </w:tcPr>
          <w:p>
            <w:pPr>
              <w:pStyle w:val="TableContents"/>
              <w:spacing w:before="0" w:after="283"/>
              <w:rPr/>
            </w:pPr>
            <w:r>
              <w:rPr/>
              <w:t> </w:t>
            </w:r>
          </w:p>
        </w:tc>
      </w:tr>
      <w:tr>
        <w:trPr/>
        <w:tc>
          <w:tcPr>
            <w:tcW w:w="1349" w:type="dxa"/>
            <w:tcBorders/>
            <w:shd w:fill="auto" w:val="clear"/>
          </w:tcPr>
          <w:p>
            <w:pPr>
              <w:pStyle w:val="TableContents"/>
              <w:spacing w:before="0" w:after="283"/>
              <w:rPr/>
            </w:pPr>
            <w:r>
              <w:rPr/>
              <w:t>Annex H</w:t>
            </w:r>
          </w:p>
        </w:tc>
        <w:tc>
          <w:tcPr>
            <w:tcW w:w="122" w:type="dxa"/>
            <w:tcBorders/>
            <w:shd w:fill="auto" w:val="clear"/>
            <w:vAlign w:val="bottom"/>
          </w:tcPr>
          <w:p>
            <w:pPr>
              <w:pStyle w:val="TableContents"/>
              <w:spacing w:before="0" w:after="283"/>
              <w:rPr/>
            </w:pPr>
            <w:r>
              <w:rPr/>
              <w:t> </w:t>
            </w:r>
          </w:p>
        </w:tc>
        <w:tc>
          <w:tcPr>
            <w:tcW w:w="8056" w:type="dxa"/>
            <w:tcBorders/>
            <w:shd w:fill="auto" w:val="clear"/>
          </w:tcPr>
          <w:p>
            <w:pPr>
              <w:pStyle w:val="TableContents"/>
              <w:spacing w:before="0" w:after="0"/>
              <w:rPr/>
            </w:pPr>
            <w:hyperlink w:anchor="toc108105_51">
              <w:r>
                <w:rPr>
                  <w:rStyle w:val="InternetLink"/>
                  <w:rFonts w:ascii="Times New Roman" w:hAnsi="Times New Roman"/>
                  <w:sz w:val="20"/>
                </w:rPr>
                <w:t>Form of Voting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H-1</w:t>
            </w:r>
          </w:p>
        </w:tc>
        <w:tc>
          <w:tcPr>
            <w:tcW w:w="62" w:type="dxa"/>
            <w:tcBorders/>
            <w:shd w:fill="auto" w:val="clear"/>
            <w:vAlign w:val="bottom"/>
          </w:tcPr>
          <w:p>
            <w:pPr>
              <w:pStyle w:val="TableContents"/>
              <w:spacing w:before="0" w:after="283"/>
              <w:rPr/>
            </w:pPr>
            <w:r>
              <w:rPr/>
              <w:t> </w:t>
            </w:r>
          </w:p>
        </w:tc>
      </w:tr>
      <w:tr>
        <w:trPr/>
        <w:tc>
          <w:tcPr>
            <w:tcW w:w="1349" w:type="dxa"/>
            <w:tcBorders/>
            <w:shd w:fill="auto" w:val="clear"/>
          </w:tcPr>
          <w:p>
            <w:pPr>
              <w:pStyle w:val="TableContents"/>
              <w:spacing w:before="0" w:after="283"/>
              <w:rPr/>
            </w:pPr>
            <w:r>
              <w:rPr/>
              <w:t>Annex I</w:t>
            </w:r>
          </w:p>
        </w:tc>
        <w:tc>
          <w:tcPr>
            <w:tcW w:w="122" w:type="dxa"/>
            <w:tcBorders/>
            <w:shd w:fill="auto" w:val="clear"/>
            <w:vAlign w:val="bottom"/>
          </w:tcPr>
          <w:p>
            <w:pPr>
              <w:pStyle w:val="TableContents"/>
              <w:spacing w:before="0" w:after="283"/>
              <w:rPr/>
            </w:pPr>
            <w:r>
              <w:rPr/>
              <w:t> </w:t>
            </w:r>
          </w:p>
        </w:tc>
        <w:tc>
          <w:tcPr>
            <w:tcW w:w="8056" w:type="dxa"/>
            <w:tcBorders/>
            <w:shd w:fill="auto" w:val="clear"/>
          </w:tcPr>
          <w:p>
            <w:pPr>
              <w:pStyle w:val="TableContents"/>
              <w:spacing w:before="0" w:after="0"/>
              <w:rPr/>
            </w:pPr>
            <w:hyperlink w:anchor="toc108105_52">
              <w:r>
                <w:rPr>
                  <w:rStyle w:val="InternetLink"/>
                  <w:rFonts w:ascii="Times New Roman" w:hAnsi="Times New Roman"/>
                  <w:sz w:val="20"/>
                </w:rPr>
                <w:t>Form of Surviving Company LLC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I-1</w:t>
            </w:r>
          </w:p>
        </w:tc>
        <w:tc>
          <w:tcPr>
            <w:tcW w:w="62" w:type="dxa"/>
            <w:tcBorders/>
            <w:shd w:fill="auto" w:val="clear"/>
            <w:vAlign w:val="bottom"/>
          </w:tcPr>
          <w:p>
            <w:pPr>
              <w:pStyle w:val="TableContents"/>
              <w:spacing w:before="0" w:after="283"/>
              <w:rPr/>
            </w:pPr>
            <w:r>
              <w:rPr/>
              <w:t> </w:t>
            </w:r>
          </w:p>
        </w:tc>
      </w:tr>
      <w:tr>
        <w:trPr/>
        <w:tc>
          <w:tcPr>
            <w:tcW w:w="1349" w:type="dxa"/>
            <w:tcBorders/>
            <w:shd w:fill="auto" w:val="clear"/>
          </w:tcPr>
          <w:p>
            <w:pPr>
              <w:pStyle w:val="TableContents"/>
              <w:spacing w:before="0" w:after="283"/>
              <w:rPr/>
            </w:pPr>
            <w:r>
              <w:rPr/>
              <w:t>Annex J</w:t>
            </w:r>
          </w:p>
        </w:tc>
        <w:tc>
          <w:tcPr>
            <w:tcW w:w="122" w:type="dxa"/>
            <w:tcBorders/>
            <w:shd w:fill="auto" w:val="clear"/>
            <w:vAlign w:val="bottom"/>
          </w:tcPr>
          <w:p>
            <w:pPr>
              <w:pStyle w:val="TableContents"/>
              <w:spacing w:before="0" w:after="283"/>
              <w:rPr/>
            </w:pPr>
            <w:r>
              <w:rPr/>
              <w:t> </w:t>
            </w:r>
          </w:p>
        </w:tc>
        <w:tc>
          <w:tcPr>
            <w:tcW w:w="8056" w:type="dxa"/>
            <w:tcBorders/>
            <w:shd w:fill="auto" w:val="clear"/>
          </w:tcPr>
          <w:p>
            <w:pPr>
              <w:pStyle w:val="TableContents"/>
              <w:spacing w:before="0" w:after="0"/>
              <w:rPr/>
            </w:pPr>
            <w:hyperlink w:anchor="toc108105_53">
              <w:r>
                <w:rPr>
                  <w:rStyle w:val="InternetLink"/>
                  <w:rFonts w:ascii="Times New Roman" w:hAnsi="Times New Roman"/>
                  <w:sz w:val="20"/>
                </w:rPr>
                <w:t>Bakkt Equity Holders Support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J-1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(ii)</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108105_1"/>
      <w:bookmarkEnd w:id="3"/>
      <w:r>
        <w:rPr>
          <w:rFonts w:ascii="Times New Roman" w:hAnsi="Times New Roman"/>
          <w:b/>
          <w:sz w:val="20"/>
        </w:rPr>
        <w:t xml:space="preserve">REFERENCES TO ADDITIONAL INFORMATION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incorporates important information that is not included in or delivered with this proxy statement/prospectus. This information is available for you to review through the SECs website at www.sec.gov. </w:t>
      </w:r>
    </w:p>
    <w:p>
      <w:pPr>
        <w:pStyle w:val="TextBody"/>
        <w:spacing w:before="240" w:after="0"/>
        <w:jc w:val="left"/>
        <w:rPr>
          <w:rFonts w:ascii="Times New Roman" w:hAnsi="Times New Roman"/>
          <w:sz w:val="20"/>
        </w:rPr>
      </w:pPr>
      <w:r>
        <w:rPr>
          <w:rFonts w:ascii="Times New Roman" w:hAnsi="Times New Roman"/>
          <w:sz w:val="20"/>
        </w:rPr>
        <w:t xml:space="preserve">You may request copies of this proxy statement/prospectus or other information concerning VIH, without charge, by written request to VIHs Chief Executive Officer at c/o Victory Park Capital Advisors, LLC, 150 North Riverside Plaza, Suite 5200, Chicago, IL 60606; or Morrow Sodali LLC, our proxy solicitor, by calling (800) 662-5200, or banks and brokers can call collect at (203) 658-9400, or by emailing VIH.info@investor.morrowsodali.com, or from the SEC through the SEC website at the address provided above. </w:t>
      </w:r>
    </w:p>
    <w:p>
      <w:pPr>
        <w:pStyle w:val="TextBody"/>
        <w:spacing w:before="240" w:after="0"/>
        <w:jc w:val="left"/>
        <w:rPr>
          <w:rFonts w:ascii="Times New Roman" w:hAnsi="Times New Roman"/>
          <w:sz w:val="20"/>
        </w:rPr>
      </w:pPr>
      <w:r>
        <w:rPr>
          <w:rFonts w:ascii="Times New Roman" w:hAnsi="Times New Roman"/>
          <w:sz w:val="20"/>
        </w:rPr>
        <w:t xml:space="preserve">In order for you to receive timely delivery of the documents in advance of the extraordinary general meeting of VIH to be held virtually on [●], 2021, you must request the information no later than five business days prior to the date of the extraordinary general meeting, by [●],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108105_2"/>
      <w:bookmarkEnd w:id="4"/>
      <w:r>
        <w:rPr>
          <w:rFonts w:ascii="Times New Roman" w:hAnsi="Times New Roman"/>
          <w:b/>
          <w:sz w:val="20"/>
        </w:rPr>
        <w:t xml:space="preserve">FREQUENTLY USED TERMS </w:t>
      </w:r>
    </w:p>
    <w:p>
      <w:pPr>
        <w:pStyle w:val="TextBody"/>
        <w:spacing w:before="240" w:after="0"/>
        <w:jc w:val="left"/>
        <w:rPr>
          <w:rFonts w:ascii="Times New Roman" w:hAnsi="Times New Roman"/>
          <w:b/>
          <w:sz w:val="20"/>
        </w:rPr>
      </w:pPr>
      <w:r>
        <w:rPr>
          <w:rFonts w:ascii="Times New Roman" w:hAnsi="Times New Roman"/>
          <w:b/>
          <w:sz w:val="20"/>
        </w:rPr>
        <w:t xml:space="preserve">Definitions </w:t>
      </w:r>
    </w:p>
    <w:p>
      <w:pPr>
        <w:pStyle w:val="TextBody"/>
        <w:spacing w:before="120" w:after="0"/>
        <w:jc w:val="left"/>
        <w:rPr>
          <w:rFonts w:ascii="Times New Roman" w:hAnsi="Times New Roman"/>
          <w:sz w:val="20"/>
        </w:rPr>
      </w:pPr>
      <w:r>
        <w:rPr>
          <w:rFonts w:ascii="Times New Roman" w:hAnsi="Times New Roman"/>
          <w:sz w:val="20"/>
        </w:rPr>
        <w:t xml:space="preserve">Unless otherwise stated or unless the context otherwise requires, the terms we, us, our, and VIH refer to VPC Impact Acquisition Holdings (which prior to the Domestication is an exempted company incorporated under the laws of the Cayman Islands and thereafter a corporation incorporated under the laws of the State of Delaware). Following the Domestication, VIH will be renamed Bakkt Holdings, Inc. and referred to in this document as Bakkt Pubco and each will be referred to as the Company. </w:t>
      </w:r>
    </w:p>
    <w:p>
      <w:pPr>
        <w:pStyle w:val="TextBody"/>
        <w:spacing w:before="240" w:after="0"/>
        <w:jc w:val="left"/>
        <w:rPr>
          <w:rFonts w:ascii="Times New Roman" w:hAnsi="Times New Roman"/>
          <w:sz w:val="20"/>
        </w:rPr>
      </w:pPr>
      <w:r>
        <w:rPr>
          <w:rFonts w:ascii="Times New Roman" w:hAnsi="Times New Roman"/>
          <w:sz w:val="20"/>
        </w:rPr>
        <w:t xml:space="preserve">In this document: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Advisory Organizational Documents Proposals</w:t>
      </w:r>
      <w:r>
        <w:rPr>
          <w:rFonts w:ascii="Times New Roman" w:hAnsi="Times New Roman"/>
          <w:sz w:val="20"/>
        </w:rPr>
        <w:t xml:space="preserve"> means the proposal to be considered at the extraordinary general meeting to approve the Proposed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Available Cash</w:t>
      </w:r>
      <w:r>
        <w:rPr>
          <w:rFonts w:ascii="Times New Roman" w:hAnsi="Times New Roman"/>
          <w:sz w:val="20"/>
        </w:rPr>
        <w:t xml:space="preserve"> means the aggregate amount of cash available following the extraordinary general meeting of VIH shareholders from (a) the Trust Account, after deducting the amount required to satisfy redemptions of VIH Class A Ordinary Shares, if any (but prior to payment of (i) deferred underwriting commissions and (ii) transaction expenses of VIH or its affiliates), (b) outside of the Trust Account, and (c) the gross proceeds of the PIPE Investment.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Available Cash Condition</w:t>
      </w:r>
      <w:r>
        <w:rPr>
          <w:rFonts w:ascii="Times New Roman" w:hAnsi="Times New Roman"/>
          <w:sz w:val="20"/>
        </w:rPr>
        <w:t xml:space="preserve"> means the condition of the Merger Agreement that, as of the Closing, the Available Cash is at least $425,000,000.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w:t>
      </w:r>
      <w:r>
        <w:rPr>
          <w:rFonts w:ascii="Times New Roman" w:hAnsi="Times New Roman"/>
          <w:sz w:val="20"/>
        </w:rPr>
        <w:t xml:space="preserve"> means Bakkt Holdings, LLC, a Delaware limited liability company, prior to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Equity Holder</w:t>
      </w:r>
      <w:r>
        <w:rPr>
          <w:rFonts w:ascii="Times New Roman" w:hAnsi="Times New Roman"/>
          <w:sz w:val="20"/>
        </w:rPr>
        <w:t xml:space="preserve"> means a member of Bakkt prior to the Closing of the Merger.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Equity Holders Support Agreement</w:t>
      </w:r>
      <w:r>
        <w:rPr>
          <w:rFonts w:ascii="Times New Roman" w:hAnsi="Times New Roman"/>
          <w:sz w:val="20"/>
        </w:rPr>
        <w:t xml:space="preserve"> means the support agreement dated as of January 11, 2021, by and among VIH, Bakkt and ICE, as it may be amended and supplemented from time to time. A copy of the Bakkt Equity Holders Support Agreement is attached to this proxy statement/prospectus as </w:t>
      </w:r>
      <w:r>
        <w:rPr>
          <w:rFonts w:ascii="Times New Roman" w:hAnsi="Times New Roman"/>
          <w:i/>
          <w:sz w:val="20"/>
          <w:u w:val="single"/>
        </w:rPr>
        <w:t>Annex J</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Incentive Unit</w:t>
      </w:r>
      <w:r>
        <w:rPr>
          <w:rFonts w:ascii="Times New Roman" w:hAnsi="Times New Roman"/>
          <w:sz w:val="20"/>
        </w:rPr>
        <w:t xml:space="preserve"> means either a common incentive unit or a preferred incentive unit issued by Bakkt to Bakkt Management subject to the terms and conditions of the Bakkt Plan, in each case, non-voting and intended to represent a profits interest for U.S. tax purposes, and in each case, corresponds to incentive units of Bakkt Management issued by Bakkt Management to a participant.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Management</w:t>
      </w:r>
      <w:r>
        <w:rPr>
          <w:rFonts w:ascii="Times New Roman" w:hAnsi="Times New Roman"/>
          <w:sz w:val="20"/>
        </w:rPr>
        <w:t xml:space="preserve"> means Bakkt Management, LLC, a Delaware limited liability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Opco</w:t>
      </w:r>
      <w:r>
        <w:rPr>
          <w:rFonts w:ascii="Times New Roman" w:hAnsi="Times New Roman"/>
          <w:sz w:val="20"/>
        </w:rPr>
        <w:t xml:space="preserve"> means Bakkt following the Closing (which will be renamed Bakkt Opco Holdings, LLC).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Opco Common Units</w:t>
      </w:r>
      <w:r>
        <w:rPr>
          <w:rFonts w:ascii="Times New Roman" w:hAnsi="Times New Roman"/>
          <w:sz w:val="20"/>
        </w:rPr>
        <w:t xml:space="preserve"> means units representing limited liability company interests of Bakkt as the surviving company following the Merger, which will be non-voting interests in Bakkt.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Participation Unit</w:t>
      </w:r>
      <w:r>
        <w:rPr>
          <w:rFonts w:ascii="Times New Roman" w:hAnsi="Times New Roman"/>
          <w:sz w:val="20"/>
        </w:rPr>
        <w:t xml:space="preserve"> means a contractual right granted by Bakkt to participants subject to the terms and conditions of the Bakkt Plan to participate in the appreciation in the value of Bakkt through the cash payment, upon the occurrence of a participation unit payment event, to a participant an amount equal to the excess, if any, of the then fair market value of a Bakkt Opco Common Unit over the fair market value of a Bakkt Opco Common Unit as of the grant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Plan</w:t>
      </w:r>
      <w:r>
        <w:rPr>
          <w:rFonts w:ascii="Times New Roman" w:hAnsi="Times New Roman"/>
          <w:sz w:val="20"/>
        </w:rPr>
        <w:t xml:space="preserve"> means the Bakkt Holdings, LLC Amended and Restated Bakkt Equity Incentive Plan.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means the Class A Common Stock of Bakkt Pubco, par value $0.0001 per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Bakkt Pubco Class</w:t>
      </w:r>
      <w:r>
        <w:rPr>
          <w:rFonts w:ascii="Times New Roman" w:hAnsi="Times New Roman"/>
          <w:sz w:val="20"/>
        </w:rPr>
        <w:t> </w:t>
      </w:r>
      <w:r>
        <w:rPr>
          <w:rFonts w:ascii="Times New Roman" w:hAnsi="Times New Roman"/>
          <w:b/>
          <w:sz w:val="20"/>
        </w:rPr>
        <w:t>A Share</w:t>
      </w:r>
      <w:r>
        <w:rPr>
          <w:rFonts w:ascii="Times New Roman" w:hAnsi="Times New Roman"/>
          <w:sz w:val="20"/>
        </w:rPr>
        <w:t xml:space="preserve"> means a share of Bakkt Pubco Class A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V Common Stock</w:t>
      </w:r>
      <w:r>
        <w:rPr>
          <w:rFonts w:ascii="Times New Roman" w:hAnsi="Times New Roman"/>
          <w:sz w:val="20"/>
        </w:rPr>
        <w:t xml:space="preserve"> means the Class V Common Stock of the Company, par value $0.0001 per share.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 Class</w:t>
      </w:r>
      <w:r>
        <w:rPr>
          <w:rFonts w:ascii="Times New Roman" w:hAnsi="Times New Roman"/>
          <w:sz w:val="20"/>
        </w:rPr>
        <w:t> </w:t>
      </w:r>
      <w:r>
        <w:rPr>
          <w:rFonts w:ascii="Times New Roman" w:hAnsi="Times New Roman"/>
          <w:b/>
          <w:sz w:val="20"/>
        </w:rPr>
        <w:t>V Share</w:t>
      </w:r>
      <w:r>
        <w:rPr>
          <w:rFonts w:ascii="Times New Roman" w:hAnsi="Times New Roman"/>
          <w:sz w:val="20"/>
        </w:rPr>
        <w:t xml:space="preserve"> means a share of Bakkt Pubco Class V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 Equity Incentive Plan</w:t>
      </w:r>
      <w:r>
        <w:rPr>
          <w:rFonts w:ascii="Times New Roman" w:hAnsi="Times New Roman"/>
          <w:sz w:val="20"/>
        </w:rPr>
        <w:t xml:space="preserve"> means the Bakkt Pubco Equity Incentive Plan, which will become effective upon the Closing. A copy of the Bakkt Pubco Equity Incentive Plan is attached to this proxy statement/prospectus as </w:t>
      </w:r>
      <w:r>
        <w:rPr>
          <w:rFonts w:ascii="Times New Roman" w:hAnsi="Times New Roman"/>
          <w:i/>
          <w:sz w:val="20"/>
          <w:u w:val="single"/>
        </w:rPr>
        <w:t>Annex 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 Equity Incentive Plan Proposal</w:t>
      </w:r>
      <w:r>
        <w:rPr>
          <w:rFonts w:ascii="Times New Roman" w:hAnsi="Times New Roman"/>
          <w:sz w:val="20"/>
        </w:rPr>
        <w:t xml:space="preserve"> means the proposal to be considered at the extraordinary general meeting to approve the Bakkt Pubco Equity Incentive Plan.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 Preferred Stock</w:t>
      </w:r>
      <w:r>
        <w:rPr>
          <w:rFonts w:ascii="Times New Roman" w:hAnsi="Times New Roman"/>
          <w:sz w:val="20"/>
        </w:rPr>
        <w:t xml:space="preserve"> means the shares of preferred stock, par value $0.0001 per share, of Bakkt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Bakkt Pubco Warrant</w:t>
      </w:r>
      <w:r>
        <w:rPr>
          <w:rFonts w:ascii="Times New Roman" w:hAnsi="Times New Roman"/>
          <w:sz w:val="20"/>
        </w:rPr>
        <w:t xml:space="preserve"> means a VIH Warrant that is automatically converted into a redeemable warrant exercisable for one Bakkt Pubco Class A Share.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Combination Proposal</w:t>
      </w:r>
      <w:r>
        <w:rPr>
          <w:rFonts w:ascii="Times New Roman" w:hAnsi="Times New Roman"/>
          <w:sz w:val="20"/>
        </w:rPr>
        <w:t xml:space="preserve"> means the proposal to be considered at the extraordinary general meeting to approve the Proposed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Cash Amount</w:t>
      </w:r>
      <w:r>
        <w:rPr>
          <w:rFonts w:ascii="Times New Roman" w:hAnsi="Times New Roman"/>
          <w:sz w:val="20"/>
        </w:rPr>
        <w:t xml:space="preserve"> means the amount of cash per share of Bakkt Pubco Class A Common Stock as calculated pursuant to the Exchange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Cayman Constitutional Documents</w:t>
      </w:r>
      <w:r>
        <w:rPr>
          <w:rFonts w:ascii="Times New Roman" w:hAnsi="Times New Roman"/>
          <w:sz w:val="20"/>
        </w:rPr>
        <w:t xml:space="preserve"> means VIHs Amended and Restated Memorandum and Articles of Association,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Closing</w:t>
      </w:r>
      <w:r>
        <w:rPr>
          <w:rFonts w:ascii="Times New Roman" w:hAnsi="Times New Roman"/>
          <w:sz w:val="20"/>
        </w:rPr>
        <w:t xml:space="preserve"> means the closing of the Proposed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Companies Act</w:t>
      </w:r>
      <w:r>
        <w:rPr>
          <w:rFonts w:ascii="Times New Roman" w:hAnsi="Times New Roman"/>
          <w:sz w:val="20"/>
        </w:rPr>
        <w:t xml:space="preserve"> refers to the Cayman Islands Companies Act (As Revised).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and </w:t>
      </w:r>
      <w:r>
        <w:rPr>
          <w:rFonts w:ascii="Times New Roman" w:hAnsi="Times New Roman"/>
          <w:b/>
          <w:sz w:val="20"/>
        </w:rPr>
        <w:t>our</w:t>
      </w:r>
      <w:r>
        <w:rPr>
          <w:rFonts w:ascii="Times New Roman" w:hAnsi="Times New Roman"/>
          <w:sz w:val="20"/>
        </w:rPr>
        <w:t xml:space="preserve"> means VIH prior to the Domestication and to Bakkt Pubco after the Domestication incorporated in the State of Delaware, including after its change of name to Bakkt Holdings, Inc.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Board</w:t>
      </w:r>
      <w:r>
        <w:rPr>
          <w:rFonts w:ascii="Times New Roman" w:hAnsi="Times New Roman"/>
          <w:sz w:val="20"/>
        </w:rPr>
        <w:t xml:space="preserve"> means the board of directors of the Company subsequent to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Companys Shares</w:t>
      </w:r>
      <w:r>
        <w:rPr>
          <w:rFonts w:ascii="Times New Roman" w:hAnsi="Times New Roman"/>
          <w:sz w:val="20"/>
        </w:rPr>
        <w:t> or </w:t>
      </w:r>
      <w:r>
        <w:rPr>
          <w:rFonts w:ascii="Times New Roman" w:hAnsi="Times New Roman"/>
          <w:b/>
          <w:sz w:val="20"/>
        </w:rPr>
        <w:t>Bakkt Pubco Common Stock</w:t>
      </w:r>
      <w:r>
        <w:rPr>
          <w:rFonts w:ascii="Times New Roman" w:hAnsi="Times New Roman"/>
          <w:sz w:val="20"/>
        </w:rPr>
        <w:t xml:space="preserve"> means, collectively, all shares of the Bakkt Pubco Class A Common Stock and Bakkt Pubco Class V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Condition Precedent Proposals</w:t>
      </w:r>
      <w:r>
        <w:rPr>
          <w:rFonts w:ascii="Times New Roman" w:hAnsi="Times New Roman"/>
          <w:sz w:val="20"/>
        </w:rPr>
        <w:t xml:space="preserve"> mean the Business Combination Proposal, the Domestication Proposal, the Stock Issuance Proposal, the Organizational Documents Proposal and the Bakkt Pubco Equity Incentive Plan Proposal.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Continental</w:t>
      </w:r>
      <w:r>
        <w:rPr>
          <w:rFonts w:ascii="Times New Roman" w:hAnsi="Times New Roman"/>
          <w:sz w:val="20"/>
        </w:rPr>
        <w:t> or the </w:t>
      </w:r>
      <w:r>
        <w:rPr>
          <w:rFonts w:ascii="Times New Roman" w:hAnsi="Times New Roman"/>
          <w:b/>
          <w:sz w:val="20"/>
        </w:rPr>
        <w:t>Transfer Agent</w:t>
      </w:r>
      <w:r>
        <w:rPr>
          <w:rFonts w:ascii="Times New Roman" w:hAnsi="Times New Roman"/>
          <w:sz w:val="20"/>
        </w:rPr>
        <w:t xml:space="preserve">, as applicable, means Continental Stock Transfer &amp; Trust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DGCL</w:t>
      </w:r>
      <w:r>
        <w:rPr>
          <w:rFonts w:ascii="Times New Roman" w:hAnsi="Times New Roman"/>
          <w:sz w:val="20"/>
        </w:rPr>
        <w:t xml:space="preserve"> means the Delaware General Corporation Law,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Director Election Proposal</w:t>
      </w:r>
      <w:r>
        <w:rPr>
          <w:rFonts w:ascii="Times New Roman" w:hAnsi="Times New Roman"/>
          <w:sz w:val="20"/>
        </w:rPr>
        <w:t xml:space="preserve"> means the proposal to be considered at the extraordinary general meeting to elect nine directors to serve staggered terms on the Company Board until the 2022, 2023 and 2024 annual meeting of stockholders of the Company, respectively, and until their respective successors are duly elected and qualified.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DLLCA</w:t>
      </w:r>
      <w:r>
        <w:rPr>
          <w:rFonts w:ascii="Times New Roman" w:hAnsi="Times New Roman"/>
          <w:sz w:val="20"/>
        </w:rPr>
        <w:t xml:space="preserve"> means the Delaware Limited Liability Company Act,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Domestication</w:t>
      </w:r>
      <w:r>
        <w:rPr>
          <w:rFonts w:ascii="Times New Roman" w:hAnsi="Times New Roman"/>
          <w:sz w:val="20"/>
        </w:rPr>
        <w:t xml:space="preserve"> means the continuation of VIH by way of domestication of VIH into a Delaware corporation under the applicable provisions of the Companies Act and the DGCL; the term includes all matters and necessary or ancillary changes in order to effect such Domestication, including the adoption of the Proposed Certificate of Incorporation (as attached hereto at </w:t>
      </w:r>
      <w:r>
        <w:rPr>
          <w:rFonts w:ascii="Times New Roman" w:hAnsi="Times New Roman"/>
          <w:i/>
          <w:sz w:val="20"/>
          <w:u w:val="single"/>
        </w:rPr>
        <w:t>Annex B-1</w:t>
      </w:r>
      <w:r>
        <w:rPr>
          <w:rFonts w:ascii="Times New Roman" w:hAnsi="Times New Roman"/>
          <w:sz w:val="20"/>
        </w:rPr>
        <w:t xml:space="preserve">) consistent with the DGCL and changing the name and registered office of VIH.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Domestication Proposal</w:t>
      </w:r>
      <w:r>
        <w:rPr>
          <w:rFonts w:ascii="Times New Roman" w:hAnsi="Times New Roman"/>
          <w:sz w:val="20"/>
        </w:rPr>
        <w:t xml:space="preserve"> means the proposal to be considered at the extraordinary general meeting to approve the Domestication.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DWAC</w:t>
      </w:r>
      <w:r>
        <w:rPr>
          <w:rFonts w:ascii="Times New Roman" w:hAnsi="Times New Roman"/>
          <w:sz w:val="20"/>
        </w:rPr>
        <w:t xml:space="preserve"> means The Depository Trust Companys deposit/withdrawal at custodian system.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U.S. Securities Exchange Act of 1934, as amended. </w:t>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Agreement</w:t>
      </w:r>
      <w:r>
        <w:rPr>
          <w:rFonts w:ascii="Times New Roman" w:hAnsi="Times New Roman"/>
          <w:sz w:val="20"/>
        </w:rPr>
        <w:t> means the Exchange Agreement to be entered into between the Company, Bakkt and the Bakkt Equity Holders upon the completion of the Proposed Transaction</w:t>
      </w:r>
      <w:r>
        <w:rPr>
          <w:rFonts w:ascii="Times New Roman" w:hAnsi="Times New Roman"/>
          <w:i/>
          <w:sz w:val="20"/>
        </w:rPr>
        <w:t xml:space="preserve">. </w:t>
      </w:r>
      <w:r>
        <w:rPr>
          <w:rFonts w:ascii="Times New Roman" w:hAnsi="Times New Roman"/>
          <w:sz w:val="20"/>
        </w:rPr>
        <w:t xml:space="preserve">A copy of the Exchange Agreement is attached to this proxy statement/prospectus as </w:t>
      </w:r>
      <w:r>
        <w:rPr>
          <w:rFonts w:ascii="Times New Roman" w:hAnsi="Times New Roman"/>
          <w:i/>
          <w:sz w:val="20"/>
          <w:u w:val="single"/>
        </w:rPr>
        <w:t>Annex 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extraordinary general meeting</w:t>
      </w:r>
      <w:r>
        <w:rPr>
          <w:rFonts w:ascii="Times New Roman" w:hAnsi="Times New Roman"/>
          <w:sz w:val="20"/>
        </w:rPr>
        <w:t xml:space="preserve"> means the extraordinary general meeting of VIHs shareholders, to be held virtually at [●] a.m. Eastern Time on [●], 2021 at [●], and any adjournments or postponements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Founder Shares</w:t>
      </w:r>
      <w:r>
        <w:rPr>
          <w:rFonts w:ascii="Times New Roman" w:hAnsi="Times New Roman"/>
          <w:sz w:val="20"/>
        </w:rPr>
        <w:t xml:space="preserve"> means the 5,184,300 currently outstanding VIH Class B Ordinary Shares of VIH owned by the Sponsor and certain members of the VIH Board.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GAAP</w:t>
      </w:r>
      <w:r>
        <w:rPr>
          <w:rFonts w:ascii="Times New Roman" w:hAnsi="Times New Roman"/>
          <w:sz w:val="20"/>
        </w:rPr>
        <w:t xml:space="preserve"> means U.S. generally accepted accounting principles.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ICE</w:t>
      </w:r>
      <w:r>
        <w:rPr>
          <w:rFonts w:ascii="Times New Roman" w:hAnsi="Times New Roman"/>
          <w:sz w:val="20"/>
        </w:rPr>
        <w:t xml:space="preserve"> means Intercontinental Exchange, Inc., a Delaware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ICEH</w:t>
      </w:r>
      <w:r>
        <w:rPr>
          <w:rFonts w:ascii="Times New Roman" w:hAnsi="Times New Roman"/>
          <w:sz w:val="20"/>
        </w:rPr>
        <w:t xml:space="preserve"> means Intercontinental Exchange Holdings, Inc., a Delaware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Insider Letter</w:t>
      </w:r>
      <w:r>
        <w:rPr>
          <w:rFonts w:ascii="Times New Roman" w:hAnsi="Times New Roman"/>
          <w:sz w:val="20"/>
        </w:rPr>
        <w:t xml:space="preserve"> means VIHs letter agreement with its Sponsor, directors and officers, dated September 25, 2020, containing provisions relating to transfer restrictions of the Founder Shares and Private Placement Warrants, indemnification of the Trust Account, waiver of Redemption Rights and participation in liquidation distributions from the Trust Account.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Insider Letter Agreement</w:t>
      </w:r>
      <w:r>
        <w:rPr>
          <w:rFonts w:ascii="Times New Roman" w:hAnsi="Times New Roman"/>
          <w:sz w:val="20"/>
        </w:rPr>
        <w:t xml:space="preserve"> means the amendment to the Insider Letter, dated as of January 11, 2021, among the Sponsor, VIH and certain members of the VIH Board and the VIH management team.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IPO</w:t>
      </w:r>
      <w:r>
        <w:rPr>
          <w:rFonts w:ascii="Times New Roman" w:hAnsi="Times New Roman"/>
          <w:sz w:val="20"/>
        </w:rPr>
        <w:t xml:space="preserve"> means VIHs initial public offering of the VIH Units, VIH Class A Ordinary Shares and warrants pursuant to a registration statement on Form S-1 declared effective by the SEC on September 22, 2020 (SEC File No. 333-248619). On September 25, 2020, VIH completed its initial public offering.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Jefferies</w:t>
      </w:r>
      <w:r>
        <w:rPr>
          <w:rFonts w:ascii="Times New Roman" w:hAnsi="Times New Roman"/>
          <w:sz w:val="20"/>
        </w:rPr>
        <w:t xml:space="preserve"> means Jefferies LLC, the representative of the underwriters in the IPO.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Merger</w:t>
      </w:r>
      <w:r>
        <w:rPr>
          <w:rFonts w:ascii="Times New Roman" w:hAnsi="Times New Roman"/>
          <w:sz w:val="20"/>
        </w:rPr>
        <w:t xml:space="preserve"> means the statutory merger of Merger Sub with and into Bakkt pursuant to the terms of the Merger Agreement and under the applicable provisions of the DLLCA, with Bakkt continuing as the surviving entity and becoming a subsidiary of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Merger Agreement</w:t>
      </w:r>
      <w:r>
        <w:rPr>
          <w:rFonts w:ascii="Times New Roman" w:hAnsi="Times New Roman"/>
          <w:sz w:val="20"/>
        </w:rPr>
        <w:t xml:space="preserve"> means the Agreement and Plan of Merger, dated as of January 11, 2021, by and among VIH, Merger Sub and Bakkt, as amended by the Amendment to Agreement and Plan of Merger, dated as of March 30, 2021, as it may be further amended and supplemented from time to time. A copy of the Merger Agreement is attached to this proxy statement/prospectus as </w:t>
      </w:r>
      <w:r>
        <w:rPr>
          <w:rFonts w:ascii="Times New Roman" w:hAnsi="Times New Roman"/>
          <w:i/>
          <w:sz w:val="20"/>
        </w:rPr>
        <w:t>Annex A-1</w:t>
      </w:r>
      <w:r>
        <w:rPr>
          <w:rFonts w:ascii="Times New Roman" w:hAnsi="Times New Roman"/>
          <w:sz w:val="20"/>
        </w:rPr>
        <w:t xml:space="preserve"> and </w:t>
      </w:r>
      <w:r>
        <w:rPr>
          <w:rFonts w:ascii="Times New Roman" w:hAnsi="Times New Roman"/>
          <w:i/>
          <w:sz w:val="20"/>
        </w:rPr>
        <w:t>Annex A-2</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Merger Consideration</w:t>
      </w:r>
      <w:r>
        <w:rPr>
          <w:rFonts w:ascii="Times New Roman" w:hAnsi="Times New Roman"/>
          <w:sz w:val="20"/>
        </w:rPr>
        <w:t xml:space="preserve"> means (a) an aggregate of 208,200,000 Bakkt Opco Common Units and (b) an equal number of Bakkt Pubco Class V Shares.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Merger Sub</w:t>
      </w:r>
      <w:r>
        <w:rPr>
          <w:rFonts w:ascii="Times New Roman" w:hAnsi="Times New Roman"/>
          <w:sz w:val="20"/>
        </w:rPr>
        <w:t xml:space="preserve"> means Pylon Merger Company LLC, a Delaware limited liability company and a wholly-owned subsidiary of VIH.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Nasdaq</w:t>
      </w:r>
      <w:r>
        <w:rPr>
          <w:rFonts w:ascii="Times New Roman" w:hAnsi="Times New Roman"/>
          <w:sz w:val="20"/>
        </w:rPr>
        <w:t xml:space="preserve"> means The Nasdaq Capital Market.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NYSE</w:t>
      </w:r>
      <w:r>
        <w:rPr>
          <w:rFonts w:ascii="Times New Roman" w:hAnsi="Times New Roman"/>
          <w:sz w:val="20"/>
        </w:rPr>
        <w:t xml:space="preserve"> means the New York Stock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Organizational Documents Proposal</w:t>
      </w:r>
      <w:r>
        <w:rPr>
          <w:rFonts w:ascii="Times New Roman" w:hAnsi="Times New Roman"/>
          <w:sz w:val="20"/>
        </w:rPr>
        <w:t xml:space="preserve"> means the proposal to be considered at the extraordinary general meeting to approve by special resolution the Proposed Certificate of Incorporation and the Proposed By-Laws. A copy of each of the Proposed Certificate of Incorporation and the Proposed By-Laws is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respectively.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firm, corporation, partnership, limited liability company, incorporated or unincorporated association, joint venture, joint stock company, governmental authority or instrumentality or other entity of any kind.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PIPE Investment</w:t>
      </w:r>
      <w:r>
        <w:rPr>
          <w:rFonts w:ascii="Times New Roman" w:hAnsi="Times New Roman"/>
          <w:sz w:val="20"/>
        </w:rPr>
        <w:t xml:space="preserve"> means the proposed issuance and sale of $325 million of the Bakkt Pubco Class A Common Stock in a private placement to the PIPE Investors pursuant to the Subscription Agreements.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PIPE Investors</w:t>
      </w:r>
      <w:r>
        <w:rPr>
          <w:rFonts w:ascii="Times New Roman" w:hAnsi="Times New Roman"/>
          <w:sz w:val="20"/>
        </w:rPr>
        <w:t xml:space="preserve"> means the accredited investors and qualified institutional buyers who entered into the Subscription Agreements with VIH for the PIPE Investment.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Private Placement Warrants</w:t>
      </w:r>
      <w:r>
        <w:rPr>
          <w:rFonts w:ascii="Times New Roman" w:hAnsi="Times New Roman"/>
          <w:sz w:val="20"/>
        </w:rPr>
        <w:t xml:space="preserve"> means the 6,147,440 private placement warrants, each exercisable for one VIH Class A Ordinary Share of VIH at $11.50 per share, purchased by the Sponsor for a purchase price of $6,147,440, or $1.00 per warrant.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Proposed</w:t>
      </w:r>
      <w:r>
        <w:rPr>
          <w:rFonts w:ascii="Times New Roman" w:hAnsi="Times New Roman"/>
          <w:sz w:val="20"/>
        </w:rPr>
        <w:t xml:space="preserve"> </w:t>
      </w:r>
      <w:r>
        <w:rPr>
          <w:rFonts w:ascii="Times New Roman" w:hAnsi="Times New Roman"/>
          <w:b/>
          <w:sz w:val="20"/>
        </w:rPr>
        <w:t>By-Laws</w:t>
      </w:r>
      <w:r>
        <w:rPr>
          <w:rFonts w:ascii="Times New Roman" w:hAnsi="Times New Roman"/>
          <w:sz w:val="20"/>
        </w:rPr>
        <w:t xml:space="preserve"> mean the proposed by-laws of the Company to be in effect following the Closing, a form of which is attached to this proxy statement/prospectus as </w:t>
      </w:r>
      <w:r>
        <w:rPr>
          <w:rFonts w:ascii="Times New Roman" w:hAnsi="Times New Roman"/>
          <w:i/>
          <w:sz w:val="20"/>
          <w:u w:val="single"/>
        </w:rPr>
        <w:t>Annex B-2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Proposed</w:t>
      </w:r>
      <w:r>
        <w:rPr>
          <w:rFonts w:ascii="Times New Roman" w:hAnsi="Times New Roman"/>
          <w:sz w:val="20"/>
        </w:rPr>
        <w:t xml:space="preserve"> </w:t>
      </w:r>
      <w:r>
        <w:rPr>
          <w:rFonts w:ascii="Times New Roman" w:hAnsi="Times New Roman"/>
          <w:b/>
          <w:sz w:val="20"/>
        </w:rPr>
        <w:t>Certificate of Incorporation</w:t>
      </w:r>
      <w:r>
        <w:rPr>
          <w:rFonts w:ascii="Times New Roman" w:hAnsi="Times New Roman"/>
          <w:sz w:val="20"/>
        </w:rPr>
        <w:t xml:space="preserve"> means the proposed certificate of incorporation of the Company to be in effect following the Domestication and the Closing, a form of which is attached to this proxy statement/prospectus as </w:t>
      </w:r>
      <w:r>
        <w:rPr>
          <w:rFonts w:ascii="Times New Roman" w:hAnsi="Times New Roman"/>
          <w:i/>
          <w:sz w:val="20"/>
          <w:u w:val="single"/>
        </w:rPr>
        <w:t>Annex B-1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Proposed Organizational Documents</w:t>
      </w:r>
      <w:r>
        <w:rPr>
          <w:rFonts w:ascii="Times New Roman" w:hAnsi="Times New Roman"/>
          <w:sz w:val="20"/>
        </w:rPr>
        <w:t xml:space="preserve"> means the Proposed Certificate of Incorporation and the Proposed By-Laws.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Proposed Transaction</w:t>
      </w:r>
      <w:r>
        <w:rPr>
          <w:rFonts w:ascii="Times New Roman" w:hAnsi="Times New Roman"/>
          <w:sz w:val="20"/>
        </w:rPr>
        <w:t> or </w:t>
      </w:r>
      <w:r>
        <w:rPr>
          <w:rFonts w:ascii="Times New Roman" w:hAnsi="Times New Roman"/>
          <w:b/>
          <w:sz w:val="20"/>
        </w:rPr>
        <w:t>Business Combination</w:t>
      </w:r>
      <w:r>
        <w:rPr>
          <w:rFonts w:ascii="Times New Roman" w:hAnsi="Times New Roman"/>
          <w:sz w:val="20"/>
        </w:rPr>
        <w:t xml:space="preserve"> means the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Public Shareholders</w:t>
      </w:r>
      <w:r>
        <w:rPr>
          <w:rFonts w:ascii="Times New Roman" w:hAnsi="Times New Roman"/>
          <w:sz w:val="20"/>
        </w:rPr>
        <w:t xml:space="preserve"> means the holders of VIH Class A Ordinary Shares that were sold in the IPO (whether they were purchased in the IPO or thereafter in the open market).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Public Shares</w:t>
      </w:r>
      <w:r>
        <w:rPr>
          <w:rFonts w:ascii="Times New Roman" w:hAnsi="Times New Roman"/>
          <w:sz w:val="20"/>
        </w:rPr>
        <w:t xml:space="preserve"> means the VIH Class A Ordinary Shares sold in the IPO (whether they were purchased in the IPO as part of the VIH Unit or thereafter in the open market).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Public Warrant Holders</w:t>
      </w:r>
      <w:r>
        <w:rPr>
          <w:rFonts w:ascii="Times New Roman" w:hAnsi="Times New Roman"/>
          <w:sz w:val="20"/>
        </w:rPr>
        <w:t xml:space="preserve"> means the holders of the Public Warrants.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Public Warrants</w:t>
      </w:r>
      <w:r>
        <w:rPr>
          <w:rFonts w:ascii="Times New Roman" w:hAnsi="Times New Roman"/>
          <w:sz w:val="20"/>
        </w:rPr>
        <w:t xml:space="preserve"> means VIHs warrants sold in the IPO (whether they were purchased in the IPO as part of the VIH Unit or thereafter in the open market).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Record Date</w:t>
      </w:r>
      <w:r>
        <w:rPr>
          <w:rFonts w:ascii="Times New Roman" w:hAnsi="Times New Roman"/>
          <w:sz w:val="20"/>
        </w:rPr>
        <w:t xml:space="preserve"> means [●],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Redemption</w:t>
      </w:r>
      <w:r>
        <w:rPr>
          <w:rFonts w:ascii="Times New Roman" w:hAnsi="Times New Roman"/>
          <w:sz w:val="20"/>
        </w:rPr>
        <w:t xml:space="preserve"> means the redemption of Public Shares for the Redemption Price.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Redemption Price</w:t>
      </w:r>
      <w:r>
        <w:rPr>
          <w:rFonts w:ascii="Times New Roman" w:hAnsi="Times New Roman"/>
          <w:sz w:val="20"/>
        </w:rPr>
        <w:t xml:space="preserve"> means an amount equal to a </w:t>
      </w:r>
      <w:r>
        <w:rPr>
          <w:rFonts w:ascii="Times New Roman" w:hAnsi="Times New Roman"/>
          <w:i/>
          <w:sz w:val="20"/>
        </w:rPr>
        <w:t>pro rata</w:t>
      </w:r>
      <w:r>
        <w:rPr>
          <w:rFonts w:ascii="Times New Roman" w:hAnsi="Times New Roman"/>
          <w:sz w:val="20"/>
        </w:rPr>
        <w:t xml:space="preserve"> portion of the aggregate amount then on deposit in the Trust Account in accordance with the Cayman Constitutional Documents (as equitably adjusted for stock splits, stock dividends, combinations, recapitalizations and the like after the Closing). The Redemption Price will be calculated two business days prior to the completion of the Proposed Transaction in accordance with the Cayman Constitutional Documents.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Redemption Rights</w:t>
      </w:r>
      <w:r>
        <w:rPr>
          <w:rFonts w:ascii="Times New Roman" w:hAnsi="Times New Roman"/>
          <w:sz w:val="20"/>
        </w:rPr>
        <w:t xml:space="preserve"> means the rights of the Public Shareholders to demand Redemption of their Public Shares into cash in accordance with the procedures set forth in the Cayman Constitutional Documents and this proxy statement/prospectus.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Registration Rights Agreement</w:t>
      </w:r>
      <w:r>
        <w:rPr>
          <w:rFonts w:ascii="Times New Roman" w:hAnsi="Times New Roman"/>
          <w:sz w:val="20"/>
        </w:rPr>
        <w:t xml:space="preserve"> means the Registration Rights Agreement to be entered into by and among the Company, the Sponsor, certain Bakkt Equity Holders and certain other parties thereto upon the completion of the Proposed Transaction. A form of the Registration Rights Agreement in substantially the form it will be executed in connection with the Closing is attached to this proxy statement/prospectus as </w:t>
      </w:r>
      <w:r>
        <w:rPr>
          <w:rFonts w:ascii="Times New Roman" w:hAnsi="Times New Roman"/>
          <w:i/>
          <w:sz w:val="20"/>
          <w:u w:val="single"/>
        </w:rPr>
        <w:t>Annex 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Shareholder Adjournment Proposal</w:t>
      </w:r>
      <w:r>
        <w:rPr>
          <w:rFonts w:ascii="Times New Roman" w:hAnsi="Times New Roman"/>
          <w:sz w:val="20"/>
        </w:rPr>
        <w:t xml:space="preserve"> means the proposal to be considered at the extraordinary general meeting to adjourn the extraordinary general meeting to a later date or dates, if necessary to permit further solicitation and vote of proxies if it is determined by VIH that more time is necessary or appropriate to approve one or more proposal at the extraordinary general meeting.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Shareholder Proposals</w:t>
      </w:r>
      <w:r>
        <w:rPr>
          <w:rFonts w:ascii="Times New Roman" w:hAnsi="Times New Roman"/>
          <w:sz w:val="20"/>
        </w:rPr>
        <w:t xml:space="preserve"> means, collectively, (a) the Business Combination Proposal, (b) the Domestication Proposal, (c) the Stock Issuance Proposal, (d) the Organizational Documents Proposal, (e) the Advisory Organizational Documents Proposals, (f) the Bakkt Pubco Equity Incentive Plan Proposal, (g) the Director Election Proposal, and (h) the Shareholder Adjournment Proposal, if presented.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Sponsor</w:t>
      </w:r>
      <w:r>
        <w:rPr>
          <w:rFonts w:ascii="Times New Roman" w:hAnsi="Times New Roman"/>
          <w:sz w:val="20"/>
        </w:rPr>
        <w:t xml:space="preserve"> means VPC Impact Acquisition Holdings Sponsor, LLC, a Delaware limited liability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Stock Issuance Proposal</w:t>
      </w:r>
      <w:r>
        <w:rPr>
          <w:rFonts w:ascii="Times New Roman" w:hAnsi="Times New Roman"/>
          <w:sz w:val="20"/>
        </w:rPr>
        <w:t xml:space="preserve"> means the proposal to be considered at the extraordinary general meeting to approve the issuance of Bakkt Pubco Class A Shares to (a) the PIPE Investors pursuant to the PIPE Investment (each as defined in the accompanying proxy statement/prospectus) and (b) the Bakkt Equity Holders pursuant to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Stockholders Agreement</w:t>
      </w:r>
      <w:r>
        <w:rPr>
          <w:rFonts w:ascii="Times New Roman" w:hAnsi="Times New Roman"/>
          <w:sz w:val="20"/>
        </w:rPr>
        <w:t xml:space="preserve"> means the Stockholders Agreement to be entered into between the Company and the Bakkt Equity Holders upon completion of the Proposed Transaction. A form of the Stockholders Agreement in substantially the form it will be executed in connection with the Closing is attached to this proxy statement/prospectus as </w:t>
      </w:r>
      <w:r>
        <w:rPr>
          <w:rFonts w:ascii="Times New Roman" w:hAnsi="Times New Roman"/>
          <w:i/>
          <w:sz w:val="20"/>
          <w:u w:val="single"/>
        </w:rPr>
        <w:t>Annex 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Subscription Agreements</w:t>
      </w:r>
      <w:r>
        <w:rPr>
          <w:rFonts w:ascii="Times New Roman" w:hAnsi="Times New Roman"/>
          <w:sz w:val="20"/>
        </w:rPr>
        <w:t xml:space="preserve"> means the Subscription Agreements, each dated January 11, 2021, entered into between VIH and each of the PIPE Investors in respect of the PIPE Investment.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Surviving Company LLC Agreement</w:t>
      </w:r>
      <w:r>
        <w:rPr>
          <w:rFonts w:ascii="Times New Roman" w:hAnsi="Times New Roman"/>
          <w:sz w:val="20"/>
        </w:rPr>
        <w:t xml:space="preserve"> means the Third Amended and Restated Limited Liability Company Agreement of Bakkt Opco to be in place upon the completion of the Proposed Transaction. A form of the Surviving Company LLC Agreement in substantially the form it will be executed in connection with the Closing is attached to this proxy statement/prospectus as </w:t>
      </w:r>
      <w:r>
        <w:rPr>
          <w:rFonts w:ascii="Times New Roman" w:hAnsi="Times New Roman"/>
          <w:i/>
          <w:sz w:val="20"/>
          <w:u w:val="single"/>
        </w:rPr>
        <w:t>Annex 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Target Companies</w:t>
      </w:r>
      <w:r>
        <w:rPr>
          <w:rFonts w:ascii="Times New Roman" w:hAnsi="Times New Roman"/>
          <w:sz w:val="20"/>
        </w:rPr>
        <w:t xml:space="preserve"> means Bakkt and its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Tax Receivable Agreement</w:t>
      </w:r>
      <w:r>
        <w:rPr>
          <w:rFonts w:ascii="Times New Roman" w:hAnsi="Times New Roman"/>
          <w:sz w:val="20"/>
        </w:rPr>
        <w:t xml:space="preserve"> means the Tax Receivable Agreement to be entered into between the Company and the Bakkt Equity Holders upon the completion of the Proposed Transaction. A form of the Tax Receivable Agreement in substantially the form it will be executed in connection with the Closing is attached to this proxy statement/prospectus as </w:t>
      </w:r>
      <w:r>
        <w:rPr>
          <w:rFonts w:ascii="Times New Roman" w:hAnsi="Times New Roman"/>
          <w:i/>
          <w:sz w:val="20"/>
          <w:u w:val="single"/>
        </w:rPr>
        <w:t>Annex 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Transaction Documents</w:t>
      </w:r>
      <w:r>
        <w:rPr>
          <w:rFonts w:ascii="Times New Roman" w:hAnsi="Times New Roman"/>
          <w:sz w:val="20"/>
        </w:rPr>
        <w:t xml:space="preserve"> means each of the agreements and instruments contemplated by the Merger Agreement or otherwise related to the transactions contemplated by the Merger Agreement and such other agreements or instruments contemplated by the Merger Agreement, in each case that was executed and delivered on the date of the Merger Agreement or on or prior to the date of Closing by a Bakkt Equity Holder, Bakkt, VIH, Merger Sub, the Sponsor and/or any of their respective affiliates, including, the Insider Letter Agreement, the Surviving Company LLC Agreement, the Exchange Agreement, the Tax Receivable Agreement, the Registration Rights Agreement, the Letter of Transmittal, the Proposed Certificate of Incorporation, the Proposed By-Laws, the Voting Agreement, the Stockholders Agreement, the Bakkt Equity Holders Support Agreement, all documents and agreements entered into in connection with the PIPE Investment, including the Subscription Agreements.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Account</w:t>
      </w:r>
      <w:r>
        <w:rPr>
          <w:rFonts w:ascii="Times New Roman" w:hAnsi="Times New Roman"/>
          <w:sz w:val="20"/>
        </w:rPr>
        <w:t xml:space="preserve"> means the trust account of VIH, which holds the net proceeds from the IPO and the sale of the Private Placement Warrants, together with interest earned thereon, less amounts released to pay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Agreement</w:t>
      </w:r>
      <w:r>
        <w:rPr>
          <w:rFonts w:ascii="Times New Roman" w:hAnsi="Times New Roman"/>
          <w:sz w:val="20"/>
        </w:rPr>
        <w:t xml:space="preserve"> means the Investment Management Agreement, dated as of September 22, 2020, by and between VIH and the Transfer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w:t>
      </w:r>
      <w:r>
        <w:rPr>
          <w:rFonts w:ascii="Times New Roman" w:hAnsi="Times New Roman"/>
          <w:sz w:val="20"/>
        </w:rPr>
        <w:t xml:space="preserve"> means VPC Impact Acquisition Holdings (which prior to the Domestication is an exempted company incorporated under the laws of the Cayman Islands and after the Domestication will be a corporation incorporated under the laws of the State of Delaware and will be referred to as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 Board</w:t>
      </w:r>
      <w:r>
        <w:rPr>
          <w:rFonts w:ascii="Times New Roman" w:hAnsi="Times New Roman"/>
          <w:sz w:val="20"/>
        </w:rPr>
        <w:t xml:space="preserve"> means the board of directors of VIH.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 Class</w:t>
      </w:r>
      <w:r>
        <w:rPr>
          <w:rFonts w:ascii="Times New Roman" w:hAnsi="Times New Roman"/>
          <w:sz w:val="20"/>
        </w:rPr>
        <w:t> </w:t>
      </w:r>
      <w:r>
        <w:rPr>
          <w:rFonts w:ascii="Times New Roman" w:hAnsi="Times New Roman"/>
          <w:b/>
          <w:sz w:val="20"/>
        </w:rPr>
        <w:t>A Ordinary Shares</w:t>
      </w:r>
      <w:r>
        <w:rPr>
          <w:rFonts w:ascii="Times New Roman" w:hAnsi="Times New Roman"/>
          <w:sz w:val="20"/>
        </w:rPr>
        <w:t xml:space="preserve"> means the Class A Ordinary Shares of VIH, par value $0.0001 per share.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 Class</w:t>
      </w:r>
      <w:r>
        <w:rPr>
          <w:rFonts w:ascii="Times New Roman" w:hAnsi="Times New Roman"/>
          <w:sz w:val="20"/>
        </w:rPr>
        <w:t> </w:t>
      </w:r>
      <w:r>
        <w:rPr>
          <w:rFonts w:ascii="Times New Roman" w:hAnsi="Times New Roman"/>
          <w:b/>
          <w:sz w:val="20"/>
        </w:rPr>
        <w:t>B Ordinary Shares</w:t>
      </w:r>
      <w:r>
        <w:rPr>
          <w:rFonts w:ascii="Times New Roman" w:hAnsi="Times New Roman"/>
          <w:sz w:val="20"/>
        </w:rPr>
        <w:t xml:space="preserve"> means the Class B Ordinary Shares of VIH, par value $0.0001 per share.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 Shares</w:t>
      </w:r>
      <w:r>
        <w:rPr>
          <w:rFonts w:ascii="Times New Roman" w:hAnsi="Times New Roman"/>
          <w:sz w:val="20"/>
        </w:rPr>
        <w:t xml:space="preserve"> means, collectively, the VIH Class A Ordinary Shares and the VIH Class B Ordinary Shares.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 Units</w:t>
      </w:r>
      <w:r>
        <w:rPr>
          <w:rFonts w:ascii="Times New Roman" w:hAnsi="Times New Roman"/>
          <w:sz w:val="20"/>
        </w:rPr>
        <w:t xml:space="preserve"> means the units sold in the IPO (including pursuant to the overallotment option) consisting of a VIH Class A Ordinary Share and a VIH Warrant.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VIH Warrant</w:t>
      </w:r>
      <w:r>
        <w:rPr>
          <w:rFonts w:ascii="Times New Roman" w:hAnsi="Times New Roman"/>
          <w:sz w:val="20"/>
        </w:rPr>
        <w:t xml:space="preserve"> means one-half of a redeemable warrant exercisable for a VIH Class A Ordinary Share.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Voting Agreement</w:t>
      </w:r>
      <w:r>
        <w:rPr>
          <w:rFonts w:ascii="Times New Roman" w:hAnsi="Times New Roman"/>
          <w:sz w:val="20"/>
        </w:rPr>
        <w:t xml:space="preserve"> means the Voting Agreement to be entered into between the Company and ICE upon the completion of the Proposed Transaction. A form of the Voting Agreement in substantially the form it will be executed in connection with the Closing is attached to this proxy statement/prospectus as </w:t>
      </w:r>
      <w:r>
        <w:rPr>
          <w:rFonts w:ascii="Times New Roman" w:hAnsi="Times New Roman"/>
          <w:i/>
          <w:sz w:val="20"/>
          <w:u w:val="single"/>
        </w:rPr>
        <w:t>Annex 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Warrant Agreement</w:t>
      </w:r>
      <w:r>
        <w:rPr>
          <w:rFonts w:ascii="Times New Roman" w:hAnsi="Times New Roman"/>
          <w:sz w:val="20"/>
        </w:rPr>
        <w:t xml:space="preserve"> means the Warrant Agreement, dated as of September 22, 2020, between VIH and the Transfer Agent, which governs VIHs outstanding warrants.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Warrants</w:t>
      </w:r>
      <w:r>
        <w:rPr>
          <w:rFonts w:ascii="Times New Roman" w:hAnsi="Times New Roman"/>
          <w:sz w:val="20"/>
        </w:rPr>
        <w:t xml:space="preserve"> means the VIH Warrants and the Bakkt Pubco Warrants. </w:t>
      </w:r>
    </w:p>
    <w:p>
      <w:pPr>
        <w:pStyle w:val="TextBody"/>
        <w:spacing w:before="360" w:after="0"/>
        <w:jc w:val="left"/>
        <w:rPr>
          <w:rFonts w:ascii="Times New Roman" w:hAnsi="Times New Roman"/>
          <w:b/>
          <w:sz w:val="20"/>
        </w:rPr>
      </w:pPr>
      <w:bookmarkStart w:id="5" w:name="1c"/>
      <w:bookmarkEnd w:id="5"/>
      <w:r>
        <w:rPr>
          <w:rFonts w:ascii="Times New Roman" w:hAnsi="Times New Roman"/>
          <w:b/>
          <w:sz w:val="20"/>
        </w:rPr>
        <w:t xml:space="preserve">Share Calculations and Ownership Percentages </w:t>
      </w:r>
    </w:p>
    <w:p>
      <w:pPr>
        <w:pStyle w:val="TextBody"/>
        <w:spacing w:before="120" w:after="0"/>
        <w:jc w:val="left"/>
        <w:rPr>
          <w:rFonts w:ascii="Times New Roman" w:hAnsi="Times New Roman"/>
          <w:sz w:val="20"/>
        </w:rPr>
      </w:pPr>
      <w:r>
        <w:rPr>
          <w:rFonts w:ascii="Times New Roman" w:hAnsi="Times New Roman"/>
          <w:sz w:val="20"/>
        </w:rPr>
        <w:t>Unless otherwise specified (including in the sections entitled </w:t>
      </w:r>
      <w:r>
        <w:rPr>
          <w:rFonts w:ascii="Times New Roman" w:hAnsi="Times New Roman"/>
          <w:i/>
          <w:sz w:val="20"/>
        </w:rPr>
        <w:t>Unaudited Pro Forma Condensed Combined Financial Information</w:t>
      </w:r>
      <w:r>
        <w:rPr>
          <w:rFonts w:ascii="Times New Roman" w:hAnsi="Times New Roman"/>
          <w:sz w:val="20"/>
        </w:rPr>
        <w:t> and </w:t>
      </w:r>
      <w:r>
        <w:rPr>
          <w:rFonts w:ascii="Times New Roman" w:hAnsi="Times New Roman"/>
          <w:i/>
          <w:sz w:val="20"/>
        </w:rPr>
        <w:t>Beneficial Ownership of Securities</w:t>
      </w:r>
      <w:r>
        <w:rPr>
          <w:rFonts w:ascii="Times New Roman" w:hAnsi="Times New Roman"/>
          <w:sz w:val="20"/>
        </w:rPr>
        <w:t xml:space="preserve"> beginning on pages 210 and 253, respectively, of this proxy statement/prospectus), the share calculations and ownership percentages set forth in this proxy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statement/prospectus with respect to the Companys stockholders following the Closing are for illustrative purposes only and assume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 Public Shareholders exercise their Redemption Rights in connection with the Closing, and the balance of the Trust Account as of the Closing is the same as its balance on March 29, 2021 of $207,385,774.05. Please see the section entitled </w:t>
            </w:r>
            <w:r>
              <w:rPr>
                <w:rFonts w:ascii="Times New Roman" w:hAnsi="Times New Roman"/>
                <w:i/>
                <w:sz w:val="20"/>
              </w:rPr>
              <w:t>Extraordinary General Meeting of VIHRedemption Rights</w:t>
            </w:r>
            <w:r>
              <w:rPr>
                <w:rFonts w:ascii="Times New Roman" w:hAnsi="Times New Roman"/>
                <w:sz w:val="20"/>
              </w:rPr>
              <w:t xml:space="preserve"> beginning on page 115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VIH Warrants will be exercised.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 Bakkt Opco Common Units are exchanged for Bakkt Pubco Class A Shares at such time (in tandem with the cancellation of the paired Bakkt Pubco Class V Shares) (even if not yet permitted under the terms of the Exchange Agreement). Please see the section entitled </w:t>
            </w:r>
            <w:r>
              <w:rPr>
                <w:rFonts w:ascii="Times New Roman" w:hAnsi="Times New Roman"/>
                <w:i/>
                <w:sz w:val="20"/>
              </w:rPr>
              <w:t>The Business Combination ProposalRelated AgreementsExchange Agreement</w:t>
            </w:r>
            <w:r>
              <w:rPr>
                <w:rFonts w:ascii="Times New Roman" w:hAnsi="Times New Roman"/>
                <w:sz w:val="20"/>
              </w:rPr>
              <w:t xml:space="preserve"> beginning on page 143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PIPE Investment is consummated in accordance with its terms for $325 million, with Bakkt Pubco issuing 32,500,000 Bakkt Pubco Class A Shares to the PIPE Investors. Please see the section entitled </w:t>
            </w:r>
            <w:r>
              <w:rPr>
                <w:rFonts w:ascii="Times New Roman" w:hAnsi="Times New Roman"/>
                <w:i/>
                <w:sz w:val="20"/>
              </w:rPr>
              <w:t>The Business Combination ProposalRelated AgreementsSubscription Agreement</w:t>
            </w:r>
            <w:r>
              <w:rPr>
                <w:rFonts w:ascii="Times New Roman" w:hAnsi="Times New Roman"/>
                <w:sz w:val="20"/>
              </w:rPr>
              <w:t xml:space="preserve"> beginning on page 145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than the PIPE Investment, there are no other issuances of equity securities of the Company prior to or in connection with the Closing, including any equity awards that may be issued under the Bakkt Pubco Equity Incentive Plan following the Business Combination.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108105_3"/>
      <w:bookmarkEnd w:id="6"/>
      <w:r>
        <w:rPr>
          <w:rFonts w:ascii="Times New Roman" w:hAnsi="Times New Roman"/>
          <w:b/>
          <w:sz w:val="20"/>
        </w:rPr>
        <w:t xml:space="preserve">MARKET AND INDUSTRY DATA </w:t>
      </w:r>
    </w:p>
    <w:p>
      <w:pPr>
        <w:pStyle w:val="TextBody"/>
        <w:spacing w:before="240" w:after="0"/>
        <w:jc w:val="left"/>
        <w:rPr>
          <w:rFonts w:ascii="Times New Roman" w:hAnsi="Times New Roman"/>
          <w:sz w:val="20"/>
        </w:rPr>
      </w:pPr>
      <w:r>
        <w:rPr>
          <w:rFonts w:ascii="Times New Roman" w:hAnsi="Times New Roman"/>
          <w:sz w:val="20"/>
        </w:rPr>
        <w:t>Information contained in this proxy statement/prospectus concerning the market and the industry in which Bakkt competes, including its market position, general expectations of market opportunity, size and growth rates, is based on information from various third-party sources, on assumptions made by Bakkt based on such sources and Bakkts knowledge of the markets for its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Bakkt operates is subject to a high degree of uncertainty and risk. As a result, the estimates and market and industry information provided in this proxy statement/prospectus are subject to change based on various factors, including those described in the sections entitled </w:t>
      </w:r>
      <w:r>
        <w:rPr>
          <w:rFonts w:ascii="Times New Roman" w:hAnsi="Times New Roman"/>
          <w:i/>
          <w:sz w:val="20"/>
        </w:rPr>
        <w:t>Cautionary Note Regarding Forward-Looking Statements</w:t>
      </w:r>
      <w:r>
        <w:rPr>
          <w:rFonts w:ascii="Times New Roman" w:hAnsi="Times New Roman"/>
          <w:sz w:val="20"/>
        </w:rPr>
        <w:t> beginning on page 10 of this proxy statement/prospectus and </w:t>
      </w:r>
      <w:r>
        <w:rPr>
          <w:rFonts w:ascii="Times New Roman" w:hAnsi="Times New Roman"/>
          <w:i/>
          <w:sz w:val="20"/>
        </w:rPr>
        <w:t>Risk FactorsRisks Related to Bakkts Business</w:t>
      </w:r>
      <w:r>
        <w:rPr>
          <w:rFonts w:ascii="Times New Roman" w:hAnsi="Times New Roman"/>
          <w:sz w:val="20"/>
        </w:rPr>
        <w:t xml:space="preserve"> beginning on page 52 of this proxy statement/prospectus and elsewhere in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108105_4"/>
      <w:bookmarkEnd w:id="7"/>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contains forward-looking statements. These forward-looking statements include, without limitation, statements relating to expectations for future financial performance, business strategies or expectations for our business, and the timing and ability for VIH and Bakkt to complete the Proposed Transaction. These statements constitute projections, forecasts and forward-looking statements, and are not guarantees of performance. Such statements can be identified by the fact that they do not relate strictly to historical or current facts. When used in this proxy statement/prospectus,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 </w:t>
      </w:r>
    </w:p>
    <w:p>
      <w:pPr>
        <w:pStyle w:val="TextBody"/>
        <w:spacing w:before="240" w:after="0"/>
        <w:jc w:val="left"/>
        <w:rPr>
          <w:rFonts w:ascii="Times New Roman" w:hAnsi="Times New Roman"/>
          <w:sz w:val="20"/>
        </w:rPr>
      </w:pPr>
      <w:r>
        <w:rPr>
          <w:rFonts w:ascii="Times New Roman" w:hAnsi="Times New Roman"/>
          <w:sz w:val="20"/>
        </w:rPr>
        <w:t xml:space="preserve">Forward-looking statements in this proxy statement/prospectus and in any document incorporated by reference in this proxy statement/prospectus may include, for example,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benefits of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to consummate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future financial performance of the Company following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for Bakkts products and services;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proxy statement/prospectus and VIH and Bakkt managements current expectations, forecasts and assumptions, and involve a number of judgments, known and unknown risks and uncertainties and other factors, many of which are outside the control of VIH, Bakkt and their respective directors, officers and affiliates. Accordingly, forward-looking statements should not be relied upon as representing VIHs views as of any subsequent date. VIH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in deciding how your vote should be cast or in voting your shares on the proposals set out in this proxy statement/prospectus.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occurrence of any event, change or other circumstances that could delay the Proposed Transaction or give rise to the termination of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Bakkt or VIH following announcement of the Proposed Transaction and transactions contemplated thereby;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complete the Proposed Transaction due to the failure to obtain approval of the VIH shareholders, the inability to complete the PIPE Investment, the failure of VIH to satisfy the Available Cash Condition or the failure to meet other conditions to closing in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maintain the listing of the Bakkt Pubco Class A Common Stock on the NYSE following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risk that the Proposed Transaction disrupts current plans and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to recognize the anticipated benefits of the Proposed Transaction, which may be affected by, among other things, competition, and the ability of the Company to grow and manage growth profitably;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costs related to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in which Bakkt competes, including with respect to its competitive landscape, technology evolution or changes in applicable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impact of the novel coronavirus (</w:t>
            </w:r>
            <w:r>
              <w:rPr>
                <w:rFonts w:ascii="Times New Roman" w:hAnsi="Times New Roman"/>
                <w:b/>
                <w:sz w:val="20"/>
              </w:rPr>
              <w:t>COVID-19</w:t>
            </w:r>
            <w:r>
              <w:rPr>
                <w:rFonts w:ascii="Times New Roman" w:hAnsi="Times New Roman"/>
                <w:sz w:val="20"/>
              </w:rPr>
              <w:t xml:space="preserve">) pandemic;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vertical markets that Bakkt targets;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to Bakkts relationships within the payment ecosystem;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launch new Bakkt services and products or to profitably expand into new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execute Bakkts growth strategies, including identifying and executing acquisitions;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Bakkts data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that Bakkt or VIH may be adversely affected by other economic, business, and/or competitive factors;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other risks and uncertainties indicated in this proxy statement/prospectus, including those set forth under the section entitled </w:t>
            </w:r>
            <w:r>
              <w:rPr>
                <w:rFonts w:ascii="Times New Roman" w:hAnsi="Times New Roman"/>
                <w:i/>
                <w:sz w:val="20"/>
              </w:rPr>
              <w:t>Risk Factors</w:t>
            </w:r>
            <w:r>
              <w:rPr>
                <w:rFonts w:ascii="Times New Roman" w:hAnsi="Times New Roman"/>
                <w:sz w:val="20"/>
              </w:rPr>
              <w:t xml:space="preserve"> beginning on page 52 of this proxy statement/prospectus.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108105_5"/>
      <w:bookmarkEnd w:id="8"/>
      <w:r>
        <w:rPr>
          <w:rFonts w:ascii="Times New Roman" w:hAnsi="Times New Roman"/>
          <w:b/>
          <w:sz w:val="20"/>
        </w:rPr>
        <w:t xml:space="preserve">QUESTIONS AND ANSWERS FOR SHAREHOLDERS OF VIH </w:t>
      </w:r>
    </w:p>
    <w:p>
      <w:pPr>
        <w:pStyle w:val="TextBody"/>
        <w:spacing w:before="240" w:after="0"/>
        <w:jc w:val="left"/>
        <w:rPr>
          <w:rFonts w:ascii="Times New Roman" w:hAnsi="Times New Roman"/>
          <w:sz w:val="20"/>
        </w:rPr>
      </w:pPr>
      <w:r>
        <w:rPr>
          <w:rFonts w:ascii="Times New Roman" w:hAnsi="Times New Roman"/>
          <w:i/>
          <w:sz w:val="20"/>
        </w:rPr>
        <w:t>The questions and answers below highlight only selected information from this document and only briefly address some commonly asked questions about the proposals to be presented at the extraordinary general meeting, including with respect to the Proposed Transaction. The following questions and answers do not include all the information that is important to VIHs shareholders. VIH urges shareholders to read this proxy statement/prospectus, including the Annexes and the other documents referred to herein, carefully and in their entirety to fully understand the Proposed Transaction and the voting procedures for the extraordinary general meeting, which will be held at [</w:t>
      </w:r>
      <w:r>
        <w:rPr>
          <w:rFonts w:ascii="Times New Roman" w:hAnsi="Times New Roman"/>
          <w:sz w:val="20"/>
        </w:rPr>
        <w:t>●</w:t>
      </w:r>
      <w:r>
        <w:rPr>
          <w:rFonts w:ascii="Times New Roman" w:hAnsi="Times New Roman"/>
          <w:i/>
          <w:sz w:val="20"/>
        </w:rPr>
        <w:t>], Eastern Time, on [</w:t>
      </w:r>
      <w:r>
        <w:rPr>
          <w:rFonts w:ascii="Times New Roman" w:hAnsi="Times New Roman"/>
          <w:sz w:val="20"/>
        </w:rPr>
        <w:t>●</w:t>
      </w:r>
      <w:r>
        <w:rPr>
          <w:rFonts w:ascii="Times New Roman" w:hAnsi="Times New Roman"/>
          <w:i/>
          <w:sz w:val="20"/>
        </w:rPr>
        <w:t>], 2021, at the offices of White &amp; Case LLP located at 1221 Avenue of the Americas, New York, NY 10020, and virtually via live webcast. To participate in the extraordinary general meeting online, visit https://[</w:t>
      </w:r>
      <w:r>
        <w:rPr>
          <w:rFonts w:ascii="Times New Roman" w:hAnsi="Times New Roman"/>
          <w:sz w:val="20"/>
        </w:rPr>
        <w:t>●</w:t>
      </w:r>
      <w:r>
        <w:rPr>
          <w:rFonts w:ascii="Times New Roman" w:hAnsi="Times New Roman"/>
          <w:i/>
          <w:sz w:val="20"/>
        </w:rPr>
        <w:t>] and enter the 12 digit control number included on your proxy card. You may register for the extraordinary general meeting as early as [</w:t>
      </w:r>
      <w:r>
        <w:rPr>
          <w:rFonts w:ascii="Times New Roman" w:hAnsi="Times New Roman"/>
          <w:sz w:val="20"/>
        </w:rPr>
        <w:t>●</w:t>
      </w:r>
      <w:r>
        <w:rPr>
          <w:rFonts w:ascii="Times New Roman" w:hAnsi="Times New Roman"/>
          <w:i/>
          <w:sz w:val="20"/>
        </w:rPr>
        <w:t>], Eastern Time, on [</w:t>
      </w:r>
      <w:r>
        <w:rPr>
          <w:rFonts w:ascii="Times New Roman" w:hAnsi="Times New Roman"/>
          <w:sz w:val="20"/>
        </w:rPr>
        <w:t>●</w:t>
      </w:r>
      <w:r>
        <w:rPr>
          <w:rFonts w:ascii="Times New Roman" w:hAnsi="Times New Roman"/>
          <w:i/>
          <w:sz w:val="20"/>
        </w:rPr>
        <w:t xml:space="preserve">], 2021. If you hold your shares through a bank, broker or other nominee, you will need to take additional steps to participate in the extraordinary general meeting, as described in this proxy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Why am I receiving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VIH shareholders are being asked to consider and vote upon, among other proposals, a proposal to approve and adopt the Merger Agreement and approve the Proposed Transaction. The Merger Agreement provides for, among other things, the merger of Merger Sub with and into Bakkt, with Bakkt surviving the merger, in accordance with the terms and subject to the conditions of the Merger Agreement as more fully described elsewhere in this proxy statement/prospectus. See the section entitled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Business Combination Proposal</w:t>
            </w:r>
            <w:r>
              <w:rPr>
                <w:rFonts w:ascii="Times New Roman" w:hAnsi="Times New Roman"/>
                <w:sz w:val="20"/>
              </w:rPr>
              <w:t xml:space="preserve"> beginning on page 118 of this proxy statement/prospectus for more detail. </w:t>
            </w:r>
          </w:p>
        </w:tc>
      </w:tr>
    </w:tbl>
    <w:p>
      <w:pPr>
        <w:pStyle w:val="TextBody"/>
        <w:spacing w:before="120" w:after="0"/>
        <w:jc w:val="left"/>
        <w:rPr>
          <w:rFonts w:ascii="Times New Roman" w:hAnsi="Times New Roman"/>
          <w:sz w:val="20"/>
        </w:rPr>
      </w:pPr>
      <w:r>
        <w:rPr>
          <w:rFonts w:ascii="Times New Roman" w:hAnsi="Times New Roman"/>
          <w:sz w:val="20"/>
        </w:rPr>
        <w:t xml:space="preserve">A copy of the Merger Agreement is attached to this proxy statement/prospectus as </w:t>
      </w:r>
      <w:r>
        <w:rPr>
          <w:rFonts w:ascii="Times New Roman" w:hAnsi="Times New Roman"/>
          <w:i/>
          <w:sz w:val="20"/>
        </w:rPr>
        <w:t>Annex A-1</w:t>
      </w:r>
      <w:r>
        <w:rPr>
          <w:rFonts w:ascii="Times New Roman" w:hAnsi="Times New Roman"/>
          <w:sz w:val="20"/>
        </w:rPr>
        <w:t xml:space="preserve"> and </w:t>
      </w:r>
      <w:r>
        <w:rPr>
          <w:rFonts w:ascii="Times New Roman" w:hAnsi="Times New Roman"/>
          <w:i/>
          <w:sz w:val="20"/>
        </w:rPr>
        <w:t>Annex A-2</w:t>
      </w:r>
      <w:r>
        <w:rPr>
          <w:rFonts w:ascii="Times New Roman" w:hAnsi="Times New Roman"/>
          <w:sz w:val="20"/>
        </w:rPr>
        <w:t xml:space="preserve"> and you are encouraged to read it in its entirety. </w:t>
      </w:r>
    </w:p>
    <w:p>
      <w:pPr>
        <w:pStyle w:val="TextBody"/>
        <w:spacing w:before="120" w:after="0"/>
        <w:jc w:val="left"/>
        <w:rPr>
          <w:rFonts w:ascii="Times New Roman" w:hAnsi="Times New Roman"/>
          <w:sz w:val="20"/>
        </w:rPr>
      </w:pPr>
      <w:r>
        <w:rPr>
          <w:rFonts w:ascii="Times New Roman" w:hAnsi="Times New Roman"/>
          <w:sz w:val="20"/>
        </w:rPr>
        <w:t>As a condition to the Merger, VIH will change its jurisdiction of incorporation by effecting a deregistration under the Companies Act and a domestication under Section 388 of the DGCL, pursuant to which VIHs jurisdiction of incorporation will be changed from the Cayman Islands to the State of Delaware. In connection with the Domestication, (a) each VIH Unit issued and outstanding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par value $0.0001 per share, of VIH issued and outstanding immediately prior to the Domestication will be automatically converted into one Bakkt Pubco Class A Share, and (d) each VIH Warrant will be automatically converted into a redeemable Bakkt Pubco Warrant on the same terms as the VIH Warrants. See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Domestication Proposal</w:t>
      </w:r>
      <w:r>
        <w:rPr>
          <w:rFonts w:ascii="Times New Roman" w:hAnsi="Times New Roman"/>
          <w:sz w:val="20"/>
        </w:rPr>
        <w:t xml:space="preserve"> beginning on page 162 of this proxy statement/prospectus for additional information. </w:t>
      </w:r>
    </w:p>
    <w:p>
      <w:pPr>
        <w:pStyle w:val="TextBody"/>
        <w:spacing w:before="120" w:after="0"/>
        <w:jc w:val="left"/>
        <w:rPr>
          <w:rFonts w:ascii="Times New Roman" w:hAnsi="Times New Roman"/>
          <w:sz w:val="20"/>
        </w:rPr>
      </w:pPr>
      <w:r>
        <w:rPr>
          <w:rFonts w:ascii="Times New Roman" w:hAnsi="Times New Roman"/>
          <w:sz w:val="20"/>
        </w:rPr>
        <w:t xml:space="preserve">THE VOTE OF PUBLIC SHAREHOLDERS IS IMPORTANT. PUBLIC SHAREHOLDERS ARE ENCOURAGED TO VOTE AS SOON AS POSSIBLE AFTER CAREFULLY REVIEWING THIS PROXY STATEMENT/PROSPECTUS, INCLUDING THE ANNEXES AND THE ACCOMPANYING FINANCIAL STATEMENTS OF VIH AND BAKKT, CAREFULLY AND IN ITS ENTIRETY.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proposals are shareholders of VIH being asked to vote upon?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extraordinary general meeting, VIH is asking holders of VIH Shares to consider and vote upon: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Business Combination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Domestication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Stock Issuance Proposal;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Organizational Documents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Advisory Organizational Documents Proposals;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Bakkt Pubco Equity Incentive Plan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 Election Proposal;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Shareholder Adjournment Proposal, if presented. </w:t>
            </w:r>
          </w:p>
        </w:tc>
      </w:tr>
    </w:tbl>
    <w:p>
      <w:pPr>
        <w:pStyle w:val="TextBody"/>
        <w:spacing w:before="120" w:after="0"/>
        <w:jc w:val="left"/>
        <w:rPr>
          <w:rFonts w:ascii="Times New Roman" w:hAnsi="Times New Roman"/>
          <w:sz w:val="20"/>
        </w:rPr>
      </w:pPr>
      <w:r>
        <w:rPr>
          <w:rFonts w:ascii="Times New Roman" w:hAnsi="Times New Roman"/>
          <w:sz w:val="20"/>
        </w:rPr>
        <w:t>If VIHs shareholders do not approve each of the Condition Precedent Proposals, then unless certain conditions in the Merger Agreement are waived by the applicable parties to the Merger Agreement, the Merger Agreement could be terminated and the Proposed Transaction may not be consummated. See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Business Combination Proposal</w:t>
      </w:r>
      <w:r>
        <w:rPr>
          <w:rFonts w:ascii="Times New Roman" w:hAnsi="Times New Roman"/>
          <w:sz w:val="20"/>
        </w:rPr>
        <w:t>, </w:t>
      </w:r>
      <w:r>
        <w:rPr>
          <w:rFonts w:ascii="Times New Roman" w:hAnsi="Times New Roman"/>
          <w:i/>
          <w:sz w:val="20"/>
        </w:rPr>
        <w:t>The Domestication Proposal</w:t>
      </w:r>
      <w:r>
        <w:rPr>
          <w:rFonts w:ascii="Times New Roman" w:hAnsi="Times New Roman"/>
          <w:sz w:val="20"/>
        </w:rPr>
        <w:t>, </w:t>
      </w:r>
      <w:r>
        <w:rPr>
          <w:rFonts w:ascii="Times New Roman" w:hAnsi="Times New Roman"/>
          <w:i/>
          <w:sz w:val="20"/>
        </w:rPr>
        <w:t>The Stock Issuance Proposal</w:t>
      </w:r>
      <w:r>
        <w:rPr>
          <w:rFonts w:ascii="Times New Roman" w:hAnsi="Times New Roman"/>
          <w:sz w:val="20"/>
        </w:rPr>
        <w:t>, </w:t>
      </w:r>
      <w:r>
        <w:rPr>
          <w:rFonts w:ascii="Times New Roman" w:hAnsi="Times New Roman"/>
          <w:i/>
          <w:sz w:val="20"/>
        </w:rPr>
        <w:t>The Organizational Documents Proposal</w:t>
      </w:r>
      <w:r>
        <w:rPr>
          <w:rFonts w:ascii="Times New Roman" w:hAnsi="Times New Roman"/>
          <w:sz w:val="20"/>
        </w:rPr>
        <w:t>, and </w:t>
      </w:r>
      <w:r>
        <w:rPr>
          <w:rFonts w:ascii="Times New Roman" w:hAnsi="Times New Roman"/>
          <w:i/>
          <w:sz w:val="20"/>
        </w:rPr>
        <w:t>The Bakkt Pubco Equity Incentive Plan Proposal</w:t>
      </w:r>
      <w:r>
        <w:rPr>
          <w:rFonts w:ascii="Times New Roman" w:hAnsi="Times New Roman"/>
          <w:sz w:val="20"/>
        </w:rPr>
        <w:t xml:space="preserve"> beginning on pages 118, 162, 170, 172 and 184 of this proxy statement/prospectus, respectively. </w:t>
      </w:r>
    </w:p>
    <w:p>
      <w:pPr>
        <w:pStyle w:val="TextBody"/>
        <w:spacing w:before="120" w:after="0"/>
        <w:jc w:val="left"/>
        <w:rPr>
          <w:rFonts w:ascii="Times New Roman" w:hAnsi="Times New Roman"/>
          <w:sz w:val="20"/>
        </w:rPr>
      </w:pPr>
      <w:r>
        <w:rPr>
          <w:rFonts w:ascii="Times New Roman" w:hAnsi="Times New Roman"/>
          <w:sz w:val="20"/>
        </w:rPr>
        <w:t xml:space="preserve">VIH will hold the extraordinary general meeting to consider and vote upon these proposals. This proxy statement/prospectus contains important information about the Proposed Transaction and the other matters to be acted upon at the extraordinary general meeting. Shareholders of VIH should read it carefully. </w:t>
      </w:r>
    </w:p>
    <w:p>
      <w:pPr>
        <w:pStyle w:val="TextBody"/>
        <w:spacing w:before="120" w:after="0"/>
        <w:jc w:val="left"/>
        <w:rPr>
          <w:rFonts w:ascii="Times New Roman" w:hAnsi="Times New Roman"/>
          <w:b/>
          <w:sz w:val="20"/>
        </w:rPr>
      </w:pPr>
      <w:r>
        <w:rPr>
          <w:rFonts w:ascii="Times New Roman" w:hAnsi="Times New Roman"/>
          <w:b/>
          <w:sz w:val="20"/>
        </w:rPr>
        <w:t xml:space="preserve">After careful consideration, the VIH Board has determined that each of (a) the Business Combination Proposal, (b) the Domestication Proposal, (c) the Stock Issuance Proposal, (d) the Organizational Documents Proposal, (e) the Advisory Organizational Documents Proposals, (f) the Bakkt Pubco Equity Incentive Plan Proposal, (g) the Director Election Proposal, and (h) and the Shareholder Adjournment Proposal, if presented, are in the best interests of VIH and its shareholders and unanimously recommends that you vote or give instruction to vote FOR each of those proposals. </w:t>
      </w:r>
    </w:p>
    <w:p>
      <w:pPr>
        <w:pStyle w:val="TextBody"/>
        <w:spacing w:before="12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of these considerations.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Are the proposals conditioned on one another?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The Proposed Transaction is conditioned on the approval of each of the Condition Precedent Proposals at the extraordinary general meeting. Each of the Condition Precedent Proposals is cross-conditioned on the approval of each other. The Advisory Organizational Documents Proposals, the Director Election Proposal and the Shareholder Adjournment Proposal are not conditioned upon the approval of any other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Why is VIH proposing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was incorporated to effect a merger, share exchange, asset acquisition, share purchase, reorganization or similar business combination, with one or more businesses or entities. </w:t>
            </w:r>
          </w:p>
        </w:tc>
      </w:tr>
    </w:tbl>
    <w:p>
      <w:pPr>
        <w:pStyle w:val="TextBody"/>
        <w:spacing w:before="120" w:after="0"/>
        <w:jc w:val="left"/>
        <w:rPr>
          <w:rFonts w:ascii="Times New Roman" w:hAnsi="Times New Roman"/>
          <w:sz w:val="20"/>
        </w:rPr>
      </w:pPr>
      <w:r>
        <w:rPr>
          <w:rFonts w:ascii="Times New Roman" w:hAnsi="Times New Roman"/>
          <w:sz w:val="20"/>
        </w:rPr>
        <w:t xml:space="preserve">Bakkt is a provider of institutional and retail solutions for digital assets. Bakkt provides a mobile application enabling consumers to unlock the value of digital assets, including cryptocurrency, loyalty points, in-game assets, and gift cards, while giving merchants and loyalty program sponsors deeper customer engagement and delivering cost savings to merchants. Bakkt was founded in 2018 by ICE and is headquartered in Alpharetta, Georgia. </w:t>
      </w:r>
    </w:p>
    <w:p>
      <w:pPr>
        <w:pStyle w:val="TextBody"/>
        <w:spacing w:before="120" w:after="0"/>
        <w:jc w:val="left"/>
        <w:rPr>
          <w:rFonts w:ascii="Times New Roman" w:hAnsi="Times New Roman"/>
          <w:sz w:val="20"/>
        </w:rPr>
      </w:pPr>
      <w:r>
        <w:rPr>
          <w:rFonts w:ascii="Times New Roman" w:hAnsi="Times New Roman"/>
          <w:sz w:val="20"/>
        </w:rPr>
        <w:t xml:space="preserve">Based on its due diligence investigations of Bakkt and the industry in which it operates, including the financial and other information provided by Bakkt in the course of VIHs due diligence investigations, the VIH Board believes that the Proposed Transaction with Bakkt is in the best interests of VIH and 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shareholders and presents an opportunity to increase shareholder value. However, there is no assurance of this. See </w:t>
      </w:r>
      <w:r>
        <w:rPr>
          <w:rFonts w:ascii="Times New Roman" w:hAnsi="Times New Roman"/>
          <w:i/>
          <w:sz w:val="20"/>
        </w:rPr>
        <w:t>The Business Combination ProposalThe VIH Boards Reasons for the Approval of the Business Combination</w:t>
      </w:r>
      <w:r>
        <w:rPr>
          <w:rFonts w:ascii="Times New Roman" w:hAnsi="Times New Roman"/>
          <w:sz w:val="20"/>
        </w:rPr>
        <w:t xml:space="preserve"> beginning on page 151 of this proxy statement/prospectus for additional information. </w:t>
      </w:r>
    </w:p>
    <w:p>
      <w:pPr>
        <w:pStyle w:val="TextBody"/>
        <w:spacing w:before="120" w:after="0"/>
        <w:jc w:val="left"/>
        <w:rPr>
          <w:rFonts w:ascii="Times New Roman" w:hAnsi="Times New Roman"/>
          <w:sz w:val="20"/>
        </w:rPr>
      </w:pPr>
      <w:r>
        <w:rPr>
          <w:rFonts w:ascii="Times New Roman" w:hAnsi="Times New Roman"/>
          <w:sz w:val="20"/>
        </w:rPr>
        <w:t>Although the VIH Board believes that the Proposed Transaction with Bakkt presents a unique business combination opportunity and is in the best interests of VIH and its shareholders, the VIH Board did consider certain potentially material negative factors in arriving at that conclusion. These factors are discussed in greater detail in the section entitled </w:t>
      </w:r>
      <w:r>
        <w:rPr>
          <w:rFonts w:ascii="Times New Roman" w:hAnsi="Times New Roman"/>
          <w:i/>
          <w:sz w:val="20"/>
        </w:rPr>
        <w:t>The Business Combination ProposalThe VIH Boards Reasons for the Approval of the Business Combination</w:t>
      </w:r>
      <w:r>
        <w:rPr>
          <w:rFonts w:ascii="Times New Roman" w:hAnsi="Times New Roman"/>
          <w:sz w:val="20"/>
        </w:rPr>
        <w:t>, beginning on page 151 of this proxy statement/prospectus as well as in the sections entitled </w:t>
      </w:r>
      <w:r>
        <w:rPr>
          <w:rFonts w:ascii="Times New Roman" w:hAnsi="Times New Roman"/>
          <w:i/>
          <w:sz w:val="20"/>
        </w:rPr>
        <w:t>Risk FactorsRisks Related to Bakkts Business</w:t>
      </w:r>
      <w:r>
        <w:rPr>
          <w:rFonts w:ascii="Times New Roman" w:hAnsi="Times New Roman"/>
          <w:sz w:val="20"/>
        </w:rPr>
        <w:t xml:space="preserve"> beginning on page 68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will Bakkt Equity Holders receive in connection with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As a result of the Merger, the aggregate consideration to be received in respect of the Merger by all of the Bakkt Equity Holders will be an aggregate of 208,200,000 Bakkt Opco Common Units and 208,200,000 Bakkt Pubco Class V Shares, which will be non-economic, voting shares of Bakkt Pubco, subject to the allocation of a certain portion of those Bakkt Opco Common Units and Bakkt Pubco Class V Shares to the holders of Bakkt Warrants that do not exercise such warrants prior to the Closing. See </w:t>
            </w:r>
            <w:r>
              <w:rPr>
                <w:rFonts w:ascii="Times New Roman" w:hAnsi="Times New Roman"/>
                <w:i/>
                <w:sz w:val="20"/>
              </w:rPr>
              <w:t>The Business Combination ProposalMerger AgreementConsiderationTreatment of Bakkt Warrants</w:t>
            </w:r>
            <w:r>
              <w:rPr>
                <w:rFonts w:ascii="Times New Roman" w:hAnsi="Times New Roman"/>
                <w:sz w:val="20"/>
              </w:rPr>
              <w:t xml:space="preserve"> beginning on page 120 of this proxy statement/prospectus. </w:t>
            </w:r>
          </w:p>
        </w:tc>
      </w:tr>
    </w:tbl>
    <w:p>
      <w:pPr>
        <w:pStyle w:val="TextBody"/>
        <w:spacing w:before="120" w:after="0"/>
        <w:jc w:val="left"/>
        <w:rPr>
          <w:rFonts w:ascii="Times New Roman" w:hAnsi="Times New Roman"/>
          <w:sz w:val="20"/>
        </w:rPr>
      </w:pPr>
      <w:r>
        <w:rPr>
          <w:rFonts w:ascii="Times New Roman" w:hAnsi="Times New Roman"/>
          <w:sz w:val="20"/>
        </w:rPr>
        <w:t>Upon the Closing, Bakkt Pubco will be organized in an umbrella partnership-C corporation (or </w:t>
      </w:r>
      <w:r>
        <w:rPr>
          <w:rFonts w:ascii="Times New Roman" w:hAnsi="Times New Roman"/>
          <w:b/>
          <w:sz w:val="20"/>
        </w:rPr>
        <w:t>Up-C</w:t>
      </w:r>
      <w:r>
        <w:rPr>
          <w:rFonts w:ascii="Times New Roman" w:hAnsi="Times New Roman"/>
          <w:sz w:val="20"/>
        </w:rPr>
        <w:t xml:space="preserve">) structure in which substantially all of the assets and the business of Bakkt Pubco will be held by Bakkt Opco and its subsidiaries, and Bakkt Pubcos only direct assets will consist of Bakkt Opco Common Units. Assuming there are no Redemptions in connection with the Proposed Transaction, upon the Closing, Bakkt Pubco is expected to own approximately 22% of Bakkt Opco Common Units and will be the managing member of Bakkt Opco. All remaining Bakkt Opco Common Units will be owned by the Bakkt Equity Holders. </w:t>
      </w:r>
    </w:p>
    <w:p>
      <w:pPr>
        <w:pStyle w:val="TextBody"/>
        <w:spacing w:before="120" w:after="0"/>
        <w:jc w:val="left"/>
        <w:rPr>
          <w:rFonts w:ascii="Times New Roman" w:hAnsi="Times New Roman"/>
          <w:sz w:val="20"/>
        </w:rPr>
      </w:pPr>
      <w:r>
        <w:rPr>
          <w:rFonts w:ascii="Times New Roman" w:hAnsi="Times New Roman"/>
          <w:sz w:val="20"/>
        </w:rPr>
        <w:t>A Tax Receivable Agreement between the Company and the Bakkt Equity Holders to be entered into at the Closing provides for, among other things, payment by Bakkt Pubco to the Bakkt Equity Holders of 85% of the U.S. federal, state and local net income tax savings realized by Bakkt Pubco as a result of the increases in tax basis and certain other tax benefits related to the exchange of Bakkt Opco Common Units for Bakkt Pubco Class A Shares or the Cash Amount. For more information on the Tax Receivable Agreement, please see the section entitled </w:t>
      </w:r>
      <w:r>
        <w:rPr>
          <w:rFonts w:ascii="Times New Roman" w:hAnsi="Times New Roman"/>
          <w:i/>
          <w:sz w:val="20"/>
        </w:rPr>
        <w:t>The Business Combination ProposalRelated AgreementsTax Receivable Agreement</w:t>
      </w:r>
      <w:r>
        <w:rPr>
          <w:rFonts w:ascii="Times New Roman" w:hAnsi="Times New Roman"/>
          <w:sz w:val="20"/>
        </w:rPr>
        <w:t xml:space="preserve"> beginning on page 144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equity stake will current VIH shareholders and Bakkt Equity Holders hold in Bakkt Pubco immediately after the consummation of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is anticipated that, following the Proposed Transaction, (a) the Public Shareholders are expected to own approximately 8% of the outstanding Companys Shares, (b) Bakkt Equity Holders (without taking into account any Public Shares held by Bakkt Equity Holders prior to the consummation of the Proposed Transaction or purchased in the PIPE Investment) are expected to own approximately 78% of the outstanding Companys Shares, (c) the Sponsor and related parties are expected to collectively own approximately 2% of the outstanding Companys Shares and (d) the PIPE Investors are expected to own approximately 12% of the outstanding Companys Shares. These percentages assume (i) that no Public Shareholders exercise their Redemption Rights in connection with the Proposed Transaction and (ii) that Bakkt Pubco issues 32,500,000 of the Companys Shares to the PIPE Investors pursuant to the PIPE Investment. If the actual facts are different from these assumptions, the percentage ownership retained by the Companys existing shareholders in the Company will be different. If there are redemptions by the Public Shareholders up to the maximum level that would permit completion of the Business Combination, (a) the Public Shareholders will own approximately 4% of the outstanding Companys Shares, (b) Bakkt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Equity Holders (without taking into account any Public Shares held by Bakkt Equity Holders prior to the consummation of the Proposed Transaction or purchased in the PIPE Investment) will own approximately 81% of the outstanding Companys Shares, (c) the Sponsor and related parties will own approximately 2% of the outstanding Companys Shares and (d) the PIPE Investors will own approximately 13% of the outstanding Companys Shares. These percentages assume (i) that 10,737,202 Public Shareholders exercise their Redemption Rights in connection with the Proposed Transaction and (ii) that Bakkt Pubco issues 32,500,000 of the Companys Shares to the PIPE Investors pursuant to the PIPE Investment. </w:t>
            </w:r>
          </w:p>
        </w:tc>
      </w:tr>
    </w:tbl>
    <w:p>
      <w:pPr>
        <w:pStyle w:val="TextBody"/>
        <w:spacing w:before="120" w:after="0"/>
        <w:jc w:val="left"/>
        <w:rPr>
          <w:rFonts w:ascii="Times New Roman" w:hAnsi="Times New Roman"/>
          <w:sz w:val="20"/>
        </w:rPr>
      </w:pPr>
      <w:r>
        <w:rPr>
          <w:rFonts w:ascii="Times New Roman" w:hAnsi="Times New Roman"/>
          <w:sz w:val="20"/>
        </w:rPr>
        <w:t>All of the relative percentages above are for illustrative purposes only and are based upon certain assumptions as described in the section entitled </w:t>
      </w:r>
      <w:r>
        <w:rPr>
          <w:rFonts w:ascii="Times New Roman" w:hAnsi="Times New Roman"/>
          <w:i/>
          <w:sz w:val="20"/>
        </w:rPr>
        <w:t>Frequently Used TermsShare Calculations and Ownership Percentages</w:t>
      </w:r>
      <w:r>
        <w:rPr>
          <w:rFonts w:ascii="Times New Roman" w:hAnsi="Times New Roman"/>
          <w:sz w:val="20"/>
        </w:rPr>
        <w:t xml:space="preserve"> beginning on page 7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has the announcement of the Proposed Transaction affected the trading price of the VIH Class A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January 7, 2021, the last trading date prior to the publication of articles speculating about the Proposed Transaction, VIH Units, VIH Class A Ordinary Shares and Public Warrants closed at $11.06, $10.41 and $1.181, respectively. On January 8, 2021, the last trading date prior to the public announcement of the Proposed Transaction, VIH Units, VIH Class A Ordinary Shares and Public Warrants closed at $18.25, $16.48 and $4.55, respectively. As of March 29, 2021, the last trading day immediately prior to the date of this proxy statement/prospectus, the closing price for each VIH Unit, VIH Class A Ordinary Share and Public Warrant was $13.40, $11.92 and $2.45,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Will the Company obtain new financing in connection with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Yes. The PIPE Investors have agreed to purchase in the aggregate 32,500,000 shares of Bakkt Pubco Common Stock, for $325,000,000 of gross proceeds, in the PIPE Investment. See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Business Combination ProposalRelated AgreementsSubscription Agreements</w:t>
            </w:r>
            <w:r>
              <w:rPr>
                <w:rFonts w:ascii="Times New Roman" w:hAnsi="Times New Roman"/>
                <w:sz w:val="20"/>
              </w:rPr>
              <w:t xml:space="preserve"> beginning on page 145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Why is VIH proposing the Domestication?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VIH Board believes that there are significant advantages to us that will arise as a result of a change of VIHs domicile to the State of Delaware. Further, the VIH Board believes that any direct benefit that the DGCL provides to a corporation also indirectly benefits its stockholders, who are the owners of the corporation. The VIH Board believes that there are several reasons why a reincorporation in the State of Delaware is in the best interests of VIH and its shareholders, including (a) the prominence, predictability and flexibility of the DGCL, (b) Delawares well-established principles of corporate governance and (c) the increased ability for Delaware corporations to attract and retain qualified directors. Each of the foregoing are discussed in greater detail in the section entitled </w:t>
            </w:r>
            <w:r>
              <w:rPr>
                <w:rFonts w:ascii="Times New Roman" w:hAnsi="Times New Roman"/>
                <w:i/>
                <w:sz w:val="20"/>
              </w:rPr>
              <w:t>The Domestication ProposalReasons for the Domestication</w:t>
            </w:r>
            <w:r>
              <w:rPr>
                <w:rFonts w:ascii="Times New Roman" w:hAnsi="Times New Roman"/>
                <w:sz w:val="20"/>
              </w:rPr>
              <w:t xml:space="preserve"> beginning on page 162 of this proxy statement/prospectus. </w:t>
            </w:r>
          </w:p>
        </w:tc>
      </w:tr>
    </w:tbl>
    <w:p>
      <w:pPr>
        <w:pStyle w:val="TextBody"/>
        <w:spacing w:before="120" w:after="0"/>
        <w:jc w:val="left"/>
        <w:rPr>
          <w:rFonts w:ascii="Times New Roman" w:hAnsi="Times New Roman"/>
          <w:sz w:val="20"/>
        </w:rPr>
      </w:pPr>
      <w:r>
        <w:rPr>
          <w:rFonts w:ascii="Times New Roman" w:hAnsi="Times New Roman"/>
          <w:sz w:val="20"/>
        </w:rPr>
        <w:t xml:space="preserve">To effect the Domestication, VIH will file a notice of deregistration with the Cayman Islands Registrar of Companies, together with the necessary accompanying documents, and file the Proposed Certificate of Incorporation and a certificate of corporate domestication with the Secretary of State of the State of Delaware, under which VIH will be domesticated and continue as a Delaware corporation. </w:t>
      </w:r>
    </w:p>
    <w:p>
      <w:pPr>
        <w:pStyle w:val="TextBody"/>
        <w:spacing w:before="120" w:after="0"/>
        <w:jc w:val="left"/>
        <w:rPr>
          <w:rFonts w:ascii="Times New Roman" w:hAnsi="Times New Roman"/>
          <w:sz w:val="20"/>
        </w:rPr>
      </w:pPr>
      <w:r>
        <w:rPr>
          <w:rFonts w:ascii="Times New Roman" w:hAnsi="Times New Roman"/>
          <w:sz w:val="20"/>
        </w:rPr>
        <w:t xml:space="preserve">The approval of the Domestication Proposal is a condition to the closing of the Merger under the Merger Agreement. The approval of the Domestication Proposal requires a special resolution under the Companies Act, being the affirmative vote of the holders of a majority of at least two-thirds of the VIH Shares who, being present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Class A Ordinary Share for the purposes of the Domestication Proposal. Holders of VIH Class B Ordinary Shares and VIH Class A Ordinary Shares will have one vote per share on all other proposals. Abstentions and broker non-votes, while considered present for the purposes of establishing a quorum, will not count as votes cast at the extraordinary general meeting and otherwise will have no effect on a particular proposal.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amendments will be made to the Cayman Constitutional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consummation of the Proposed Transaction is conditioned, among other things, on the Domestication. Accordingly, in addition to voting on the Proposed Transaction, VIHs shareholders are also being asked to consider and vote upon a proposal to approve the Domestication and replace the Cayman Constitutional Documents, in each case, under the Companies Act, with the Proposed Certificate of Incorporation and the Proposed By-Laws, in each case, under the DGCL, which differ materially from the Cayman Constitutional Documents. These differences are discussed in greater detail in the section entitled </w:t>
            </w:r>
            <w:r>
              <w:rPr>
                <w:rFonts w:ascii="Times New Roman" w:hAnsi="Times New Roman"/>
                <w:i/>
                <w:sz w:val="20"/>
              </w:rPr>
              <w:t>The Domestication Proposal</w:t>
            </w:r>
            <w:r>
              <w:rPr>
                <w:rFonts w:ascii="Times New Roman" w:hAnsi="Times New Roman"/>
                <w:sz w:val="20"/>
              </w:rPr>
              <w:t xml:space="preserve"> beginning on page 162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will the Domestication affect my VIH Class A Ordinary Shares, VIH Warrants and VIH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a result of and upon the effective time of the Domestication, (a) each VIH Unit issued and outstanding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issued and outstanding immediately prior to the Domestication will be automatically converted into one Bakkt Pubco Class A Share, (d) each VIH Warrant will be automatically converted into a redeemable Bakkt Pubco Warrant on the same terms as the VIH Warrants, and (e) each Private Placement Warrant issued and outstanding prior to the Domestication will be automatically converted into a warrant exercisable for one Bakkt Pubco Class A Share on the terms and subject to the conditions set forth in the applicable warrant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Domestication?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As discussed more fully under </w:t>
            </w:r>
            <w:r>
              <w:rPr>
                <w:rFonts w:ascii="Times New Roman" w:hAnsi="Times New Roman"/>
                <w:i/>
                <w:sz w:val="20"/>
              </w:rPr>
              <w:t>U.S. Federal Income Tax Considerations</w:t>
            </w:r>
            <w:r>
              <w:rPr>
                <w:rFonts w:ascii="Times New Roman" w:hAnsi="Times New Roman"/>
                <w:sz w:val="20"/>
              </w:rPr>
              <w:t> beginning on page 195 of this proxy statement/prospectus, VIH intends for the Domestication to qualify as a reorganization within the meaning of Section 368(a)(l)(F) of the U.S. Internal Revenue Code of 1986, as amended (the </w:t>
            </w:r>
            <w:r>
              <w:rPr>
                <w:rFonts w:ascii="Times New Roman" w:hAnsi="Times New Roman"/>
                <w:b/>
                <w:sz w:val="20"/>
              </w:rPr>
              <w:t>Code</w:t>
            </w:r>
            <w:r>
              <w:rPr>
                <w:rFonts w:ascii="Times New Roman" w:hAnsi="Times New Roman"/>
                <w:sz w:val="20"/>
              </w:rPr>
              <w:t>). Assuming that the Domestication so qualifies, and subject to the passive foreign investment company (</w:t>
            </w:r>
            <w:r>
              <w:rPr>
                <w:rFonts w:ascii="Times New Roman" w:hAnsi="Times New Roman"/>
                <w:b/>
                <w:sz w:val="20"/>
              </w:rPr>
              <w:t>PFIC</w:t>
            </w:r>
            <w:r>
              <w:rPr>
                <w:rFonts w:ascii="Times New Roman" w:hAnsi="Times New Roman"/>
                <w:sz w:val="20"/>
              </w:rPr>
              <w:t>) rules discussed below and under </w:t>
            </w:r>
            <w:r>
              <w:rPr>
                <w:rFonts w:ascii="Times New Roman" w:hAnsi="Times New Roman"/>
                <w:i/>
                <w:sz w:val="20"/>
              </w:rPr>
              <w:t>U.S. Federal Income Tax ConsiderationsU.S. HoldersTax Effects of the Domestication to U.S. HoldersPFIC Considerations</w:t>
            </w:r>
            <w:r>
              <w:rPr>
                <w:rFonts w:ascii="Times New Roman" w:hAnsi="Times New Roman"/>
                <w:sz w:val="20"/>
              </w:rPr>
              <w:t> beginning on page 200 of this proxy statement/prospectus, U.S. Holders (as defined in </w:t>
            </w:r>
            <w:r>
              <w:rPr>
                <w:rFonts w:ascii="Times New Roman" w:hAnsi="Times New Roman"/>
                <w:i/>
                <w:sz w:val="20"/>
              </w:rPr>
              <w:t>U.S. Federal Income Tax Considerations</w:t>
            </w:r>
            <w:r>
              <w:rPr>
                <w:rFonts w:ascii="Times New Roman" w:hAnsi="Times New Roman"/>
                <w:sz w:val="20"/>
              </w:rPr>
              <w:t xml:space="preserve">U.S. Holders) beginning on page 196 of this proxy statement/prospectus will be subject to Section 367(b) of the Code and, as a result: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U.S. Holder who beneficially owns (directly, indirectly or constructively) 10% or more of the total combined voting power of all classes of VIH Shares entitled to vote or 10% or more of the total value of all classes of VIH Shares (a </w:t>
            </w:r>
            <w:r>
              <w:rPr>
                <w:rFonts w:ascii="Times New Roman" w:hAnsi="Times New Roman"/>
                <w:b/>
                <w:sz w:val="20"/>
              </w:rPr>
              <w:t>10% U.S. Shareholder</w:t>
            </w:r>
            <w:r>
              <w:rPr>
                <w:rFonts w:ascii="Times New Roman" w:hAnsi="Times New Roman"/>
                <w:sz w:val="20"/>
              </w:rPr>
              <w:t xml:space="preserve">) on the date of the Domestication must include in income as a dividend deemed paid by VIH the all earnings and profits amount attributable to the VIH Class A Ordinary Shares it directly owns within the meaning of Treasury Regulations under Section 367 of the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U.S. Holder whose VIH Class A Ordinary Shares have a fair market value of $50,000 or more and who, on the date of the Domestication, is not a 10% U.S. Shareholder will recognize gain (but not loss) with respect to its VIH Class A Ordinary Shares in the Domestication or, in the alternative, may elect to recognize the all earnings and profits amount attributable to such U.S. Holders VIH Class A Ordinary Shares;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U.S. Holder whose VIH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 </w:t>
            </w:r>
          </w:p>
        </w:tc>
      </w:tr>
    </w:tbl>
    <w:p>
      <w:pPr>
        <w:pStyle w:val="TextBody"/>
        <w:spacing w:before="120" w:after="0"/>
        <w:jc w:val="left"/>
        <w:rPr>
          <w:rFonts w:ascii="Times New Roman" w:hAnsi="Times New Roman"/>
          <w:sz w:val="20"/>
        </w:rPr>
      </w:pPr>
      <w:r>
        <w:rPr>
          <w:rFonts w:ascii="Times New Roman" w:hAnsi="Times New Roman"/>
          <w:sz w:val="20"/>
        </w:rPr>
        <w:t xml:space="preserve">VIH does not expect to have significant cumulative earnings and profits, if any, on the date of the Domestication. </w:t>
      </w:r>
    </w:p>
    <w:p>
      <w:pPr>
        <w:pStyle w:val="TextBody"/>
        <w:spacing w:before="120" w:after="0"/>
        <w:jc w:val="left"/>
        <w:rPr>
          <w:rFonts w:ascii="Times New Roman" w:hAnsi="Times New Roman"/>
          <w:sz w:val="20"/>
        </w:rPr>
      </w:pPr>
      <w:r>
        <w:rPr>
          <w:rFonts w:ascii="Times New Roman" w:hAnsi="Times New Roman"/>
          <w:sz w:val="20"/>
        </w:rPr>
        <w:t>As discussed more fully under </w:t>
      </w:r>
      <w:r>
        <w:rPr>
          <w:rFonts w:ascii="Times New Roman" w:hAnsi="Times New Roman"/>
          <w:i/>
          <w:sz w:val="20"/>
        </w:rPr>
        <w:t>U.S. Federal Income Tax ConsiderationsU.S. HoldersTax Effects of the Domestication to U.S. HoldersPFIC Considerations</w:t>
      </w:r>
      <w:r>
        <w:rPr>
          <w:rFonts w:ascii="Times New Roman" w:hAnsi="Times New Roman"/>
          <w:sz w:val="20"/>
        </w:rPr>
        <w:t> beginning on page 200 of this proxy statement/prospectus,VIH believes that it is likely classified as a PFIC for U.S. federal income tax purposes. In such a case, notwithstanding the U.S. federal income tax consequences of the Domestication discussed in the foregoing, proposed Treasury Regulations under Section 1291(f) of the Code (which have a retroactive effective date), if finalized in their current form, generally would require a U.S. Holder to recognize gain on the exchange of VIH Class A Ordinary Shares or VIH Warrants for Bakkt Pubco Common Stock or Bakkt Pubco Warrants pursuant to the Domestication. Any such gain would be taxable income with no corresponding receipt of cash in the Domestication. The tax on any such gain would be imposed at the rate applicable to ordinary income and an interest charge would apply based on a complex set of rules. In addition, the proposed Treasury Regulations provide coordinating rules with other sections of the Code, including Section 367(b), which affect the manner in which the rules under such other sections apply to transfers of PFIC stock. However, it is difficult to predict whether, in what form, and with what effective date, final Treasury Regulations under Section 1291(f) of the Code may be adopted and how any such Treasury Regulations would apply. Importantly, however, U.S. Holders that make or have made certain elections discussed further under </w:t>
      </w:r>
      <w:r>
        <w:rPr>
          <w:rFonts w:ascii="Times New Roman" w:hAnsi="Times New Roman"/>
          <w:i/>
          <w:sz w:val="20"/>
        </w:rPr>
        <w:t>U.S. Federal Income Tax ConsiderationsU.S. HoldersTax Effects of the Domestication to U.S. HoldersPFIC ConsiderationsQEF Election and Mark-to-Market Election</w:t>
      </w:r>
      <w:r>
        <w:rPr>
          <w:rFonts w:ascii="Times New Roman" w:hAnsi="Times New Roman"/>
          <w:sz w:val="20"/>
        </w:rPr>
        <w:t> with respect to their VIH Class A Ordinary Shares are generally not subject to the same gain recognition rules under the currently proposed Treasury Regulations under Section 1291(f) of the Code. Currently, there are no elections available that apply to VIH Warrants, and the application of the PFIC rules to VIH Warrants is unclear. For a more complete discussion of the potential application of the PFIC rules to U.S. Holders as a result of the Domestication, see </w:t>
      </w:r>
      <w:r>
        <w:rPr>
          <w:rFonts w:ascii="Times New Roman" w:hAnsi="Times New Roman"/>
          <w:i/>
          <w:sz w:val="20"/>
        </w:rPr>
        <w:t>U.S. Federal Income Tax ConsiderationsU.S. Holders</w:t>
      </w:r>
      <w:r>
        <w:rPr>
          <w:rFonts w:ascii="Times New Roman" w:hAnsi="Times New Roman"/>
          <w:sz w:val="20"/>
        </w:rPr>
        <w:t xml:space="preserve"> beginning on page 196 of this proxy statement/prospectus. </w:t>
      </w:r>
    </w:p>
    <w:p>
      <w:pPr>
        <w:pStyle w:val="TextBody"/>
        <w:spacing w:before="120" w:after="0"/>
        <w:jc w:val="left"/>
        <w:rPr>
          <w:rFonts w:ascii="Times New Roman" w:hAnsi="Times New Roman"/>
          <w:sz w:val="20"/>
        </w:rPr>
      </w:pPr>
      <w:r>
        <w:rPr>
          <w:rFonts w:ascii="Times New Roman" w:hAnsi="Times New Roman"/>
          <w:sz w:val="20"/>
        </w:rPr>
        <w:t xml:space="preserve">Each U.S. Holder is urged to consult its own tax advisor concerning the application of the PFIC rules, including the proposed Treasury Regulations, to the exchange of VIH Class A Ordinary Shares and VIH Warrants for Bakkt Pubco Common Stock and Bakkt Pubco Warrants pursuant to the Domestication. </w:t>
      </w:r>
    </w:p>
    <w:p>
      <w:pPr>
        <w:pStyle w:val="TextBody"/>
        <w:spacing w:before="120" w:after="0"/>
        <w:jc w:val="left"/>
        <w:rPr>
          <w:rFonts w:ascii="Times New Roman" w:hAnsi="Times New Roman"/>
          <w:sz w:val="20"/>
        </w:rPr>
      </w:pPr>
      <w:r>
        <w:rPr>
          <w:rFonts w:ascii="Times New Roman" w:hAnsi="Times New Roman"/>
          <w:sz w:val="20"/>
        </w:rPr>
        <w:t>Additionally, the Domestication may cause Non-U.S. Holders (as defined in </w:t>
      </w:r>
      <w:r>
        <w:rPr>
          <w:rFonts w:ascii="Times New Roman" w:hAnsi="Times New Roman"/>
          <w:i/>
          <w:sz w:val="20"/>
        </w:rPr>
        <w:t>U.S. Federal Income Tax Considerations</w:t>
      </w:r>
      <w:r>
        <w:rPr>
          <w:rFonts w:ascii="Times New Roman" w:hAnsi="Times New Roman"/>
          <w:sz w:val="20"/>
        </w:rPr>
        <w:t xml:space="preserve">Non-U.S. Holders beginning on page 205 of this proxy statement/prospectus) to become subject to U.S. federal income withholding taxes on any amounts treated as dividends paid in respect of such Non-U.S. Holders Bakkt Pubco Common Stock after the Domestication. </w:t>
      </w:r>
    </w:p>
    <w:p>
      <w:pPr>
        <w:pStyle w:val="TextBody"/>
        <w:spacing w:before="120" w:after="0"/>
        <w:jc w:val="left"/>
        <w:rPr>
          <w:rFonts w:ascii="Times New Roman" w:hAnsi="Times New Roman"/>
          <w:sz w:val="20"/>
        </w:rPr>
      </w:pPr>
      <w:r>
        <w:rPr>
          <w:rFonts w:ascii="Times New Roman" w:hAnsi="Times New Roman"/>
          <w:sz w:val="20"/>
        </w:rPr>
        <w:t>The tax consequences of the Domestication are complex and will depend on a holders particular circumstances. All holders are urged to consult their tax advisor regarding the tax consequences to them of the Domestication, including the applicability and effect of U.S. federal, state, local and non-U.S. tax laws. For a more complete discussion of the U.S. federal income tax considerations of the Domestication, see </w:t>
      </w:r>
      <w:r>
        <w:rPr>
          <w:rFonts w:ascii="Times New Roman" w:hAnsi="Times New Roman"/>
          <w:i/>
          <w:sz w:val="20"/>
        </w:rPr>
        <w:t>U.S. Federal Income Tax Considerations</w:t>
      </w:r>
      <w:r>
        <w:rPr>
          <w:rFonts w:ascii="Times New Roman" w:hAnsi="Times New Roman"/>
          <w:sz w:val="20"/>
        </w:rPr>
        <w:t xml:space="preserve"> beginning on page 195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bookmarkStart w:id="9" w:name="1f"/>
            <w:bookmarkEnd w:id="9"/>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Do I have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you are a holder of Public Shares, you have the right to request that we redeem all or a portion of your Public Shares for cash provided that you follow the procedures and deadlines described elsewhere in this proxy statement/prospectus. Public Shareholders may elect to redeem all or a portion of the Public Shares held by them regardless of if or how they vote in respect of the Business Combination Proposal. If you wish to exercise your Redemption Rights, please see the answer to the next question: </w:t>
            </w:r>
            <w:r>
              <w:rPr>
                <w:rFonts w:ascii="Times New Roman" w:hAnsi="Times New Roman"/>
                <w:i/>
                <w:sz w:val="20"/>
              </w:rPr>
              <w:t>How do I exercise my Redemption Rights?</w:t>
            </w:r>
            <w:r>
              <w:rPr>
                <w:rFonts w:ascii="Times New Roman" w:hAnsi="Times New Roman"/>
                <w:sz w:val="20"/>
              </w:rPr>
              <w:t xml:space="preserve"> beginning on page 18 of this proxy statement/prospectus.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spacing w:before="120" w:after="0"/>
        <w:jc w:val="left"/>
        <w:rPr>
          <w:rFonts w:ascii="Times New Roman" w:hAnsi="Times New Roman"/>
          <w:sz w:val="20"/>
        </w:rPr>
      </w:pPr>
      <w:r>
        <w:rPr>
          <w:rFonts w:ascii="Times New Roman" w:hAnsi="Times New Roman"/>
          <w:sz w:val="20"/>
        </w:rPr>
        <w:t xml:space="preserve">The Sponsor has agreed to waive its Redemption Rights with respect to all of the Founder Shares in connection with the consummation of the Proposed Transaction. The Founder Shares will be excluded from the </w:t>
      </w:r>
      <w:r>
        <w:rPr>
          <w:rFonts w:ascii="Times New Roman" w:hAnsi="Times New Roman"/>
          <w:i/>
          <w:sz w:val="20"/>
        </w:rPr>
        <w:t>pro rata</w:t>
      </w:r>
      <w:r>
        <w:rPr>
          <w:rFonts w:ascii="Times New Roman" w:hAnsi="Times New Roman"/>
          <w:sz w:val="20"/>
        </w:rPr>
        <w:t xml:space="preserve"> calculation used to determine the per-share Redemption Price.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bookmarkStart w:id="10" w:name="8a"/>
            <w:bookmarkEnd w:id="10"/>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do I exercise my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are a Public Shareholder and wish to exercise your right to redeem the Public Shares, you must: </w:t>
            </w:r>
          </w:p>
        </w:tc>
      </w:tr>
    </w:tbl>
    <w:p>
      <w:pPr>
        <w:pStyle w:val="TextBody"/>
        <w:spacing w:before="120" w:after="0"/>
        <w:jc w:val="left"/>
        <w:rPr>
          <w:rFonts w:ascii="Times New Roman" w:hAnsi="Times New Roman"/>
          <w:sz w:val="20"/>
        </w:rPr>
      </w:pPr>
      <w:r>
        <w:rPr>
          <w:rFonts w:ascii="Times New Roman" w:hAnsi="Times New Roman"/>
          <w:sz w:val="20"/>
        </w:rPr>
        <w:t xml:space="preserve">(a) hold Public Shares, you elect to separate your VIH Units into the underlying Public Shares and Public Warrants prior to exercising your Redemption Rights with respect to the Public Shares; </w:t>
      </w:r>
    </w:p>
    <w:p>
      <w:pPr>
        <w:pStyle w:val="TextBody"/>
        <w:spacing w:before="120" w:after="0"/>
        <w:jc w:val="left"/>
        <w:rPr>
          <w:rFonts w:ascii="Times New Roman" w:hAnsi="Times New Roman"/>
          <w:sz w:val="20"/>
        </w:rPr>
      </w:pPr>
      <w:r>
        <w:rPr>
          <w:rFonts w:ascii="Times New Roman" w:hAnsi="Times New Roman"/>
          <w:sz w:val="20"/>
        </w:rPr>
        <w:t xml:space="preserve">(b) submit a written request to the Transfer Agent, that Bakkt Pubco redeem all or a portion of your Public Shares for cash; and </w:t>
      </w:r>
    </w:p>
    <w:p>
      <w:pPr>
        <w:pStyle w:val="TextBody"/>
        <w:spacing w:before="120" w:after="0"/>
        <w:jc w:val="left"/>
        <w:rPr>
          <w:rFonts w:ascii="Times New Roman" w:hAnsi="Times New Roman"/>
          <w:sz w:val="20"/>
        </w:rPr>
      </w:pPr>
      <w:r>
        <w:rPr>
          <w:rFonts w:ascii="Times New Roman" w:hAnsi="Times New Roman"/>
          <w:sz w:val="20"/>
        </w:rPr>
        <w:t>(c) deliver your share certificates for Public Shares (if any) along with the redemption forms to the Transfer Agent, physically or electronically through The Depository Trust Company (</w:t>
      </w:r>
      <w:r>
        <w:rPr>
          <w:rFonts w:ascii="Times New Roman" w:hAnsi="Times New Roman"/>
          <w:b/>
          <w:sz w:val="20"/>
        </w:rPr>
        <w:t>DTC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Holders must complete the procedures for electing to redeem their Public Shares in the manner described above prior to [●], Eastern Time, on [●], 2021 (two business days before the extraordinary general meeting) in order for their shares to be redeemed. </w:t>
      </w:r>
    </w:p>
    <w:p>
      <w:pPr>
        <w:pStyle w:val="TextBody"/>
        <w:spacing w:before="120" w:after="0"/>
        <w:jc w:val="left"/>
        <w:rPr>
          <w:rFonts w:ascii="Times New Roman" w:hAnsi="Times New Roman"/>
          <w:sz w:val="20"/>
        </w:rPr>
      </w:pPr>
      <w:r>
        <w:rPr>
          <w:rFonts w:ascii="Times New Roman" w:hAnsi="Times New Roman"/>
          <w:sz w:val="20"/>
        </w:rPr>
        <w:t>The address of the Transfer Agent is listed under the question </w:t>
      </w:r>
      <w:r>
        <w:rPr>
          <w:rFonts w:ascii="Times New Roman" w:hAnsi="Times New Roman"/>
          <w:i/>
          <w:sz w:val="20"/>
        </w:rPr>
        <w:t>Who can help answer my questions?</w:t>
      </w:r>
      <w:r>
        <w:rPr>
          <w:rFonts w:ascii="Times New Roman" w:hAnsi="Times New Roman"/>
          <w:sz w:val="20"/>
        </w:rPr>
        <w:t xml:space="preserve"> beginning on page 28 of this proxy statement/prospectus. </w:t>
      </w:r>
    </w:p>
    <w:p>
      <w:pPr>
        <w:pStyle w:val="TextBody"/>
        <w:spacing w:before="120" w:after="0"/>
        <w:jc w:val="left"/>
        <w:rPr>
          <w:rFonts w:ascii="Times New Roman" w:hAnsi="Times New Roman"/>
          <w:sz w:val="20"/>
        </w:rPr>
      </w:pPr>
      <w:r>
        <w:rPr>
          <w:rFonts w:ascii="Times New Roman" w:hAnsi="Times New Roman"/>
          <w:sz w:val="20"/>
        </w:rPr>
        <w:t xml:space="preserve">Holders of VIH Units must elect to separate the VIH Units into the underlying Public Shares and Public Warrants prior to exercising Redemption Rights with respect to the Public Shares. If holders hold their VIH Units in an account at a brokerage firm or bank, holders must notify their broker or bank that they elect to separate the VIH Units into the underlying Public Shares and Public Warrants, or if a holder holds VIH Units registered in its own name, the holder must contact the Transfer Agent, directly and instruct them to do so. </w:t>
      </w:r>
    </w:p>
    <w:p>
      <w:pPr>
        <w:pStyle w:val="TextBody"/>
        <w:spacing w:before="120" w:after="0"/>
        <w:jc w:val="left"/>
        <w:rPr>
          <w:rFonts w:ascii="Times New Roman" w:hAnsi="Times New Roman"/>
          <w:sz w:val="20"/>
        </w:rPr>
      </w:pPr>
      <w:r>
        <w:rPr>
          <w:rFonts w:ascii="Times New Roman" w:hAnsi="Times New Roman"/>
          <w:sz w:val="20"/>
        </w:rPr>
        <w:t xml:space="preserve">Public Shareholders will be entitled to request that their Public Shares be redeemed for the Redemption Price. For illustrative purposes, as of March 29, 2021, this would have amounted to approximately $10.00 per issued and outstanding Public Share. However, the proceeds deposited in the Trust Account could become subject to the claims of VIHs creditors, if any, which could have priority over the claims of the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Proposed Transaction. </w:t>
      </w:r>
    </w:p>
    <w:p>
      <w:pPr>
        <w:pStyle w:val="TextBody"/>
        <w:spacing w:before="120" w:after="0"/>
        <w:jc w:val="left"/>
        <w:rPr>
          <w:rFonts w:ascii="Times New Roman" w:hAnsi="Times New Roman"/>
          <w:sz w:val="20"/>
        </w:rPr>
      </w:pPr>
      <w:r>
        <w:rPr>
          <w:rFonts w:ascii="Times New Roman" w:hAnsi="Times New Roman"/>
          <w:sz w:val="20"/>
        </w:rPr>
        <w:t xml:space="preserve">A VIH shareholder may not withdraw a request for Redemption once submitted to VIH unless the VIH Board determines (in its sole discretion) to permit the withdrawal of such request for Redemption (which it may do in whole or in part). Furthermore, if a holder of a Public Share delivers its share certificates (if any) along with the redemption forms in connection with an election of its Redemption and subsequently decides prior to the applicable date not to elect to exercise such rights, it may simply request that VIH permit the withdrawal of the request for Redemption and instruct the Transfer Agent, to return the share certificates (physically or electronically). The holder can make such request by contacting the Transfer Agent, at the address or email address listed in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corrected or changed written exercise of Redemption Rights must be received by the Transfer Agent, prior to the vote taken on the Business Combination Proposal at the extraordinary general meeting. No request for Redemption will be honored unless the holders certificates for Public Shares (if any) along with the redemption forms have been delivered (either physically or electronically) to the Transfer Agent, at least two business days prior to the vote at the extraordinary general meeting. </w:t>
      </w:r>
    </w:p>
    <w:p>
      <w:pPr>
        <w:pStyle w:val="TextBody"/>
        <w:spacing w:before="120" w:after="0"/>
        <w:jc w:val="left"/>
        <w:rPr>
          <w:rFonts w:ascii="Times New Roman" w:hAnsi="Times New Roman"/>
          <w:sz w:val="20"/>
        </w:rPr>
      </w:pPr>
      <w:r>
        <w:rPr>
          <w:rFonts w:ascii="Times New Roman" w:hAnsi="Times New Roman"/>
          <w:sz w:val="20"/>
        </w:rPr>
        <w:t xml:space="preserve">If a holder of Public Shares properly makes a request for Redemption and the certificates for Public Shares (if any) along with the redemption forms are delivered as described above, then, if the Proposed Transaction is consummated, Bakkt Pubco will redeem the Public Shares for a </w:t>
      </w:r>
      <w:r>
        <w:rPr>
          <w:rFonts w:ascii="Times New Roman" w:hAnsi="Times New Roman"/>
          <w:i/>
          <w:sz w:val="20"/>
        </w:rPr>
        <w:t>pro rata</w:t>
      </w:r>
      <w:r>
        <w:rPr>
          <w:rFonts w:ascii="Times New Roman" w:hAnsi="Times New Roman"/>
          <w:sz w:val="20"/>
        </w:rPr>
        <w:t xml:space="preserve"> portion of funds deposited in the Trust Account, calculated as of two business days prior to the consummation of the Proposed Transaction. The Redemption will take place following the Domestication and, accordingly, it is shares of Bakkt Pubco Common Stock that will be redeemed immediately after consummation of the Proposed Transaction. If the Proposed Transaction is not consummated, the Public Shares will be returned to the respective holder, broker or bank. </w:t>
      </w:r>
    </w:p>
    <w:p>
      <w:pPr>
        <w:pStyle w:val="TextBody"/>
        <w:spacing w:before="120" w:after="0"/>
        <w:jc w:val="left"/>
        <w:rPr>
          <w:rFonts w:ascii="Times New Roman" w:hAnsi="Times New Roman"/>
          <w:sz w:val="20"/>
        </w:rPr>
      </w:pPr>
      <w:r>
        <w:rPr>
          <w:rFonts w:ascii="Times New Roman" w:hAnsi="Times New Roman"/>
          <w:sz w:val="20"/>
        </w:rPr>
        <w:t xml:space="preserve">If you are a holder of Public Shares and you exercise your Redemption Rights, such exercise will not result in the loss of any warrants that you may hold.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If I am a holder of VIH Units, can I exercise Redemption Rights with respect to my VIH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Holders of issued and outstanding VIH Units must elect to separate the VIH Units into the underlying Public Shares and Public Warrants prior to exercising Redemption Rights with respect to the Public Shares. If you hold your VIH Units in an account at a brokerage firm or bank, you must notify your broker or bank that you elect to separate the VIH Units into the underlying Public Shares and Public Warrants, or if you hold VIH Units registered in your own name, you must contact the Transfer Agent, directly and instruct them to do so. You are requested to cause your Public Shares to be separated and delivered to the Transfer Agent, along with the redemption forms by [●], Eastern Time, on [●], 2021 (two business days before the extraordinary general meeting) in order to exercise your Redemption Rights with respect to your Public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are the U.S. federal income tax consequences of exercising my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U.S. federal income tax consequences of exercising your Redemption Rights with respect to your Public Shares to receive cash from the Trust Account in exchange for Public Shares depend on your particular facts and circumstances. It is possible that you may be treated as selling such Public Shares and, as a result, recognize capital gain or capital loss. It is also possible that the Redemption may be treated as a distribution for U.S. federal income tax purposes depending on the amount of Public Shares that you own or are deemed to own (including through the ownership of VIH Warrants). For a more complete discussion of the U.S. federal income tax considerations of an exercise of Redemption Rights, see </w:t>
            </w:r>
            <w:r>
              <w:rPr>
                <w:rFonts w:ascii="Times New Roman" w:hAnsi="Times New Roman"/>
                <w:i/>
                <w:sz w:val="20"/>
              </w:rPr>
              <w:t>U.S. Federal Income Tax Considerations</w:t>
            </w:r>
            <w:r>
              <w:rPr>
                <w:rFonts w:ascii="Times New Roman" w:hAnsi="Times New Roman"/>
                <w:sz w:val="20"/>
              </w:rPr>
              <w:t xml:space="preserve"> beginning on page 195 of this proxy statement/prospectus. </w:t>
            </w:r>
          </w:p>
        </w:tc>
      </w:tr>
    </w:tbl>
    <w:p>
      <w:pPr>
        <w:pStyle w:val="TextBody"/>
        <w:spacing w:before="120" w:after="0"/>
        <w:jc w:val="left"/>
        <w:rPr>
          <w:rFonts w:ascii="Times New Roman" w:hAnsi="Times New Roman"/>
          <w:sz w:val="20"/>
        </w:rPr>
      </w:pPr>
      <w:r>
        <w:rPr>
          <w:rFonts w:ascii="Times New Roman" w:hAnsi="Times New Roman"/>
          <w:sz w:val="20"/>
        </w:rPr>
        <w:t>Additionally, because the Domestication will occur prior to the Redemption of any Public Shareholder, U.S. Holders (as defined in </w:t>
      </w:r>
      <w:r>
        <w:rPr>
          <w:rFonts w:ascii="Times New Roman" w:hAnsi="Times New Roman"/>
          <w:i/>
          <w:sz w:val="20"/>
        </w:rPr>
        <w:t>U.S. Federal Income Tax ConsiderationsU.S. Holders</w:t>
      </w:r>
      <w:r>
        <w:rPr>
          <w:rFonts w:ascii="Times New Roman" w:hAnsi="Times New Roman"/>
          <w:sz w:val="20"/>
        </w:rPr>
        <w:t>) exercising Redemption Rights will be subject to the potential tax consequences of Section 367 of the Code as well as potential tax consequences of the U.S. federal income tax rules relating to PFICs. The tax consequences of Section 367 of the Code and the PFIC rules are discussed more fully below under </w:t>
      </w:r>
      <w:r>
        <w:rPr>
          <w:rFonts w:ascii="Times New Roman" w:hAnsi="Times New Roman"/>
          <w:i/>
          <w:sz w:val="20"/>
        </w:rPr>
        <w:t>U.S. Federal Income Tax ConsiderationsU.S. Holders</w:t>
      </w:r>
      <w:r>
        <w:rPr>
          <w:rFonts w:ascii="Times New Roman" w:hAnsi="Times New Roman"/>
          <w:sz w:val="20"/>
        </w:rPr>
        <w:t xml:space="preserve"> beginning on page 196 of this proxy statement/prospectus. </w:t>
      </w:r>
    </w:p>
    <w:p>
      <w:pPr>
        <w:pStyle w:val="TextBody"/>
        <w:spacing w:before="120" w:after="0"/>
        <w:jc w:val="left"/>
        <w:rPr>
          <w:rFonts w:ascii="Times New Roman" w:hAnsi="Times New Roman"/>
          <w:sz w:val="20"/>
        </w:rPr>
      </w:pPr>
      <w:r>
        <w:rPr>
          <w:rFonts w:ascii="Times New Roman" w:hAnsi="Times New Roman"/>
          <w:sz w:val="20"/>
        </w:rPr>
        <w:t xml:space="preserve">All Public Shareholders considering exercising Redemption Rights are urged to consult their tax advisor on the tax consequences to them of an exercise of Redemption Rights, including the applicability and effect of U.S. federal, state, local and non-U.S. tax laws.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happens to the funds deposited in the Trust Account after consummation of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closing of the IPO (including partial exercise of the over-allotment option by the underwriters of the IPO), an amount equal to $207,372,020 ($10.00 per VIH Unit) of the net proceeds from the IPO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vAlign w:val="center"/>
          </w:tcPr>
          <w:p>
            <w:pPr>
              <w:pStyle w:val="TableContents"/>
              <w:spacing w:before="0" w:after="283"/>
              <w:rPr/>
            </w:pPr>
            <w:r>
              <w:rPr/>
              <w:t> </w:t>
            </w:r>
          </w:p>
        </w:tc>
        <w:tc>
          <w:tcPr>
            <w:tcW w:w="9801" w:type="dxa"/>
            <w:tcBorders/>
            <w:shd w:fill="auto" w:val="clear"/>
          </w:tcPr>
          <w:p>
            <w:pPr>
              <w:pStyle w:val="TableContents"/>
              <w:spacing w:before="0" w:after="283"/>
              <w:jc w:val="left"/>
              <w:rPr/>
            </w:pPr>
            <w:r>
              <w:rPr/>
              <w:t>the sale of the Private Placement Warrants was placed in the Trust Account. As of March 29, 2021, funds in the Trust Account totaled $207,385,774.05 and were comprised entirely of U.S. government treasury obligations with a maturity of 185 days or less or of money market funds meeting certain conditions under Rule 2a-7 under the Investment Company Act of 1940, as amended (the </w:t>
            </w:r>
            <w:r>
              <w:rPr>
                <w:b/>
              </w:rPr>
              <w:t>Investment Company Act</w:t>
            </w:r>
            <w:r>
              <w:rPr/>
              <w:t xml:space="preserve">), which invest only in direct U.S. government treasury obligations. These funds will remain in the Trust Account, except for the withdrawal of interest to pay taxes, if any, until the earliest of (a) the completion of a business combination (including the Closing), (b) the redemption of any Public Shares properly tendered in connection with a shareholder vote to amend the Cayman Constitutional Documents to modify the substance or timing of VIHs obligation to redeem 100% of the Public Shares if it does not complete a business combination by September 25, 2022 and (c) the Redemption of all of the Public Shares if VIH is unable to complete a business combination by September 25, 2022 (or if such date is further extended at a duly called extraordinary general meeting, such later date), subject to applicable law. </w:t>
            </w:r>
          </w:p>
        </w:tc>
      </w:tr>
    </w:tbl>
    <w:p>
      <w:pPr>
        <w:pStyle w:val="TextBody"/>
        <w:spacing w:before="120" w:after="0"/>
        <w:jc w:val="left"/>
        <w:rPr>
          <w:rFonts w:ascii="Times New Roman" w:hAnsi="Times New Roman"/>
          <w:sz w:val="20"/>
        </w:rPr>
      </w:pPr>
      <w:r>
        <w:rPr>
          <w:rFonts w:ascii="Times New Roman" w:hAnsi="Times New Roman"/>
          <w:sz w:val="20"/>
        </w:rPr>
        <w:t>Upon consummation of the Proposed Transaction, the funds deposited in the Trust Account will be released to pay holders of Public Shares who properly exercise their Redemption Rights; to pay transaction fees and expenses associated with the Proposed Transaction; and for working capital and general corporate purposes of Bakkt Pubco following the Proposed Transaction. See </w:t>
      </w:r>
      <w:r>
        <w:rPr>
          <w:rFonts w:ascii="Times New Roman" w:hAnsi="Times New Roman"/>
          <w:i/>
          <w:sz w:val="20"/>
        </w:rPr>
        <w:t>Summary of the Proxy Statement/ProspectusSources and Uses of Funds for the Proposed Transaction</w:t>
      </w:r>
      <w:r>
        <w:rPr>
          <w:rFonts w:ascii="Times New Roman" w:hAnsi="Times New Roman"/>
          <w:sz w:val="20"/>
        </w:rPr>
        <w:t xml:space="preserve"> beginning on page 44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Did the VIH Board obtain a third-party valuation or fairness opinion in determining whether or not to proceed with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VIH Board did not obtain a third-party valuation or fairness opinion in connection with the determination to approve the Proposed Transaction. The VIH Board believes that based upon the financial skills and background of its directors, it was qualified to conclude that the Proposed Transaction was fair from a financial perspective to the VIH shareholders. The VIH Board also determined, without seeking a valuation from a financial advisor, that Bakkts fair market value was at least 80% of the balance in the Trust Account (less any deferred underwriting commissions and taxes payable on interest earned) at the time of the signing of the Merger Agreement. Accordingly, investors will be relying on the judgment of the VIH Board in valuing Bakkts business, and assuming the risk that the VIH Board may not have properly valued such business. See </w:t>
            </w:r>
            <w:r>
              <w:rPr>
                <w:rFonts w:ascii="Times New Roman" w:hAnsi="Times New Roman"/>
                <w:i/>
                <w:sz w:val="20"/>
              </w:rPr>
              <w:t>Risk FactorsRisks Related to the Domestication and the Business Combination</w:t>
            </w:r>
            <w:r>
              <w:rPr>
                <w:rFonts w:ascii="Times New Roman" w:hAnsi="Times New Roman"/>
                <w:sz w:val="20"/>
              </w:rPr>
              <w:t xml:space="preserve"> beginning on page 52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happens if a substantial number of the Public Shareholders vote in favor of the Business Combination Proposal and exercise their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Public Shareholders are not required to vote in respect of the Proposed Transaction in order to exercise their Redemption Rights. Accordingly, the Proposed Transaction may be consummated even though the funds available from the Trust Account and the number of Public Shareholders are reduced as a result of Redemptions by Public Shareholders. </w:t>
            </w:r>
          </w:p>
        </w:tc>
      </w:tr>
    </w:tbl>
    <w:p>
      <w:pPr>
        <w:pStyle w:val="TextBody"/>
        <w:spacing w:before="120" w:after="0"/>
        <w:jc w:val="left"/>
        <w:rPr>
          <w:rFonts w:ascii="Times New Roman" w:hAnsi="Times New Roman"/>
          <w:sz w:val="20"/>
        </w:rPr>
      </w:pPr>
      <w:r>
        <w:rPr>
          <w:rFonts w:ascii="Times New Roman" w:hAnsi="Times New Roman"/>
          <w:sz w:val="20"/>
        </w:rPr>
        <w:t xml:space="preserve">The Merger Agreement provides that the obligations of Bakkt to consummate the Merger are conditioned on, among other things, the Available Cash Condition, which requires that the amount of cash available following the extraordinary general meeting from the following sources is at least $425,000,000: (a) in the Trust Account, after deducting the amount required to satisfy Redemptions of VIH Class A Ordinary Shares, if any (but prior to payment of (i) deferred underwriting commissions and (ii) transaction expenses of VIH or its affiliates), (b) outside of the Trust Account, and (c) from the gross proceeds of the PIPE Investment. If such conditions are not met, and such conditions are not or cannot be waived under the terms of the Merger Agreement, then the Merger Agreement could be terminated and the proposed Business Combination may not be consummated.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conditions must be satisfied to complete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addition to the Domestication and the Available Cash Condition noted above, the Merger Agreement is subject to the satisfaction or waiver of the following other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filed by VIH in connection with the Domestication; (c) all specified authorizations, consents, orders, regulatory approvals, non-objections, declarations, filings or waiting periods having been made, received or expired; (d) delivery of closing deliverables and documentation; (e) absence of a material adverse effect in respect of Bakkt, VIH and Merger Sub; (f) accuracy of the applicable representations, warranties and covenants, each to an applicable standard; (g) the Bakkt Pubco Class A Shares having been listed on a national stock exchange and being eligible for continued listing on a national stock exchange immediately following the closing; (h) the PIPE Investment having been completed; (i) the existing members of the VIH Board having resigned as of the Closing and the post-Closing directors having been appointed to serve on the Company Board effective as of the Closing; (j) the existing officers of VIH having resigned as of the Closing and the post-Closing officers having been appointed to serve effective as of the Closing; and (k) the absence of any injunctions or restraints in respect of consummation of the Proposed Transaction. For more information about conditions to the consummation of the Proposed Transaction, see </w:t>
            </w:r>
            <w:r>
              <w:rPr>
                <w:rFonts w:ascii="Times New Roman" w:hAnsi="Times New Roman"/>
                <w:i/>
                <w:sz w:val="20"/>
              </w:rPr>
              <w:t>The Business Combination ProposalMerger Agreement</w:t>
            </w:r>
            <w:r>
              <w:rPr>
                <w:rFonts w:ascii="Times New Roman" w:hAnsi="Times New Roman"/>
                <w:sz w:val="20"/>
              </w:rPr>
              <w:t xml:space="preserve"> beginning on page 118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When do you expect the Proposed Transaction to be completed?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It is currently expected that the Proposed Transaction will be consummated in the second quarter of 2021. This date depends, among other things, on the approval of the proposals to be put to VIH shareholders at the extraordinary general meeting. However, such meeting could be adjourned if the Shareholder Adjournment Proposal is adopted by VIHs shareholders at the extraordinary general meeting and VIH elects to adjourn the extraordinary general meeting to a later date or dates, if necessary, to permit further solicitation and vote of proxies in the event that there are insufficient votes for the approval of one or more proposals at the extraordinary general meeting. For a description of the conditions for the completion of the Proposed Transaction, see </w:t>
            </w:r>
            <w:r>
              <w:rPr>
                <w:rFonts w:ascii="Times New Roman" w:hAnsi="Times New Roman"/>
                <w:i/>
                <w:sz w:val="20"/>
              </w:rPr>
              <w:t>The Business Combination ProposalMerger Agreement</w:t>
            </w:r>
            <w:r>
              <w:rPr>
                <w:rFonts w:ascii="Times New Roman" w:hAnsi="Times New Roman"/>
                <w:sz w:val="20"/>
              </w:rPr>
              <w:t xml:space="preserve"> beginning on page 118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happens if the Proposed Transaction is not consummated?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will not complete the Domestication to the State of Delaware unless all other conditions to the consummation of the Proposed Transaction have been satisfied or waived by the parties in accordance with the terms of the Merger Agreement. If VIH is not able to complete the Proposed Transaction with Bakkt by September 25, 2022 and is not able to complete another business combination by such date, in each case, as such date may be extended pursuant to the Cayman Constitutional Documents, VIH will: (a) cease all operations except for the purpose of winding up; (b)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will be net of taxes payable), divided by the number of then issued and outstanding Public Shares, which redemption will completely extinguish Public Shareholders rights as shareholders (including the right to receive further liquidating distributions, if any), subject to applicable law; and (c) as promptly as reasonably possible following such redemption, subject to the approval of our remaining shareholders and the VIH Board, dissolve and liquidate, subject in each case to our obligations under Cayman Islands law to provide for claims of creditors and the requirements of other applicable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Following the Proposed Transaction, will VIHs securities continue to trade on a stock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VIH intends to apply to list the Bakkt Pubco Class A Common Stock and Bakkt Pubco Warrants on the NYSE under the proposed symbols BKKT and BKKTAW, respectively, upon the Closing. The VIH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3"/>
        <w:gridCol w:w="9802"/>
      </w:tblGrid>
      <w:tr>
        <w:trPr/>
        <w:tc>
          <w:tcPr>
            <w:tcW w:w="403" w:type="dxa"/>
            <w:tcBorders/>
            <w:shd w:fill="auto" w:val="clear"/>
            <w:vAlign w:val="center"/>
          </w:tcPr>
          <w:p>
            <w:pPr>
              <w:pStyle w:val="TableContents"/>
              <w:spacing w:before="0" w:after="283"/>
              <w:rPr/>
            </w:pPr>
            <w:r>
              <w:rPr/>
              <w:t> </w:t>
            </w:r>
          </w:p>
        </w:tc>
        <w:tc>
          <w:tcPr>
            <w:tcW w:w="9802" w:type="dxa"/>
            <w:tcBorders/>
            <w:shd w:fill="auto" w:val="clear"/>
          </w:tcPr>
          <w:p>
            <w:pPr>
              <w:pStyle w:val="TableContents"/>
              <w:spacing w:before="0" w:after="283"/>
              <w:jc w:val="left"/>
              <w:rPr/>
            </w:pPr>
            <w:r>
              <w:rPr/>
              <w:t xml:space="preserve">Units will automatically separate into the component securities prior to the Domestication, and, as a result, will no longer trade as a separate security following the Closing. Neither the Bakkt Pubco Class V Common Stock nor the Bakkt Opco Common Units will be publicly traded.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is an Up-C 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Bakkt Pubcos corporate structure following the Closing, as described under the section entitled </w:t>
            </w:r>
            <w:r>
              <w:rPr>
                <w:rFonts w:ascii="Times New Roman" w:hAnsi="Times New Roman"/>
                <w:i/>
                <w:sz w:val="20"/>
              </w:rPr>
              <w:t>The Business Combination ProposalMerger AgreementStructure of the Merger</w:t>
            </w:r>
            <w:r>
              <w:rPr>
                <w:rFonts w:ascii="Times New Roman" w:hAnsi="Times New Roman"/>
                <w:sz w:val="20"/>
              </w:rPr>
              <w:t>, beginning on page 118 of this proxy statement/prospectus is commonly referred to as an umbrella partnership-C corporation (or </w:t>
            </w:r>
            <w:r>
              <w:rPr>
                <w:rFonts w:ascii="Times New Roman" w:hAnsi="Times New Roman"/>
                <w:b/>
                <w:sz w:val="20"/>
              </w:rPr>
              <w:t>Up-C</w:t>
            </w:r>
            <w:r>
              <w:rPr>
                <w:rFonts w:ascii="Times New Roman" w:hAnsi="Times New Roman"/>
                <w:sz w:val="20"/>
              </w:rPr>
              <w:t xml:space="preserve">) structure, which is often used by partnerships and limited liability companies when they undertake an initial public offering either directly or through a business combination with a special purpose acquisition company, such as VIH. The Up-C structure will allow Bakkt Opco or certain of its beneficial owners to continue to realize tax benefits associated with owning interests in an entity that is treated as a partnership or pass-through entity for U.S. federal (and certain state and local) income tax purposes following the Proposed Transaction. One of these benefits is that, for U.S. federal (and certain state and local) income tax purposes, future taxable income of the Bakkt Opco will not be subject to U.S. federal income taxation at the Bakkt Opco level. Instead, such income will be allocated to Bakkt Pubco and the Bakkt Equity Holders and will be taxed on a flow-through basis. Additionally, because the Bakkt Equity Holders may exchange their Bakkt Opco Common Units for Bakkt Pubco Class A Common Stock, or at the sole discretion of the Company, for cash, the Up-C structure also provides the Bakkt Equity Holders with potential liquidity that is not generally available to holders of non-publicly traded companies treated as partnerships for U.S. federal income tax purposes. See the sections entitled </w:t>
            </w:r>
            <w:r>
              <w:rPr>
                <w:rFonts w:ascii="Times New Roman" w:hAnsi="Times New Roman"/>
                <w:i/>
                <w:sz w:val="20"/>
              </w:rPr>
              <w:t xml:space="preserve">The Business Combination Proposal </w:t>
            </w:r>
            <w:r>
              <w:rPr>
                <w:rFonts w:ascii="Times New Roman" w:hAnsi="Times New Roman"/>
                <w:sz w:val="20"/>
              </w:rPr>
              <w:t xml:space="preserve">and </w:t>
            </w:r>
            <w:r>
              <w:rPr>
                <w:rFonts w:ascii="Times New Roman" w:hAnsi="Times New Roman"/>
                <w:i/>
                <w:sz w:val="20"/>
              </w:rPr>
              <w:t xml:space="preserve">Description of VIHs and the Companys Securities </w:t>
            </w:r>
            <w:r>
              <w:rPr>
                <w:rFonts w:ascii="Times New Roman" w:hAnsi="Times New Roman"/>
                <w:sz w:val="20"/>
              </w:rPr>
              <w:t xml:space="preserve">beginning on pages 118 and 237, respectively, of this proxy statement/prospectus. </w:t>
            </w:r>
          </w:p>
        </w:tc>
      </w:tr>
    </w:tbl>
    <w:p>
      <w:pPr>
        <w:pStyle w:val="TextBody"/>
        <w:spacing w:before="120" w:after="0"/>
        <w:jc w:val="left"/>
        <w:rPr>
          <w:rFonts w:ascii="Times New Roman" w:hAnsi="Times New Roman"/>
          <w:sz w:val="20"/>
        </w:rPr>
      </w:pPr>
      <w:r>
        <w:rPr>
          <w:rFonts w:ascii="Times New Roman" w:hAnsi="Times New Roman"/>
          <w:sz w:val="20"/>
        </w:rPr>
        <w:t>Following the Closing, Bakkt Pubco expects to obtain an actual or effective step-up in tax basis with respect to the exchange of the Bakkt Equity Holders Bakkt Opco Common Units for shares of Bakkt Pubco Class A Common Stock or, at the sole discretion of the Company, for cash. This is intended to provide Bakkt Pubco with certain tax benefits, such as additional future depreciation and amortization deductions that can reduce the taxable income allocable to Bakkt Pubco. As described under </w:t>
      </w:r>
      <w:r>
        <w:rPr>
          <w:rFonts w:ascii="Times New Roman" w:hAnsi="Times New Roman"/>
          <w:i/>
          <w:sz w:val="20"/>
        </w:rPr>
        <w:t>The Business Combination ProposalRelated AgreementsTax Receivable Agreement</w:t>
      </w:r>
      <w:r>
        <w:rPr>
          <w:rFonts w:ascii="Times New Roman" w:hAnsi="Times New Roman"/>
          <w:sz w:val="20"/>
        </w:rPr>
        <w:t xml:space="preserve"> beginning on page 144 of this proxy statement/prospectus we may be required to make payments in respect of such tax benefit.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Do I have appraisal rights in connection with the Proposed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Neither VIHs shareholders nor VIHs warrant holders have appraisal rights in connection with the Proposed Transaction or the Domestication under Cayman Islands law or under the DGCL.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do I need to do now?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urges you to read this proxy statement/prospectus, including the Annexes and the documents referred to herein, carefully and in their entirety and to consider how the Proposed Transaction will affect you as a shareholder or warrant holder. VIHs shareholders should then vote as soon as possible in accordance with the instructions provided in this proxy statement/prospectus and on the enclosed proxy card.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do I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are a holder of record of VIH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postage-paid envelope. </w:t>
            </w:r>
            <w:r>
              <w:rPr>
                <w:rFonts w:ascii="Times New Roman" w:hAnsi="Times New Roman"/>
                <w:b/>
                <w:sz w:val="20"/>
              </w:rPr>
              <w:t>If you hold your shares in street name, which means your shares are held of record by a broker, bank or nominee, you should contact your broker, bank or nominee to ensure that votes related to the shares you beneficially own are</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3"/>
        <w:gridCol w:w="9802"/>
      </w:tblGrid>
      <w:tr>
        <w:trPr/>
        <w:tc>
          <w:tcPr>
            <w:tcW w:w="403" w:type="dxa"/>
            <w:tcBorders/>
            <w:shd w:fill="auto" w:val="clear"/>
            <w:vAlign w:val="center"/>
          </w:tcPr>
          <w:p>
            <w:pPr>
              <w:pStyle w:val="TableContents"/>
              <w:spacing w:before="0" w:after="283"/>
              <w:rPr/>
            </w:pPr>
            <w:r>
              <w:rPr/>
              <w:t> </w:t>
            </w:r>
          </w:p>
        </w:tc>
        <w:tc>
          <w:tcPr>
            <w:tcW w:w="9802" w:type="dxa"/>
            <w:tcBorders/>
            <w:shd w:fill="auto" w:val="clear"/>
          </w:tcPr>
          <w:p>
            <w:pPr>
              <w:pStyle w:val="TableContents"/>
              <w:spacing w:before="0" w:after="283"/>
              <w:jc w:val="left"/>
              <w:rPr/>
            </w:pPr>
            <w:r>
              <w:rPr>
                <w:b/>
              </w:rPr>
              <w:t>properly counted. In this regard, you must provide the broker, bank or nominee with instructions on how to vote your shares or, if you wish to attend the extraordinary general meeting and vote in person, obtain a valid proxy from your broker, bank or nominee.</w:t>
            </w:r>
            <w:r>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If my shares are held in street name, will my broker, bank or nominee automatically vote my shares for 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nominee as to how to vote your shares.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shareholders will be considered non-discretionary and therefore your broker, bank, or nominee cannot vote your shares without your instruction. Your bank, broker, or other nominee can vote your shares only if you provide instructions on how to vote. As the beneficial holder, you have the right to direct your broker, bank or other nominee as to how to vote your shares and you should instruct your broker to vote your shares in accordance with directions you provide.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When and where will the extraordinary general meeting be held?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extraordinary general meeting will be held virtually at [●] a.m. Eastern Time, on [●], 2021. In light of ongoing developments related to the novel coronavirus (</w:t>
            </w:r>
            <w:r>
              <w:rPr>
                <w:rFonts w:ascii="Times New Roman" w:hAnsi="Times New Roman"/>
                <w:b/>
                <w:sz w:val="20"/>
              </w:rPr>
              <w:t>COVID-19</w:t>
            </w:r>
            <w:r>
              <w:rPr>
                <w:rFonts w:ascii="Times New Roman" w:hAnsi="Times New Roman"/>
                <w:sz w:val="20"/>
              </w:rPr>
              <w:t xml:space="preserve">), after careful consideration, the Company has determined that the extraordinary general meeting will be a virtual meeting conducted via live webcast at http://[●] in order to facilitate shareholder attendance and participation while safeguarding the health and safety of our shareholders, directors and management team. For the purposes of Cayman Islands law and the Cayman Constitutional Documents, the physical location of the extraordinary general meeting will be at the offices of White &amp; Case LLP at 1221 Avenue of the Americas, New York, New York 10020.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Who is entitled to vote at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has fixed [●], 2021 as the Record Date for the extraordinary general meeting. If you were a shareholder of VIH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many votes do I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With the exception of the holders of the VIH Class B Ordinary Shares, who are entitled to ten votes for each VIH Class B Ordinary Share they hold for the purposes of voting on the Domestication Proposal, VIH shareholders are entitled to one vote at the extraordinary general meeting for each VIH Share held of record as of the Record Date. As of the close of business on the Record Date for the extraordinary general meeting, there were [●] VIH Shares issued and outstanding, of which [●] were issued and outstanding Public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constitutes a quorum?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quorum of VIH shareholders is necessary to hold a valid meeting. A quorum will be present at the extraordinary general meeting if the holders of a majority of the issued and outstanding VIH Shares entitled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to vote at the extraordinary general meeting are represented in person or by proxy. As of the Record Date for the extraordinary general meeting, 12,960,752 VIH Shares would be required to achieve a quorum.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vote is required to approve each proposal at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Business Combination Proposal</w:t>
            </w:r>
            <w:r>
              <w:rPr>
                <w:rFonts w:ascii="Times New Roman" w:hAnsi="Times New Roman"/>
                <w:sz w:val="20"/>
              </w:rPr>
              <w:t xml:space="preserve">The approval of the Business Combination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tc>
      </w:tr>
    </w:tbl>
    <w:p>
      <w:pPr>
        <w:pStyle w:val="TextBody"/>
        <w:spacing w:before="120" w:after="0"/>
        <w:jc w:val="left"/>
        <w:rPr>
          <w:rFonts w:ascii="Times New Roman" w:hAnsi="Times New Roman"/>
          <w:sz w:val="20"/>
        </w:rPr>
      </w:pPr>
      <w:r>
        <w:rPr>
          <w:rFonts w:ascii="Times New Roman" w:hAnsi="Times New Roman"/>
          <w:i/>
          <w:sz w:val="20"/>
        </w:rPr>
        <w:t>Domestication Proposal</w:t>
      </w:r>
      <w:r>
        <w:rPr>
          <w:rFonts w:ascii="Times New Roman" w:hAnsi="Times New Roman"/>
          <w:sz w:val="20"/>
        </w:rPr>
        <w:t xml:space="preserve">  The approval of the Domestication Proposal requires a special resolution under the Companies Act, being the affirmative vote of holders of a majority of at least two-thirds of the VIH Shares, who being present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 </w:t>
      </w:r>
    </w:p>
    <w:p>
      <w:pPr>
        <w:pStyle w:val="TextBody"/>
        <w:spacing w:before="120" w:after="0"/>
        <w:jc w:val="left"/>
        <w:rPr>
          <w:rFonts w:ascii="Times New Roman" w:hAnsi="Times New Roman"/>
          <w:sz w:val="20"/>
        </w:rPr>
      </w:pPr>
      <w:r>
        <w:rPr>
          <w:rFonts w:ascii="Times New Roman" w:hAnsi="Times New Roman"/>
          <w:i/>
          <w:sz w:val="20"/>
        </w:rPr>
        <w:t xml:space="preserve">Organizational Documents Proposal  </w:t>
      </w:r>
      <w:r>
        <w:rPr>
          <w:rFonts w:ascii="Times New Roman" w:hAnsi="Times New Roman"/>
          <w:sz w:val="20"/>
        </w:rPr>
        <w:t xml:space="preserve">The approval of the Organizational Documents Proposal requires a special resolution under the Cayman Islands Companies Act, being the affirmative vote of holders of a majority of at least two-thirds of the VIH Shares, who being present in person or by proxy and entitled to vote at the extraordinary general meeting, vote at the extraordinary general meeting. </w:t>
      </w:r>
    </w:p>
    <w:p>
      <w:pPr>
        <w:pStyle w:val="TextBody"/>
        <w:spacing w:before="120" w:after="0"/>
        <w:jc w:val="left"/>
        <w:rPr>
          <w:rFonts w:ascii="Times New Roman" w:hAnsi="Times New Roman"/>
          <w:sz w:val="20"/>
        </w:rPr>
      </w:pPr>
      <w:r>
        <w:rPr>
          <w:rFonts w:ascii="Times New Roman" w:hAnsi="Times New Roman"/>
          <w:i/>
          <w:sz w:val="20"/>
        </w:rPr>
        <w:t>Stock Issuance Proposal</w:t>
      </w:r>
      <w:r>
        <w:rPr>
          <w:rFonts w:ascii="Times New Roman" w:hAnsi="Times New Roman"/>
          <w:sz w:val="20"/>
        </w:rPr>
        <w:t xml:space="preserve">  The approval of the Stock Issuance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p>
      <w:pPr>
        <w:pStyle w:val="TextBody"/>
        <w:spacing w:before="120" w:after="0"/>
        <w:jc w:val="left"/>
        <w:rPr>
          <w:rFonts w:ascii="Times New Roman" w:hAnsi="Times New Roman"/>
          <w:sz w:val="20"/>
        </w:rPr>
      </w:pPr>
      <w:r>
        <w:rPr>
          <w:rFonts w:ascii="Times New Roman" w:hAnsi="Times New Roman"/>
          <w:i/>
          <w:sz w:val="20"/>
        </w:rPr>
        <w:t>Advisory Organizational Documents Proposals</w:t>
      </w:r>
      <w:r>
        <w:rPr>
          <w:rFonts w:ascii="Times New Roman" w:hAnsi="Times New Roman"/>
          <w:sz w:val="20"/>
        </w:rPr>
        <w:t xml:space="preserve">  The separate approval of each of the Advisory Organizational Documents Proposals, each of which is a non-binding vote, requires a special resolution under the Companies Act, being the affirmative vote of holders of a majority of at least two-thirds of the VIH Shares, who being present in person or by proxy and entitled to vote at the extraordinary general meeting, vote at the extraordinary general meeting. </w:t>
      </w:r>
    </w:p>
    <w:p>
      <w:pPr>
        <w:pStyle w:val="TextBody"/>
        <w:spacing w:before="120" w:after="0"/>
        <w:jc w:val="left"/>
        <w:rPr>
          <w:rFonts w:ascii="Times New Roman" w:hAnsi="Times New Roman"/>
          <w:sz w:val="20"/>
        </w:rPr>
      </w:pPr>
      <w:r>
        <w:rPr>
          <w:rFonts w:ascii="Times New Roman" w:hAnsi="Times New Roman"/>
          <w:i/>
          <w:sz w:val="20"/>
        </w:rPr>
        <w:t>Bakkt Pubco Equity Incentive Plan Proposal</w:t>
      </w:r>
      <w:r>
        <w:rPr>
          <w:rFonts w:ascii="Times New Roman" w:hAnsi="Times New Roman"/>
          <w:sz w:val="20"/>
        </w:rPr>
        <w:t xml:space="preserve">  The approval of the Bakkt Pubco Equity Incentive Plan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p>
      <w:pPr>
        <w:pStyle w:val="TextBody"/>
        <w:spacing w:before="120" w:after="0"/>
        <w:jc w:val="left"/>
        <w:rPr>
          <w:rFonts w:ascii="Times New Roman" w:hAnsi="Times New Roman"/>
          <w:sz w:val="20"/>
        </w:rPr>
      </w:pPr>
      <w:r>
        <w:rPr>
          <w:rFonts w:ascii="Times New Roman" w:hAnsi="Times New Roman"/>
          <w:i/>
          <w:sz w:val="20"/>
        </w:rPr>
        <w:t>Director Election Proposal</w:t>
      </w:r>
      <w:r>
        <w:rPr>
          <w:rFonts w:ascii="Times New Roman" w:hAnsi="Times New Roman"/>
          <w:sz w:val="20"/>
        </w:rPr>
        <w:t xml:space="preserve">  The approval of the Director Election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Although the Cayman Constitutional Documents indicate that, prior to the Closing, holders of VIH Class A Ordinary Shares shall have no right to vote on the appointment or removal of any director, the Director Election Proposal is being voted on by all holders of VIH Shares. In the event that one or more nominees is not elected under the Director Election Proposal, the VIH Board is permitted under Article 31 of the Cayman Constitutional Documents to appoint any person to be a director. </w:t>
      </w:r>
    </w:p>
    <w:p>
      <w:pPr>
        <w:pStyle w:val="TextBody"/>
        <w:spacing w:before="120" w:after="0"/>
        <w:jc w:val="left"/>
        <w:rPr>
          <w:rFonts w:ascii="Times New Roman" w:hAnsi="Times New Roman"/>
          <w:sz w:val="20"/>
        </w:rPr>
      </w:pPr>
      <w:r>
        <w:rPr>
          <w:rFonts w:ascii="Times New Roman" w:hAnsi="Times New Roman"/>
          <w:i/>
          <w:sz w:val="20"/>
        </w:rPr>
        <w:t>Shareholder Adjournment Proposal</w:t>
      </w:r>
      <w:r>
        <w:rPr>
          <w:rFonts w:ascii="Times New Roman" w:hAnsi="Times New Roman"/>
          <w:sz w:val="20"/>
        </w:rPr>
        <w:t xml:space="preserve">  The approval of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p>
      <w:pPr>
        <w:pStyle w:val="TextBody"/>
        <w:spacing w:before="120" w:after="0"/>
        <w:jc w:val="left"/>
        <w:rPr>
          <w:rFonts w:ascii="Times New Roman" w:hAnsi="Times New Roman"/>
          <w:sz w:val="20"/>
        </w:rPr>
      </w:pPr>
      <w:r>
        <w:rPr>
          <w:rFonts w:ascii="Times New Roman" w:hAnsi="Times New Roman"/>
          <w:sz w:val="20"/>
        </w:rPr>
        <w:t xml:space="preserve">The Sponsor and VIHs officers and directors own and are entitled to vote 20% of the VIH Shares (an aggregate of 5,184,300 VIH Class B Ordinary Shares) as of the record date. As further discussed in the section titled Certain Relationships and Related Person Transactions beginning on page 256 of this proxy statement/prospectus, the Sponsor and VIHs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officers and directors have agreed to vote in favor of the proposals. If only the minimum number of VIH Shares required to establish a quorum were voted, only 6.25% (an aggregate of 1,296,077 Public Shares) of the Public Shares would need to be voted in favor of the Business Combination Proposal.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are the recommendations of the VIH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VIH Board believes that the Business Combination Proposal and the other proposals to be presented at the extraordinary general meeting are in the best interest of VIHs shareholders and unanimously recommends that its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 Organizational Documents Proposals, FOR the approval of the Bakkt Pubco Equity Incentive Plan Proposal, FOR the approval of the Director Election Proposal and FOR the approval of the Shareholder Adjournment Proposal, in each case, if presented to the extraordinary general meeting. </w:t>
            </w:r>
          </w:p>
        </w:tc>
      </w:tr>
    </w:tbl>
    <w:p>
      <w:pPr>
        <w:pStyle w:val="TextBody"/>
        <w:spacing w:before="12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does the Sponsor intend to vote its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Sponsor has agreed to vote all the Founder Shares and any other Public Shares it may hold in favor of all the proposals being presented at the extraordinary general meeting. As of the date of this proxy statement/prospectus, the Sponsor and certain members of the VIH Board own 20% of the issued and outstanding VIH Shares. </w:t>
            </w:r>
          </w:p>
        </w:tc>
      </w:tr>
    </w:tbl>
    <w:p>
      <w:pPr>
        <w:pStyle w:val="TextBody"/>
        <w:spacing w:before="120" w:after="0"/>
        <w:jc w:val="left"/>
        <w:rPr>
          <w:rFonts w:ascii="Times New Roman" w:hAnsi="Times New Roman"/>
          <w:sz w:val="20"/>
        </w:rPr>
      </w:pPr>
      <w:r>
        <w:rPr>
          <w:rFonts w:ascii="Times New Roman" w:hAnsi="Times New Roman"/>
          <w:sz w:val="20"/>
        </w:rPr>
        <w:t xml:space="preserve">At any time at or prior to the Proposed Transaction, subject to applicable securities laws (including with respect to material non-public information), the Sponsor, the Bakkt Equity Holders or our or their respective directors, officers, advisors or respective affiliates may (a) purchase Public Shares from institutional and other investors who vote, or indicate an intention to vote, against any of the Condition Precedent Proposals, or elect to redeem, or indicate an intention to redeem, Public Shares, (b) execute agreements to purchase such shares from such investors in the future, or (c) enter into transactions with such investors and others to provide them with incentives to acquire Public Shares, vote their Public Shares in favor of the Condition Precedent Proposals or not redeem their Public Shares. Such a purchase may include a contractual acknowledgement that such shareholder, although still the record holder of VIH Shares, is no longer the beneficial owner thereof and therefore agrees not to exercise its Redemption Rights. In the event that the Sponsor, the Bakkt Equity Holders or our or their respective directors, officers, advisors, or respective affiliates purchase shares in privately negotiated transactions from Public Shareholders who have already elected to exercise their Redemption Rights, such selling shareholders would be required to revoke their prior elections to redeem their shares. The purpose of such share purchases and other transactions would be to increase the likelihood of (a) satisfaction of the requirement that holders of a majority of the VIH Shares, represented in person or by proxy and entitled to vote at the extraordinary general meeting, vote in favor of the Business Combination Proposal, the Stock Issuance Proposal, the Bakkt Pubco Equity Incentive Plan Proposal, the Director Election Proposal and the Shareholder Adjournment Proposal, (b) satisfaction of the requirement that holders of a majority of at least two-thirds of the VIH Shares, represented in person or by proxy and entitled to vote at the extraordinary general meeting, vote in favor of the Domestication Proposal, the Organizational Documents Proposal and the Advisory Organizational Documents Proposals, (c) satisfaction of the Available Cash Condition, and (d) otherwise limiting the number of Public Shares electing to redeem.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happens if I sell my VIH Shares before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Record Date for the extraordinary general meeting is earlier than the date of the extraordinary general meeting and earlier than the date that the Proposed Transaction is expected to be completed. If you transfer your Public Shares after the applicable Record Date, but before the extraordinary general meeting, unless you grant a proxy to the transferee, you will retain your right to vote at the extraordinary general meeting but the transferee, and not you, will have the ability to redeem such shares, so long as such transferee takes the required steps to elect to redeem such shares at least two business days prior to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How can I vote my shares without attending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are a shareholder of record of our VIH Shares as of the close of business on the Record Date, you can vote by proxy by mail by following the instructions provided in the enclosed proxy card or at the extraordinary general meeting. Please note that if you are a beneficial owner of VIH Shares, you may vote by submitting voting instructions to your broker, bank or nominee, or otherwise by following instructions provided by your broker, bank or nominee. Telephone and internet voting will be available to beneficial owners. Please refer to the vote instruction form provided by your broker, bank or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May I change my vote after I have mailed my signed proxy card?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Shareholders may send a later-dated, signed proxy card to VIHs Chairman at VIHs address set forth below so that it is received by VIHs Chairman prior to the vote at the extraordinary general meeting (which is scheduled to take place on [●], 2021) or attend the extraordinary general meeting in person and vote. Shareholders also may revoke their proxy by sending a notice of revocation to VIHs Chairman, which must be received by VIHs Chairman prior to the vote at the extraordinary general meeting. However, if your shares are held in street name by your broker, bank or another nominee, you must contact your broker, bank or other nominee to change your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happens if I fail to take any action with respect to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fail to take any action with respect to the extraordinary general meeting and the Proposed Transaction is approved by shareholders and the Proposed Transaction is consummated, you will become a stockholder or warrant holder of Bakkt Pubco. If you fail to take any action with respect to the extraordinary general meeting and the Proposed Transaction is not approved, you will remain a shareholder or warrant holder of VIH. However, if you fail to vote with respect to the extraordinary general meeting, you will nonetheless be able to elect to redeem your Public Shares in connection with the Proposed Transaction, so long as you take the required steps to elect to redeem your shares at least two business days prior to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happens if I vote against the Business Combination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vote against the Business Combination Proposal, but the Business Combination Proposal still obtains the requisite shareholder approval described in this proxy statement/prospectus, then the Business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Combination Proposal will be approved and, assuming the approval of the Domestication Proposal, the Organizational Documents Proposal, the Advisory Organizational Documents Proposals, the Bakkt Pubco Equity Incentive Plan Proposal, the Director Election Proposal, the Stock Issuance Proposal and the Shareholder Adjournment Proposal and the satisfaction or waiver of the other conditions to the closing of the Merger, the Business Combination will be consummated in accordance with the terms of the Merger Agreement. </w:t>
            </w:r>
          </w:p>
        </w:tc>
      </w:tr>
    </w:tbl>
    <w:p>
      <w:pPr>
        <w:pStyle w:val="TextBody"/>
        <w:spacing w:before="120" w:after="0"/>
        <w:jc w:val="left"/>
        <w:rPr>
          <w:rFonts w:ascii="Times New Roman" w:hAnsi="Times New Roman"/>
          <w:sz w:val="20"/>
        </w:rPr>
      </w:pPr>
      <w:r>
        <w:rPr>
          <w:rFonts w:ascii="Times New Roman" w:hAnsi="Times New Roman"/>
          <w:sz w:val="20"/>
        </w:rPr>
        <w:t xml:space="preserve">If you vote against the Business Combination Proposal and the Business Combination Proposal does not obtain the requisite vote at the extraordinary general meeting, then the Business Combination Proposal will fail and we will not consummate the Business Combination. If we do not consummate the Business Combination Proposal, we may continue to try to complete a business combination with a different target business until September 25, 2022. If we fail to complete an initial business combination by September 25, 2022, then we will be required to dissolve and liquidate the Trust Account by returning then-remaining funds in the Trust Account to the Public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Q.</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should I do with my share certificates, warrant certificates or unit certificates?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shareholders who exercise their Redemption Rights must deliver (either physically or electronically) their share certificates (if any) along with the redemption forms to the Transfer Agent, prior to the extraordinary general meeting. </w:t>
            </w:r>
          </w:p>
        </w:tc>
      </w:tr>
    </w:tbl>
    <w:p>
      <w:pPr>
        <w:pStyle w:val="TextBody"/>
        <w:spacing w:before="120" w:after="0"/>
        <w:jc w:val="left"/>
        <w:rPr>
          <w:rFonts w:ascii="Times New Roman" w:hAnsi="Times New Roman"/>
          <w:sz w:val="20"/>
        </w:rPr>
      </w:pPr>
      <w:r>
        <w:rPr>
          <w:rFonts w:ascii="Times New Roman" w:hAnsi="Times New Roman"/>
          <w:sz w:val="20"/>
        </w:rPr>
        <w:t xml:space="preserve">Holders must complete the procedures for electing to redeem their Public Shares in the manner described above prior to [●], Eastern Time, on [●], 2021 (two business days before the extraordinary general meeting) in order for their shares to be redeemed. </w:t>
      </w:r>
    </w:p>
    <w:p>
      <w:pPr>
        <w:pStyle w:val="TextBody"/>
        <w:spacing w:before="120" w:after="0"/>
        <w:jc w:val="left"/>
        <w:rPr>
          <w:rFonts w:ascii="Times New Roman" w:hAnsi="Times New Roman"/>
          <w:sz w:val="20"/>
        </w:rPr>
      </w:pPr>
      <w:r>
        <w:rPr>
          <w:rFonts w:ascii="Times New Roman" w:hAnsi="Times New Roman"/>
          <w:sz w:val="20"/>
        </w:rPr>
        <w:t xml:space="preserve">Our warrant holders should not submit the certificates relating to their warrants. Public Shareholders who do not elect to have their Public Shares redeemed for the </w:t>
      </w:r>
      <w:r>
        <w:rPr>
          <w:rFonts w:ascii="Times New Roman" w:hAnsi="Times New Roman"/>
          <w:i/>
          <w:sz w:val="20"/>
        </w:rPr>
        <w:t>pro rata</w:t>
      </w:r>
      <w:r>
        <w:rPr>
          <w:rFonts w:ascii="Times New Roman" w:hAnsi="Times New Roman"/>
          <w:sz w:val="20"/>
        </w:rPr>
        <w:t xml:space="preserve"> share of the Trust Account should not submit the certificates relating to their Public Shares. </w:t>
      </w:r>
    </w:p>
    <w:p>
      <w:pPr>
        <w:pStyle w:val="TextBody"/>
        <w:spacing w:before="120" w:after="0"/>
        <w:jc w:val="left"/>
        <w:rPr>
          <w:rFonts w:ascii="Times New Roman" w:hAnsi="Times New Roman"/>
          <w:sz w:val="20"/>
        </w:rPr>
      </w:pPr>
      <w:r>
        <w:rPr>
          <w:rFonts w:ascii="Times New Roman" w:hAnsi="Times New Roman"/>
          <w:sz w:val="20"/>
        </w:rPr>
        <w:t xml:space="preserve">Upon the Domestication, holders of VIH Units, VIH Class A Ordinary Shares, VIH Class B Ordinary Shares and VIH Warrants will receive Bakkt Pubco Class A Shares and Bakkt Pubco Warrants, as the case may be, without needing to take any action and, accordingly, such holders should not submit any certificates relating to their VIH Units, VIH Class A Ordinary Shares (unless such holder elects to redeem the Public Shares in accordance with the procedures set forth above), VIH Class B Ordinary Shares or VIH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What should I do if I receive more than one set of voting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VIH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Who will solicit and pay the cost of soliciting proxies for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will pay the cost of soliciting proxies for the extraordinary general meeting. VIH has engaged Morrow Sodali LLC to assist in the solicitation of proxies for the extraordinary general meeting. VIH has agreed to pay Morrow Sodali LLC a fee of $25,000, plus disbursements. VIH will also reimburse banks, brokers and other custodians, nominees and fiduciaries representing beneficial owners of VIH Class A Ordinary Shares for their expenses in forwarding soliciting materials to beneficial owners of VIH Class A Ordinary Shares and in obtaining voting instructions from those owners. VIHs directors and officers may also solicit proxies by telephone, by facsimile, by mail, on the Internet or in person. They will not be paid any additional amounts for soliciting proxies.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Q.</w:t>
            </w:r>
          </w:p>
        </w:tc>
        <w:tc>
          <w:tcPr>
            <w:tcW w:w="979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Where can I find the voting results of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preliminary voting results will be expected to be announced at the extraordinary general meeting. VIH will publish final voting results of the extraordinary general meeting in a Current Report on Form 8-K within four business days after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bookmarkStart w:id="11" w:name="9a"/>
            <w:bookmarkEnd w:id="11"/>
            <w:r>
              <w:rPr>
                <w:b/>
                <w:i/>
              </w:rPr>
              <w:t>Q.</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Who can help answer my questions?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have questions about the Business Combination or if you need additional copies of the proxy statement/prospectus or the enclosed proxy card, you should contact: </w:t>
            </w:r>
          </w:p>
        </w:tc>
      </w:tr>
    </w:tbl>
    <w:p>
      <w:pPr>
        <w:pStyle w:val="TextBody"/>
        <w:spacing w:before="240" w:after="0"/>
        <w:jc w:val="center"/>
        <w:rPr>
          <w:rFonts w:ascii="Times New Roman" w:hAnsi="Times New Roman"/>
          <w:sz w:val="20"/>
        </w:rPr>
      </w:pPr>
      <w:r>
        <w:rPr>
          <w:rFonts w:ascii="Times New Roman" w:hAnsi="Times New Roman"/>
          <w:sz w:val="20"/>
        </w:rPr>
        <w:t xml:space="preserve">Morrow Sodali LLC </w:t>
      </w:r>
    </w:p>
    <w:p>
      <w:pPr>
        <w:pStyle w:val="TextBody"/>
        <w:spacing w:before="0" w:after="0"/>
        <w:jc w:val="center"/>
        <w:rPr>
          <w:rFonts w:ascii="Times New Roman" w:hAnsi="Times New Roman"/>
          <w:sz w:val="20"/>
        </w:rPr>
      </w:pPr>
      <w:r>
        <w:rPr>
          <w:rFonts w:ascii="Times New Roman" w:hAnsi="Times New Roman"/>
          <w:sz w:val="20"/>
        </w:rPr>
        <w:t xml:space="preserve">470 West Avenue </w:t>
      </w:r>
    </w:p>
    <w:p>
      <w:pPr>
        <w:pStyle w:val="TextBody"/>
        <w:spacing w:before="0" w:after="0"/>
        <w:jc w:val="center"/>
        <w:rPr>
          <w:rFonts w:ascii="Times New Roman" w:hAnsi="Times New Roman"/>
          <w:sz w:val="20"/>
        </w:rPr>
      </w:pPr>
      <w:r>
        <w:rPr>
          <w:rFonts w:ascii="Times New Roman" w:hAnsi="Times New Roman"/>
          <w:sz w:val="20"/>
        </w:rPr>
        <w:t xml:space="preserve">Stamford, CT 06902 </w:t>
      </w:r>
    </w:p>
    <w:p>
      <w:pPr>
        <w:pStyle w:val="TextBody"/>
        <w:spacing w:before="0" w:after="0"/>
        <w:jc w:val="center"/>
        <w:rPr>
          <w:rFonts w:ascii="Times New Roman" w:hAnsi="Times New Roman"/>
          <w:sz w:val="20"/>
        </w:rPr>
      </w:pPr>
      <w:r>
        <w:rPr>
          <w:rFonts w:ascii="Times New Roman" w:hAnsi="Times New Roman"/>
          <w:sz w:val="20"/>
        </w:rPr>
        <w:t xml:space="preserve">Telephone: (800) 662-5200 </w:t>
      </w:r>
    </w:p>
    <w:p>
      <w:pPr>
        <w:pStyle w:val="TextBody"/>
        <w:spacing w:before="0" w:after="0"/>
        <w:jc w:val="center"/>
        <w:rPr>
          <w:rFonts w:ascii="Times New Roman" w:hAnsi="Times New Roman"/>
          <w:sz w:val="20"/>
        </w:rPr>
      </w:pPr>
      <w:r>
        <w:rPr>
          <w:rFonts w:ascii="Times New Roman" w:hAnsi="Times New Roman"/>
          <w:sz w:val="20"/>
        </w:rPr>
        <w:t xml:space="preserve">(Banks and brokers can call: (203) 658-9400) </w:t>
      </w:r>
    </w:p>
    <w:p>
      <w:pPr>
        <w:pStyle w:val="TextBody"/>
        <w:spacing w:before="0" w:after="0"/>
        <w:jc w:val="center"/>
        <w:rPr>
          <w:rFonts w:ascii="Times New Roman" w:hAnsi="Times New Roman"/>
          <w:sz w:val="20"/>
        </w:rPr>
      </w:pPr>
      <w:r>
        <w:rPr>
          <w:rFonts w:ascii="Times New Roman" w:hAnsi="Times New Roman"/>
          <w:sz w:val="20"/>
        </w:rPr>
        <w:t xml:space="preserve">Email: VIH.info@investor.morrowsodali.com </w:t>
      </w:r>
    </w:p>
    <w:p>
      <w:pPr>
        <w:pStyle w:val="TextBody"/>
        <w:spacing w:before="240" w:after="0"/>
        <w:jc w:val="left"/>
        <w:rPr>
          <w:rFonts w:ascii="Times New Roman" w:hAnsi="Times New Roman"/>
          <w:sz w:val="20"/>
        </w:rPr>
      </w:pPr>
      <w:r>
        <w:rPr>
          <w:rFonts w:ascii="Times New Roman" w:hAnsi="Times New Roman"/>
          <w:sz w:val="20"/>
        </w:rPr>
        <w:t>You also may obtain additional information about VIH from documents filed with the SEC by following the instructions in the section entitled </w:t>
      </w:r>
      <w:r>
        <w:rPr>
          <w:rFonts w:ascii="Times New Roman" w:hAnsi="Times New Roman"/>
          <w:i/>
          <w:sz w:val="20"/>
        </w:rPr>
        <w:t>Where You Can Find More Information</w:t>
      </w:r>
      <w:r>
        <w:rPr>
          <w:rFonts w:ascii="Times New Roman" w:hAnsi="Times New Roman"/>
          <w:sz w:val="20"/>
        </w:rPr>
        <w:t xml:space="preserve"> beginning on page 321 of this proxy statement/prospectus. If you are a holder of Public Shares and you intend to seek Redemption, you will need to deliver the certificates for your Public Shares (if any) along with the redemption forms (either physically or electronically) to the Transfer Agent, at the address below prior to the extraordinary general meeting. Holders must complete the procedures for electing to redeem their Public Shares in the manner described above prior to [●], Eastern Time, on [●], 2021 (two business days before the extraordinary general meeting) in order for their shares to be redeemed. If you have questions regarding the certification of your position or delivery of your share certificates (if any) along with the redemption forms, please contact: </w:t>
      </w:r>
    </w:p>
    <w:p>
      <w:pPr>
        <w:pStyle w:val="TextBody"/>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center"/>
        <w:rPr>
          <w:rFonts w:ascii="Times New Roman" w:hAnsi="Times New Roman"/>
          <w:sz w:val="20"/>
        </w:rPr>
      </w:pPr>
      <w:r>
        <w:rPr>
          <w:rFonts w:ascii="Times New Roman" w:hAnsi="Times New Roman"/>
          <w:sz w:val="20"/>
        </w:rPr>
        <w:t xml:space="preserve">1 State Street, 30th Floor </w:t>
      </w:r>
    </w:p>
    <w:p>
      <w:pPr>
        <w:pStyle w:val="TextBody"/>
        <w:spacing w:before="0" w:after="0"/>
        <w:jc w:val="center"/>
        <w:rPr>
          <w:rFonts w:ascii="Times New Roman" w:hAnsi="Times New Roman"/>
          <w:sz w:val="20"/>
        </w:rPr>
      </w:pPr>
      <w:r>
        <w:rPr>
          <w:rFonts w:ascii="Times New Roman" w:hAnsi="Times New Roman"/>
          <w:sz w:val="20"/>
        </w:rPr>
        <w:t xml:space="preserve">New York, New York 10004 </w:t>
      </w:r>
    </w:p>
    <w:p>
      <w:pPr>
        <w:pStyle w:val="TextBody"/>
        <w:spacing w:before="0" w:after="0"/>
        <w:jc w:val="center"/>
        <w:rPr>
          <w:rFonts w:ascii="Times New Roman" w:hAnsi="Times New Roman"/>
          <w:sz w:val="20"/>
        </w:rPr>
      </w:pPr>
      <w:r>
        <w:rPr>
          <w:rFonts w:ascii="Times New Roman" w:hAnsi="Times New Roman"/>
          <w:sz w:val="20"/>
        </w:rPr>
        <w:t xml:space="preserve">Attention: Mark Zimkind </w:t>
      </w:r>
    </w:p>
    <w:p>
      <w:pPr>
        <w:pStyle w:val="TextBody"/>
        <w:spacing w:before="0" w:after="0"/>
        <w:jc w:val="center"/>
        <w:rPr>
          <w:rFonts w:ascii="Times New Roman" w:hAnsi="Times New Roman"/>
          <w:sz w:val="20"/>
        </w:rPr>
      </w:pPr>
      <w:r>
        <w:rPr>
          <w:rFonts w:ascii="Times New Roman" w:hAnsi="Times New Roman"/>
          <w:sz w:val="20"/>
        </w:rPr>
        <w:t xml:space="preserve">Email: Mzimkind @continentals tock.com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2" w:name="toc108105_6"/>
      <w:bookmarkEnd w:id="12"/>
      <w:r>
        <w:rPr>
          <w:rFonts w:ascii="Times New Roman" w:hAnsi="Times New Roman"/>
          <w:b/>
          <w:sz w:val="20"/>
          <w:bdr w:val="single" w:sz="8" w:space="1" w:color="000000"/>
        </w:rPr>
        <w:t xml:space="preserve">SUMMARY OF THE PROXY STATEMENT/PROSPECTUS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from this proxy statement/prospectus, but does not contain all of the information that may be important to you. To better understand the proposals</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to be considered at the extraordinary general meeting, including the Business Combination Proposal, whether or not you plan to attend such meetings, we urge you to read this proxy statement/prospectus (including the Annexes) carefully, including the section entitled Risk Factors beginning on page 52 of this proxy statement/prospectus. See also the section entitled Where You Can Find More Information beginning on page 321 of this proxy statement/prospectus.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Parties to the Business Combination </w:t>
      </w:r>
    </w:p>
    <w:p>
      <w:pPr>
        <w:pStyle w:val="TextBody"/>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VIH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VIH was incorporated as a Cayman Islands exempted company on July 31, 2020 as a blank check company whose objective is to acquire, through a merger, share exchange, asset acquisition, share purchase, reorganization or similar business combination, one or more businesses or entities. On August 3, 2020, the Founder Shares (an aggregate of 5,750,000 VIH Class B Ordinary Shares) were sold to the Sponsor at a price of approximately $0.004 per share, for an aggregate price of $25,000. In September 2020, the Sponsor transferred an aggregate of 60,000 Founder Shares to members of the VIH Board, resulting in the Sponsor holding an aggregate of 5,690,000 Founder Shares.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25, 2020, VIH completed its IPO of 20,000,000 VIH Units. Each VIH Unit consists of one VIH Class A Ordinary Share and one-half of one warrant, with each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the Private Placement Warrants (6,147,440 warrants at a price of $1.00 per warrant) in a private placement to the Sponsor, generating gross proceeds of $6,147,440. A total of $207,372,020 of the net proceeds from the IPO and the Private Placement Warrants were deposited in the Trust Account established for the benefit of the Public Shareholders and the remaining proceeds became available to be used to provide for business, legal and accounting due diligence on prospective business combinations and continuing general and administrative expenses. The net proceeds deposited into the Trust Account remain on deposit in the Trust Account earning interest except those certain amounts withdrawn in order to pay tax obligations. As of March 29, 2021, there was approximately $207,385,774.05 million held in the Trust Account.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VIHs principal executive offices are located at 150 North Riverside Plaza, Suite 5200, Chicago, Illinois 60606 and its phone number is (312) 701-1777.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Delaware limited liability company and wholly-owned subsidiary of VIH formed on December 18, 2020. Pursuant to the Merger, Merger Sub will merge with and into Bakkt with Bakkt being the surviving entity and becoming a subsidiary of the Company.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Subs principal executive offices are located at 150 North Riverside Plaza, Suite 5200, Chicago, Illinois 60606 and its phone number is (312) 701-1777.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Bakkt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Bakkt is a digital asset marketplace headquartered in Alpharetta, Georgia. Bakkt was launched in 2018 by ICE and a group of investors and strategic partners. Since its founding, Bakkt has developed technology enabling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institutions and consumers to buy, sell, convert, spend, store and send digital assets. Bakkts platform, soon to be made widely available through Bakkts consumer app, will enable incremental consumer spending, reduce traditional payment costs and bolster loyalty programs, adding value for all key stakeholders within the payments and digital assets ecosystem. In building its platform, Bakkt leveraged ICEs ability to create secure and regulated market infrastructure, to make Bakkt a trusted platform for digital assets. Bakkt, through Bakkt Trust Company LLC, a wholly owned subsidiary of Bakkt, is chartered as a New York limited purpose trust company, authorized to custody digital assets, including Bitcoin, for customers.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Bakkts principal executive offices are located at 5900 Windward Parkway, Suite 450, Alpharetta, GA 30005 and its phone number is (678) 534-5849.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Proposals to be Submitted at the Extraordinary General Meeting </w:t>
      </w:r>
    </w:p>
    <w:p>
      <w:pPr>
        <w:pStyle w:val="TextBody"/>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Business Combination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discussed in this proxy statement/prospectus, VIH is asking its shareholders to approve by ordinary resolution and adopt the Merger Agreement, a copy of which is attached to this proxy statement/prospectus as </w:t>
      </w:r>
      <w:r>
        <w:rPr>
          <w:rFonts w:ascii="Times New Roman" w:hAnsi="Times New Roman"/>
          <w:i/>
          <w:sz w:val="20"/>
          <w:bdr w:val="single" w:sz="8" w:space="1" w:color="000000"/>
        </w:rPr>
        <w:t>Annex A-1</w:t>
      </w:r>
      <w:r>
        <w:rPr>
          <w:rFonts w:ascii="Times New Roman" w:hAnsi="Times New Roman"/>
          <w:sz w:val="20"/>
          <w:bdr w:val="single" w:sz="8" w:space="1" w:color="000000"/>
        </w:rPr>
        <w:t xml:space="preserve"> and </w:t>
      </w:r>
      <w:r>
        <w:rPr>
          <w:rFonts w:ascii="Times New Roman" w:hAnsi="Times New Roman"/>
          <w:i/>
          <w:sz w:val="20"/>
          <w:bdr w:val="single" w:sz="8" w:space="1" w:color="000000"/>
        </w:rPr>
        <w:t>Annex A-2</w:t>
      </w:r>
      <w:r>
        <w:rPr>
          <w:rFonts w:ascii="Times New Roman" w:hAnsi="Times New Roman"/>
          <w:sz w:val="20"/>
          <w:bdr w:val="single" w:sz="8" w:space="1" w:color="000000"/>
        </w:rPr>
        <w:t>. The Merger Agreement provides for, among other things, following the Domestication of VIH to Delaware as described below, the merger of Merger Sub with and into Bakkt, with Bakkt surviving the Merger in accordance with the terms and subject to the conditions of the Merger Agreement as more fully described elsewhere in this proxy statement/prospectus. After consideration of the factors identified and discussed in the section entitled </w:t>
      </w:r>
      <w:r>
        <w:rPr>
          <w:rFonts w:ascii="Times New Roman" w:hAnsi="Times New Roman"/>
          <w:i/>
          <w:sz w:val="20"/>
          <w:bdr w:val="single" w:sz="8" w:space="1" w:color="000000"/>
        </w:rPr>
        <w:t>The Business Combination ProposalThe VIH Boards Reasons for the Approval of the Business Combination</w:t>
      </w:r>
      <w:r>
        <w:rPr>
          <w:rFonts w:ascii="Times New Roman" w:hAnsi="Times New Roman"/>
          <w:sz w:val="20"/>
          <w:bdr w:val="single" w:sz="8" w:space="1" w:color="000000"/>
        </w:rPr>
        <w:t> beginning on page 151 of this proxy statement/prospectus, the VIH Board concluded that the Business Combination met the requirements disclosed in the prospectus for the IPO. For more information about the transactions contemplated by the Merger Agreement, see </w:t>
      </w:r>
      <w:r>
        <w:rPr>
          <w:rFonts w:ascii="Times New Roman" w:hAnsi="Times New Roman"/>
          <w:i/>
          <w:sz w:val="20"/>
          <w:bdr w:val="single" w:sz="8" w:space="1" w:color="000000"/>
        </w:rPr>
        <w:t>The Business Combination Proposal</w:t>
      </w:r>
      <w:r>
        <w:rPr>
          <w:rFonts w:ascii="Times New Roman" w:hAnsi="Times New Roman"/>
          <w:sz w:val="20"/>
          <w:bdr w:val="single" w:sz="8" w:space="1" w:color="000000"/>
        </w:rPr>
        <w:t xml:space="preserve"> beginning on page 118 of this proxy statement/prospectus.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Organizational Structure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diagrams below depict simplified versions of the current organizational structures of VIH and Bakkt, respectively.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u w:val="single"/>
          <w:bdr w:val="single" w:sz="8" w:space="1" w:color="000000"/>
        </w:rPr>
        <w:t>Existing VIH Structure</w:t>
      </w:r>
      <w:r>
        <w:rPr>
          <w:rFonts w:ascii="Times New Roman" w:hAnsi="Times New Roman"/>
          <w:b/>
          <w:sz w:val="20"/>
          <w:bdr w:val="single" w:sz="8" w:space="1" w:color="000000"/>
        </w:rPr>
        <w:t xml:space="preserve"> </w:t>
      </w:r>
    </w:p>
    <w:p>
      <w:pPr>
        <w:pStyle w:val="TextBody"/>
        <w:spacing w:before="0" w:after="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t> </w:t>
      </w:r>
    </w:p>
    <w:p>
      <w:pPr>
        <w:pStyle w:val="TextBody"/>
        <w:spacing w:before="0" w:after="0"/>
        <w:jc w:val="center"/>
        <w:rPr>
          <w:bdr w:val="single" w:sz="8" w:space="1" w:color="000000"/>
        </w:rPr>
      </w:pPr>
      <w:r>
        <w:rPr>
          <w:bdr w:val="single" w:sz="8" w:space="1" w:color="000000"/>
        </w:rPr>
        <w:drawing>
          <wp:inline distT="0" distB="0" distL="0" distR="0">
            <wp:extent cx="290195" cy="212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0195" cy="212090"/>
                    </a:xfrm>
                    <a:prstGeom prst="rect">
                      <a:avLst/>
                    </a:prstGeom>
                  </pic:spPr>
                </pic:pic>
              </a:graphicData>
            </a:graphic>
          </wp:inline>
        </w:drawing>
      </w:r>
      <w:r>
        <w:rPr>
          <w:bdr w:val="single" w:sz="8" w:space="1" w:color="000000"/>
        </w:rPr>
        <w:t xml:space="preserve">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u w:val="single"/>
          <w:bdr w:val="single" w:sz="8" w:space="1" w:color="000000"/>
        </w:rPr>
        <w:t>Existing Bakkt Structure</w:t>
      </w:r>
      <w:r>
        <w:rPr>
          <w:rFonts w:ascii="Times New Roman" w:hAnsi="Times New Roman"/>
          <w:b/>
          <w:sz w:val="20"/>
          <w:bdr w:val="single" w:sz="8" w:space="1" w:color="000000"/>
        </w:rPr>
        <w:t xml:space="preserve"> </w:t>
      </w:r>
    </w:p>
    <w:p>
      <w:pPr>
        <w:pStyle w:val="TextBody"/>
        <w:spacing w:before="0" w:after="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t> </w:t>
      </w:r>
    </w:p>
    <w:p>
      <w:pPr>
        <w:pStyle w:val="TextBody"/>
        <w:spacing w:before="0" w:after="0"/>
        <w:jc w:val="center"/>
        <w:rPr>
          <w:bdr w:val="single" w:sz="8" w:space="1" w:color="000000"/>
        </w:rPr>
      </w:pPr>
      <w:r>
        <w:rPr>
          <w:bdr w:val="single" w:sz="8" w:space="1" w:color="000000"/>
        </w:rPr>
        <w:drawing>
          <wp:inline distT="0" distB="0" distL="0" distR="0">
            <wp:extent cx="566420" cy="396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6420" cy="396240"/>
                    </a:xfrm>
                    <a:prstGeom prst="rect">
                      <a:avLst/>
                    </a:prstGeom>
                  </pic:spPr>
                </pic:pic>
              </a:graphicData>
            </a:graphic>
          </wp:inline>
        </w:drawing>
      </w:r>
      <w:r>
        <w:rPr>
          <w:bdr w:val="single" w:sz="8" w:space="1" w:color="000000"/>
        </w:rPr>
        <w:t xml:space="preserv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existing Bakkt structure shown in the diagram above reflects both Bakkt Interests and Bakkt Warrants. In addition, Bakkt Management holds Bakkt Incentive Units on behalf of the grantees of such Bakkt Incentive Units under the Bakkt Plan. </w:t>
      </w:r>
    </w:p>
    <w:p>
      <w:pPr>
        <w:pStyle w:val="TextBody"/>
        <w:spacing w:before="0" w:after="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a simplified version of our organizational structure immediately following the Closing.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u w:val="single"/>
          <w:bdr w:val="single" w:sz="8" w:space="1" w:color="000000"/>
        </w:rPr>
        <w:t>Post-Closing Company Structure</w:t>
      </w:r>
      <w:r>
        <w:rPr>
          <w:rFonts w:ascii="Times New Roman" w:hAnsi="Times New Roman"/>
          <w:b/>
          <w:sz w:val="20"/>
          <w:bdr w:val="single" w:sz="8" w:space="1" w:color="000000"/>
        </w:rPr>
        <w:t xml:space="preserve"> </w:t>
      </w:r>
    </w:p>
    <w:p>
      <w:pPr>
        <w:pStyle w:val="TextBody"/>
        <w:spacing w:before="0" w:after="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t> </w:t>
      </w:r>
    </w:p>
    <w:p>
      <w:pPr>
        <w:pStyle w:val="TextBody"/>
        <w:spacing w:before="0" w:after="0"/>
        <w:jc w:val="center"/>
        <w:rPr>
          <w:bdr w:val="single" w:sz="8" w:space="1" w:color="000000"/>
        </w:rPr>
      </w:pPr>
      <w:r>
        <w:rPr>
          <w:bdr w:val="single" w:sz="8" w:space="1" w:color="000000"/>
        </w:rPr>
        <w:drawing>
          <wp:inline distT="0" distB="0" distL="0" distR="0">
            <wp:extent cx="577850" cy="426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 cy="426720"/>
                    </a:xfrm>
                    <a:prstGeom prst="rect">
                      <a:avLst/>
                    </a:prstGeom>
                  </pic:spPr>
                </pic:pic>
              </a:graphicData>
            </a:graphic>
          </wp:inline>
        </w:drawing>
      </w:r>
      <w:r>
        <w:rPr>
          <w:bdr w:val="single" w:sz="8" w:space="1" w:color="000000"/>
        </w:rPr>
        <w:t xml:space="preserv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organizational structure following the completion of the Business Combination, as described above, is commonly referred to as an umbrella partnership-C corporation (or </w:t>
      </w:r>
      <w:r>
        <w:rPr>
          <w:rFonts w:ascii="Times New Roman" w:hAnsi="Times New Roman"/>
          <w:b/>
          <w:sz w:val="20"/>
          <w:bdr w:val="single" w:sz="8" w:space="1" w:color="000000"/>
        </w:rPr>
        <w:t>Up-C</w:t>
      </w:r>
      <w:r>
        <w:rPr>
          <w:rFonts w:ascii="Times New Roman" w:hAnsi="Times New Roman"/>
          <w:sz w:val="20"/>
          <w:bdr w:val="single" w:sz="8" w:space="1" w:color="000000"/>
        </w:rPr>
        <w:t>) structure. This organizational structure will allow the Bakkt Equity Holders to retain their equity ownership in Bakkt, an entity that is classified 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 VIH does not believe that the Up-C organizational structure will give rise to any significant business or strategic benefit or detriment to VIH. See the section entitled </w:t>
      </w:r>
      <w:r>
        <w:rPr>
          <w:rFonts w:ascii="Times New Roman" w:hAnsi="Times New Roman"/>
          <w:i/>
          <w:sz w:val="20"/>
          <w:bdr w:val="single" w:sz="8" w:space="1" w:color="000000"/>
        </w:rPr>
        <w:t>Risk FactorsRisks Related to the Domestication and the Business Combination</w:t>
      </w:r>
      <w:r>
        <w:rPr>
          <w:rFonts w:ascii="Times New Roman" w:hAnsi="Times New Roman"/>
          <w:sz w:val="20"/>
          <w:bdr w:val="single" w:sz="8" w:space="1" w:color="000000"/>
        </w:rPr>
        <w:t xml:space="preserve"> beginning on page 52 of this proxy statement/prospectus for additional information on our organizational structure, including the Tax Receivable Agreement.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Business Combination, the Company and the Bakkt Equity Holders will enter into the Tax Receivable Agreement, which generally provides for the payment of the Company of 85% of certain net tax benefits, if any, it realizes from increases in tax basis as a result of exchanges by Bakkt Equity Holders of Bakkt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Opco Common Units for Bakkt Pubco Class A Shares, or at the sole discretion of the Company, for the Cash Amount, pursuant to the Exchange Agreement and certain other tax attributes of Bakkt Opco and tax benefits related to entering into the Tax Receivable Agreement, including tax benefits attributable to payments under the Tax Receivable Agreement. For more information on the Tax Receivable Agreement, please see the section entitled </w:t>
      </w:r>
      <w:r>
        <w:rPr>
          <w:rFonts w:ascii="Times New Roman" w:hAnsi="Times New Roman"/>
          <w:i/>
          <w:sz w:val="20"/>
          <w:bdr w:val="single" w:sz="8" w:space="1" w:color="000000"/>
        </w:rPr>
        <w:t>The Business Combination ProposalRelated AgreementsTax Receivable Agreement</w:t>
      </w:r>
      <w:r>
        <w:rPr>
          <w:rFonts w:ascii="Times New Roman" w:hAnsi="Times New Roman"/>
          <w:sz w:val="20"/>
          <w:bdr w:val="single" w:sz="8" w:space="1" w:color="000000"/>
        </w:rPr>
        <w:t xml:space="preserve"> beginning on page 144 of this proxy statement/prospectus.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Merger Consideration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Consideration to be received by Bakkt Equity Holders will be an aggregate of 208,200,000 Bakkt Opco Common Units and an equivalent number of Bakkt Pubco Class V Shares, subject to the allocation of a certain portion of those Bakkt Opco Common Units and Bakkt Pubco Class V Shares to the holders of Bakkt Warrants that do not exercise such warrants prior to the Closing. See </w:t>
      </w:r>
      <w:r>
        <w:rPr>
          <w:rFonts w:ascii="Times New Roman" w:hAnsi="Times New Roman"/>
          <w:i/>
          <w:sz w:val="20"/>
          <w:bdr w:val="single" w:sz="8" w:space="1" w:color="000000"/>
        </w:rPr>
        <w:t>The Business Combination Proposal  Merger Agreement  Consideration  Treatment of Bakkt Warrants</w:t>
      </w:r>
      <w:r>
        <w:rPr>
          <w:rFonts w:ascii="Times New Roman" w:hAnsi="Times New Roman"/>
          <w:sz w:val="20"/>
          <w:bdr w:val="single" w:sz="8" w:space="1" w:color="000000"/>
        </w:rPr>
        <w:t xml:space="preserve"> beginning on page 120 of this proxy statement/prospectus for additional information. Each Bakkt Opco Common Unit issued to Bakkt Equity Holders will be issued with a paired Bakkt Pubco Class V Share, which Bakkt Opco Common Units are exchangeable, in tandem with the cancellation of the paired Bakkt Pubco Class V Shares, for Bakkt Pubco Class A Shares. After the six-month anniversary of the Closing, holders of Bakkt Opco Common Units will be permitted to exchange such Bakkt Opco Common Units (along with the cancellation of the paired Bakkt Pubco Class V Shares) for Bakkt Pubco Class A Shares on a one-for-one basis pursuant to the Exchange Agreement (subject to customary conversion rate adjustments for stock splits, stock dividends and reclassifications) or for cash (at the sole discretion of Bakkt Pubco).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Bakkt Incentive Units held by Bakkt Management on behalf of participants and Bakkt Participation Units held by each participant unitholder will vest in three equal installments, with one third vesting at the effective time of the Merger, and one third vesting on each of the first and second anniversaries of the effective time of the Merger as if the Merger constituted an initial public offering under the Bakkt Plan, except that upon a termination without cause of a plan participant within two years following the effective time of the Merger, all then-unvested Bakkt Incentive Units held by Bakkt Management and corresponding incentive units of Bakkt Management held by participants and all then-unvested Bakkt Participation Units relating to such plan participants will immediately vest in full. Notwithstanding the foregoing, with respect to Bakkt Incentive Units granted in December 2020, participants have the opportunity, but not the obligation, to require Bakkt, through Bakkt Management, to redeem, effective as of immediately prior to the effective time of the Merger, 40% of the first one-third of their Bakkt Incentive Units scheduled to vest at the effective time of the Merger for the receipt, as of the Closing, of a cash payment for the portion of Bakkt Incentive Units redeemed. Further, with respect to Bakkt Incentive Units granted in September 2020 to one of the executive officers of Bakkt, the executive officer will also have the same opportunity to redeem 40% of the first one-third of his Bakkt Incentive Units scheduled to vest at the effective time of the Merger for a cash payment, and subsequently the opportunity, but not the obligation, to require Bakkt, through Bakkt Management, to redeem 40% of the remaining two-thirds of his Bakkt Incentive Units that will vest as of the date of his termination of employment pursuant to his separation agreement for the receipt of a cash payment for the portion of Bakkt Incentive Units redeemed. As soon as practicable after each redemption date, Bakkt Management will provide the cash payment for the portion of the Bakkt Incentive Units redeemed to the participants.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each Bakkt Incentive Unit held by Bakkt Management, on behalf of participants as with other Bakkt Equity Holders, will be converted into the right to receive a Bakkt Opco Common Unit with a paired Bakkt Pubco Class V Share, which Bakkt Opco Common Units are exchangeable, in tandem with the cancellation of the paired Bakkt Pubco Class V Shares, for Bakkt Pubco Class A Shares. With respect to Bakkt Participation Units, any Bakkt Participation Unit that vests in accordance with the treatment described above will experience a participation unit payment event on the applicable vesting dates. For Bakkt Participation Units that vest on the first and second anniversary of the effective time of the Merger (or earlier upon a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termination without cause), the amount payable will be adjusted to reflect a notional investment in Bakkt Pubco Class A Shares in the principal amount equal to the amount that would have been payable had all such Bakkt Participation Units experienced a participation unit payment event at the effective time of the Merger, made as of the effective time of the Merger and held through such participation unit payment event. For Bakkt Participation Units that vest after the date that is six months after the Closing, such Bakkt Participation Units may be settled, no less than 15 days and no more than 30 business days following the vesting date, with cash, Bakkt Pubco Class A Shares or awards under the Bakkt Pubco Equity Incentive Plan, based on the trading value of the Bakkt Pubco Class A Shares as of the close of business of the date of settlement, in each case equivalent in value on the day of settlement to the amount that otherwise would be payable in cash, or any combination thereof. Any payment due because of accelerated vesting following a termination without cause during the six-month lockup period, however, will be made in the form of cash.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details, see </w:t>
      </w:r>
      <w:r>
        <w:rPr>
          <w:rFonts w:ascii="Times New Roman" w:hAnsi="Times New Roman"/>
          <w:i/>
          <w:sz w:val="20"/>
          <w:bdr w:val="single" w:sz="8" w:space="1" w:color="000000"/>
        </w:rPr>
        <w:t>The Business Combination ProposalMerger AgreementConsideration</w:t>
      </w:r>
      <w:r>
        <w:rPr>
          <w:rFonts w:ascii="Times New Roman" w:hAnsi="Times New Roman"/>
          <w:sz w:val="20"/>
          <w:bdr w:val="single" w:sz="8" w:space="1" w:color="000000"/>
        </w:rPr>
        <w:t xml:space="preserve"> beginning on page 118 of this proxy statement/prospectus.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Closing Conditions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is subject to the satisfaction or waiver of the following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(as such filing is amended and including the proxy statement/prospectus contained therein, the </w:t>
      </w:r>
      <w:r>
        <w:rPr>
          <w:rFonts w:ascii="Times New Roman" w:hAnsi="Times New Roman"/>
          <w:b/>
          <w:sz w:val="20"/>
          <w:bdr w:val="single" w:sz="8" w:space="1" w:color="000000"/>
        </w:rPr>
        <w:t>Registration Statement</w:t>
      </w:r>
      <w:r>
        <w:rPr>
          <w:rFonts w:ascii="Times New Roman" w:hAnsi="Times New Roman"/>
          <w:sz w:val="20"/>
          <w:bdr w:val="single" w:sz="8" w:space="1" w:color="000000"/>
        </w:rPr>
        <w:t xml:space="preserve">) filed by VIH in connection with the Domestication; (c) all specified authorizations, consents, orders, regulatory approvals, non-objections, declarations, filings or waiting periods having been made, received or expired; (d) delivery of closing deliverables and documentation; (e) absence of a material adverse effect in respect of Bakkt, VIH and Merger Sub; (f) accuracy of the applicable representations, warranties and covenants, each to an applicable standard; (g) the Bakkt Pubco Class A Shares will have been listed on a national stock exchange and will be eligible for continued listing on a national stock exchange immediately following the Closing; (h) the PIPE Investment having been completed; (i) Available Cash being equal to at least $425,000,000; (j) the Domestication having been completed; (k) the existing members of the VIH Board having resigned as of the Closing and the post-Closing directors having been appointed to serve on the Company Board effective as of the Closing; (l) the existing officers of VIH having resigned as of the Closing and the post-Closing officers having been appointed to serve effective as of the Closing; and (m) the absence of any injunctions or restraints in respect of consummation of the Proposed Transaction.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details, see </w:t>
      </w:r>
      <w:r>
        <w:rPr>
          <w:rFonts w:ascii="Times New Roman" w:hAnsi="Times New Roman"/>
          <w:i/>
          <w:sz w:val="20"/>
          <w:bdr w:val="single" w:sz="8" w:space="1" w:color="000000"/>
        </w:rPr>
        <w:t>The Business Combination ProposalMerger Agreement</w:t>
      </w:r>
      <w:r>
        <w:rPr>
          <w:rFonts w:ascii="Times New Roman" w:hAnsi="Times New Roman"/>
          <w:sz w:val="20"/>
          <w:bdr w:val="single" w:sz="8" w:space="1" w:color="000000"/>
        </w:rPr>
        <w:t xml:space="preserve"> beginning on page 118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Domestication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Business Combination Proposal is approved, then VIH will ask its shareholders to approve by special resolution the Domestication Proposal. As a condition to closing the Business Combination pursuant to the terms of the Merger Agreement, the VIH Board has unanimously approved the Domestication Proposal. The Domestication Proposal, if approved, will authorize a change of VIHs jurisdiction of incorporation from the Cayman Islands to the State of Delaware. Accordingly, while VIH is currently governed by the Companies Act, upon the Domestication, Bakkt Pubco will be governed by the DGCL. There are differences between Cayman Islands corporate law and Delaware corporate law as well as between the Cayman Constitutional Documents and the Proposed Organizational Documents. Accordingly, VIH encourages shareholders to carefully review the information in </w:t>
      </w:r>
      <w:r>
        <w:rPr>
          <w:rFonts w:ascii="Times New Roman" w:hAnsi="Times New Roman"/>
          <w:i/>
          <w:sz w:val="20"/>
          <w:bdr w:val="single" w:sz="8" w:space="1" w:color="000000"/>
        </w:rPr>
        <w:t>The Domestication ProposalComparison of Shareholder Rights under Applicable Corporate Law Before and After Domestication</w:t>
      </w:r>
      <w:r>
        <w:rPr>
          <w:rFonts w:ascii="Times New Roman" w:hAnsi="Times New Roman"/>
          <w:sz w:val="20"/>
          <w:bdr w:val="single" w:sz="8" w:space="1" w:color="000000"/>
        </w:rPr>
        <w:t xml:space="preserve"> beginning on page 164 of this proxy statement/prospectus.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As a result of and upon the effective time of the Domestication, (a) each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issued and outstanding immediately prior to the Domestication will be automatically converted into one Bakkt Pubco Class A Share, and (d) each VIH Warrant will be automatically converted into a Bakkt Pubco Warrant on the same terms as the VIH Warrants.</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 Domestication Proposal</w:t>
      </w:r>
      <w:r>
        <w:rPr>
          <w:rFonts w:ascii="Times New Roman" w:hAnsi="Times New Roman"/>
          <w:sz w:val="20"/>
          <w:bdr w:val="single" w:sz="8" w:space="1" w:color="000000"/>
        </w:rPr>
        <w:t xml:space="preserve"> beginning on page 162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Stock Issuance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each of the Business Combination Proposal and the Domestication Proposal are approved, VIHs shareholders are also being asked to approve by ordinary resolution the Stock Issuance Proposal for purposes of complying with the applicable provisions of Nasdaq Listing Rule 5635(d).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Nasdaq Listing Rule 5635(d), shareholder approval is required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aggregate number of Bakkt Pubco Class A Shares that the Company will issue in connection with the Proposed Transaction and the PIPE Investment will exceed 20% of both the voting power and the Bakkt Pubco Common Stock (as defined below) outstanding before such issuance and may result in a change of control of the registrant under Nasdaq Listing Rule 5635(d). Accordingly, VIH is seeking the approval of VIH shareholders for the issuance of shares of Bakkt Pubco Common Stock in connection with the Proposed Transaction and the PIPE Investment.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 Stock Issuance Proposal</w:t>
      </w:r>
      <w:r>
        <w:rPr>
          <w:rFonts w:ascii="Times New Roman" w:hAnsi="Times New Roman"/>
          <w:sz w:val="20"/>
          <w:bdr w:val="single" w:sz="8" w:space="1" w:color="000000"/>
        </w:rPr>
        <w:t xml:space="preserve"> beginning on page 170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Organizational Documents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each of the Business Combination Proposal, the Domestication Proposal and the Stock Issuance Proposal are approved, VIH will ask its shareholders to approve the Organizational Documents Proposal in connection with the replacement of the Cayman Constitutional Documents, under the Companies Act, with the Proposed Organizational Documents, under the DGCL. The VIH Board has unanimously approved the Organizational Documents Proposal and believes such proposal is necessary to adequately address the needs of Bakkt Pubco following the Closing. Approval of the Organizational Documents Proposal is a condition to the consummation of the Business Combination.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w:t>
      </w:r>
      <w:r>
        <w:rPr>
          <w:rFonts w:ascii="Times New Roman" w:hAnsi="Times New Roman"/>
          <w:sz w:val="20"/>
          <w:bdr w:val="single" w:sz="8" w:space="1" w:color="000000"/>
        </w:rPr>
        <w:t xml:space="preserve"> </w:t>
      </w:r>
      <w:r>
        <w:rPr>
          <w:rFonts w:ascii="Times New Roman" w:hAnsi="Times New Roman"/>
          <w:i/>
          <w:sz w:val="20"/>
          <w:bdr w:val="single" w:sz="8" w:space="1" w:color="000000"/>
        </w:rPr>
        <w:t>Organizational Documents Proposal</w:t>
      </w:r>
      <w:r>
        <w:rPr>
          <w:rFonts w:ascii="Times New Roman" w:hAnsi="Times New Roman"/>
          <w:sz w:val="20"/>
          <w:bdr w:val="single" w:sz="8" w:space="1" w:color="000000"/>
        </w:rPr>
        <w:t xml:space="preserve"> beginning on page 172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Advisory Organizational Documents Proposals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VIH will ask its shareholders to approve on a non-binding advisory basis seven separate Advisory Organizational Documents Proposals in connection with the replacement of the Cayman Constitutional Documents, under the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Companies Act, with the Proposed Organizational Documents, under the DGCL. The VIH Board has unanimously approved the Advisory Organizational Documents Proposals and believes such proposals are necessary to adequately address the needs of Bakkt Pubco after the Business Combination. Approval of the Advisory Organizational Documents Proposals is not a condition to the consummation of the Business Combination.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brief summary of each of the Advisory Organizational Documents Proposals is set forth below. These summaries are qualified in their entirety by reference to the complete text of the Proposed Organizational Documents.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(A) Advisory Organizational Documents Proposal 5A </w:t>
      </w:r>
      <w:r>
        <w:rPr>
          <w:rFonts w:ascii="Times New Roman" w:hAnsi="Times New Roman"/>
          <w:sz w:val="20"/>
          <w:bdr w:val="single" w:sz="8" w:space="1" w:color="000000"/>
        </w:rPr>
        <w:t> to authorize the change in the authorized capital stock of VIH from 200,000,000 VIH Class A Ordinary Shares, par value $0.0001 per share (the </w:t>
      </w:r>
      <w:r>
        <w:rPr>
          <w:rFonts w:ascii="Times New Roman" w:hAnsi="Times New Roman"/>
          <w:b/>
          <w:sz w:val="20"/>
          <w:bdr w:val="single" w:sz="8" w:space="1" w:color="000000"/>
        </w:rPr>
        <w:t>VIH</w:t>
      </w:r>
      <w:r>
        <w:rPr>
          <w:rFonts w:ascii="Times New Roman" w:hAnsi="Times New Roman"/>
          <w:sz w:val="20"/>
          <w:bdr w:val="single" w:sz="8" w:space="1" w:color="000000"/>
        </w:rPr>
        <w:t xml:space="preserve"> </w:t>
      </w:r>
      <w:r>
        <w:rPr>
          <w:rFonts w:ascii="Times New Roman" w:hAnsi="Times New Roman"/>
          <w:b/>
          <w:sz w:val="20"/>
          <w:bdr w:val="single" w:sz="8" w:space="1" w:color="000000"/>
        </w:rPr>
        <w:t>Class</w:t>
      </w:r>
      <w:r>
        <w:rPr>
          <w:rFonts w:ascii="Times New Roman" w:hAnsi="Times New Roman"/>
          <w:sz w:val="20"/>
          <w:bdr w:val="single" w:sz="8" w:space="1" w:color="000000"/>
        </w:rPr>
        <w:t> </w:t>
      </w:r>
      <w:r>
        <w:rPr>
          <w:rFonts w:ascii="Times New Roman" w:hAnsi="Times New Roman"/>
          <w:b/>
          <w:sz w:val="20"/>
          <w:bdr w:val="single" w:sz="8" w:space="1" w:color="000000"/>
        </w:rPr>
        <w:t>A</w:t>
      </w:r>
      <w:r>
        <w:rPr>
          <w:rFonts w:ascii="Times New Roman" w:hAnsi="Times New Roman"/>
          <w:sz w:val="20"/>
          <w:bdr w:val="single" w:sz="8" w:space="1" w:color="000000"/>
        </w:rPr>
        <w:t xml:space="preserve"> </w:t>
      </w:r>
      <w:r>
        <w:rPr>
          <w:rFonts w:ascii="Times New Roman" w:hAnsi="Times New Roman"/>
          <w:b/>
          <w:sz w:val="20"/>
          <w:bdr w:val="single" w:sz="8" w:space="1" w:color="000000"/>
        </w:rPr>
        <w:t>Ordinary Shares</w:t>
      </w:r>
      <w:r>
        <w:rPr>
          <w:rFonts w:ascii="Times New Roman" w:hAnsi="Times New Roman"/>
          <w:sz w:val="20"/>
          <w:bdr w:val="single" w:sz="8" w:space="1" w:color="000000"/>
        </w:rPr>
        <w:t>), 20,000,000 VIH Class B Ordinary Shares, par value $0.0001 per share (the </w:t>
      </w:r>
      <w:r>
        <w:rPr>
          <w:rFonts w:ascii="Times New Roman" w:hAnsi="Times New Roman"/>
          <w:b/>
          <w:sz w:val="20"/>
          <w:bdr w:val="single" w:sz="8" w:space="1" w:color="000000"/>
        </w:rPr>
        <w:t>VIH</w:t>
      </w:r>
      <w:r>
        <w:rPr>
          <w:rFonts w:ascii="Times New Roman" w:hAnsi="Times New Roman"/>
          <w:sz w:val="20"/>
          <w:bdr w:val="single" w:sz="8" w:space="1" w:color="000000"/>
        </w:rPr>
        <w:t xml:space="preserve"> </w:t>
      </w:r>
      <w:r>
        <w:rPr>
          <w:rFonts w:ascii="Times New Roman" w:hAnsi="Times New Roman"/>
          <w:b/>
          <w:sz w:val="20"/>
          <w:bdr w:val="single" w:sz="8" w:space="1" w:color="000000"/>
        </w:rPr>
        <w:t>Class</w:t>
      </w:r>
      <w:r>
        <w:rPr>
          <w:rFonts w:ascii="Times New Roman" w:hAnsi="Times New Roman"/>
          <w:sz w:val="20"/>
          <w:bdr w:val="single" w:sz="8" w:space="1" w:color="000000"/>
        </w:rPr>
        <w:t> </w:t>
      </w:r>
      <w:r>
        <w:rPr>
          <w:rFonts w:ascii="Times New Roman" w:hAnsi="Times New Roman"/>
          <w:b/>
          <w:sz w:val="20"/>
          <w:bdr w:val="single" w:sz="8" w:space="1" w:color="000000"/>
        </w:rPr>
        <w:t>B</w:t>
      </w:r>
      <w:r>
        <w:rPr>
          <w:rFonts w:ascii="Times New Roman" w:hAnsi="Times New Roman"/>
          <w:sz w:val="20"/>
          <w:bdr w:val="single" w:sz="8" w:space="1" w:color="000000"/>
        </w:rPr>
        <w:t xml:space="preserve"> </w:t>
      </w:r>
      <w:r>
        <w:rPr>
          <w:rFonts w:ascii="Times New Roman" w:hAnsi="Times New Roman"/>
          <w:b/>
          <w:sz w:val="20"/>
          <w:bdr w:val="single" w:sz="8" w:space="1" w:color="000000"/>
        </w:rPr>
        <w:t>Ordinary Shares</w:t>
      </w:r>
      <w:r>
        <w:rPr>
          <w:rFonts w:ascii="Times New Roman" w:hAnsi="Times New Roman"/>
          <w:sz w:val="20"/>
          <w:bdr w:val="single" w:sz="8" w:space="1" w:color="000000"/>
        </w:rPr>
        <w:t> and, together with the Class A Ordinary Shares, the </w:t>
      </w:r>
      <w:r>
        <w:rPr>
          <w:rFonts w:ascii="Times New Roman" w:hAnsi="Times New Roman"/>
          <w:b/>
          <w:sz w:val="20"/>
          <w:bdr w:val="single" w:sz="8" w:space="1" w:color="000000"/>
        </w:rPr>
        <w:t>Ordinary Shares</w:t>
      </w:r>
      <w:r>
        <w:rPr>
          <w:rFonts w:ascii="Times New Roman" w:hAnsi="Times New Roman"/>
          <w:sz w:val="20"/>
          <w:bdr w:val="single" w:sz="8" w:space="1" w:color="000000"/>
        </w:rPr>
        <w:t>), and 1,000,000 preference shares, par value $0.0001 per share (the </w:t>
      </w:r>
      <w:r>
        <w:rPr>
          <w:rFonts w:ascii="Times New Roman" w:hAnsi="Times New Roman"/>
          <w:b/>
          <w:sz w:val="20"/>
          <w:bdr w:val="single" w:sz="8" w:space="1" w:color="000000"/>
        </w:rPr>
        <w:t>Preference Shares</w:t>
      </w:r>
      <w:r>
        <w:rPr>
          <w:rFonts w:ascii="Times New Roman" w:hAnsi="Times New Roman"/>
          <w:sz w:val="20"/>
          <w:bdr w:val="single" w:sz="8" w:space="1" w:color="000000"/>
        </w:rPr>
        <w:t>), to 750,000,000 shares of Class A Common Stock, par value $0.0001 per share, of Bakkt Pubco (the </w:t>
      </w:r>
      <w:r>
        <w:rPr>
          <w:rFonts w:ascii="Times New Roman" w:hAnsi="Times New Roman"/>
          <w:b/>
          <w:sz w:val="20"/>
          <w:bdr w:val="single" w:sz="8" w:space="1" w:color="000000"/>
        </w:rPr>
        <w:t>Bakkt Pubco Class</w:t>
      </w:r>
      <w:r>
        <w:rPr>
          <w:rFonts w:ascii="Times New Roman" w:hAnsi="Times New Roman"/>
          <w:sz w:val="20"/>
          <w:bdr w:val="single" w:sz="8" w:space="1" w:color="000000"/>
        </w:rPr>
        <w:t> </w:t>
      </w:r>
      <w:r>
        <w:rPr>
          <w:rFonts w:ascii="Times New Roman" w:hAnsi="Times New Roman"/>
          <w:b/>
          <w:sz w:val="20"/>
          <w:bdr w:val="single" w:sz="8" w:space="1" w:color="000000"/>
        </w:rPr>
        <w:t>A Common Stock</w:t>
      </w:r>
      <w:r>
        <w:rPr>
          <w:rFonts w:ascii="Times New Roman" w:hAnsi="Times New Roman"/>
          <w:sz w:val="20"/>
          <w:bdr w:val="single" w:sz="8" w:space="1" w:color="000000"/>
        </w:rPr>
        <w:t>), and 250,000,000 shares of Class V Common Stock, par value $0.0001 per share, of Bakkt Pubco (the </w:t>
      </w:r>
      <w:r>
        <w:rPr>
          <w:rFonts w:ascii="Times New Roman" w:hAnsi="Times New Roman"/>
          <w:b/>
          <w:sz w:val="20"/>
          <w:bdr w:val="single" w:sz="8" w:space="1" w:color="000000"/>
        </w:rPr>
        <w:t>Bakkt Pubco Class</w:t>
      </w:r>
      <w:r>
        <w:rPr>
          <w:rFonts w:ascii="Times New Roman" w:hAnsi="Times New Roman"/>
          <w:sz w:val="20"/>
          <w:bdr w:val="single" w:sz="8" w:space="1" w:color="000000"/>
        </w:rPr>
        <w:t> </w:t>
      </w:r>
      <w:r>
        <w:rPr>
          <w:rFonts w:ascii="Times New Roman" w:hAnsi="Times New Roman"/>
          <w:b/>
          <w:sz w:val="20"/>
          <w:bdr w:val="single" w:sz="8" w:space="1" w:color="000000"/>
        </w:rPr>
        <w:t>V Common Stock</w:t>
      </w:r>
      <w:r>
        <w:rPr>
          <w:rFonts w:ascii="Times New Roman" w:hAnsi="Times New Roman"/>
          <w:sz w:val="20"/>
          <w:bdr w:val="single" w:sz="8" w:space="1" w:color="000000"/>
        </w:rPr>
        <w:t>, together with the Bakkt Pubco Class A Common Stock, the </w:t>
      </w:r>
      <w:r>
        <w:rPr>
          <w:rFonts w:ascii="Times New Roman" w:hAnsi="Times New Roman"/>
          <w:b/>
          <w:sz w:val="20"/>
          <w:bdr w:val="single" w:sz="8" w:space="1" w:color="000000"/>
        </w:rPr>
        <w:t>Bakkt Pubco Common Stock</w:t>
      </w:r>
      <w:r>
        <w:rPr>
          <w:rFonts w:ascii="Times New Roman" w:hAnsi="Times New Roman"/>
          <w:sz w:val="20"/>
          <w:bdr w:val="single" w:sz="8" w:space="1" w:color="000000"/>
        </w:rPr>
        <w:t>) and 1,000,000 shares of preferred stock, par value $0.0001 per share, of Bakkt Pubco (the </w:t>
      </w:r>
      <w:r>
        <w:rPr>
          <w:rFonts w:ascii="Times New Roman" w:hAnsi="Times New Roman"/>
          <w:b/>
          <w:sz w:val="20"/>
          <w:bdr w:val="single" w:sz="8" w:space="1" w:color="000000"/>
        </w:rPr>
        <w:t>Bakkt Pubco Preferred Stock</w:t>
      </w:r>
      <w:r>
        <w:rPr>
          <w:rFonts w:ascii="Times New Roman" w:hAnsi="Times New Roman"/>
          <w:sz w:val="20"/>
          <w:bdr w:val="single" w:sz="8" w:space="1" w:color="000000"/>
        </w:rPr>
        <w:t xml:space="preserve">);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(B) Advisory Organizational Documents Proposal 5B </w:t>
      </w:r>
      <w:r>
        <w:rPr>
          <w:rFonts w:ascii="Times New Roman" w:hAnsi="Times New Roman"/>
          <w:sz w:val="20"/>
          <w:bdr w:val="single" w:sz="8" w:space="1" w:color="000000"/>
        </w:rPr>
        <w:t xml:space="preserve"> to authorize adopting Delaware as the exclusive forum for certain stockholder litigation;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(C) Advisory Organizational Documents Proposal 5C </w:t>
      </w:r>
      <w:r>
        <w:rPr>
          <w:rFonts w:ascii="Times New Roman" w:hAnsi="Times New Roman"/>
          <w:sz w:val="20"/>
          <w:bdr w:val="single" w:sz="8" w:space="1" w:color="000000"/>
        </w:rPr>
        <w:t xml:space="preserve"> to authorize electing not to be governed by Section 203 of the DGCL relating to takeovers by interested stockholders and, instead, be governed by a provision substantially similar to Section 203 of the DGCL;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(D) Advisory Organizational Documents Proposal 5D </w:t>
      </w:r>
      <w:r>
        <w:rPr>
          <w:rFonts w:ascii="Times New Roman" w:hAnsi="Times New Roman"/>
          <w:sz w:val="20"/>
          <w:bdr w:val="single" w:sz="8" w:space="1" w:color="000000"/>
        </w:rPr>
        <w:t xml:space="preserve"> to approve provisions providing that the affirmative vote of at least 66 2/3% of the 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(E) Advisory Organizational Documents Proposal 5E </w:t>
      </w:r>
      <w:r>
        <w:rPr>
          <w:rFonts w:ascii="Times New Roman" w:hAnsi="Times New Roman"/>
          <w:sz w:val="20"/>
          <w:bdr w:val="single" w:sz="8" w:space="1" w:color="000000"/>
        </w:rPr>
        <w:t xml:space="preserve"> to approve provisions permitting the removal of a director only for cause and only by the affirmative vote of the holders of at least 66 2/3% of the outstanding shares entitled to vote at an election of directors, voting together as a single class;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(F) Advisory Organizational Documents Proposal 5F </w:t>
      </w:r>
      <w:r>
        <w:rPr>
          <w:rFonts w:ascii="Times New Roman" w:hAnsi="Times New Roman"/>
          <w:sz w:val="20"/>
          <w:bdr w:val="single" w:sz="8" w:space="1" w:color="000000"/>
        </w:rPr>
        <w:t xml:space="preserve"> to approve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and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(G) Advisory Organizational Documents Proposal 5G </w:t>
      </w:r>
      <w:r>
        <w:rPr>
          <w:rFonts w:ascii="Times New Roman" w:hAnsi="Times New Roman"/>
          <w:sz w:val="20"/>
          <w:bdr w:val="single" w:sz="8" w:space="1" w:color="000000"/>
        </w:rPr>
        <w:t xml:space="preserve"> to provide for certain additional changes, including, among other things, (i) changing the corporate name from VPC Impact Acquisition Holdings to Bakkt Holdings, Inc., (ii) making Bakkt Pubcos corporate existence perpetual and (iii)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 Advisory Organizational Documents Proposals</w:t>
      </w:r>
      <w:r>
        <w:rPr>
          <w:rFonts w:ascii="Times New Roman" w:hAnsi="Times New Roman"/>
          <w:sz w:val="20"/>
          <w:bdr w:val="single" w:sz="8" w:space="1" w:color="000000"/>
        </w:rPr>
        <w:t xml:space="preserve"> beginning on page 174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Bakkt Pubco Equity Incentive Plan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each of the Business Combination Proposal, the Domestication Proposal, the Stock Issuance Proposal and the Organizational Documents Proposal is approved, VIH is proposing that its shareholders approve by ordinary resolution the Bakkt Pubco Equity Incentive Plan, which will become effective upon the Closing and will be used by the Company on a going-forward basis following the Closing.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 Bakkt Pubco Equity Incentive Plan Proposal</w:t>
      </w:r>
      <w:r>
        <w:rPr>
          <w:rFonts w:ascii="Times New Roman" w:hAnsi="Times New Roman"/>
          <w:sz w:val="20"/>
          <w:bdr w:val="single" w:sz="8" w:space="1" w:color="000000"/>
        </w:rPr>
        <w:t xml:space="preserve"> beginning on page 184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Director Election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VIH is proposing that its shareholders approve, effective upon the Closing of the Proposed Transaction, the election of nine directors to serve staggered terms on the Company Board until the 2022, 2023 and 2024 annual meeting of stockholders, respectively, and until their respective successors are duly elected and qualified.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 Director Election Proposal</w:t>
      </w:r>
      <w:r>
        <w:rPr>
          <w:rFonts w:ascii="Times New Roman" w:hAnsi="Times New Roman"/>
          <w:sz w:val="20"/>
          <w:bdr w:val="single" w:sz="8" w:space="1" w:color="000000"/>
        </w:rPr>
        <w:t xml:space="preserve"> beginning on page 191 of this proxy statement/prospectus.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Shareholder Adjournment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based on the tabulated vote, there are not sufficient votes at the time of the extraordinary general meeting to authorize VIH to consummate the Business Combination (because any of the Condition Precedent Proposals have not been approved (including as a result of the failure of any other cross-conditioned Condition Precedent Proposals to be approved)), the VIH Board may submit a proposal to adjourn the extraordinary general meeting to a later date or dates, if necessary, to permit further solicitation and vote of proxies.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w:t>
      </w:r>
      <w:r>
        <w:rPr>
          <w:rFonts w:ascii="Times New Roman" w:hAnsi="Times New Roman"/>
          <w:i/>
          <w:sz w:val="20"/>
          <w:bdr w:val="single" w:sz="8" w:space="1" w:color="000000"/>
        </w:rPr>
        <w:t>The Shareholder Adjournment Proposal</w:t>
      </w:r>
      <w:r>
        <w:rPr>
          <w:rFonts w:ascii="Times New Roman" w:hAnsi="Times New Roman"/>
          <w:sz w:val="20"/>
          <w:bdr w:val="single" w:sz="8" w:space="1" w:color="000000"/>
        </w:rPr>
        <w:t xml:space="preserve"> beginning on page 194 of this proxy statement/prospectus.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Date, Time and Place of the Extraordinary General Meeting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extraordinary general meeting will be held virtually at [●] a.m. Eastern Time, on [●], 2021. In light of ongoing developments related to the novel coronavirus (</w:t>
      </w:r>
      <w:r>
        <w:rPr>
          <w:rFonts w:ascii="Times New Roman" w:hAnsi="Times New Roman"/>
          <w:b/>
          <w:sz w:val="20"/>
          <w:bdr w:val="single" w:sz="8" w:space="1" w:color="000000"/>
        </w:rPr>
        <w:t>COVID-19</w:t>
      </w:r>
      <w:r>
        <w:rPr>
          <w:rFonts w:ascii="Times New Roman" w:hAnsi="Times New Roman"/>
          <w:sz w:val="20"/>
          <w:bdr w:val="single" w:sz="8" w:space="1" w:color="000000"/>
        </w:rPr>
        <w:t xml:space="preserve">), after careful consideration, the Company has determined that the extraordinary general meeting will be a virtual meeting conducted via live webcast at http://[●] in order to facilitate shareholder attendance and participation while safeguarding the health and safety of our shareholders, directors and management team. For the purposes of Cayman Islands law and the Cayman Constitutional Documents, the physical location of the extraordinary general meeting will be at the offices of White &amp; Case LLP at 1221 Avenue of the Americas, New York, New York 10020.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Registering for the Extraordinary General Meeting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shareholder wishing to attend the extraordinary general meeting virtually should register for the extraordinary general meeting by [●], 2021 at [●]. To register for the extraordinary general meeting, please follow these instructions as applicable to the nature of your ownership of VIH Shares: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your shares are registered in your name with the Transfer Agent and you wish to attend the online-only meeting, go to [●], enter the 12-digit control number included on your proxy card or notice of the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Beneficial shareholders (those holding shares through a stock brokerage account or by a bank or other holder of record)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online extraordinary general meeting. After contacting the Transfer Agent, a beneficial holder will receive an e-mail prior to the extraordinary general meeting with a link and instructions for entering the extraordinary general meeting online. Beneficial shareholders should contact Continental Stock Transfer &amp; Trust Company at least five business days prior to the extraordinary general meeting date in order to ensure access.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Power; Record Date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VIH shareholders will be entitled to vote or direct votes to be cast at the extraordinary general meeting if they owned VIH Shares at the close of business on [●], 2021, which is the Record Date for the extraordinary general meeting. With the exception of the holders of VIH Class B Ordinary Shares, who are entitled to ten votes for each VIH Class B Ordinary Share they hold for the purposes of voting on the Domestication Proposal, shareholders will have one vote for each VIH Share owned at the close of business on the Record Date. If your shares are held in street name or are in a margin or similar account, you should contact your broker to ensure that votes related to the shares you beneficially own are properly counted. VIH Warrants do not have voting rights. As of the close of business on the Record Date, there were 25,921,502 VIH Shares outstanding, of which 20,737,202 were Public Shares, with the rest being held by VIHs initial shareholders.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Quorum and Vote of VIH Shareholders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of VIH shareholders is necessary to hold a valid meeting. A quorum will be present at the VIH general meeting if the holders of a majority of the issued and outstanding shares entitled to vote at the extraordinary general meeting are represented in person or by proxy (which would include presence at the extraordinary general meeting). Abstentions and broker non-votes, while considered present for the purposes of establishing a quorum, will not count as a vote cast at the extraordinary general meeting and otherwise will have no effect on a particular proposal.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for the extraordinary general meeting, 12,960,752 VIH Shares would be required to achieve a quorum.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Sponsor has agreed to vote all of its VIH Shares in favor of the proposals being presented at the extraordinary general meeting. As of the date of this proxy statement/prospectus, the Sponsor and certain members of the VIH Board own 20% of the issued and outstanding VIH Shares.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proposals presented at the extraordinary general meeting require the following votes: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Business Combination Proposal</w:t>
            </w:r>
            <w:r>
              <w:rPr>
                <w:rFonts w:ascii="Times New Roman" w:hAnsi="Times New Roman"/>
                <w:sz w:val="20"/>
              </w:rPr>
              <w:t xml:space="preserve">  The approval of the Business Combination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Domestication Proposal</w:t>
            </w:r>
            <w:r>
              <w:rPr>
                <w:rFonts w:ascii="Times New Roman" w:hAnsi="Times New Roman"/>
                <w:sz w:val="20"/>
              </w:rPr>
              <w:t xml:space="preserve">  The approval of the Domestication Proposal requires a special resolution under the Companies Act, being the affirmative vote of holders of a majority of at least two-thirds of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2"/>
        <w:gridCol w:w="9293"/>
      </w:tblGrid>
      <w:tr>
        <w:trPr/>
        <w:tc>
          <w:tcPr>
            <w:tcW w:w="912" w:type="dxa"/>
            <w:tcBorders/>
            <w:shd w:fill="auto" w:val="clear"/>
            <w:vAlign w:val="center"/>
          </w:tcPr>
          <w:p>
            <w:pPr>
              <w:pStyle w:val="TableContents"/>
              <w:spacing w:before="0" w:after="283"/>
              <w:rPr/>
            </w:pPr>
            <w:r>
              <w:rPr/>
              <w:t> </w:t>
            </w:r>
          </w:p>
        </w:tc>
        <w:tc>
          <w:tcPr>
            <w:tcW w:w="9293"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the VIH Shares, who, being present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Stock Issuance Proposal</w:t>
            </w:r>
            <w:r>
              <w:rPr>
                <w:rFonts w:ascii="Times New Roman" w:hAnsi="Times New Roman"/>
                <w:sz w:val="20"/>
              </w:rPr>
              <w:t xml:space="preserve">  The approval of the Stock Issuance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Organizational Documents Proposal</w:t>
            </w:r>
            <w:r>
              <w:rPr>
                <w:rFonts w:ascii="Times New Roman" w:hAnsi="Times New Roman"/>
                <w:sz w:val="20"/>
              </w:rPr>
              <w:t xml:space="preserve">  The approval of the Organizational Documents Proposal requires a special resolution under the Companies Act, being the affirmative vote of holders of a majority of at least two-thirds of the VIH Shares who, being in person or by proxy and entitled to vote at the extraordinary general meeting, vote at the extraordinary general meeting.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Advisory Organizational Documents Proposals</w:t>
            </w:r>
            <w:r>
              <w:rPr>
                <w:rFonts w:ascii="Times New Roman" w:hAnsi="Times New Roman"/>
                <w:sz w:val="20"/>
              </w:rPr>
              <w:t xml:space="preserve">  The separate approval of each of the Advisory Organizational Documents Proposals, each of which is a non-binding vote, requires a special resolution under the Companies Act, being the affirmative vote of holders of a majority of at least two-thirds of the VIH Shares who, being in person or by proxy and entitled to vote at the extraordinary general meeting, vote at the extraordinary general meeting.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Bakkt Pubco Equity Incentive Plan Proposal</w:t>
            </w:r>
            <w:r>
              <w:rPr>
                <w:rFonts w:ascii="Times New Roman" w:hAnsi="Times New Roman"/>
                <w:sz w:val="20"/>
              </w:rPr>
              <w:t xml:space="preserve">  The approval of the Bakkt Pubco Equity Incentive Plan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Director Election Proposal</w:t>
            </w:r>
            <w:r>
              <w:rPr>
                <w:rFonts w:ascii="Times New Roman" w:hAnsi="Times New Roman"/>
                <w:sz w:val="20"/>
              </w:rPr>
              <w:t xml:space="preserve">  The approval of the Director Election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Although the Cayman Constitutional Documents indicate that, prior to the Closing, holders of VIH Class A Ordinary Shares have no right to vote on the appointment or removal of any director, the Director Election Proposal is being voted on by all holders of VIH Shares. In the event that one or more nominees is not elected under the Director Election Proposal, the VIH Board is permitted under Article 31 of the Cayman Constitutional Documents to appoint any person to be a director.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Shareholder Adjournment Proposal</w:t>
            </w:r>
            <w:r>
              <w:rPr>
                <w:rFonts w:ascii="Times New Roman" w:hAnsi="Times New Roman"/>
                <w:sz w:val="20"/>
              </w:rPr>
              <w:t xml:space="preserve">  The approval of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Abstentions and broker non-votes, while considered present for the purposes of establishing a quorum, will not count as a vote cast at the extraordinary general meeting and otherwise will have no effect on a particular proposal.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Redemption Rights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Cayman Constitutional Documents, a Public Shareholder may request of VIH that Bakkt Pubco redeem all or a portion of its Public Shares for cash if the Proposed Transaction is consummated. As a holder of Public Shares, you will be entitled to receive cash for any Public Shares to be redeemed only if you: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 Public Shares or if you hold Public Shares through VIH Units, you elect to separate your VIH Units into the underlying Public Shares and Public Warrants prior to exercising your Redemption Rights with respect to the Public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submit a written request to the Transfer Agent, that Bakkt Pubco redeem all or a portion of your Public Shares for cash;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 the certificates for your Public Shares (if any) along with the redemption forms to the Transfer Agent physically or electronically through DTC.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must complete the procedures for electing to redeem their Public Shares in the manner described above prior to [●], Eastern Time, on [●], 2021 (two business days before the extraordinary general meeting) in order for their shares to be redeemed.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VIH Unit then issued and outstanding as of immediately prior to the Domestication will automatically be separated into the underlying VIH Class A Ordinary Share and one-half of a VIH Warrant. Public Shareholders may elect to redeem all or a portion of the Public Shares held by them regardless of if or how they vote in respect of the Business Combination Proposal. If the Proposed Transaction is not consummated, the Public Shares will be returned to the respective holder, broker or bank. If the Proposed Transaction is consummated, and if a Public Shareholder properly exercises its right to redeem all or a portion of the Public Shares that it holds and timely delivers the certificates for its shares (if any) along with the redemption forms to the Transfer Agent, Bakkt Pubco will redeem such Public Shares for a per-share price, payable in cash, equal to the </w:t>
      </w:r>
      <w:r>
        <w:rPr>
          <w:rFonts w:ascii="Times New Roman" w:hAnsi="Times New Roman"/>
          <w:i/>
          <w:sz w:val="20"/>
          <w:bdr w:val="single" w:sz="8" w:space="1" w:color="000000"/>
        </w:rPr>
        <w:t>pro rata</w:t>
      </w:r>
      <w:r>
        <w:rPr>
          <w:rFonts w:ascii="Times New Roman" w:hAnsi="Times New Roman"/>
          <w:sz w:val="20"/>
          <w:bdr w:val="single" w:sz="8" w:space="1" w:color="000000"/>
        </w:rPr>
        <w:t xml:space="preserve"> portion of the Trust Account, calculated as of two business days prior to the consummation of the Proposed Transaction. For illustrative purposes, as of March 29,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Bakkt Pubco Class A Shares that will be redeemed immediately after consummation of the Proposed Transaction. See </w:t>
      </w:r>
      <w:r>
        <w:rPr>
          <w:rFonts w:ascii="Times New Roman" w:hAnsi="Times New Roman"/>
          <w:i/>
          <w:sz w:val="20"/>
          <w:bdr w:val="single" w:sz="8" w:space="1" w:color="000000"/>
        </w:rPr>
        <w:t>Extraordinary General Meeting of VIHRedemption Rights</w:t>
      </w:r>
      <w:r>
        <w:rPr>
          <w:rFonts w:ascii="Times New Roman" w:hAnsi="Times New Roman"/>
          <w:sz w:val="20"/>
          <w:bdr w:val="single" w:sz="8" w:space="1" w:color="000000"/>
        </w:rPr>
        <w:t xml:space="preserve"> beginning on page 115 of this proxy statement/prospectus for a detailed description of the procedures to be followed if you wish to redeem your Public Shares for cash.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Sponsor has agreed to vote in favor of the Proposed Transaction, regardless of how the Public Shareholders vote. The Sponsor and each director and each officer of VIH have agreed to, among other things, vote in favor of the Proposed Transaction. As of the date of this proxy statement/prospectus, the Sponsor and certain members of the VIH Board own 20% of the issued and outstanding VIH Shares.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the Public Warrants will not have Redemption Rights with respect to the Public Warrants.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VIHs shareholders nor the holders of Public Warrants have appraisal rights in connection with the Proposed Transaction or the Domestication under Cayman Islands law or under the DGCL.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Proxy Solicitation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Proxies may be solicited by mail, telephone or in person. VIH has engaged Morrow Sodali LLC to assist in the solicitation of proxies.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Times New Roman" w:hAnsi="Times New Roman"/>
          <w:i/>
          <w:sz w:val="20"/>
          <w:bdr w:val="single" w:sz="8" w:space="1" w:color="000000"/>
        </w:rPr>
        <w:t>Extraordinary General Meeting of VIHRevoking Your Proxy</w:t>
      </w:r>
      <w:r>
        <w:rPr>
          <w:rFonts w:ascii="Times New Roman" w:hAnsi="Times New Roman"/>
          <w:sz w:val="20"/>
          <w:bdr w:val="single" w:sz="8" w:space="1" w:color="000000"/>
        </w:rPr>
        <w:t xml:space="preserve"> beginning on page 114 of this proxy statement/prospectus.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VIH Directors and Officers in the Proposed Transaction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you consider the recommendation of the VIH Board in favor of approval of the Business Combination Proposal, you should keep in mind that the Sponsor and VIHs directors and executive officers have interests in such proposal that are different from, or in addition to, those of VIH shareholders and holders of Public Warrants generally. These interests include, among other things, the interests listed below: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the IPO, the Sponsor purchased 5,750,000 VIH Class B Ordinary Shares for an aggregate purchase price of $25,000, or approximately $0.004 per share. As a result of the significantly lower investment per share of our Sponsor as compared with the investment per share of the Public Shareholders, a transaction which results in an increase in the value of the investment of the Sponsor may result in a decrease in the value of the investment of our Public Shareholders. In addition, if VIH does not consummate a business combination by September 25, 2022 (or if such date is extended at a duly called extraordinary general meeting, such later date), it would cease all operations except for the purpose of winding up, redeeming all of the outstanding Public Shares for cash and, subject to the approval of its remaining shareholders and the VIH Board, liquidating and dissolving, subject in each case to its obligations under Cayman Islands law to provide for claims of creditors and the requirements of other applicable law. In such event, the 5,184,300 VIH Class B Ordinary Shares owned by the Sponsor and the members of the VIH Board would be worthless because following the redemption of the Public Shares, VIH would likely have few, if any, net assets and because the Sponsor and VIHs directors and officers have agreed to waive their respective rights to liquidating distributions from the Trust Account in respect of any VIH Class A Ordinary Shares and VIH Class B Ordinary Shares held by it or them, as applicable, if VIH fails to complete a business combination within the required period. Additionally, in such event, the Private Placement Warrants purchased by the Sponsor simultaneously with the consummation of the IPO (including in relation to exercise of the over-allotment option by the underwriters) for an aggregate purchase price of $6,147,440 will also expire worthless. VIHs directors and executive officers, John Martin, Gordon Watson, Olibia Stamatoglou, also have a direct or indirect economic interest in such Private Placement Warrants and in the 5,124,300 VIH Class B Ordinary Shares owned by the Sponsor, and directors Adrienne Harris, Kai Schmitz and Kurt Summers each own 20,000 VIH Class B Ordinary Shares. The 5,184,300 Bakkt Pubco Class A Shares into which the 5,184,300 VIH Class B Ordinary Shares held by the Sponsor and the directors will automatically convert in connection with the Merger (including after giving effect to the Domestication), if unrestricted and freely tradable, would have had an aggregate market value of $61,796,856 based upon the closing price of $11.92 per Public Share on Nasdaq on March 29, 2021, the most recent practicable date prior to the date of this proxy statement/prospectus. However, given that such Bakkt Pubco Class A Shares will be subject to certain restrictions, including those described elsewhere in this proxy statement/prospectus, VIH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believes such shares have less value. The 6,174,440 Bakkt Pubco Warrants into which the 6,174,440 Private Placement Warrants held by the Sponsor will automatically convert in connection with the Merger (including after giving effect to the Domestication), if unrestricted and freely tradable, would have had an aggregate market value of $15,061,228 based upon the closing price of $2.45 per Public Warrant on Nasdaq on March 29, 2021, the most recent practicable date prior to the date of this proxy statement/prospectus.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VIHs existing directors and officers will be eligible for continued indemnification and continued coverage under VIHs directors and officers liability insurance after the Merger and pursuant to the Merger Agreement.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VIH if and to the extent any claims by a third party for services rendered or products sold to VIH,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due to reductions in value of the trust assets, less taxes payable, except as to any claims by a third party who executed a waiver of any and all rights to seek access to the Trust Account and except as to any claims under the indemnity of the underwriters of the IPO against certain liabilities, including liabilities under the Securities Act.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VIHs officers and directors and their affiliates are entitled to reimbursement of out-of-pocket expenses incurred by them related to identifying, investigating, negotiating and completing an initial business combination. However, if VIH fails to consummate a business combination by September 25, 2022, they will not have any claim against the Trust Account for reimbursement. Accordingly, VIH may not be able to reimburse these expenses if the Proposed Transaction or another business combination is not completed by such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Registration Rights Agreement, the Sponsor and certain of the directors will have customary registration rights, including demand and piggy-back rights, subject to cooperation and cut-back provisions with respect to the shares of Bakkt Pubco Class A Common Stock and Warrants held by such parties following the consummation of the Proposed Transaction.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Proposed Certificate of Incorporation will contain a provision expressly electing that Bakkt Pubco will not to be governed by Section 203 (Delawares interested stockholder statute) of the DGCL, although it will provide other restrictions regarding takeovers by interested stockholders.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Sponsor has agreed to vote in favor of the Proposed Transaction, regardless of how the Public Shareholders vote. The Sponsor and each director and each officer of VIH have agreed to, among other things, vote in favor of the Proposed Transaction. As of the date of this proxy statement/prospectus, the Sponsor and certain members of the VIH Board own 20% of the issued and outstanding VIH Shares.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any time at or prior to the Proposed Transaction, during a period when they are not then aware of any material non-public information regarding VIH or VIHs securities, the Sponsor, Bakkt, our or their respective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holder of VIH Shares, is no longer the beneficial owner thereof and therefore agrees not to exercise its Redemption Rights. In the event that the Sponsor, Bakkt or their respective directors, officers, advisors or respective affiliates purchase shares in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(a) satisfaction of the requirement that holders of a majority of the VIH Shares, represented in person or by proxy and entitled to vote at the extraordinary general meeting, vote in favor of the Business Combination Proposal, the Stock Issuance Proposal, the Bakkt Pubco Equity Incentive Plan Proposal, the Director Election Proposal and the Shareholder Adjournment Proposal, (b) satisfaction of the requirement that holders of a majority of at least two-thirds of the VIH Shares, represented in person or by proxy and entitled to vote at the extraordinary general meeting, vote in favor of the Domestication Proposal and the Advisory Organizational Documents Proposals, (c) satisfaction of the Available Cash Condition, and (d) otherwise limiting the number of Public Shares electing to redeem.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 and financial interests of the Sponsor as well as VIHs directors and officers may have influenced their motivation in identifying and selecting Bakkt as a business combination target, completing an initial business combination with Bakkt and influencing the operation of the business following the Closing. In considering the recommendations of the VIH Board to vote for the proposals, its shareholders should consider these interests.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Matters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Bakkt has provided notice of the Proposed Transaction to all states in which it holds money transmitter licenses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and its limited purpose trust charter. Neither VIH nor Bakkt are aware of any material regulatory approvals or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actions that are required for completion of the Business Combination, other than the regulatory notices and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approvals discussed in </w:t>
      </w:r>
      <w:r>
        <w:rPr>
          <w:rFonts w:ascii="Times New Roman" w:hAnsi="Times New Roman"/>
          <w:i/>
          <w:sz w:val="20"/>
          <w:bdr w:val="single" w:sz="8" w:space="1" w:color="000000"/>
        </w:rPr>
        <w:t>The</w:t>
      </w:r>
      <w:r>
        <w:rPr>
          <w:rFonts w:ascii="Times New Roman" w:hAnsi="Times New Roman"/>
          <w:sz w:val="20"/>
          <w:bdr w:val="single" w:sz="8" w:space="1" w:color="000000"/>
        </w:rPr>
        <w:t xml:space="preserve"> </w:t>
      </w:r>
      <w:r>
        <w:rPr>
          <w:rFonts w:ascii="Times New Roman" w:hAnsi="Times New Roman"/>
          <w:i/>
          <w:sz w:val="20"/>
          <w:bdr w:val="single" w:sz="8" w:space="1" w:color="000000"/>
        </w:rPr>
        <w:t>Business Combination ProposalMerger Agreement</w:t>
      </w:r>
      <w:r>
        <w:rPr>
          <w:rFonts w:ascii="Times New Roman" w:hAnsi="Times New Roman"/>
          <w:sz w:val="20"/>
          <w:bdr w:val="single" w:sz="8" w:space="1" w:color="000000"/>
        </w:rPr>
        <w:t xml:space="preserve">Closing Conditions </w:t>
      </w:r>
    </w:p>
    <w:p>
      <w:pPr>
        <w:pStyle w:val="TextBody"/>
        <w:spacing w:before="0" w:after="0"/>
        <w:jc w:val="left"/>
        <w:rPr>
          <w:rFonts w:ascii="Times New Roman" w:hAnsi="Times New Roman"/>
          <w:sz w:val="20"/>
          <w:bdr w:val="single" w:sz="8" w:space="1" w:color="000000"/>
        </w:rPr>
      </w:pPr>
      <w:r>
        <w:rPr>
          <w:rFonts w:ascii="Times New Roman" w:hAnsi="Times New Roman"/>
          <w:i/>
          <w:sz w:val="20"/>
          <w:bdr w:val="single" w:sz="8" w:space="1" w:color="000000"/>
        </w:rPr>
        <w:t>Conditions to the Obligations of Each Party</w:t>
      </w:r>
      <w:r>
        <w:rPr>
          <w:rFonts w:ascii="Times New Roman" w:hAnsi="Times New Roman"/>
          <w:sz w:val="20"/>
          <w:bdr w:val="single" w:sz="8" w:space="1" w:color="000000"/>
        </w:rPr>
        <w:t xml:space="preserve"> beginning on page 133 of this proxy statement/prospectus. It is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presently contemplated that if any such additional regulatory approvals or actions are required, those approvals or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actions will be sought. There can be no assurance, however, that any additional approvals or actions will be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obtained.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Recommendation to Shareholders of VIH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VIH Board believes that the Business Combination Proposal and the other proposals to be presented at the extraordinary general meeting are in the best interest of VIHs shareholders and unanimously recommends that its shareholders vote FOR the approval of the Business Combination Proposal, FOR the approval of the Domestication Proposal, FOR the approval of the Stock Issuance Proposal, FOR the approval, on an advisory basis, of each of the separate Advisory Organizational Documents Proposals, FOR the approval of the Bakkt Pubco Equity Incentive Plan Proposal, FOR the approval of the Director Election Proposal and FOR the approval of the Shareholder Adjournment Proposal, in each case, if presented to the extraordinary general meeting.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bdr w:val="single" w:sz="8" w:space="1" w:color="000000"/>
        </w:rPr>
        <w:t>The</w:t>
      </w:r>
      <w:r>
        <w:rPr>
          <w:rFonts w:ascii="Times New Roman" w:hAnsi="Times New Roman"/>
          <w:sz w:val="20"/>
          <w:bdr w:val="single" w:sz="8" w:space="1" w:color="000000"/>
        </w:rPr>
        <w:t xml:space="preserve">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Business Combination ProposalCertain Benefits of VIHs Directors and Officers and Others in the Business Combination</w:t>
      </w:r>
      <w:r>
        <w:rPr>
          <w:rFonts w:ascii="Times New Roman" w:hAnsi="Times New Roman"/>
          <w:sz w:val="20"/>
          <w:bdr w:val="single" w:sz="8" w:space="1" w:color="000000"/>
        </w:rPr>
        <w:t xml:space="preserve"> beginning on page 155 of this proxy statement/prospectus. </w:t>
      </w:r>
    </w:p>
    <w:p>
      <w:pPr>
        <w:pStyle w:val="TextBody"/>
        <w:spacing w:before="360" w:after="0"/>
        <w:jc w:val="left"/>
        <w:rPr>
          <w:rFonts w:ascii="Times New Roman" w:hAnsi="Times New Roman"/>
          <w:b/>
          <w:sz w:val="20"/>
          <w:bdr w:val="single" w:sz="8" w:space="1" w:color="000000"/>
        </w:rPr>
      </w:pPr>
      <w:bookmarkStart w:id="13" w:name="10a"/>
      <w:bookmarkEnd w:id="13"/>
      <w:r>
        <w:rPr>
          <w:rFonts w:ascii="Times New Roman" w:hAnsi="Times New Roman"/>
          <w:b/>
          <w:sz w:val="20"/>
          <w:bdr w:val="single" w:sz="8" w:space="1" w:color="000000"/>
        </w:rPr>
        <w:t xml:space="preserve">Sources and Uses of Funds for the Proposed Transaction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summarize the sources and uses for funding the Proposed Transaction. The first table assumes that none of the Public Shareholders exercise their Redemption Rights. The second table assumes that Public Shareholders exercise their Redemption Rights with respect to 10,737,202 Public Shares, representing the maximum amount of Public Shares that can be redeemed while still satisfying the Available Cash Condition. Each table assumes that Bakkt Opco issues an aggregate of 208,200,000 Bakkt Opco Common Units, each issued with a paired Bakkt Pubco Class V Share from Bakkt Pubco, which Bakkt Opco Common Units are exchangeable, in tandem with the cancellation of the paired Bakkt Pubco Class V Shares, for Bakkt Pubco Class A Shares, as the Merger Consideration pursuant to the Merger Agreement. If the actual facts are different from these assumptions, the below figures will be different.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Estimated Sources and Uses (No Redemptions)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2121"/>
        <w:gridCol w:w="148"/>
        <w:gridCol w:w="262"/>
        <w:gridCol w:w="1049"/>
        <w:gridCol w:w="60"/>
        <w:gridCol w:w="202"/>
        <w:gridCol w:w="30"/>
        <w:gridCol w:w="30"/>
        <w:gridCol w:w="60"/>
        <w:gridCol w:w="148"/>
        <w:gridCol w:w="4572"/>
        <w:gridCol w:w="148"/>
        <w:gridCol w:w="262"/>
        <w:gridCol w:w="1048"/>
        <w:gridCol w:w="65"/>
      </w:tblGrid>
      <w:tr>
        <w:trPr/>
        <w:tc>
          <w:tcPr>
            <w:tcW w:w="212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457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580" w:type="dxa"/>
            <w:gridSpan w:val="4"/>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Sources</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030" w:type="dxa"/>
            <w:gridSpan w:val="4"/>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Uses</w:t>
            </w:r>
          </w:p>
        </w:tc>
        <w:tc>
          <w:tcPr>
            <w:tcW w:w="65" w:type="dxa"/>
            <w:tcBorders/>
            <w:shd w:fill="auto" w:val="clear"/>
            <w:vAlign w:val="bottom"/>
          </w:tcPr>
          <w:p>
            <w:pPr>
              <w:pStyle w:val="TableContents"/>
              <w:spacing w:before="0" w:after="283"/>
              <w:rPr/>
            </w:pPr>
            <w:r>
              <w:rPr/>
              <w:t> </w:t>
            </w:r>
          </w:p>
        </w:tc>
      </w:tr>
      <w:tr>
        <w:trPr/>
        <w:tc>
          <w:tcPr>
            <w:tcW w:w="212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11" w:type="dxa"/>
            <w:gridSpan w:val="2"/>
            <w:tcBorders/>
            <w:shd w:fill="auto" w:val="clear"/>
            <w:vAlign w:val="bottom"/>
          </w:tcPr>
          <w:p>
            <w:pPr>
              <w:pStyle w:val="TableContents"/>
              <w:spacing w:before="0" w:after="283"/>
              <w:jc w:val="center"/>
              <w:rPr>
                <w:b/>
              </w:rPr>
            </w:pPr>
            <w:r>
              <w:rPr>
                <w:b/>
              </w:rPr>
              <w:t>($ in millions)</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57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jc w:val="center"/>
              <w:rPr>
                <w:b/>
              </w:rPr>
            </w:pPr>
            <w:r>
              <w:rPr>
                <w:b/>
              </w:rPr>
              <w:t>($ in millions)</w:t>
            </w:r>
          </w:p>
        </w:tc>
        <w:tc>
          <w:tcPr>
            <w:tcW w:w="65" w:type="dxa"/>
            <w:tcBorders/>
            <w:shd w:fill="auto" w:val="clear"/>
            <w:vAlign w:val="bottom"/>
          </w:tcPr>
          <w:p>
            <w:pPr>
              <w:pStyle w:val="TableContents"/>
              <w:spacing w:before="0" w:after="283"/>
              <w:rPr/>
            </w:pPr>
            <w:r>
              <w:rPr/>
              <w:t> </w:t>
            </w:r>
          </w:p>
        </w:tc>
      </w:tr>
      <w:tr>
        <w:trPr/>
        <w:tc>
          <w:tcPr>
            <w:tcW w:w="2121" w:type="dxa"/>
            <w:tcBorders/>
            <w:shd w:fill="CCEEFF" w:val="clear"/>
          </w:tcPr>
          <w:p>
            <w:pPr>
              <w:pStyle w:val="TableContents"/>
              <w:spacing w:before="0" w:after="0"/>
              <w:rPr>
                <w:rFonts w:ascii="Times New Roman" w:hAnsi="Times New Roman"/>
                <w:sz w:val="20"/>
              </w:rPr>
            </w:pPr>
            <w:r>
              <w:rPr>
                <w:rFonts w:ascii="Times New Roman" w:hAnsi="Times New Roman"/>
                <w:sz w:val="20"/>
              </w:rPr>
              <w:t>Cash and investments held in the Trust Account(1)</w:t>
            </w:r>
          </w:p>
        </w:tc>
        <w:tc>
          <w:tcPr>
            <w:tcW w:w="14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49" w:type="dxa"/>
            <w:tcBorders/>
            <w:shd w:fill="CCEEFF" w:val="clear"/>
            <w:vAlign w:val="bottom"/>
          </w:tcPr>
          <w:p>
            <w:pPr>
              <w:pStyle w:val="TableContents"/>
              <w:spacing w:before="0" w:after="283"/>
              <w:jc w:val="right"/>
              <w:rPr/>
            </w:pPr>
            <w:r>
              <w:rPr/>
              <w:t>207</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30" w:type="dxa"/>
            <w:tcBorders/>
            <w:shd w:fill="CCEEFF" w:val="clear"/>
            <w:vAlign w:val="bottom"/>
          </w:tcPr>
          <w:p>
            <w:pPr>
              <w:pStyle w:val="TableContents"/>
              <w:spacing w:before="0" w:after="283"/>
              <w:rPr>
                <w:sz w:val="4"/>
                <w:szCs w:val="4"/>
              </w:rPr>
            </w:pPr>
            <w:r>
              <w:rPr>
                <w:sz w:val="4"/>
                <w:szCs w:val="4"/>
              </w:rPr>
            </w:r>
          </w:p>
        </w:tc>
        <w:tc>
          <w:tcPr>
            <w:tcW w:w="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4572" w:type="dxa"/>
            <w:tcBorders/>
            <w:shd w:fill="CCEEFF" w:val="clear"/>
            <w:vAlign w:val="bottom"/>
          </w:tcPr>
          <w:p>
            <w:pPr>
              <w:pStyle w:val="TableContents"/>
              <w:spacing w:before="0" w:after="283"/>
              <w:rPr/>
            </w:pPr>
            <w:r>
              <w:rPr/>
              <w:t>Bakkt Equity Holders consideration(2)</w:t>
            </w:r>
          </w:p>
        </w:tc>
        <w:tc>
          <w:tcPr>
            <w:tcW w:w="14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48" w:type="dxa"/>
            <w:tcBorders/>
            <w:shd w:fill="CCEEFF" w:val="clear"/>
            <w:vAlign w:val="bottom"/>
          </w:tcPr>
          <w:p>
            <w:pPr>
              <w:pStyle w:val="TableContents"/>
              <w:spacing w:before="0" w:after="283"/>
              <w:jc w:val="right"/>
              <w:rPr/>
            </w:pPr>
            <w:r>
              <w:rPr/>
              <w:t>2,082</w:t>
            </w:r>
          </w:p>
        </w:tc>
        <w:tc>
          <w:tcPr>
            <w:tcW w:w="65" w:type="dxa"/>
            <w:tcBorders/>
            <w:shd w:fill="CCEEFF" w:val="clear"/>
            <w:vAlign w:val="bottom"/>
          </w:tcPr>
          <w:p>
            <w:pPr>
              <w:pStyle w:val="TableContents"/>
              <w:spacing w:before="0" w:after="283"/>
              <w:rPr/>
            </w:pPr>
            <w:r>
              <w:rPr/>
              <w:t> </w:t>
            </w:r>
          </w:p>
        </w:tc>
      </w:tr>
      <w:tr>
        <w:trPr/>
        <w:tc>
          <w:tcPr>
            <w:tcW w:w="2121" w:type="dxa"/>
            <w:tcBorders/>
            <w:shd w:fill="auto" w:val="clear"/>
          </w:tcPr>
          <w:p>
            <w:pPr>
              <w:pStyle w:val="TableContents"/>
              <w:spacing w:before="0" w:after="0"/>
              <w:rPr>
                <w:rFonts w:ascii="Times New Roman" w:hAnsi="Times New Roman"/>
                <w:sz w:val="20"/>
              </w:rPr>
            </w:pPr>
            <w:r>
              <w:rPr>
                <w:rFonts w:ascii="Times New Roman" w:hAnsi="Times New Roman"/>
                <w:sz w:val="20"/>
              </w:rPr>
              <w:t>Issuance to Bakkt Equity Holders(2)</w:t>
            </w:r>
          </w:p>
        </w:tc>
        <w:tc>
          <w:tcPr>
            <w:tcW w:w="14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2,082</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4572" w:type="dxa"/>
            <w:tcBorders/>
            <w:shd w:fill="auto" w:val="clear"/>
            <w:vAlign w:val="bottom"/>
          </w:tcPr>
          <w:p>
            <w:pPr>
              <w:pStyle w:val="TableContents"/>
              <w:spacing w:before="0" w:after="283"/>
              <w:rPr/>
            </w:pPr>
            <w:r>
              <w:rPr/>
              <w:t>Transaction fees(3)</w:t>
            </w:r>
          </w:p>
        </w:tc>
        <w:tc>
          <w:tcPr>
            <w:tcW w:w="14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58.5</w:t>
            </w:r>
          </w:p>
        </w:tc>
        <w:tc>
          <w:tcPr>
            <w:tcW w:w="65" w:type="dxa"/>
            <w:tcBorders/>
            <w:shd w:fill="auto" w:val="clear"/>
            <w:vAlign w:val="bottom"/>
          </w:tcPr>
          <w:p>
            <w:pPr>
              <w:pStyle w:val="TableContents"/>
              <w:spacing w:before="0" w:after="283"/>
              <w:rPr/>
            </w:pPr>
            <w:r>
              <w:rPr/>
              <w:t> </w:t>
            </w:r>
          </w:p>
        </w:tc>
      </w:tr>
      <w:tr>
        <w:trPr/>
        <w:tc>
          <w:tcPr>
            <w:tcW w:w="2121" w:type="dxa"/>
            <w:tcBorders/>
            <w:shd w:fill="CCEEFF" w:val="clear"/>
          </w:tcPr>
          <w:p>
            <w:pPr>
              <w:pStyle w:val="TableContents"/>
              <w:spacing w:before="0" w:after="0"/>
              <w:rPr>
                <w:rFonts w:ascii="Times New Roman" w:hAnsi="Times New Roman"/>
                <w:sz w:val="20"/>
              </w:rPr>
            </w:pPr>
            <w:r>
              <w:rPr>
                <w:rFonts w:ascii="Times New Roman" w:hAnsi="Times New Roman"/>
                <w:sz w:val="20"/>
              </w:rPr>
              <w:t>PIPE Investment</w:t>
            </w:r>
          </w:p>
        </w:tc>
        <w:tc>
          <w:tcPr>
            <w:tcW w:w="14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325</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30" w:type="dxa"/>
            <w:tcBorders/>
            <w:shd w:fill="CCEEFF" w:val="clear"/>
            <w:vAlign w:val="bottom"/>
          </w:tcPr>
          <w:p>
            <w:pPr>
              <w:pStyle w:val="TableContents"/>
              <w:spacing w:before="0" w:after="283"/>
              <w:rPr>
                <w:sz w:val="4"/>
                <w:szCs w:val="4"/>
              </w:rPr>
            </w:pPr>
            <w:r>
              <w:rPr>
                <w:sz w:val="4"/>
                <w:szCs w:val="4"/>
              </w:rPr>
            </w:r>
          </w:p>
        </w:tc>
        <w:tc>
          <w:tcPr>
            <w:tcW w:w="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4572" w:type="dxa"/>
            <w:tcBorders/>
            <w:shd w:fill="CCEEFF" w:val="clear"/>
            <w:vAlign w:val="bottom"/>
          </w:tcPr>
          <w:p>
            <w:pPr>
              <w:pStyle w:val="TableContents"/>
              <w:spacing w:before="0" w:after="283"/>
              <w:rPr/>
            </w:pPr>
            <w:r>
              <w:rPr/>
              <w:t>Cash to balance sheet</w:t>
            </w:r>
          </w:p>
        </w:tc>
        <w:tc>
          <w:tcPr>
            <w:tcW w:w="14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482</w:t>
            </w:r>
          </w:p>
        </w:tc>
        <w:tc>
          <w:tcPr>
            <w:tcW w:w="65" w:type="dxa"/>
            <w:tcBorders/>
            <w:shd w:fill="CCEEFF" w:val="clear"/>
            <w:vAlign w:val="bottom"/>
          </w:tcPr>
          <w:p>
            <w:pPr>
              <w:pStyle w:val="TableContents"/>
              <w:spacing w:before="0" w:after="283"/>
              <w:rPr/>
            </w:pPr>
            <w:r>
              <w:rPr/>
              <w:t> </w:t>
            </w:r>
          </w:p>
        </w:tc>
      </w:tr>
      <w:tr>
        <w:trPr/>
        <w:tc>
          <w:tcPr>
            <w:tcW w:w="212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4572"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pBdr>
                <w:top w:val="single" w:sz="2" w:space="1" w:color="000000"/>
              </w:pBdr>
              <w:spacing w:before="0" w:after="0"/>
              <w:rPr/>
            </w:pPr>
            <w:r>
              <w:rPr/>
              <w:t> </w:t>
            </w:r>
          </w:p>
        </w:tc>
        <w:tc>
          <w:tcPr>
            <w:tcW w:w="1048"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121"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sources</w:t>
            </w:r>
          </w:p>
        </w:tc>
        <w:tc>
          <w:tcPr>
            <w:tcW w:w="14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b/>
              </w:rPr>
            </w:pPr>
            <w:r>
              <w:rPr>
                <w:b/>
              </w:rPr>
              <w:t>$</w:t>
            </w:r>
          </w:p>
        </w:tc>
        <w:tc>
          <w:tcPr>
            <w:tcW w:w="1049" w:type="dxa"/>
            <w:tcBorders/>
            <w:shd w:fill="auto" w:val="clear"/>
            <w:vAlign w:val="bottom"/>
          </w:tcPr>
          <w:p>
            <w:pPr>
              <w:pStyle w:val="TableContents"/>
              <w:spacing w:before="0" w:after="283"/>
              <w:jc w:val="right"/>
              <w:rPr>
                <w:b/>
              </w:rPr>
            </w:pPr>
            <w:r>
              <w:rPr>
                <w:b/>
              </w:rPr>
              <w:t>2,614</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4572" w:type="dxa"/>
            <w:tcBorders/>
            <w:shd w:fill="auto" w:val="clear"/>
            <w:vAlign w:val="bottom"/>
          </w:tcPr>
          <w:p>
            <w:pPr>
              <w:pStyle w:val="TableContents"/>
              <w:spacing w:before="0" w:after="283"/>
              <w:rPr>
                <w:b/>
              </w:rPr>
            </w:pPr>
            <w:r>
              <w:rPr>
                <w:b/>
              </w:rPr>
              <w:t>Total uses</w:t>
            </w:r>
          </w:p>
        </w:tc>
        <w:tc>
          <w:tcPr>
            <w:tcW w:w="14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b/>
              </w:rPr>
            </w:pPr>
            <w:r>
              <w:rPr>
                <w:b/>
              </w:rPr>
              <w:t>$</w:t>
            </w:r>
          </w:p>
        </w:tc>
        <w:tc>
          <w:tcPr>
            <w:tcW w:w="1048" w:type="dxa"/>
            <w:tcBorders/>
            <w:shd w:fill="auto" w:val="clear"/>
            <w:vAlign w:val="bottom"/>
          </w:tcPr>
          <w:p>
            <w:pPr>
              <w:pStyle w:val="TableContents"/>
              <w:spacing w:before="0" w:after="283"/>
              <w:jc w:val="right"/>
              <w:rPr>
                <w:b/>
              </w:rPr>
            </w:pPr>
            <w:r>
              <w:rPr>
                <w:b/>
              </w:rPr>
              <w:t>2,614</w:t>
            </w:r>
          </w:p>
        </w:tc>
        <w:tc>
          <w:tcPr>
            <w:tcW w:w="65"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Estimated Sources and Uses (Maximum Redemptions)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2025"/>
        <w:gridCol w:w="193"/>
        <w:gridCol w:w="262"/>
        <w:gridCol w:w="1048"/>
        <w:gridCol w:w="60"/>
        <w:gridCol w:w="193"/>
        <w:gridCol w:w="30"/>
        <w:gridCol w:w="30"/>
        <w:gridCol w:w="60"/>
        <w:gridCol w:w="193"/>
        <w:gridCol w:w="4541"/>
        <w:gridCol w:w="193"/>
        <w:gridCol w:w="262"/>
        <w:gridCol w:w="1048"/>
        <w:gridCol w:w="67"/>
      </w:tblGrid>
      <w:tr>
        <w:trPr/>
        <w:tc>
          <w:tcPr>
            <w:tcW w:w="202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454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3528" w:type="dxa"/>
            <w:gridSpan w:val="4"/>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Sources</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44" w:type="dxa"/>
            <w:gridSpan w:val="4"/>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Uses</w:t>
            </w:r>
          </w:p>
        </w:tc>
        <w:tc>
          <w:tcPr>
            <w:tcW w:w="67" w:type="dxa"/>
            <w:tcBorders/>
            <w:shd w:fill="auto" w:val="clear"/>
            <w:vAlign w:val="bottom"/>
          </w:tcPr>
          <w:p>
            <w:pPr>
              <w:pStyle w:val="TableContents"/>
              <w:spacing w:before="0" w:after="283"/>
              <w:rPr/>
            </w:pPr>
            <w:r>
              <w:rPr/>
              <w:t> </w:t>
            </w:r>
          </w:p>
        </w:tc>
      </w:tr>
      <w:tr>
        <w:trPr/>
        <w:tc>
          <w:tcPr>
            <w:tcW w:w="202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jc w:val="center"/>
              <w:rPr>
                <w:b/>
              </w:rPr>
            </w:pPr>
            <w:r>
              <w:rPr>
                <w:b/>
              </w:rPr>
              <w:t>($ in millions)</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45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jc w:val="center"/>
              <w:rPr>
                <w:b/>
              </w:rPr>
            </w:pPr>
            <w:r>
              <w:rPr>
                <w:b/>
              </w:rPr>
              <w:t>($ in millions)</w:t>
            </w:r>
          </w:p>
        </w:tc>
        <w:tc>
          <w:tcPr>
            <w:tcW w:w="67" w:type="dxa"/>
            <w:tcBorders/>
            <w:shd w:fill="auto" w:val="clear"/>
            <w:vAlign w:val="bottom"/>
          </w:tcPr>
          <w:p>
            <w:pPr>
              <w:pStyle w:val="TableContents"/>
              <w:spacing w:before="0" w:after="283"/>
              <w:rPr/>
            </w:pPr>
            <w:r>
              <w:rPr/>
              <w:t> </w:t>
            </w:r>
          </w:p>
        </w:tc>
      </w:tr>
      <w:tr>
        <w:trPr/>
        <w:tc>
          <w:tcPr>
            <w:tcW w:w="2025" w:type="dxa"/>
            <w:tcBorders/>
            <w:shd w:fill="CCEEFF" w:val="clear"/>
          </w:tcPr>
          <w:p>
            <w:pPr>
              <w:pStyle w:val="TableContents"/>
              <w:spacing w:before="0" w:after="0"/>
              <w:rPr>
                <w:rFonts w:ascii="Times New Roman" w:hAnsi="Times New Roman"/>
                <w:sz w:val="20"/>
              </w:rPr>
            </w:pPr>
            <w:r>
              <w:rPr>
                <w:rFonts w:ascii="Times New Roman" w:hAnsi="Times New Roman"/>
                <w:sz w:val="20"/>
              </w:rPr>
              <w:t>Cash and investments held in the Trust Account(1)</w:t>
            </w:r>
          </w:p>
        </w:tc>
        <w:tc>
          <w:tcPr>
            <w:tcW w:w="19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48" w:type="dxa"/>
            <w:tcBorders/>
            <w:shd w:fill="CCEEFF" w:val="clear"/>
            <w:vAlign w:val="bottom"/>
          </w:tcPr>
          <w:p>
            <w:pPr>
              <w:pStyle w:val="TableContents"/>
              <w:spacing w:before="0" w:after="283"/>
              <w:jc w:val="right"/>
              <w:rPr/>
            </w:pPr>
            <w:r>
              <w:rPr/>
              <w:t>207</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0" w:type="dxa"/>
            <w:tcBorders/>
            <w:shd w:fill="CCEEFF" w:val="clear"/>
            <w:vAlign w:val="bottom"/>
          </w:tcPr>
          <w:p>
            <w:pPr>
              <w:pStyle w:val="TableContents"/>
              <w:spacing w:before="0" w:after="283"/>
              <w:rPr>
                <w:sz w:val="4"/>
                <w:szCs w:val="4"/>
              </w:rPr>
            </w:pPr>
            <w:r>
              <w:rPr>
                <w:sz w:val="4"/>
                <w:szCs w:val="4"/>
              </w:rPr>
            </w:r>
          </w:p>
        </w:tc>
        <w:tc>
          <w:tcPr>
            <w:tcW w:w="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4541" w:type="dxa"/>
            <w:tcBorders/>
            <w:shd w:fill="CCEEFF" w:val="clear"/>
            <w:vAlign w:val="bottom"/>
          </w:tcPr>
          <w:p>
            <w:pPr>
              <w:pStyle w:val="TableContents"/>
              <w:spacing w:before="0" w:after="283"/>
              <w:rPr/>
            </w:pPr>
            <w:r>
              <w:rPr/>
              <w:t>Bakkt Equity Holders consideration(2)</w:t>
            </w:r>
          </w:p>
        </w:tc>
        <w:tc>
          <w:tcPr>
            <w:tcW w:w="19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48" w:type="dxa"/>
            <w:tcBorders/>
            <w:shd w:fill="CCEEFF" w:val="clear"/>
            <w:vAlign w:val="bottom"/>
          </w:tcPr>
          <w:p>
            <w:pPr>
              <w:pStyle w:val="TableContents"/>
              <w:spacing w:before="0" w:after="283"/>
              <w:jc w:val="right"/>
              <w:rPr/>
            </w:pPr>
            <w:r>
              <w:rPr/>
              <w:t>2,082</w:t>
            </w:r>
          </w:p>
        </w:tc>
        <w:tc>
          <w:tcPr>
            <w:tcW w:w="67" w:type="dxa"/>
            <w:tcBorders/>
            <w:shd w:fill="CCEEFF" w:val="clear"/>
            <w:vAlign w:val="bottom"/>
          </w:tcPr>
          <w:p>
            <w:pPr>
              <w:pStyle w:val="TableContents"/>
              <w:spacing w:before="0" w:after="283"/>
              <w:rPr/>
            </w:pPr>
            <w:r>
              <w:rPr/>
              <w:t> </w:t>
            </w:r>
          </w:p>
        </w:tc>
      </w:tr>
      <w:tr>
        <w:trPr/>
        <w:tc>
          <w:tcPr>
            <w:tcW w:w="2025" w:type="dxa"/>
            <w:tcBorders/>
            <w:shd w:fill="auto" w:val="clear"/>
          </w:tcPr>
          <w:p>
            <w:pPr>
              <w:pStyle w:val="TableContents"/>
              <w:spacing w:before="0" w:after="0"/>
              <w:rPr>
                <w:rFonts w:ascii="Times New Roman" w:hAnsi="Times New Roman"/>
                <w:sz w:val="20"/>
              </w:rPr>
            </w:pPr>
            <w:r>
              <w:rPr>
                <w:rFonts w:ascii="Times New Roman" w:hAnsi="Times New Roman"/>
                <w:sz w:val="20"/>
              </w:rPr>
              <w:t>Issuance to Bakkt Equity Holders(2)</w:t>
            </w:r>
          </w:p>
        </w:tc>
        <w:tc>
          <w:tcPr>
            <w:tcW w:w="19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2,082</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4541" w:type="dxa"/>
            <w:tcBorders/>
            <w:shd w:fill="auto" w:val="clear"/>
            <w:vAlign w:val="bottom"/>
          </w:tcPr>
          <w:p>
            <w:pPr>
              <w:pStyle w:val="TableContents"/>
              <w:spacing w:before="0" w:after="283"/>
              <w:rPr/>
            </w:pPr>
            <w:r>
              <w:rPr/>
              <w:t>Transaction fees(3)</w:t>
            </w:r>
          </w:p>
        </w:tc>
        <w:tc>
          <w:tcPr>
            <w:tcW w:w="19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58.5</w:t>
            </w:r>
          </w:p>
        </w:tc>
        <w:tc>
          <w:tcPr>
            <w:tcW w:w="67" w:type="dxa"/>
            <w:tcBorders/>
            <w:shd w:fill="auto" w:val="clear"/>
            <w:vAlign w:val="bottom"/>
          </w:tcPr>
          <w:p>
            <w:pPr>
              <w:pStyle w:val="TableContents"/>
              <w:spacing w:before="0" w:after="283"/>
              <w:rPr/>
            </w:pPr>
            <w:r>
              <w:rPr/>
              <w:t> </w:t>
            </w:r>
          </w:p>
        </w:tc>
      </w:tr>
      <w:tr>
        <w:trPr/>
        <w:tc>
          <w:tcPr>
            <w:tcW w:w="2025" w:type="dxa"/>
            <w:tcBorders/>
            <w:shd w:fill="CCEEFF" w:val="clear"/>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sz w:val="4"/>
                <w:szCs w:val="4"/>
              </w:rPr>
            </w:pPr>
            <w:r>
              <w:rPr>
                <w:sz w:val="4"/>
                <w:szCs w:val="4"/>
              </w:rPr>
            </w:r>
          </w:p>
        </w:tc>
        <w:tc>
          <w:tcPr>
            <w:tcW w:w="104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30" w:type="dxa"/>
            <w:tcBorders/>
            <w:shd w:fill="CCEEFF" w:val="clear"/>
            <w:vAlign w:val="bottom"/>
          </w:tcPr>
          <w:p>
            <w:pPr>
              <w:pStyle w:val="TableContents"/>
              <w:spacing w:before="0" w:after="283"/>
              <w:rPr>
                <w:sz w:val="4"/>
                <w:szCs w:val="4"/>
              </w:rPr>
            </w:pPr>
            <w:r>
              <w:rPr>
                <w:sz w:val="4"/>
                <w:szCs w:val="4"/>
              </w:rPr>
            </w:r>
          </w:p>
        </w:tc>
        <w:tc>
          <w:tcPr>
            <w:tcW w:w="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4541" w:type="dxa"/>
            <w:tcBorders/>
            <w:shd w:fill="CCEEFF" w:val="clear"/>
            <w:vAlign w:val="bottom"/>
          </w:tcPr>
          <w:p>
            <w:pPr>
              <w:pStyle w:val="TableContents"/>
              <w:spacing w:before="0" w:after="283"/>
              <w:rPr/>
            </w:pPr>
            <w:r>
              <w:rPr/>
              <w:t>Redemptions by Public Shareholders(4)</w:t>
            </w:r>
          </w:p>
        </w:tc>
        <w:tc>
          <w:tcPr>
            <w:tcW w:w="19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107</w:t>
            </w:r>
          </w:p>
        </w:tc>
        <w:tc>
          <w:tcPr>
            <w:tcW w:w="67" w:type="dxa"/>
            <w:tcBorders/>
            <w:shd w:fill="CCEEFF" w:val="clear"/>
            <w:vAlign w:val="bottom"/>
          </w:tcPr>
          <w:p>
            <w:pPr>
              <w:pStyle w:val="TableContents"/>
              <w:spacing w:before="0" w:after="283"/>
              <w:rPr/>
            </w:pPr>
            <w:r>
              <w:rPr/>
              <w:t> </w:t>
            </w:r>
          </w:p>
        </w:tc>
      </w:tr>
      <w:tr>
        <w:trPr/>
        <w:tc>
          <w:tcPr>
            <w:tcW w:w="2025" w:type="dxa"/>
            <w:tcBorders/>
            <w:shd w:fill="auto" w:val="clear"/>
          </w:tcPr>
          <w:p>
            <w:pPr>
              <w:pStyle w:val="TableContents"/>
              <w:spacing w:before="0" w:after="0"/>
              <w:rPr>
                <w:rFonts w:ascii="Times New Roman" w:hAnsi="Times New Roman"/>
                <w:sz w:val="20"/>
              </w:rPr>
            </w:pPr>
            <w:r>
              <w:rPr>
                <w:rFonts w:ascii="Times New Roman" w:hAnsi="Times New Roman"/>
                <w:sz w:val="20"/>
              </w:rPr>
              <w:t>PIPE Investment</w:t>
            </w:r>
          </w:p>
        </w:tc>
        <w:tc>
          <w:tcPr>
            <w:tcW w:w="19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325</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4541" w:type="dxa"/>
            <w:tcBorders/>
            <w:shd w:fill="auto" w:val="clear"/>
            <w:vAlign w:val="bottom"/>
          </w:tcPr>
          <w:p>
            <w:pPr>
              <w:pStyle w:val="TableContents"/>
              <w:spacing w:before="0" w:after="283"/>
              <w:rPr/>
            </w:pPr>
            <w:r>
              <w:rPr/>
              <w:t>Cash to balance sheet</w:t>
            </w:r>
          </w:p>
        </w:tc>
        <w:tc>
          <w:tcPr>
            <w:tcW w:w="19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375</w:t>
            </w:r>
          </w:p>
        </w:tc>
        <w:tc>
          <w:tcPr>
            <w:tcW w:w="67" w:type="dxa"/>
            <w:tcBorders/>
            <w:shd w:fill="auto" w:val="clear"/>
            <w:vAlign w:val="bottom"/>
          </w:tcPr>
          <w:p>
            <w:pPr>
              <w:pStyle w:val="TableContents"/>
              <w:spacing w:before="0" w:after="283"/>
              <w:rPr/>
            </w:pPr>
            <w:r>
              <w:rPr/>
              <w:t> </w:t>
            </w:r>
          </w:p>
        </w:tc>
      </w:tr>
      <w:tr>
        <w:trPr/>
        <w:tc>
          <w:tcPr>
            <w:tcW w:w="2025"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pBdr>
                <w:top w:val="single" w:sz="2" w:space="1" w:color="000000"/>
              </w:pBdr>
              <w:spacing w:before="0" w:after="0"/>
              <w:rPr/>
            </w:pPr>
            <w:r>
              <w:rPr/>
              <w:t> </w:t>
            </w:r>
          </w:p>
        </w:tc>
        <w:tc>
          <w:tcPr>
            <w:tcW w:w="104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4541"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pBdr>
                <w:top w:val="single" w:sz="2" w:space="1" w:color="000000"/>
              </w:pBdr>
              <w:spacing w:before="0" w:after="0"/>
              <w:rPr/>
            </w:pPr>
            <w:r>
              <w:rPr/>
              <w:t> </w:t>
            </w:r>
          </w:p>
        </w:tc>
        <w:tc>
          <w:tcPr>
            <w:tcW w:w="1048"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202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sources</w:t>
            </w:r>
          </w:p>
        </w:tc>
        <w:tc>
          <w:tcPr>
            <w:tcW w:w="19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b/>
              </w:rPr>
            </w:pPr>
            <w:r>
              <w:rPr>
                <w:b/>
              </w:rPr>
              <w:t>$</w:t>
            </w:r>
          </w:p>
        </w:tc>
        <w:tc>
          <w:tcPr>
            <w:tcW w:w="1048" w:type="dxa"/>
            <w:tcBorders/>
            <w:shd w:fill="CCEEFF" w:val="clear"/>
            <w:vAlign w:val="bottom"/>
          </w:tcPr>
          <w:p>
            <w:pPr>
              <w:pStyle w:val="TableContents"/>
              <w:spacing w:before="0" w:after="283"/>
              <w:jc w:val="right"/>
              <w:rPr>
                <w:b/>
              </w:rPr>
            </w:pPr>
            <w:r>
              <w:rPr>
                <w:b/>
              </w:rPr>
              <w:t>2,614</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0" w:type="dxa"/>
            <w:tcBorders/>
            <w:shd w:fill="CCEEFF" w:val="clear"/>
            <w:vAlign w:val="bottom"/>
          </w:tcPr>
          <w:p>
            <w:pPr>
              <w:pStyle w:val="TableContents"/>
              <w:spacing w:before="0" w:after="283"/>
              <w:rPr>
                <w:sz w:val="4"/>
                <w:szCs w:val="4"/>
              </w:rPr>
            </w:pPr>
            <w:r>
              <w:rPr>
                <w:sz w:val="4"/>
                <w:szCs w:val="4"/>
              </w:rPr>
            </w:r>
          </w:p>
        </w:tc>
        <w:tc>
          <w:tcPr>
            <w:tcW w:w="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4541" w:type="dxa"/>
            <w:tcBorders/>
            <w:shd w:fill="CCEEFF" w:val="clear"/>
            <w:vAlign w:val="bottom"/>
          </w:tcPr>
          <w:p>
            <w:pPr>
              <w:pStyle w:val="TableContents"/>
              <w:spacing w:before="0" w:after="283"/>
              <w:rPr>
                <w:b/>
              </w:rPr>
            </w:pPr>
            <w:r>
              <w:rPr>
                <w:b/>
              </w:rPr>
              <w:t>Total uses</w:t>
            </w:r>
          </w:p>
        </w:tc>
        <w:tc>
          <w:tcPr>
            <w:tcW w:w="19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b/>
              </w:rPr>
            </w:pPr>
            <w:r>
              <w:rPr>
                <w:b/>
              </w:rPr>
              <w:t>$</w:t>
            </w:r>
          </w:p>
        </w:tc>
        <w:tc>
          <w:tcPr>
            <w:tcW w:w="1048" w:type="dxa"/>
            <w:tcBorders/>
            <w:shd w:fill="CCEEFF" w:val="clear"/>
            <w:vAlign w:val="bottom"/>
          </w:tcPr>
          <w:p>
            <w:pPr>
              <w:pStyle w:val="TableContents"/>
              <w:spacing w:before="0" w:after="283"/>
              <w:jc w:val="right"/>
              <w:rPr>
                <w:b/>
              </w:rPr>
            </w:pPr>
            <w:r>
              <w:rPr>
                <w:b/>
              </w:rPr>
              <w:t>2,614</w:t>
            </w:r>
          </w:p>
        </w:tc>
        <w:tc>
          <w:tcPr>
            <w:tcW w:w="6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as of [●], 2021.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Pubco Class A Shares to be issued at a deemed value of $10.00 per share.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deferred underwriting commission of approximately $7 million and estimated transaction expenses.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that the maximum number of Public Shares that can be redeemed are redeemed, while still satisfying the Available Cash Condition. </w:t>
            </w:r>
          </w:p>
        </w:tc>
      </w:tr>
    </w:tbl>
    <w:p>
      <w:pPr>
        <w:pStyle w:val="TextBody"/>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 Federal Income Tax Considerations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material U.S. federal income tax considerations of the Domestication and an exercise of Redemption Rights in connection with the Proposed Transaction, please see </w:t>
      </w:r>
      <w:r>
        <w:rPr>
          <w:rFonts w:ascii="Times New Roman" w:hAnsi="Times New Roman"/>
          <w:i/>
          <w:sz w:val="20"/>
          <w:bdr w:val="single" w:sz="8" w:space="1" w:color="000000"/>
        </w:rPr>
        <w:t>U.S. Federal Income Tax Considerations</w:t>
      </w:r>
      <w:r>
        <w:rPr>
          <w:rFonts w:ascii="Times New Roman" w:hAnsi="Times New Roman"/>
          <w:sz w:val="20"/>
          <w:bdr w:val="single" w:sz="8" w:space="1" w:color="000000"/>
        </w:rPr>
        <w:t xml:space="preserve"> beginning on page 195 of this proxy statement/prospectus.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proposals to be presented at the extraordinary general meeting, shareholders should carefully read this proxy statement/prospectus and especially consider the factors discussed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52 of this proxy statement/prospectus. In particular, such risks include, but are not limited to, the following: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business model is newly developed, untested and continually evolving and may encounter additional risks and challenges as it grows and changes.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platform is still under development and is largely untested. Any failure by Bakkt to successfully execute on the development of its platform would have an adverse effect on its business, financial condition and results of operations.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Bakkt is unable to add additional functionalities to its platform, Bakkts prospects for future growth may be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has a limited operating history and a history of operating losses, which makes it difficult to forecast Bakkts future results of operations. Further, Bakkt may not achieve or sustain profitability in the future.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estimates of market opportunity and forecasts of market growth included in this proxy statement/prospectus and elsewhere, may prove to be inaccurate and even if the market in which Bakkt competes in achieves the forecast growth, Bakkts business could fail to grow at similar rates, or at all.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Substantially all of Bakkts net revenues each quarter come primarily from transactions during that quarter, which may result in significant fluctuations in Bakkts operating results that could adversely affect Bakkts business, financial condition, results of operations, and cash flows and may not fully reflect the underlying performance of its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Sales efforts to large loyalty sponsors and merchant partners involve risks that may not be present or that are present to a lesser extent with respect to sales to smaller organizations. If Bakkt is unable to attract additional loyalty sponsors or merchant partners and retain and grow its relationships with its existing loyalty sponsors and merchant partners, Bakkts business, results of operations, financial condition, and future prospects would be materially and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faces substantial and increasingly intense competition worldwide in the global loyalty, rewards, payment and investment industries.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Bakkt fails to promote, protect, and maintain its brand in a cost-effective manner, Bakkt may lose market share and Bakkts revenue may decrease.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Bakkt fails to maintain a consistently high level of consumer satisfaction and trust in its brand, its business, results of operations, financial condition, and future prospects would be materially and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relies on ICE in several aspects of its business, which creates additional risks for Bakkt.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Cryptoasset custodial solutions and related technology, including Bakkts systems and custodial arrangements, are subject to risks related to a loss of funds due to theft of cryptoassets, employee or vendor sabotage, security and cybersecurity risks, system failures and other operational issues, the loss, destruction or other compromise of Bakkts private keys and a lack of sufficient insurance, which could cause damage to Bakkts reputation and brand.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cryptoasset businesss pricing model and incentive arrangements may create conflicts of interest and affect Bakkts revenues.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may be a general perception among regulators and others that cryptoassets are used to facilitate illegal activity such as fraud, money laundering, tax evasion and ransomware scams. Because Bakkt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vAlign w:val="center"/>
          </w:tcPr>
          <w:p>
            <w:pPr>
              <w:pStyle w:val="TableContents"/>
              <w:spacing w:before="0" w:after="283"/>
              <w:rPr/>
            </w:pPr>
            <w:r>
              <w:rPr/>
              <w:t> </w:t>
            </w:r>
          </w:p>
        </w:tc>
        <w:tc>
          <w:tcPr>
            <w:tcW w:w="9291"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provides the ability to buy, sell, convert, spend and send certain cryptoassets, any negative perceptions associated with cryptoassets could harm Bakkts reputation and brand.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Cryptoassets, such as Bitcoin, were only introduced within the past decade and distributed ledger technology continues to rapidly evolve. The unique characteristics of these digital assets present risks and challenges to Bakkt that could have a material adverse effect on its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business is subject to extensive government regulation, oversight, licensure and approvals. Bakkts failure to comply with extensive, complex, uncertain, overlapping, and frequently changing rules, regulations, and legal interpretations could materially harm Bakkts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U.S. state and federal regulatory regime governing blockchain technologies and cryptocurrencies is uncertain, and new regulations or policies may alter Bakkts business practices with respect to cryptocurrencies.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Transactions involving loyalty points may become subject to U.S. federal income taxation and information reporting obligations.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Because there is limited guidance for tax reporting or accounting of Bitcoin and other cryptoasset transactions, the determination that Bakkt has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the Companys reputation.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is subject to significant litigation risk and regulatory liability and penalties. Any future litigation against Bakkt could be costly and time-consuming to defend.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Cyberattacks and security vulnerabilities could result in serious harm to Bakkts reputation, business, and financial condition.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Systems failures and resulting interruptions in the availability of Bakkts websites, applications, products, or services could harm its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financial condition and results of operations may be adversely affected by the impact of the global outbreak of the coronavirus.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Recent market volatility could impact the stock price and trading volume of the Bakkt Pubco Class 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Since the Sponsor and VIHs directors and officers have interests that are different, or in addition to (and which may conflict with), the interests of VIHs shareholders, a conflict of interest may have existed in determining whether the Proposed Transaction with Bakkt is appropriate as our initial business combination. Such interests include that Sponsor will lose its entire investment in us if VIH does not complete an initial business combination.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 Shareholders will experience immediate dilution as a consequence of the issuance of Bakkt Pubco Common Stock as consideration in the Proposed Transaction and the PIPE Investment and due to future issuances pursuant to the Bakkt Pubco Equity Incentive Plan. Having a minority share position may reduce the influence that VIHs current shareholders have on the management of Bakkt Pubco.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4" w:name="toc108105_7"/>
      <w:bookmarkEnd w:id="14"/>
      <w:r>
        <w:rPr>
          <w:rFonts w:ascii="Times New Roman" w:hAnsi="Times New Roman"/>
          <w:b/>
          <w:sz w:val="20"/>
          <w:bdr w:val="single" w:sz="8" w:space="1" w:color="000000"/>
        </w:rPr>
        <w:t xml:space="preserve">SELECTED UNAUDITED PRO FORMA CONDENSED COMBINED FINANCIAL INFORMATION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selected unaudited pro forma condensed combined financial information is prepared in accordance with Article 11 of Regulation S-X. The unaudited pro forma condensed combined financial information presents the pro forma effects of the following transactions: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acquisition of Bakkt by VIH, resulting reorganization into an umbrella partnership C corporation structure, and other agreements entered into as part of the Merger Agreement;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acquisition of Bridge2 Solutions, LLC and its related companies (</w:t>
            </w:r>
            <w:r>
              <w:rPr>
                <w:rFonts w:ascii="Times New Roman" w:hAnsi="Times New Roman"/>
                <w:b/>
                <w:sz w:val="20"/>
              </w:rPr>
              <w:t>Bridge2 Solutions</w:t>
            </w:r>
            <w:r>
              <w:rPr>
                <w:rFonts w:ascii="Times New Roman" w:hAnsi="Times New Roman"/>
                <w:sz w:val="20"/>
              </w:rPr>
              <w:t>) acquisition by Bakkt on February 21, 2020 (the </w:t>
            </w:r>
            <w:r>
              <w:rPr>
                <w:rFonts w:ascii="Times New Roman" w:hAnsi="Times New Roman"/>
                <w:b/>
                <w:sz w:val="20"/>
              </w:rPr>
              <w:t>B2S Acquisition</w:t>
            </w:r>
            <w:r>
              <w:rPr>
                <w:rFonts w:ascii="Times New Roman" w:hAnsi="Times New Roman"/>
                <w:sz w:val="20"/>
              </w:rPr>
              <w:t xml:space="preserve">).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VIH is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Founder Shares (an aggregate of 5,750,000 VIH Class B Ordinary Shares) were sold to the Sponsor at a price of approximately $0.004 per share, for an aggregate price of $25,000. In September 2020, the Sponsor transferred an aggregate of 60,000 Founder Shares to members of the VIH Board, resulting in the Sponsor holding an aggregate of 5,690,000 Founder Shares. On September 25, 2020, VIH consummated the IPO of 20,000,000 VIH Units. Each VIH Unit consists of one VIH Class A Ordinary Share and one- half of one warrant, with each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the Private Placement Warrants (6,147,440 warrants at a price of $1.00 per warrant) in a private placement to the Sponsor, generating gross proceeds of $6,147,440. A total of $207,372,020 of the net proceeds from the IPO and the Private Placement Warrants were deposited in the Trust Account established for the benefit of the Public Shareholders and the remaining proceeds became available to be used to provide for business, legal and accounting due diligence on prospective business combinations and continuing general and administrative expenses. The net proceeds deposited into the Trust Account remain on deposit in the Trust Account earning interest except those certain amounts withdrawn in order to pay tax obligations. As of March 29, 2021, there was approximately $207,385,774.05 million held in the Trust Account.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Bakkt is a digital asset marketplace headquartered in Alpharetta, Georgia. Since its founding, Bakkt has developed technology enabling institutions and consumers to buy, sell, store and spend digital assets. Bakkts retail platform, now widely available through the new Bakkt App, enables incremental consumer spending, reduces traditional payment costs and bolsters loyalty programs, adding value for all key stakeholders within the payments and digital assets ecosystem. On February 21, 2020, Bakkt acquired 100% of the equity of Bridge2 Solutions. See the section entitled </w:t>
      </w:r>
      <w:r>
        <w:rPr>
          <w:rFonts w:ascii="Times New Roman" w:hAnsi="Times New Roman"/>
          <w:i/>
          <w:sz w:val="20"/>
          <w:bdr w:val="single" w:sz="8" w:space="1" w:color="000000"/>
        </w:rPr>
        <w:t>Managements Discussion</w:t>
      </w:r>
      <w:r>
        <w:rPr>
          <w:rFonts w:ascii="Times New Roman" w:hAnsi="Times New Roman"/>
          <w:sz w:val="20"/>
          <w:bdr w:val="single" w:sz="8" w:space="1" w:color="000000"/>
        </w:rPr>
        <w:t> </w:t>
      </w:r>
      <w:r>
        <w:rPr>
          <w:rFonts w:ascii="Times New Roman" w:hAnsi="Times New Roman"/>
          <w:i/>
          <w:sz w:val="20"/>
          <w:bdr w:val="single" w:sz="8" w:space="1" w:color="000000"/>
        </w:rPr>
        <w:t>&amp; Analysis of Financial Condition and Results of Operations of BakktOur Corporate Structure</w:t>
      </w:r>
      <w:r>
        <w:rPr>
          <w:rFonts w:ascii="Times New Roman" w:hAnsi="Times New Roman"/>
          <w:sz w:val="20"/>
          <w:bdr w:val="single" w:sz="8" w:space="1" w:color="000000"/>
        </w:rPr>
        <w:t xml:space="preserve"> beginning on page [276] of this proxy statement/ prospectus for additional discussion of the B2S Acquisition.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organizational structure following the Closing, as described above, is commonly referred to as an umbrella partnership C corporation (or </w:t>
      </w:r>
      <w:r>
        <w:rPr>
          <w:rFonts w:ascii="Times New Roman" w:hAnsi="Times New Roman"/>
          <w:b/>
          <w:sz w:val="20"/>
          <w:bdr w:val="single" w:sz="8" w:space="1" w:color="000000"/>
        </w:rPr>
        <w:t>Up-C</w:t>
      </w:r>
      <w:r>
        <w:rPr>
          <w:rFonts w:ascii="Times New Roman" w:hAnsi="Times New Roman"/>
          <w:sz w:val="20"/>
          <w:bdr w:val="single" w:sz="8" w:space="1" w:color="000000"/>
        </w:rPr>
        <w:t xml:space="preserve">) structure. This organizational structure will allow the Bakkt Equity Holders to retain their equity ownership in Bakkt, an entity that is classified 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 VIH does not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believe that the Up-C organizational structure will give rise to any significant business or strategic benefit or detriment to VIH. See the section entitled </w:t>
      </w:r>
      <w:r>
        <w:rPr>
          <w:rFonts w:ascii="Times New Roman" w:hAnsi="Times New Roman"/>
          <w:i/>
          <w:sz w:val="20"/>
          <w:bdr w:val="single" w:sz="8" w:space="1" w:color="000000"/>
        </w:rPr>
        <w:t>Risk FactorsRisks Related to the Domestication and the Business</w:t>
      </w:r>
      <w:r>
        <w:rPr>
          <w:rFonts w:ascii="Times New Roman" w:hAnsi="Times New Roman"/>
          <w:sz w:val="20"/>
          <w:bdr w:val="single" w:sz="8" w:space="1" w:color="000000"/>
        </w:rPr>
        <w:t xml:space="preserve"> </w:t>
      </w:r>
      <w:r>
        <w:rPr>
          <w:rFonts w:ascii="Times New Roman" w:hAnsi="Times New Roman"/>
          <w:i/>
          <w:sz w:val="20"/>
          <w:bdr w:val="single" w:sz="8" w:space="1" w:color="000000"/>
        </w:rPr>
        <w:t>Combination</w:t>
      </w:r>
      <w:r>
        <w:rPr>
          <w:rFonts w:ascii="Times New Roman" w:hAnsi="Times New Roman"/>
          <w:sz w:val="20"/>
          <w:bdr w:val="single" w:sz="8" w:space="1" w:color="000000"/>
        </w:rPr>
        <w:t xml:space="preserve"> beginning on page [52] of this proxy statement/prospectus for additional information on our organizational structure, including the Tax Receivable Agreement.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selected unaudited pro forma condensed combined financial information has been derived from, and should be read in conjunction with, the more detailed unaudited pro forma condensed combined financial information included in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[210] of this proxy statement/prospectus and the accompanying notes thereto. The unaudited pro forma condensed combined financial information is based upon, and should be read in conjunction with, the historical financial statements and related notes of VIH and Bakkt for the applicable periods included in this proxy statement/prospectus. The pro forma financial statements have been presented for information purposes only and are not necessarily indicative of what Bakkt Pubcos balance sheet or statement of operations actually would have been had the Business Combination and B2S Acquisition been completed as of the dates indicated, nor do they purport to project the future financial position or operating results of Bakkt Pubco.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unaudited pro forma condensed combined balance sheet combines the Bakkt audited historical consolidated balance sheet as of December 31, 2020 and the VIH audited historical consolidated balance sheet as of December 31, 2020, giving effect to the Business Combination as if the Closing occurred on December 31, 2020. The unaudited pro forma condensed combined statement of operations for the year ended December 31, 2020 presents the pro forma effect of the Business Combination and B2S Acquisition as if the Closing occurred on January 1, 2020.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refer to the unaudited pro forma condensed combined balance sheet and the unaudited pro forma condensed combined statement of operations as the pro forma financial statements.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selected unaudited pro forma condensed combined financial data below presents two redemption scenarios as follows: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No Redemptions: This presentation assumes that no Public Shareholders exercise their right to have their Public Shares converted into their pro rata share of the Trust Account;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Maximum Redemptions: This presentation assumes that 10.7 million Public Shares, the maximum redemption of the outstanding Public Shares, are redeemed, resulting in an aggregate payment of $107.0 million out of the Trust Account, which is derived from the number of shares that could be redeemed in connection with the Business Combination at an assumed Redemption Price of $10.00 per share based on the Trust Account balance as of December 31, 2020 in order to satisfy the Available Cash Condition. </w:t>
            </w:r>
          </w:p>
        </w:tc>
      </w:tr>
    </w:tbl>
    <w:p>
      <w:pPr>
        <w:pStyle w:val="TextBody"/>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 both scenarios, the unaudited pro forma condensed combined financial statements were prepared using the acquisition method of accounting under the provisions of Accounting Standards Codification (ASC) Topic 805, Business Combinations (ASC 805) on the basis of VIH (Bakkt Pubco) as the accounting acquirer and Bakkt as the accounting acquiree. The ultimate determination of the accounting acquirer is a qualitative and quantitative assessment that requires careful consideration, of which the final determination will occur after the Closing. However, in both redemption scenarios, Bakkt Pubco has been determined to be the accounting acquirer based on evaluation of the following factors: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Pubco will be the sole managing member of Bakkt Opco, the managing member has full and complete charge of all affairs of Bakkt Opco and the existing non-managing member equity holders of Bakkt Opco do not have substantive participating or kick out rights;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Sponsor and Bakkt will jointly designate seven of the initial nine members of the Company Board, at least the majority of whom will qualify as independent within the meaning of the independent director guidelines of the NYSE.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factors discussed above support the conclusion that Bakkt Pubco will acquire a controlling interest in Bakkt and will be the accounting acquirer. Bakkt Pubco is the primary beneficiary of Bakkt Opco, which is a variable interest entity, since it has the power to direct the activities of Bakkt Opco that most significantly impact Bakkt Opcos economic performance through Bakkt Pubcos role as the managing member and its ownership of Bakkt Opco, which results in the right (and obligation) to receive benefits (and absorb losses) of Bakkt Opco that could potentially be significant to Bakkt Pubco. Therefore, the Business Combination constitutes a change in control and will be accounted for using the acquisition method. Under the acquisition method of accounting, the purchase price will be allocated to the tangible and identifiable intangible assets acquired and liabilities assumed of Bakkt Opco, based on their estimated acquisition-date fair values. These estimates will be determined through established and generally accepted valuation techniques. Transaction costs will be expensed as if the Closing occurred on January 1, 2020.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summarizes the pro forma ownership of Bakkt Pubco Class A Common Stock following the Closing, under the two scenarios: </w:t>
      </w:r>
    </w:p>
    <w:p>
      <w:pPr>
        <w:pStyle w:val="TextBody"/>
        <w:spacing w:before="0" w:after="0"/>
        <w:jc w:val="left"/>
        <w:rPr>
          <w:bdr w:val="single" w:sz="8" w:space="1" w:color="000000"/>
        </w:rPr>
      </w:pPr>
      <w:r>
        <w:rPr>
          <w:bdr w:val="single" w:sz="8" w:space="1" w:color="000000"/>
        </w:rPr>
        <w:t> </w:t>
      </w:r>
    </w:p>
    <w:tbl>
      <w:tblPr>
        <w:tblW w:w="4600" w:type="pct"/>
        <w:jc w:val="center"/>
        <w:tblInd w:w="0" w:type="dxa"/>
        <w:tblCellMar>
          <w:top w:w="0" w:type="dxa"/>
          <w:left w:w="0" w:type="dxa"/>
          <w:bottom w:w="0" w:type="dxa"/>
          <w:right w:w="0" w:type="dxa"/>
        </w:tblCellMar>
      </w:tblPr>
      <w:tblGrid>
        <w:gridCol w:w="4762"/>
        <w:gridCol w:w="187"/>
        <w:gridCol w:w="84"/>
        <w:gridCol w:w="626"/>
        <w:gridCol w:w="63"/>
        <w:gridCol w:w="194"/>
        <w:gridCol w:w="63"/>
        <w:gridCol w:w="603"/>
        <w:gridCol w:w="60"/>
        <w:gridCol w:w="187"/>
        <w:gridCol w:w="98"/>
        <w:gridCol w:w="736"/>
        <w:gridCol w:w="98"/>
        <w:gridCol w:w="259"/>
        <w:gridCol w:w="98"/>
        <w:gridCol w:w="943"/>
        <w:gridCol w:w="327"/>
      </w:tblGrid>
      <w:tr>
        <w:trPr/>
        <w:tc>
          <w:tcPr>
            <w:tcW w:w="476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r>
      <w:tr>
        <w:trPr/>
        <w:tc>
          <w:tcPr>
            <w:tcW w:w="476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63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Assuming No</w:t>
              <w:br/>
              <w:t>Redemptions</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3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w:t>
              <w:br/>
              <w:t>Redemptions(1)</w:t>
            </w:r>
          </w:p>
        </w:tc>
        <w:tc>
          <w:tcPr>
            <w:tcW w:w="327" w:type="dxa"/>
            <w:tcBorders/>
            <w:shd w:fill="auto" w:val="clear"/>
            <w:vAlign w:val="bottom"/>
          </w:tcPr>
          <w:p>
            <w:pPr>
              <w:pStyle w:val="TableContents"/>
              <w:spacing w:before="0" w:after="283"/>
              <w:rPr/>
            </w:pPr>
            <w:r>
              <w:rPr/>
              <w:t> </w:t>
            </w:r>
          </w:p>
        </w:tc>
      </w:tr>
      <w:tr>
        <w:trPr/>
        <w:tc>
          <w:tcPr>
            <w:tcW w:w="476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Equity Capitalization Summary (shares in millions)</w:t>
            </w:r>
          </w:p>
        </w:tc>
        <w:tc>
          <w:tcPr>
            <w:tcW w:w="187"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9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327" w:type="dxa"/>
            <w:tcBorders/>
            <w:shd w:fill="auto" w:val="clear"/>
            <w:vAlign w:val="bottom"/>
          </w:tcPr>
          <w:p>
            <w:pPr>
              <w:pStyle w:val="TableContents"/>
              <w:spacing w:before="0" w:after="283"/>
              <w:rPr/>
            </w:pPr>
            <w:r>
              <w:rPr/>
              <w:t> </w:t>
            </w:r>
          </w:p>
        </w:tc>
      </w:tr>
      <w:tr>
        <w:trPr/>
        <w:tc>
          <w:tcPr>
            <w:tcW w:w="4762" w:type="dxa"/>
            <w:tcBorders/>
            <w:shd w:fill="CCEEFF" w:val="clear"/>
          </w:tcPr>
          <w:p>
            <w:pPr>
              <w:pStyle w:val="TableContents"/>
              <w:spacing w:before="0" w:after="0"/>
              <w:rPr>
                <w:rFonts w:ascii="Times New Roman" w:hAnsi="Times New Roman"/>
                <w:sz w:val="20"/>
              </w:rPr>
            </w:pPr>
            <w:r>
              <w:rPr>
                <w:rFonts w:ascii="Times New Roman" w:hAnsi="Times New Roman"/>
                <w:sz w:val="20"/>
              </w:rPr>
              <w:t>VIH Public Shareholders</w:t>
            </w:r>
          </w:p>
        </w:tc>
        <w:tc>
          <w:tcPr>
            <w:tcW w:w="18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pPr>
            <w:r>
              <w:rPr/>
              <w:t>20.7</w:t>
            </w:r>
          </w:p>
        </w:tc>
        <w:tc>
          <w:tcPr>
            <w:tcW w:w="6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pPr>
            <w:r>
              <w:rPr/>
              <w:t>35.5</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10.0</w:t>
            </w:r>
          </w:p>
        </w:tc>
        <w:tc>
          <w:tcPr>
            <w:tcW w:w="9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21.0</w:t>
            </w:r>
          </w:p>
        </w:tc>
        <w:tc>
          <w:tcPr>
            <w:tcW w:w="327" w:type="dxa"/>
            <w:tcBorders/>
            <w:shd w:fill="CCEEFF" w:val="clear"/>
            <w:vAlign w:val="bottom"/>
          </w:tcPr>
          <w:p>
            <w:pPr>
              <w:pStyle w:val="TableContents"/>
              <w:spacing w:before="0" w:after="283"/>
              <w:rPr/>
            </w:pPr>
            <w:r>
              <w:rPr/>
              <w:t> </w:t>
            </w:r>
          </w:p>
        </w:tc>
      </w:tr>
      <w:tr>
        <w:trPr/>
        <w:tc>
          <w:tcPr>
            <w:tcW w:w="4762" w:type="dxa"/>
            <w:tcBorders/>
            <w:shd w:fill="auto" w:val="clear"/>
          </w:tcPr>
          <w:p>
            <w:pPr>
              <w:pStyle w:val="TableContents"/>
              <w:spacing w:before="0" w:after="0"/>
              <w:rPr>
                <w:rFonts w:ascii="Times New Roman" w:hAnsi="Times New Roman"/>
                <w:sz w:val="20"/>
              </w:rPr>
            </w:pPr>
            <w:r>
              <w:rPr>
                <w:rFonts w:ascii="Times New Roman" w:hAnsi="Times New Roman"/>
                <w:sz w:val="20"/>
              </w:rPr>
              <w:t>Founder Shares(2)</w:t>
            </w:r>
          </w:p>
        </w:tc>
        <w:tc>
          <w:tcPr>
            <w:tcW w:w="18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r>
              <w:rPr/>
              <w:t>8.9</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pPr>
            <w:r>
              <w:rPr/>
              <w:t>5.2</w:t>
            </w:r>
          </w:p>
        </w:tc>
        <w:tc>
          <w:tcPr>
            <w:tcW w:w="9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10.9</w:t>
            </w:r>
          </w:p>
        </w:tc>
        <w:tc>
          <w:tcPr>
            <w:tcW w:w="327" w:type="dxa"/>
            <w:tcBorders/>
            <w:shd w:fill="auto" w:val="clear"/>
            <w:vAlign w:val="bottom"/>
          </w:tcPr>
          <w:p>
            <w:pPr>
              <w:pStyle w:val="TableContents"/>
              <w:spacing w:before="0" w:after="283"/>
              <w:rPr/>
            </w:pPr>
            <w:r>
              <w:rPr/>
              <w:t> </w:t>
            </w:r>
          </w:p>
        </w:tc>
      </w:tr>
      <w:tr>
        <w:trPr/>
        <w:tc>
          <w:tcPr>
            <w:tcW w:w="4762" w:type="dxa"/>
            <w:tcBorders/>
            <w:shd w:fill="CCEEFF" w:val="clear"/>
          </w:tcPr>
          <w:p>
            <w:pPr>
              <w:pStyle w:val="TableContents"/>
              <w:spacing w:before="0" w:after="0"/>
              <w:rPr>
                <w:rFonts w:ascii="Times New Roman" w:hAnsi="Times New Roman"/>
                <w:sz w:val="20"/>
              </w:rPr>
            </w:pPr>
            <w:r>
              <w:rPr>
                <w:rFonts w:ascii="Times New Roman" w:hAnsi="Times New Roman"/>
                <w:sz w:val="20"/>
              </w:rPr>
              <w:t>PIPE Investors(3)</w:t>
            </w:r>
          </w:p>
        </w:tc>
        <w:tc>
          <w:tcPr>
            <w:tcW w:w="18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pPr>
            <w:r>
              <w:rPr/>
              <w:t>32.5</w:t>
            </w:r>
          </w:p>
        </w:tc>
        <w:tc>
          <w:tcPr>
            <w:tcW w:w="6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pPr>
            <w:r>
              <w:rPr/>
              <w:t>55.6</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32.5</w:t>
            </w:r>
          </w:p>
        </w:tc>
        <w:tc>
          <w:tcPr>
            <w:tcW w:w="9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68.1</w:t>
            </w:r>
          </w:p>
        </w:tc>
        <w:tc>
          <w:tcPr>
            <w:tcW w:w="327" w:type="dxa"/>
            <w:tcBorders/>
            <w:shd w:fill="CCEEFF" w:val="clear"/>
            <w:vAlign w:val="bottom"/>
          </w:tcPr>
          <w:p>
            <w:pPr>
              <w:pStyle w:val="TableContents"/>
              <w:spacing w:before="0" w:after="283"/>
              <w:rPr/>
            </w:pPr>
            <w:r>
              <w:rPr/>
              <w:t> </w:t>
            </w:r>
          </w:p>
        </w:tc>
      </w:tr>
      <w:tr>
        <w:trPr/>
        <w:tc>
          <w:tcPr>
            <w:tcW w:w="4762" w:type="dxa"/>
            <w:tcBorders/>
            <w:shd w:fill="auto" w:val="clear"/>
          </w:tcPr>
          <w:p>
            <w:pPr>
              <w:pStyle w:val="TableContents"/>
              <w:spacing w:before="0" w:after="0"/>
              <w:rPr>
                <w:rFonts w:ascii="Times New Roman" w:hAnsi="Times New Roman"/>
                <w:sz w:val="20"/>
              </w:rPr>
            </w:pPr>
            <w:r>
              <w:rPr>
                <w:rFonts w:ascii="Times New Roman" w:hAnsi="Times New Roman"/>
                <w:sz w:val="20"/>
              </w:rPr>
              <w:t>Bakkt Equity Holders interest in VIH(4)</w:t>
            </w:r>
          </w:p>
        </w:tc>
        <w:tc>
          <w:tcPr>
            <w:tcW w:w="18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  </w:t>
            </w:r>
          </w:p>
        </w:tc>
        <w:tc>
          <w:tcPr>
            <w:tcW w:w="327" w:type="dxa"/>
            <w:tcBorders/>
            <w:shd w:fill="auto" w:val="clear"/>
            <w:vAlign w:val="bottom"/>
          </w:tcPr>
          <w:p>
            <w:pPr>
              <w:pStyle w:val="TableContents"/>
              <w:spacing w:before="0" w:after="283"/>
              <w:rPr/>
            </w:pPr>
            <w:r>
              <w:rPr/>
              <w:t> </w:t>
            </w:r>
          </w:p>
        </w:tc>
      </w:tr>
      <w:tr>
        <w:trPr/>
        <w:tc>
          <w:tcPr>
            <w:tcW w:w="4762"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62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6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736" w:type="dxa"/>
            <w:tcBorders/>
            <w:shd w:fill="auto" w:val="clear"/>
            <w:vAlign w:val="bottom"/>
          </w:tcPr>
          <w:p>
            <w:pPr>
              <w:pStyle w:val="TableContents"/>
              <w:pBdr>
                <w:top w:val="single" w:sz="2"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943" w:type="dxa"/>
            <w:tcBorders/>
            <w:shd w:fill="auto" w:val="clear"/>
            <w:vAlign w:val="bottom"/>
          </w:tcPr>
          <w:p>
            <w:pPr>
              <w:pStyle w:val="TableContents"/>
              <w:pBdr>
                <w:top w:val="single" w:sz="2" w:space="1" w:color="000000"/>
              </w:pBdr>
              <w:spacing w:before="0" w:after="0"/>
              <w:rPr/>
            </w:pPr>
            <w:r>
              <w:rPr/>
              <w:t> </w:t>
            </w:r>
          </w:p>
        </w:tc>
        <w:tc>
          <w:tcPr>
            <w:tcW w:w="327" w:type="dxa"/>
            <w:tcBorders/>
            <w:shd w:fill="auto" w:val="clear"/>
            <w:vAlign w:val="center"/>
          </w:tcPr>
          <w:p>
            <w:pPr>
              <w:pStyle w:val="TableContents"/>
              <w:spacing w:before="0" w:after="283"/>
              <w:rPr/>
            </w:pPr>
            <w:r>
              <w:rPr/>
              <w:t> </w:t>
            </w:r>
          </w:p>
        </w:tc>
      </w:tr>
      <w:tr>
        <w:trPr/>
        <w:tc>
          <w:tcPr>
            <w:tcW w:w="4762"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Class A common stock in VIH</w:t>
            </w:r>
          </w:p>
        </w:tc>
        <w:tc>
          <w:tcPr>
            <w:tcW w:w="18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b/>
              </w:rPr>
            </w:pPr>
            <w:r>
              <w:rPr>
                <w:b/>
              </w:rPr>
              <w:t>58.4</w:t>
            </w:r>
          </w:p>
        </w:tc>
        <w:tc>
          <w:tcPr>
            <w:tcW w:w="6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b/>
              </w:rPr>
            </w:pPr>
            <w:r>
              <w:rPr>
                <w:b/>
              </w:rPr>
              <w:t>100.0</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b/>
              </w:rPr>
            </w:pPr>
            <w:r>
              <w:rPr>
                <w:b/>
              </w:rPr>
              <w:t>47.7</w:t>
            </w:r>
          </w:p>
        </w:tc>
        <w:tc>
          <w:tcPr>
            <w:tcW w:w="9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b/>
              </w:rPr>
            </w:pPr>
            <w:r>
              <w:rPr>
                <w:b/>
              </w:rPr>
              <w:t>100.0</w:t>
            </w:r>
          </w:p>
        </w:tc>
        <w:tc>
          <w:tcPr>
            <w:tcW w:w="327" w:type="dxa"/>
            <w:tcBorders/>
            <w:shd w:fill="CCEEFF" w:val="clear"/>
            <w:vAlign w:val="bottom"/>
          </w:tcPr>
          <w:p>
            <w:pPr>
              <w:pStyle w:val="TableContents"/>
              <w:spacing w:before="0" w:after="283"/>
              <w:rPr>
                <w:b/>
              </w:rPr>
            </w:pPr>
            <w:r>
              <w:rPr>
                <w:b/>
              </w:rPr>
              <w: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that 10,737,202 Public Shares (the VIH Shares issued and outstanding that could be redeemed in connection with the Business Combination based on a per share Redemption Price of $10.00 per share) are redeemed in connection with the Business Combination. Existing Bakkt Equity Holders have only voting power in Bakkt Pubco. The voting power of the existing Bakkt Equity Holders would increase proportionally following the Closing. Under the maximum redemptions scenario, noncontrolling interest increases from 77.1% to 80.4%.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5,184,300 shares of Bakkt Pubco Class A Common Stock issued upon conversion of the existing VIH Class B ordinary shares. Shares of Bakkt Pubco Class A Common Stock are issued upon the automatic conversion of the Class B ordinary shares concurrently upon Domestication.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PIPE Investment pursuant to which VIH entered into Subscription Agreements with certain PIPE Investors whereby such investors have agreed to subscribe for shares of Bakkt Pubco Class A Common Stock at a purchase price of $10.00 per share. The PIPE Investors participating in the PIPE Investment, have agreed to purchase an aggregate of 32,500,000 shares of Bakkt Pubco Class A Common Stock.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Equity Capitalization Summary table excludes Bakkt Equity Holders noncontrolling economic interest in Bakkt Opco Common Units, which will be exchangeable (together with the cancellation of an equal number of shares of voting, non-economic Bakkt Pubco Class V Common Stock) into Bakkt Pubco Class A Common Stock on a 1-for-1 basis. The table below presents the Bakkt Opco Common Units and noncontrolling interest percentage: </w:t>
            </w:r>
          </w:p>
        </w:tc>
      </w:tr>
    </w:tbl>
    <w:p>
      <w:pPr>
        <w:pStyle w:val="TextBody"/>
        <w:spacing w:before="0" w:after="0"/>
        <w:jc w:val="left"/>
        <w:rPr>
          <w:bdr w:val="single" w:sz="8" w:space="1" w:color="000000"/>
        </w:rPr>
      </w:pPr>
      <w:r>
        <w:rPr>
          <w:bdr w:val="single" w:sz="8" w:space="1" w:color="000000"/>
        </w:rPr>
        <w:t> </w:t>
      </w:r>
    </w:p>
    <w:tbl>
      <w:tblPr>
        <w:tblW w:w="3800" w:type="pct"/>
        <w:jc w:val="center"/>
        <w:tblInd w:w="0" w:type="dxa"/>
        <w:tblCellMar>
          <w:top w:w="0" w:type="dxa"/>
          <w:left w:w="0" w:type="dxa"/>
          <w:bottom w:w="0" w:type="dxa"/>
          <w:right w:w="0" w:type="dxa"/>
        </w:tblCellMar>
      </w:tblPr>
      <w:tblGrid>
        <w:gridCol w:w="2825"/>
        <w:gridCol w:w="617"/>
        <w:gridCol w:w="134"/>
        <w:gridCol w:w="1260"/>
        <w:gridCol w:w="60"/>
        <w:gridCol w:w="617"/>
        <w:gridCol w:w="206"/>
        <w:gridCol w:w="1973"/>
        <w:gridCol w:w="63"/>
      </w:tblGrid>
      <w:tr>
        <w:trPr/>
        <w:tc>
          <w:tcPr>
            <w:tcW w:w="28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8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pPr>
            <w:r>
              <w:rPr/>
              <w:t>  </w:t>
            </w:r>
          </w:p>
        </w:tc>
        <w:tc>
          <w:tcPr>
            <w:tcW w:w="13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 No</w:t>
              <w:br/>
              <w:t>Redemptions</w:t>
            </w:r>
          </w:p>
        </w:tc>
        <w:tc>
          <w:tcPr>
            <w:tcW w:w="60"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pPr>
            <w:r>
              <w:rPr/>
              <w:t>  </w:t>
            </w:r>
          </w:p>
        </w:tc>
        <w:tc>
          <w:tcPr>
            <w:tcW w:w="21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w:t>
              <w:br/>
              <w:t>Redemptions</w:t>
            </w:r>
          </w:p>
        </w:tc>
        <w:tc>
          <w:tcPr>
            <w:tcW w:w="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Bakkt Equity Holders noncontrolling interest (shares in millions)</w:t>
            </w:r>
          </w:p>
        </w:tc>
        <w:tc>
          <w:tcPr>
            <w:tcW w:w="61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196.3</w:t>
            </w:r>
          </w:p>
        </w:tc>
        <w:tc>
          <w:tcPr>
            <w:tcW w:w="60"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196.3</w:t>
            </w:r>
          </w:p>
        </w:tc>
        <w:tc>
          <w:tcPr>
            <w:tcW w:w="63" w:type="dxa"/>
            <w:tcBorders/>
            <w:shd w:fill="CCEEFF" w:val="clear"/>
            <w:vAlign w:val="bottom"/>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unaudited pro forma condensed combined balance sheet as of December 31, 2020 and the unaudited pro forma condensed combined statement of operations for the year ended December 31, 2020 are based on the historical financial statements of VIH, Bakkt, and Bridge2 Solutions.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w:t>
      </w:r>
    </w:p>
    <w:p>
      <w:pPr>
        <w:pStyle w:val="TextBody"/>
        <w:spacing w:before="0" w:after="0"/>
        <w:jc w:val="left"/>
        <w:rPr>
          <w:bdr w:val="single" w:sz="8" w:space="1" w:color="000000"/>
        </w:rPr>
      </w:pPr>
      <w:r>
        <w:rPr>
          <w:bdr w:val="single" w:sz="8" w:space="1" w:color="000000"/>
        </w:rPr>
        <w:t> </w:t>
      </w:r>
    </w:p>
    <w:tbl>
      <w:tblPr>
        <w:tblW w:w="9730" w:type="dxa"/>
        <w:jc w:val="center"/>
        <w:tblInd w:w="0" w:type="dxa"/>
        <w:tblCellMar>
          <w:top w:w="0" w:type="dxa"/>
          <w:left w:w="0" w:type="dxa"/>
          <w:bottom w:w="0" w:type="dxa"/>
          <w:right w:w="0" w:type="dxa"/>
        </w:tblCellMar>
      </w:tblPr>
      <w:tblGrid>
        <w:gridCol w:w="3905"/>
        <w:gridCol w:w="120"/>
        <w:gridCol w:w="107"/>
        <w:gridCol w:w="1001"/>
        <w:gridCol w:w="107"/>
        <w:gridCol w:w="214"/>
        <w:gridCol w:w="108"/>
        <w:gridCol w:w="1022"/>
        <w:gridCol w:w="60"/>
        <w:gridCol w:w="120"/>
        <w:gridCol w:w="100"/>
        <w:gridCol w:w="1255"/>
        <w:gridCol w:w="65"/>
        <w:gridCol w:w="131"/>
        <w:gridCol w:w="99"/>
        <w:gridCol w:w="1256"/>
        <w:gridCol w:w="60"/>
      </w:tblGrid>
      <w:tr>
        <w:trPr/>
        <w:tc>
          <w:tcPr>
            <w:tcW w:w="3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90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55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2020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90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Pro Forma as of</w:t>
              <w:br/>
              <w:t>December 31, 2020</w:t>
            </w:r>
          </w:p>
        </w:tc>
        <w:tc>
          <w:tcPr>
            <w:tcW w:w="60" w:type="dxa"/>
            <w:tcBorders/>
            <w:shd w:fill="auto" w:val="cle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Unaudited Pro Forma Condensed Balance Sheet Data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 in millions)</w:t>
            </w:r>
          </w:p>
        </w:tc>
        <w:tc>
          <w:tcPr>
            <w:tcW w:w="120" w:type="dxa"/>
            <w:tcBorders/>
            <w:shd w:fill="auto" w:val="clear"/>
            <w:vAlign w:val="bottom"/>
          </w:tcPr>
          <w:p>
            <w:pPr>
              <w:pStyle w:val="TableContents"/>
              <w:spacing w:before="0" w:after="283"/>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VIH    </w:t>
            </w:r>
          </w:p>
        </w:tc>
        <w:tc>
          <w:tcPr>
            <w:tcW w:w="10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Bakkt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w:t>
              <w:br/>
              <w:t>Redemptions</w:t>
            </w:r>
          </w:p>
        </w:tc>
        <w:tc>
          <w:tcPr>
            <w:tcW w:w="6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Redemptions</w:t>
            </w:r>
          </w:p>
        </w:tc>
        <w:tc>
          <w:tcPr>
            <w:tcW w:w="60" w:type="dxa"/>
            <w:tcBorders/>
            <w:shd w:fill="auto" w:val="clear"/>
            <w:vAlign w:val="bottom"/>
          </w:tcPr>
          <w:p>
            <w:pPr>
              <w:pStyle w:val="TableContents"/>
              <w:spacing w:before="0" w:after="283"/>
              <w:rPr/>
            </w:pPr>
            <w:r>
              <w:rPr/>
              <w:t> </w:t>
            </w:r>
          </w:p>
        </w:tc>
      </w:tr>
      <w:tr>
        <w:trPr/>
        <w:tc>
          <w:tcPr>
            <w:tcW w:w="3905"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12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pPr>
            <w:r>
              <w:rPr/>
              <w:t>1.4</w:t>
            </w:r>
          </w:p>
        </w:tc>
        <w:tc>
          <w:tcPr>
            <w:tcW w:w="10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132.1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608.5</w:t>
            </w:r>
          </w:p>
        </w:tc>
        <w:tc>
          <w:tcPr>
            <w:tcW w:w="6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501.5</w:t>
            </w:r>
          </w:p>
        </w:tc>
        <w:tc>
          <w:tcPr>
            <w:tcW w:w="60" w:type="dxa"/>
            <w:tcBorders/>
            <w:shd w:fill="CCEEFF" w:val="clear"/>
            <w:vAlign w:val="bottom"/>
          </w:tcPr>
          <w:p>
            <w:pPr>
              <w:pStyle w:val="TableContents"/>
              <w:spacing w:before="0" w:after="283"/>
              <w:rPr/>
            </w:pPr>
            <w:r>
              <w:rPr/>
              <w:t> </w:t>
            </w:r>
          </w:p>
        </w:tc>
      </w:tr>
      <w:tr>
        <w:trPr/>
        <w:tc>
          <w:tcPr>
            <w:tcW w:w="3905"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w:t>
            </w:r>
          </w:p>
        </w:tc>
        <w:tc>
          <w:tcPr>
            <w:tcW w:w="12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pPr>
            <w:r>
              <w:rPr/>
              <w:t>208.8</w:t>
            </w:r>
          </w:p>
        </w:tc>
        <w:tc>
          <w:tcPr>
            <w:tcW w:w="10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468.4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2,520.9</w:t>
            </w:r>
          </w:p>
        </w:tc>
        <w:tc>
          <w:tcPr>
            <w:tcW w:w="6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2,409.4</w:t>
            </w:r>
          </w:p>
        </w:tc>
        <w:tc>
          <w:tcPr>
            <w:tcW w:w="60" w:type="dxa"/>
            <w:tcBorders/>
            <w:shd w:fill="auto" w:val="clear"/>
            <w:vAlign w:val="bottom"/>
          </w:tcPr>
          <w:p>
            <w:pPr>
              <w:pStyle w:val="TableContents"/>
              <w:spacing w:before="0" w:after="283"/>
              <w:rPr/>
            </w:pPr>
            <w:r>
              <w:rPr/>
              <w:t> </w:t>
            </w:r>
          </w:p>
        </w:tc>
      </w:tr>
      <w:tr>
        <w:trPr/>
        <w:tc>
          <w:tcPr>
            <w:tcW w:w="3905"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12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pPr>
            <w:r>
              <w:rPr/>
              <w:t>8.2</w:t>
            </w:r>
          </w:p>
        </w:tc>
        <w:tc>
          <w:tcPr>
            <w:tcW w:w="10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58.6</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86.9</w:t>
            </w:r>
          </w:p>
        </w:tc>
        <w:tc>
          <w:tcPr>
            <w:tcW w:w="6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82.5</w:t>
            </w:r>
          </w:p>
        </w:tc>
        <w:tc>
          <w:tcPr>
            <w:tcW w:w="60" w:type="dxa"/>
            <w:tcBorders/>
            <w:shd w:fill="CCEEFF" w:val="clear"/>
            <w:vAlign w:val="bottom"/>
          </w:tcPr>
          <w:p>
            <w:pPr>
              <w:pStyle w:val="TableContents"/>
              <w:spacing w:before="0" w:after="283"/>
              <w:rPr/>
            </w:pPr>
            <w:r>
              <w:rPr/>
              <w:t> </w:t>
            </w:r>
          </w:p>
        </w:tc>
      </w:tr>
      <w:tr>
        <w:trPr/>
        <w:tc>
          <w:tcPr>
            <w:tcW w:w="3905" w:type="dxa"/>
            <w:tcBorders/>
            <w:shd w:fill="auto" w:val="clear"/>
          </w:tcPr>
          <w:p>
            <w:pPr>
              <w:pStyle w:val="TableContents"/>
              <w:spacing w:before="0" w:after="0"/>
              <w:rPr>
                <w:rFonts w:ascii="Times New Roman" w:hAnsi="Times New Roman"/>
                <w:sz w:val="20"/>
              </w:rPr>
            </w:pPr>
            <w:r>
              <w:rPr>
                <w:rFonts w:ascii="Times New Roman" w:hAnsi="Times New Roman"/>
                <w:sz w:val="20"/>
              </w:rPr>
              <w:t>Total mezzanine equity</w:t>
            </w:r>
          </w:p>
        </w:tc>
        <w:tc>
          <w:tcPr>
            <w:tcW w:w="12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pPr>
            <w:r>
              <w:rPr/>
              <w:t>195.6</w:t>
            </w:r>
          </w:p>
        </w:tc>
        <w:tc>
          <w:tcPr>
            <w:tcW w:w="10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21.5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3905" w:type="dxa"/>
            <w:tcBorders/>
            <w:shd w:fill="CCEEFF" w:val="clear"/>
          </w:tcPr>
          <w:p>
            <w:pPr>
              <w:pStyle w:val="TableContents"/>
              <w:spacing w:before="0" w:after="0"/>
              <w:rPr>
                <w:rFonts w:ascii="Times New Roman" w:hAnsi="Times New Roman"/>
                <w:sz w:val="20"/>
              </w:rPr>
            </w:pPr>
            <w:r>
              <w:rPr>
                <w:rFonts w:ascii="Times New Roman" w:hAnsi="Times New Roman"/>
                <w:sz w:val="20"/>
              </w:rPr>
              <w:t>Total members or shareholders equity</w:t>
            </w:r>
          </w:p>
        </w:tc>
        <w:tc>
          <w:tcPr>
            <w:tcW w:w="12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pPr>
            <w:r>
              <w:rPr/>
              <w:t>5.0</w:t>
            </w:r>
          </w:p>
        </w:tc>
        <w:tc>
          <w:tcPr>
            <w:tcW w:w="10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388.3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471.0</w:t>
            </w:r>
          </w:p>
        </w:tc>
        <w:tc>
          <w:tcPr>
            <w:tcW w:w="6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363.9</w:t>
            </w:r>
          </w:p>
        </w:tc>
        <w:tc>
          <w:tcPr>
            <w:tcW w:w="60" w:type="dxa"/>
            <w:tcBorders/>
            <w:shd w:fill="CCEEFF" w:val="clear"/>
            <w:vAlign w:val="bottom"/>
          </w:tcPr>
          <w:p>
            <w:pPr>
              <w:pStyle w:val="TableContents"/>
              <w:spacing w:before="0" w:after="283"/>
              <w:rPr/>
            </w:pPr>
            <w:r>
              <w:rPr/>
              <w:t> </w:t>
            </w:r>
          </w:p>
        </w:tc>
      </w:tr>
      <w:tr>
        <w:trPr/>
        <w:tc>
          <w:tcPr>
            <w:tcW w:w="3905" w:type="dxa"/>
            <w:tcBorders/>
            <w:shd w:fill="auto" w:val="clear"/>
          </w:tcPr>
          <w:p>
            <w:pPr>
              <w:pStyle w:val="TableContents"/>
              <w:spacing w:before="0" w:after="0"/>
              <w:rPr>
                <w:rFonts w:ascii="Times New Roman" w:hAnsi="Times New Roman"/>
                <w:sz w:val="20"/>
              </w:rPr>
            </w:pPr>
            <w:r>
              <w:rPr>
                <w:rFonts w:ascii="Times New Roman" w:hAnsi="Times New Roman"/>
                <w:sz w:val="20"/>
              </w:rPr>
              <w:t>Total noncontrolling interest</w:t>
            </w:r>
          </w:p>
        </w:tc>
        <w:tc>
          <w:tcPr>
            <w:tcW w:w="12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pPr>
            <w:r>
              <w:rPr/>
              <w:t>  </w:t>
            </w:r>
          </w:p>
        </w:tc>
        <w:tc>
          <w:tcPr>
            <w:tcW w:w="10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1,963.0</w:t>
            </w:r>
          </w:p>
        </w:tc>
        <w:tc>
          <w:tcPr>
            <w:tcW w:w="6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1,963.0</w:t>
            </w:r>
          </w:p>
        </w:tc>
        <w:tc>
          <w:tcPr>
            <w:tcW w:w="60" w:type="dxa"/>
            <w:tcBorders/>
            <w:shd w:fill="auto" w:val="clear"/>
            <w:vAlign w:val="bottom"/>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t> </w:t>
      </w:r>
    </w:p>
    <w:tbl>
      <w:tblPr>
        <w:tblW w:w="11920" w:type="dxa"/>
        <w:jc w:val="center"/>
        <w:tblInd w:w="0" w:type="dxa"/>
        <w:tblCellMar>
          <w:top w:w="0" w:type="dxa"/>
          <w:left w:w="0" w:type="dxa"/>
          <w:bottom w:w="0" w:type="dxa"/>
          <w:right w:w="0" w:type="dxa"/>
        </w:tblCellMar>
      </w:tblPr>
      <w:tblGrid>
        <w:gridCol w:w="3230"/>
        <w:gridCol w:w="120"/>
        <w:gridCol w:w="91"/>
        <w:gridCol w:w="782"/>
        <w:gridCol w:w="235"/>
        <w:gridCol w:w="91"/>
        <w:gridCol w:w="91"/>
        <w:gridCol w:w="785"/>
        <w:gridCol w:w="155"/>
        <w:gridCol w:w="60"/>
        <w:gridCol w:w="162"/>
        <w:gridCol w:w="1193"/>
        <w:gridCol w:w="155"/>
        <w:gridCol w:w="60"/>
        <w:gridCol w:w="147"/>
        <w:gridCol w:w="1268"/>
        <w:gridCol w:w="155"/>
        <w:gridCol w:w="60"/>
        <w:gridCol w:w="116"/>
        <w:gridCol w:w="1239"/>
        <w:gridCol w:w="155"/>
        <w:gridCol w:w="60"/>
        <w:gridCol w:w="116"/>
        <w:gridCol w:w="1239"/>
        <w:gridCol w:w="155"/>
      </w:tblGrid>
      <w:tr>
        <w:trPr/>
        <w:tc>
          <w:tcPr>
            <w:tcW w:w="3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230" w:type="dxa"/>
            <w:vMerge w:val="restart"/>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Unaudited Pro Forma Condensed Combined</w:t>
              <w:br/>
              <w:t>Statement of Operations Data</w:t>
            </w:r>
          </w:p>
          <w:p>
            <w:pPr>
              <w:pStyle w:val="TableContents"/>
              <w:spacing w:before="0" w:after="20"/>
              <w:rPr>
                <w:rFonts w:ascii="Times New Roman" w:hAnsi="Times New Roman"/>
                <w:b/>
                <w:sz w:val="16"/>
              </w:rPr>
            </w:pPr>
            <w:r>
              <w:rPr>
                <w:rFonts w:ascii="Times New Roman" w:hAnsi="Times New Roman"/>
                <w:b/>
                <w:sz w:val="16"/>
              </w:rPr>
              <w:t>($ in millions)</w:t>
            </w:r>
          </w:p>
        </w:tc>
        <w:tc>
          <w:tcPr>
            <w:tcW w:w="120" w:type="dxa"/>
            <w:tcBorders/>
            <w:shd w:fill="auto" w:val="clear"/>
            <w:vAlign w:val="bottom"/>
          </w:tcPr>
          <w:p>
            <w:pPr>
              <w:pStyle w:val="TableContents"/>
              <w:spacing w:before="0" w:after="283"/>
              <w:rPr/>
            </w:pPr>
            <w:r>
              <w:rPr/>
              <w:t>  </w:t>
            </w:r>
          </w:p>
        </w:tc>
        <w:tc>
          <w:tcPr>
            <w:tcW w:w="207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 2020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Period</w:t>
              <w:br/>
              <w:t>January 1,</w:t>
              <w:br/>
              <w:t>2020</w:t>
              <w:br/>
              <w:t>through</w:t>
              <w:br/>
              <w:t>February 21,</w:t>
              <w:br/>
              <w:t>2020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Pro Forma for the Year</w:t>
              <w:br/>
              <w:t>Ended December 31, 2020</w:t>
            </w:r>
          </w:p>
        </w:tc>
        <w:tc>
          <w:tcPr>
            <w:tcW w:w="155" w:type="dxa"/>
            <w:tcBorders/>
            <w:shd w:fill="auto" w:val="clear"/>
            <w:vAlign w:val="bottom"/>
          </w:tcPr>
          <w:p>
            <w:pPr>
              <w:pStyle w:val="TableContents"/>
              <w:spacing w:before="0" w:after="283"/>
              <w:rPr/>
            </w:pPr>
            <w:r>
              <w:rPr/>
              <w:t> </w:t>
            </w:r>
          </w:p>
        </w:tc>
      </w:tr>
      <w:tr>
        <w:trPr/>
        <w:tc>
          <w:tcPr>
            <w:tcW w:w="3230" w:type="dxa"/>
            <w:vMerge w:val="continue"/>
            <w:tcBorders/>
            <w:shd w:fill="auto" w:val="clear"/>
            <w:vAlign w:val="bottom"/>
          </w:tcPr>
          <w:p>
            <w:pPr>
              <w:pStyle w:val="Normal"/>
              <w:rPr/>
            </w:pPr>
            <w:r>
              <w:rPr/>
            </w:r>
          </w:p>
        </w:tc>
        <w:tc>
          <w:tcPr>
            <w:tcW w:w="120" w:type="dxa"/>
            <w:tcBorders/>
            <w:shd w:fill="auto" w:val="clear"/>
            <w:vAlign w:val="bottom"/>
          </w:tcPr>
          <w:p>
            <w:pPr>
              <w:pStyle w:val="TableContents"/>
              <w:spacing w:before="0" w:after="283"/>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VIH</w:t>
            </w:r>
          </w:p>
        </w:tc>
        <w:tc>
          <w:tcPr>
            <w:tcW w:w="2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8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Bakkt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B2S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Combined</w:t>
              <w:br/>
              <w:t>Bakkt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Redemptions</w:t>
            </w:r>
          </w:p>
        </w:tc>
        <w:tc>
          <w:tcPr>
            <w:tcW w:w="155" w:type="dxa"/>
            <w:tcBorders/>
            <w:shd w:fill="auto" w:val="clear"/>
            <w:vAlign w:val="bottom"/>
          </w:tcPr>
          <w:p>
            <w:pPr>
              <w:pStyle w:val="TableContents"/>
              <w:spacing w:before="0" w:after="283"/>
              <w:rPr/>
            </w:pPr>
            <w:r>
              <w:rPr/>
              <w:t> </w:t>
            </w:r>
          </w:p>
        </w:tc>
      </w:tr>
      <w:tr>
        <w:trPr/>
        <w:tc>
          <w:tcPr>
            <w:tcW w:w="3230" w:type="dxa"/>
            <w:tcBorders/>
            <w:shd w:fill="CCEEFF" w:val="clear"/>
          </w:tcPr>
          <w:p>
            <w:pPr>
              <w:pStyle w:val="TableContents"/>
              <w:spacing w:before="0" w:after="0"/>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28.5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pPr>
            <w:r>
              <w:rPr/>
              <w:t>34.2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34.1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34.1</w:t>
            </w:r>
          </w:p>
        </w:tc>
        <w:tc>
          <w:tcPr>
            <w:tcW w:w="155" w:type="dxa"/>
            <w:tcBorders/>
            <w:shd w:fill="CCEEFF" w:val="clear"/>
            <w:vAlign w:val="bottom"/>
          </w:tcPr>
          <w:p>
            <w:pPr>
              <w:pStyle w:val="TableContents"/>
              <w:spacing w:before="0" w:after="283"/>
              <w:rPr/>
            </w:pPr>
            <w:r>
              <w:rPr/>
              <w:t> </w:t>
            </w:r>
          </w:p>
        </w:tc>
      </w:tr>
      <w:tr>
        <w:trPr/>
        <w:tc>
          <w:tcPr>
            <w:tcW w:w="3230" w:type="dxa"/>
            <w:tcBorders/>
            <w:shd w:fill="auto"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12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(1.0</w:t>
            </w:r>
          </w:p>
        </w:tc>
        <w:tc>
          <w:tcPr>
            <w:tcW w:w="2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(79.1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pPr>
            <w:r>
              <w:rPr/>
              <w:t>(79.3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(188.9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(188.9</w:t>
            </w:r>
          </w:p>
        </w:tc>
        <w:tc>
          <w:tcPr>
            <w:tcW w:w="155" w:type="dxa"/>
            <w:tcBorders/>
            <w:shd w:fill="auto" w:val="clear"/>
            <w:vAlign w:val="bottom"/>
          </w:tcPr>
          <w:p>
            <w:pPr>
              <w:pStyle w:val="TableContents"/>
              <w:spacing w:before="0" w:after="283"/>
              <w:rPr/>
            </w:pPr>
            <w:r>
              <w:rPr/>
              <w:t>) </w:t>
            </w:r>
          </w:p>
        </w:tc>
      </w:tr>
      <w:tr>
        <w:trPr/>
        <w:tc>
          <w:tcPr>
            <w:tcW w:w="3230"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(1.0</w:t>
            </w:r>
          </w:p>
        </w:tc>
        <w:tc>
          <w:tcPr>
            <w:tcW w:w="2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(79.6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(0.4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pPr>
            <w:r>
              <w:rPr/>
              <w:t>(80.0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(183.3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(184.2</w:t>
            </w:r>
          </w:p>
        </w:tc>
        <w:tc>
          <w:tcPr>
            <w:tcW w:w="155" w:type="dxa"/>
            <w:tcBorders/>
            <w:shd w:fill="CCEEFF" w:val="clear"/>
            <w:vAlign w:val="bottom"/>
          </w:tcPr>
          <w:p>
            <w:pPr>
              <w:pStyle w:val="TableContents"/>
              <w:spacing w:before="0" w:after="283"/>
              <w:rPr/>
            </w:pPr>
            <w:r>
              <w:rPr/>
              <w:t>) </w:t>
            </w:r>
          </w:p>
        </w:tc>
      </w:tr>
      <w:tr>
        <w:trPr/>
        <w:tc>
          <w:tcPr>
            <w:tcW w:w="3230" w:type="dxa"/>
            <w:tcBorders/>
            <w:shd w:fill="auto" w:val="clear"/>
          </w:tcPr>
          <w:p>
            <w:pPr>
              <w:pStyle w:val="TableContents"/>
              <w:spacing w:before="0" w:after="0"/>
              <w:rPr>
                <w:rFonts w:ascii="Times New Roman" w:hAnsi="Times New Roman"/>
                <w:sz w:val="20"/>
              </w:rPr>
            </w:pPr>
            <w:r>
              <w:rPr>
                <w:rFonts w:ascii="Times New Roman" w:hAnsi="Times New Roman"/>
                <w:sz w:val="20"/>
              </w:rPr>
              <w:t>Loss per share (basic)</w:t>
            </w:r>
          </w:p>
        </w:tc>
        <w:tc>
          <w:tcPr>
            <w:tcW w:w="12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(0.19</w:t>
            </w:r>
          </w:p>
        </w:tc>
        <w:tc>
          <w:tcPr>
            <w:tcW w:w="2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center"/>
              <w:rPr/>
            </w:pPr>
            <w:r>
              <w:rPr/>
              <w:t>N/A</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center"/>
              <w:rPr/>
            </w:pPr>
            <w:r>
              <w:rPr/>
              <w:t>N/A</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center"/>
              <w:rPr/>
            </w:pPr>
            <w:r>
              <w:rPr/>
              <w:t>N/A</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(0.64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(0.67</w:t>
            </w:r>
          </w:p>
        </w:tc>
        <w:tc>
          <w:tcPr>
            <w:tcW w:w="155" w:type="dxa"/>
            <w:tcBorders/>
            <w:shd w:fill="auto" w:val="clear"/>
            <w:vAlign w:val="bottom"/>
          </w:tcPr>
          <w:p>
            <w:pPr>
              <w:pStyle w:val="TableContents"/>
              <w:spacing w:before="0" w:after="283"/>
              <w:rPr/>
            </w:pPr>
            <w:r>
              <w:rPr/>
              <w:t>) </w:t>
            </w:r>
          </w:p>
        </w:tc>
      </w:tr>
      <w:tr>
        <w:trPr/>
        <w:tc>
          <w:tcPr>
            <w:tcW w:w="3230" w:type="dxa"/>
            <w:tcBorders/>
            <w:shd w:fill="CCEEFF" w:val="clear"/>
          </w:tcPr>
          <w:p>
            <w:pPr>
              <w:pStyle w:val="TableContents"/>
              <w:spacing w:before="0" w:after="0"/>
              <w:rPr>
                <w:rFonts w:ascii="Times New Roman" w:hAnsi="Times New Roman"/>
                <w:sz w:val="20"/>
              </w:rPr>
            </w:pPr>
            <w:r>
              <w:rPr>
                <w:rFonts w:ascii="Times New Roman" w:hAnsi="Times New Roman"/>
                <w:sz w:val="20"/>
              </w:rPr>
              <w:t>Loss per share (diluted)</w:t>
            </w:r>
          </w:p>
        </w:tc>
        <w:tc>
          <w:tcPr>
            <w:tcW w:w="12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(0.19</w:t>
            </w:r>
          </w:p>
        </w:tc>
        <w:tc>
          <w:tcPr>
            <w:tcW w:w="2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center"/>
              <w:rPr/>
            </w:pPr>
            <w:r>
              <w:rPr/>
              <w:t>N/A</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center"/>
              <w:rPr/>
            </w:pPr>
            <w:r>
              <w:rPr/>
              <w:t>N/A</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center"/>
              <w:rPr/>
            </w:pPr>
            <w:r>
              <w:rPr/>
              <w:t>N/A</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(0.64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(0.67</w:t>
            </w:r>
          </w:p>
        </w:tc>
        <w:tc>
          <w:tcPr>
            <w:tcW w:w="155" w:type="dxa"/>
            <w:tcBorders/>
            <w:shd w:fill="CCEEFF" w:val="clear"/>
            <w:vAlign w:val="bottom"/>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5" w:name="toc108105_8"/>
      <w:bookmarkEnd w:id="15"/>
      <w:r>
        <w:rPr>
          <w:rFonts w:ascii="Times New Roman" w:hAnsi="Times New Roman"/>
          <w:b/>
          <w:sz w:val="20"/>
          <w:bdr w:val="single" w:sz="8" w:space="1" w:color="000000"/>
        </w:rPr>
        <w:t xml:space="preserve">COMPARATIVE PER SHARE INFORMATION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sets forth the historical per share information of VIH, on a standalone basis, and the unaudited pro forma condensed combined per share information after giving effect to the Business Combination, assuming no redemptions and maximum redemptions for the year ended December 31, 2020. The pro forma net income (loss) per common share data for the year ended December 31, 2020 is presented as if the Closing occurred on January 1, 2020. The pro forma book value per share information is presented as if the Closing occurred on December 31, 2020. The information provided in the table below is unaudited.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historical per share data of VIH was derived from the audited financial statements of as of December 31, 2020 and for the period from July 31, 2020 (inception) through December 31, 2020, included elsewhere in this proxy statement/prospectus. The historical financial information of Bakkt was derived from the audited consolidated financial statements of as of and for the year ended December 31, 2020, included elsewhere in this proxy statement/prospectus. This information should be read together with and audited financial statements and related notes,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[210] of this proxy statement/prospectus and other financial information included elsewhere in this proxy statement/prospectus.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 forma data is presented for illustrative purposes only and is not necessarily indicative of the results of operations or the financial condition that would have occurred if the Closing took place as of the dates described above. </w:t>
      </w:r>
    </w:p>
    <w:p>
      <w:pPr>
        <w:pStyle w:val="TextBody"/>
        <w:spacing w:before="0" w:after="0"/>
        <w:jc w:val="left"/>
        <w:rPr>
          <w:bdr w:val="single" w:sz="8" w:space="1" w:color="000000"/>
        </w:rPr>
      </w:pPr>
      <w:r>
        <w:rPr>
          <w:bdr w:val="single" w:sz="8" w:space="1" w:color="000000"/>
        </w:rPr>
        <w:t> </w:t>
      </w:r>
    </w:p>
    <w:tbl>
      <w:tblPr>
        <w:tblW w:w="11750" w:type="dxa"/>
        <w:jc w:val="center"/>
        <w:tblInd w:w="0" w:type="dxa"/>
        <w:tblCellMar>
          <w:top w:w="0" w:type="dxa"/>
          <w:left w:w="0" w:type="dxa"/>
          <w:bottom w:w="0" w:type="dxa"/>
          <w:right w:w="0" w:type="dxa"/>
        </w:tblCellMar>
      </w:tblPr>
      <w:tblGrid>
        <w:gridCol w:w="3305"/>
        <w:gridCol w:w="60"/>
        <w:gridCol w:w="140"/>
        <w:gridCol w:w="1100"/>
        <w:gridCol w:w="155"/>
        <w:gridCol w:w="60"/>
        <w:gridCol w:w="650"/>
        <w:gridCol w:w="60"/>
        <w:gridCol w:w="152"/>
        <w:gridCol w:w="1203"/>
        <w:gridCol w:w="155"/>
        <w:gridCol w:w="60"/>
        <w:gridCol w:w="152"/>
        <w:gridCol w:w="1203"/>
        <w:gridCol w:w="155"/>
        <w:gridCol w:w="60"/>
        <w:gridCol w:w="152"/>
        <w:gridCol w:w="1203"/>
        <w:gridCol w:w="155"/>
        <w:gridCol w:w="60"/>
        <w:gridCol w:w="152"/>
        <w:gridCol w:w="1203"/>
        <w:gridCol w:w="155"/>
      </w:tblGrid>
      <w:tr>
        <w:trPr/>
        <w:tc>
          <w:tcPr>
            <w:tcW w:w="3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30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millions, except share and per share data)</w:t>
            </w:r>
          </w:p>
        </w:tc>
        <w:tc>
          <w:tcPr>
            <w:tcW w:w="60" w:type="dxa"/>
            <w:tcBorders/>
            <w:shd w:fill="auto" w:val="clear"/>
            <w:vAlign w:val="bottom"/>
          </w:tcPr>
          <w:p>
            <w:pPr>
              <w:pStyle w:val="TableContents"/>
              <w:spacing w:before="0" w:after="283"/>
              <w:rPr/>
            </w:pPr>
            <w:r>
              <w:rPr/>
              <w:t> </w:t>
            </w:r>
          </w:p>
        </w:tc>
        <w:tc>
          <w:tcPr>
            <w:tcW w:w="2105" w:type="dxa"/>
            <w:gridSpan w:val="5"/>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r>
          </w:p>
        </w:tc>
        <w:tc>
          <w:tcPr>
            <w:tcW w:w="60" w:type="dxa"/>
            <w:tcBorders/>
            <w:shd w:fill="auto" w:val="clear"/>
            <w:vAlign w:val="bottom"/>
          </w:tcPr>
          <w:p>
            <w:pPr>
              <w:pStyle w:val="TableContents"/>
              <w:spacing w:before="0" w:after="283"/>
              <w:rPr/>
            </w:pPr>
            <w:r>
              <w:rPr/>
              <w:t> </w:t>
            </w:r>
          </w:p>
        </w:tc>
        <w:tc>
          <w:tcPr>
            <w:tcW w:w="29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Equivalent Pro Forma</w:t>
              <w:br/>
              <w:t>Per Share Data(3)</w:t>
            </w:r>
          </w:p>
        </w:tc>
        <w:tc>
          <w:tcPr>
            <w:tcW w:w="155" w:type="dxa"/>
            <w:tcBorders/>
            <w:shd w:fill="auto" w:val="clear"/>
            <w:vAlign w:val="bottom"/>
          </w:tcPr>
          <w:p>
            <w:pPr>
              <w:pStyle w:val="TableContents"/>
              <w:spacing w:before="0" w:after="283"/>
              <w:rPr/>
            </w:pPr>
            <w:r>
              <w:rPr/>
              <w:t> </w:t>
            </w:r>
          </w:p>
        </w:tc>
      </w:tr>
      <w:tr>
        <w:trPr/>
        <w:tc>
          <w:tcPr>
            <w:tcW w:w="330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As of and for the Period Ended December 31,</w:t>
              <w:br/>
              <w:t>2020</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VIH</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center"/>
              <w:rPr>
                <w:b/>
              </w:rPr>
            </w:pPr>
            <w:r>
              <w:rPr>
                <w:b/>
              </w:rPr>
              <w:t>Bakkt</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Maximum</w:t>
            </w:r>
            <w:r>
              <w:rPr/>
              <w:br/>
            </w:r>
            <w:r>
              <w:rPr>
                <w:b/>
              </w:rP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Redemptions</w:t>
            </w:r>
          </w:p>
        </w:tc>
        <w:tc>
          <w:tcPr>
            <w:tcW w:w="155" w:type="dxa"/>
            <w:tcBorders/>
            <w:shd w:fill="auto" w:val="clear"/>
            <w:vAlign w:val="bottom"/>
          </w:tcPr>
          <w:p>
            <w:pPr>
              <w:pStyle w:val="TableContents"/>
              <w:spacing w:before="0" w:after="283"/>
              <w:rPr/>
            </w:pPr>
            <w:r>
              <w:rPr/>
              <w:t> </w:t>
            </w:r>
          </w:p>
        </w:tc>
      </w:tr>
      <w:tr>
        <w:trPr/>
        <w:tc>
          <w:tcPr>
            <w:tcW w:w="3305" w:type="dxa"/>
            <w:tcBorders/>
            <w:shd w:fill="CCEEFF" w:val="clear"/>
          </w:tcPr>
          <w:p>
            <w:pPr>
              <w:pStyle w:val="TableContents"/>
              <w:spacing w:before="0" w:after="0"/>
              <w:rPr>
                <w:rFonts w:ascii="Times New Roman" w:hAnsi="Times New Roman"/>
                <w:sz w:val="20"/>
              </w:rPr>
            </w:pPr>
            <w:r>
              <w:rPr>
                <w:rFonts w:ascii="Times New Roman" w:hAnsi="Times New Roman"/>
                <w:sz w:val="20"/>
              </w:rPr>
              <w:t>Net loss per Class A common share, basic and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center"/>
              <w:rPr/>
            </w:pPr>
            <w:r>
              <w:rPr/>
              <w:t>N/A</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(0.64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(0.67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(0.64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(0.67</w:t>
            </w:r>
          </w:p>
        </w:tc>
        <w:tc>
          <w:tcPr>
            <w:tcW w:w="155" w:type="dxa"/>
            <w:tcBorders/>
            <w:shd w:fill="CCEEFF" w:val="clear"/>
            <w:vAlign w:val="bottom"/>
          </w:tcPr>
          <w:p>
            <w:pPr>
              <w:pStyle w:val="TableContents"/>
              <w:spacing w:before="0" w:after="283"/>
              <w:rPr/>
            </w:pPr>
            <w:r>
              <w:rPr/>
              <w:t>) </w:t>
            </w:r>
          </w:p>
        </w:tc>
      </w:tr>
      <w:tr>
        <w:trPr/>
        <w:tc>
          <w:tcPr>
            <w:tcW w:w="3305" w:type="dxa"/>
            <w:tcBorders/>
            <w:shd w:fill="auto" w:val="clear"/>
          </w:tcPr>
          <w:p>
            <w:pPr>
              <w:pStyle w:val="TableContents"/>
              <w:spacing w:before="0" w:after="0"/>
              <w:rPr>
                <w:rFonts w:ascii="Times New Roman" w:hAnsi="Times New Roman"/>
                <w:sz w:val="20"/>
              </w:rPr>
            </w:pPr>
            <w:r>
              <w:rPr>
                <w:rFonts w:ascii="Times New Roman" w:hAnsi="Times New Roman"/>
                <w:sz w:val="20"/>
              </w:rPr>
              <w:t>Weighted average shares of Class A outstanding, basic and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20,737,202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center"/>
              <w:rPr/>
            </w:pPr>
            <w:r>
              <w:rPr/>
              <w:t>N/A</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58,421,502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47,721,502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58,421,502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47,721,502</w:t>
            </w:r>
          </w:p>
        </w:tc>
        <w:tc>
          <w:tcPr>
            <w:tcW w:w="155" w:type="dxa"/>
            <w:tcBorders/>
            <w:shd w:fill="auto" w:val="clear"/>
            <w:vAlign w:val="bottom"/>
          </w:tcPr>
          <w:p>
            <w:pPr>
              <w:pStyle w:val="TableContents"/>
              <w:spacing w:before="0" w:after="283"/>
              <w:rPr/>
            </w:pPr>
            <w:r>
              <w:rPr/>
              <w:t> </w:t>
            </w:r>
          </w:p>
        </w:tc>
      </w:tr>
      <w:tr>
        <w:trPr/>
        <w:tc>
          <w:tcPr>
            <w:tcW w:w="3305" w:type="dxa"/>
            <w:tcBorders/>
            <w:shd w:fill="CCEEFF" w:val="clear"/>
          </w:tcPr>
          <w:p>
            <w:pPr>
              <w:pStyle w:val="TableContents"/>
              <w:spacing w:before="0" w:after="0"/>
              <w:rPr>
                <w:rFonts w:ascii="Times New Roman" w:hAnsi="Times New Roman"/>
                <w:sz w:val="20"/>
              </w:rPr>
            </w:pPr>
            <w:r>
              <w:rPr>
                <w:rFonts w:ascii="Times New Roman" w:hAnsi="Times New Roman"/>
                <w:sz w:val="20"/>
              </w:rPr>
              <w:t>Net loss per Class B common share, basic and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(0.19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2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2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2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2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305" w:type="dxa"/>
            <w:tcBorders/>
            <w:shd w:fill="auto" w:val="clear"/>
          </w:tcPr>
          <w:p>
            <w:pPr>
              <w:pStyle w:val="TableContents"/>
              <w:spacing w:before="0" w:after="0"/>
              <w:rPr>
                <w:rFonts w:ascii="Times New Roman" w:hAnsi="Times New Roman"/>
                <w:sz w:val="20"/>
              </w:rPr>
            </w:pPr>
            <w:r>
              <w:rPr>
                <w:rFonts w:ascii="Times New Roman" w:hAnsi="Times New Roman"/>
                <w:sz w:val="20"/>
              </w:rPr>
              <w:t>Weighted average shares of Class B outstanding, basic and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5,184,300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2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2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2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2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305" w:type="dxa"/>
            <w:tcBorders/>
            <w:shd w:fill="CCEEFF" w:val="clear"/>
          </w:tcPr>
          <w:p>
            <w:pPr>
              <w:pStyle w:val="TableContents"/>
              <w:spacing w:before="0" w:after="0"/>
              <w:rPr>
                <w:rFonts w:ascii="Times New Roman" w:hAnsi="Times New Roman"/>
                <w:sz w:val="20"/>
              </w:rPr>
            </w:pPr>
            <w:r>
              <w:rPr>
                <w:rFonts w:ascii="Times New Roman" w:hAnsi="Times New Roman"/>
                <w:sz w:val="20"/>
              </w:rPr>
              <w:t>Book value per share(1)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0.96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center"/>
              <w:rPr/>
            </w:pPr>
            <w:r>
              <w:rPr/>
              <w:t>N/A</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8.06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7.63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8.06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203" w:type="dxa"/>
            <w:tcBorders/>
            <w:shd w:fill="CCEEFF" w:val="clear"/>
            <w:vAlign w:val="bottom"/>
          </w:tcPr>
          <w:p>
            <w:pPr>
              <w:pStyle w:val="TableContents"/>
              <w:spacing w:before="0" w:after="283"/>
              <w:jc w:val="right"/>
              <w:rPr/>
            </w:pPr>
            <w:r>
              <w:rPr/>
              <w:t>7.63</w:t>
            </w:r>
          </w:p>
        </w:tc>
        <w:tc>
          <w:tcPr>
            <w:tcW w:w="155" w:type="dxa"/>
            <w:tcBorders/>
            <w:shd w:fill="CCEEFF" w:val="clear"/>
            <w:vAlign w:val="bottom"/>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Book value per share is computed as total shareholders equity divided by common shares outstanding.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Net loss per common share  basic and diluted and book value per share in these columns are computed on a pro forma combined basis assuming no redemptions or maximum redemptions. See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[210] of this proxy statement/prospectus for calculation of pro forma net loss per common share  basic and diluted, pro forma common shares outstanding, and pro forma shareholders equity.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Equivalent net income (loss) per common share  basic and diluted and equivalent book value per share information is computed by multiplying the combined pro forma per share data by the exchange rate, which will initially be one-for-one, and is subject to adjustment per the terms of the Exchange Agreement. The purpose of equivalent pro forma per share data is to equate the respective per share values to one share of Bakkt.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6" w:name="toc108105_9"/>
      <w:bookmarkEnd w:id="16"/>
      <w:r>
        <w:rPr>
          <w:rFonts w:ascii="Times New Roman" w:hAnsi="Times New Roman"/>
          <w:b/>
          <w:sz w:val="20"/>
        </w:rPr>
        <w:t>RISK FACTORS</w:t>
      </w:r>
      <w:r>
        <w:rPr>
          <w:rFonts w:ascii="Times New Roman" w:hAnsi="Times New Roman"/>
          <w:sz w:val="20"/>
        </w:rPr>
        <w:t xml:space="preserve"> </w:t>
      </w:r>
    </w:p>
    <w:p>
      <w:pPr>
        <w:pStyle w:val="TextBody"/>
        <w:spacing w:before="240" w:after="0"/>
        <w:jc w:val="left"/>
        <w:rPr>
          <w:rFonts w:ascii="Times New Roman" w:hAnsi="Times New Roman"/>
          <w:i/>
          <w:sz w:val="20"/>
        </w:rPr>
      </w:pPr>
      <w:r>
        <w:rPr>
          <w:rFonts w:ascii="Times New Roman" w:hAnsi="Times New Roman"/>
          <w:i/>
          <w:sz w:val="20"/>
        </w:rPr>
        <w:t xml:space="preserve">You should carefully consider all the following risk factors, together with all of the other information in this proxy statement/prospectus, including the financial information, before deciding how to vote or instruct your vote to be cast to approve the Proposals described in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The value of your investment following the completion of the Proposed Transaction will be subject to significant risks affecting, among other things, the Companys business, financial condition and results of operations. If any of the events described below occur, the Companys post-Closing business and financial results could be adversely affected in material respects. This could result in a decline, which may be significant, in the trading price of the Companys securities and you therefore may lose all or part of your investment. The risk factors described below are not necessarily exhaustive and you are encouraged to perform your own investigation with respect to the businesses of VIH and Bakkt. </w:t>
      </w:r>
    </w:p>
    <w:p>
      <w:pPr>
        <w:pStyle w:val="TextBody"/>
        <w:spacing w:before="240" w:after="0"/>
        <w:jc w:val="left"/>
        <w:rPr>
          <w:rFonts w:ascii="Times New Roman" w:hAnsi="Times New Roman"/>
          <w:i/>
          <w:sz w:val="20"/>
        </w:rPr>
      </w:pPr>
      <w:r>
        <w:rPr>
          <w:rFonts w:ascii="Times New Roman" w:hAnsi="Times New Roman"/>
          <w:i/>
          <w:sz w:val="20"/>
        </w:rPr>
        <w:t xml:space="preserve">Throughout this section, references to the Company refer to the Company and its consolidated subsidiaries as the context so requires. </w:t>
      </w:r>
    </w:p>
    <w:p>
      <w:pPr>
        <w:pStyle w:val="TextBody"/>
        <w:spacing w:before="360" w:after="0"/>
        <w:jc w:val="left"/>
        <w:rPr>
          <w:rFonts w:ascii="Times New Roman" w:hAnsi="Times New Roman"/>
          <w:b/>
          <w:sz w:val="20"/>
        </w:rPr>
      </w:pPr>
      <w:bookmarkStart w:id="17" w:name="2b"/>
      <w:bookmarkEnd w:id="17"/>
      <w:r>
        <w:rPr>
          <w:rFonts w:ascii="Times New Roman" w:hAnsi="Times New Roman"/>
          <w:b/>
          <w:sz w:val="20"/>
        </w:rPr>
        <w:t xml:space="preserve">Risks Related to the Domestication and the Business Combination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will experience dilution due to the issuance of securities convertible into the shares of Bakkt Pubco Class A Common Stock to the Bakkt Equity Holders as consideration in the Merger, the issuance of shares to the PIPE Investors in the PIPE Investment and the issuance to the Bakkt Equity Holders of securities entitling them to a significant voting stake in the Company. </w:t>
      </w:r>
    </w:p>
    <w:p>
      <w:pPr>
        <w:pStyle w:val="TextBody"/>
        <w:spacing w:before="120" w:after="0"/>
        <w:jc w:val="left"/>
        <w:rPr>
          <w:rFonts w:ascii="Times New Roman" w:hAnsi="Times New Roman"/>
          <w:sz w:val="20"/>
        </w:rPr>
      </w:pPr>
      <w:r>
        <w:rPr>
          <w:rFonts w:ascii="Times New Roman" w:hAnsi="Times New Roman"/>
          <w:sz w:val="20"/>
        </w:rPr>
        <w:t>Based on Bakkts and VIHs current capitalization (and the assumptions regarding the Merger Consideration paid at the Closing described under the section entitled </w:t>
      </w:r>
      <w:r>
        <w:rPr>
          <w:rFonts w:ascii="Times New Roman" w:hAnsi="Times New Roman"/>
          <w:i/>
          <w:sz w:val="20"/>
        </w:rPr>
        <w:t>Frequently Used TermsShare Calculations and Ownership Percentages</w:t>
      </w:r>
      <w:r>
        <w:rPr>
          <w:rFonts w:ascii="Times New Roman" w:hAnsi="Times New Roman"/>
          <w:sz w:val="20"/>
        </w:rPr>
        <w:t> beginning on page 7 of this proxy statement/prospectus), we anticipate issuing to the Bakkt Equity Holders an aggregate of 208,200,000 Bakkt Opco Common Units and an equivalent number of Bakkt Pubco Class V Shares that will be exchangeable into a number of shares of Bakkt Pubco Class A Common Stock pursuant to the Exchange Agreement, subject to the allocation of a certain portion of those Bakkt Opco Common Units and Bakkt Pubco Class V Shares to the holders of Bakkt Warrants that do not exercise such warrants prior to the Closing. See </w:t>
      </w:r>
      <w:r>
        <w:rPr>
          <w:rFonts w:ascii="Times New Roman" w:hAnsi="Times New Roman"/>
          <w:i/>
          <w:sz w:val="20"/>
        </w:rPr>
        <w:t>The Business Combination ProposalMerger AgreementConsiderationTreatment of Bakkt Warrants</w:t>
      </w:r>
      <w:r>
        <w:rPr>
          <w:rFonts w:ascii="Times New Roman" w:hAnsi="Times New Roman"/>
          <w:sz w:val="20"/>
        </w:rPr>
        <w:t xml:space="preserve"> beginning on page 120 of this proxy statement/prospectus for additional information. </w:t>
      </w:r>
    </w:p>
    <w:p>
      <w:pPr>
        <w:pStyle w:val="TextBody"/>
        <w:spacing w:before="240" w:after="0"/>
        <w:jc w:val="left"/>
        <w:rPr>
          <w:rFonts w:ascii="Times New Roman" w:hAnsi="Times New Roman"/>
          <w:sz w:val="20"/>
        </w:rPr>
      </w:pPr>
      <w:r>
        <w:rPr>
          <w:rFonts w:ascii="Times New Roman" w:hAnsi="Times New Roman"/>
          <w:sz w:val="20"/>
        </w:rPr>
        <w:t>Furthermore, if the Bakkt Pubco Equity Incentive Plan Proposal is approved, a number of shares equal to 10% of the sum of (a) the number of issued and outstanding shares of Bakkt Pubco Class A Common Stock immediately after the Closing, (b) the number of issued and outstanding Bakkt Opco Common Units immediately after the Closing, excluding those held by the Company, (c) and the number of shares reserved under the Bakkt Pubco Equity Incentive Plan will be authorized for issuance under the Bakkt Pubco Equity Incentive Plan, which using the assumptions described under the section entitled </w:t>
      </w:r>
      <w:r>
        <w:rPr>
          <w:rFonts w:ascii="Times New Roman" w:hAnsi="Times New Roman"/>
          <w:i/>
          <w:sz w:val="20"/>
        </w:rPr>
        <w:t>Frequently Used TermsShare Calculations and Ownership Percentages</w:t>
      </w:r>
      <w:r>
        <w:rPr>
          <w:rFonts w:ascii="Times New Roman" w:hAnsi="Times New Roman"/>
          <w:sz w:val="20"/>
        </w:rPr>
        <w:t> beginning on page 7 of this proxy statement/prospectus would be [●] shares of Bakkt Pubco Class A Common Stock, and it is currently expected that shortly after the Closing, the Company will issue [●] restricted shares of Bakkt Pubco Class A Common Stock to executives or the directors of the Company following the Merger (see the section entitled </w:t>
      </w:r>
      <w:r>
        <w:rPr>
          <w:rFonts w:ascii="Times New Roman" w:hAnsi="Times New Roman"/>
          <w:i/>
          <w:sz w:val="20"/>
        </w:rPr>
        <w:t>The Bakkt Pubco Equity Incentive Plan Proposal</w:t>
      </w:r>
      <w:r>
        <w:rPr>
          <w:rFonts w:ascii="Times New Roman" w:hAnsi="Times New Roman"/>
          <w:sz w:val="20"/>
        </w:rPr>
        <w:t> beginning on page 184 of this proxy statement/prospectus). In addition, the Company will issue 32.5 million shares of Bakkt Pubco Class A Common Stock to the PIPE Investors pursuant to the PIPE Investment simultaneously with or immediately prior to the Closing. Based on the assumptions described under the section entitled </w:t>
      </w:r>
      <w:r>
        <w:rPr>
          <w:rFonts w:ascii="Times New Roman" w:hAnsi="Times New Roman"/>
          <w:i/>
          <w:sz w:val="20"/>
        </w:rPr>
        <w:t>Frequently Used TermsShare Calculations and Ownership Percentages</w:t>
      </w:r>
      <w:r>
        <w:rPr>
          <w:rFonts w:ascii="Times New Roman" w:hAnsi="Times New Roman"/>
          <w:sz w:val="20"/>
        </w:rPr>
        <w:t xml:space="preserve"> beginning on page 7 of this proxy statement/prospectus, VIHs current shareholders would hold in the aggregate approximately 10% of the outstanding Bakkt Pubco Class A Common Stock (8% held by the Public Shareholders and 2% held by the Sponsor and certain directors), the PIPE Investors are expected to own approximately 12% of the Companys outstanding Bakkt Pubco Class A Common Stock and the current Bakkt Equity Holders holding approximately 78% of the outstanding Bakkt Pubco Class A Common Stock. Without limiting the other assumptions described under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section entitled </w:t>
      </w:r>
      <w:r>
        <w:rPr>
          <w:rFonts w:ascii="Times New Roman" w:hAnsi="Times New Roman"/>
          <w:i/>
          <w:sz w:val="20"/>
        </w:rPr>
        <w:t>Frequently Used</w:t>
      </w:r>
      <w:r>
        <w:rPr>
          <w:rFonts w:ascii="Times New Roman" w:hAnsi="Times New Roman"/>
          <w:sz w:val="20"/>
        </w:rPr>
        <w:t xml:space="preserve"> </w:t>
      </w:r>
      <w:r>
        <w:rPr>
          <w:rFonts w:ascii="Times New Roman" w:hAnsi="Times New Roman"/>
          <w:i/>
          <w:sz w:val="20"/>
        </w:rPr>
        <w:t>TermsShare Calculations and Ownership Percentages</w:t>
      </w:r>
      <w:r>
        <w:rPr>
          <w:rFonts w:ascii="Times New Roman" w:hAnsi="Times New Roman"/>
          <w:sz w:val="20"/>
        </w:rPr>
        <w:t xml:space="preserve"> beginning on page 7 of this proxy statement/prospectus, these ownership percentages do not take into account: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warrants or options to purchase the Bakkt Pubco Class A Common Stock that will be outstanding following the Merger;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equity awards that may be issued under the proposed Bakkt Pubco Equity Incentive Plan following the Merger, including [●] shares of restricted Bakkt Pubco Class A Common Stock currently expected to be issued to Company executives shortly after the Closing, which number of restricted shares represents approximately [●]% of the total number of shares currently expected to be authorized for issuance under the Bakkt Pubco Equity Incentive Plan using the assumptions described under the section entitled </w:t>
            </w:r>
            <w:r>
              <w:rPr>
                <w:rFonts w:ascii="Times New Roman" w:hAnsi="Times New Roman"/>
                <w:i/>
                <w:sz w:val="20"/>
              </w:rPr>
              <w:t>Frequently Used TermsShare Calculations and Ownership Percentages</w:t>
            </w:r>
            <w:r>
              <w:rPr>
                <w:rFonts w:ascii="Times New Roman" w:hAnsi="Times New Roman"/>
                <w:sz w:val="20"/>
              </w:rPr>
              <w:t> beginning on page 7 of this proxy statement/prospectus (See the section entitled </w:t>
            </w:r>
            <w:r>
              <w:rPr>
                <w:rFonts w:ascii="Times New Roman" w:hAnsi="Times New Roman"/>
                <w:i/>
                <w:sz w:val="20"/>
              </w:rPr>
              <w:t>The Bakkt Pubco Equity Incentive Plan Proposal</w:t>
            </w:r>
            <w:r>
              <w:rPr>
                <w:rFonts w:ascii="Times New Roman" w:hAnsi="Times New Roman"/>
                <w:sz w:val="20"/>
              </w:rPr>
              <w:t> beginning on page 184 of this proxy statement/prospectus and the section entitled </w:t>
            </w:r>
            <w:r>
              <w:rPr>
                <w:rFonts w:ascii="Times New Roman" w:hAnsi="Times New Roman"/>
                <w:i/>
                <w:sz w:val="20"/>
              </w:rPr>
              <w:t>Executive Compensation of Bakkt</w:t>
            </w:r>
            <w:r>
              <w:rPr>
                <w:rFonts w:ascii="Times New Roman" w:hAnsi="Times New Roman"/>
                <w:sz w:val="20"/>
              </w:rPr>
              <w:t xml:space="preserve"> beginning on page 298 of this proxy statement/prospectus);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adjustments to the Merger Consideration pursuant to the Merger Agreement not reflected in our assumptions described above and in the section entitled </w:t>
            </w:r>
            <w:r>
              <w:rPr>
                <w:rFonts w:ascii="Times New Roman" w:hAnsi="Times New Roman"/>
                <w:i/>
                <w:sz w:val="20"/>
              </w:rPr>
              <w:t>Frequently Used TermsShare Calculations and Ownership Percentages</w:t>
            </w:r>
            <w:r>
              <w:rPr>
                <w:rFonts w:ascii="Times New Roman" w:hAnsi="Times New Roman"/>
                <w:sz w:val="20"/>
              </w:rPr>
              <w:t xml:space="preserve"> beginning on page 7 of this proxy statement/prospectus. </w:t>
            </w:r>
          </w:p>
        </w:tc>
      </w:tr>
    </w:tbl>
    <w:p>
      <w:pPr>
        <w:pStyle w:val="TextBody"/>
        <w:spacing w:before="240" w:after="0"/>
        <w:jc w:val="left"/>
        <w:rPr>
          <w:rFonts w:ascii="Times New Roman" w:hAnsi="Times New Roman"/>
          <w:sz w:val="20"/>
        </w:rPr>
      </w:pPr>
      <w:r>
        <w:rPr>
          <w:rFonts w:ascii="Times New Roman" w:hAnsi="Times New Roman"/>
          <w:sz w:val="20"/>
        </w:rPr>
        <w:t xml:space="preserve">If any of the Public Shares are redeemed in connection with the Merger, the percentage of the outstanding VIH Class A Ordinary Shares held by the Public Shareholders will decrease and the percentages of the outstanding Bakkt Pubco Class A Common Stock held immediately following the Business Combination by the Sponsor and the percentage of voting power of Bakkt Pubco Class A Common Stock issuable to the Bakkt Equity Holders upon exchange of Bakkt Opco Common Units will increase. To the extent that any of the outstanding Public Warrants are exercised for shares of Bakkt Pubco Class A Common Stock, or additional awards are issued under the proposed Bakkt Pubco Equity Incentive Plan, VIHs existing shareholders may experience substantial dilution. Such dilution could, among other things, limit the ability of VIHs current shareholders to influence the Companys management through the election of directors following the Closing. </w:t>
      </w:r>
    </w:p>
    <w:p>
      <w:pPr>
        <w:pStyle w:val="TextBody"/>
        <w:spacing w:before="360" w:after="0"/>
        <w:jc w:val="left"/>
        <w:rPr>
          <w:rFonts w:ascii="Times New Roman" w:hAnsi="Times New Roman"/>
          <w:b/>
          <w:i/>
          <w:sz w:val="20"/>
        </w:rPr>
      </w:pPr>
      <w:r>
        <w:rPr>
          <w:rFonts w:ascii="Times New Roman" w:hAnsi="Times New Roman"/>
          <w:b/>
          <w:i/>
          <w:sz w:val="20"/>
        </w:rPr>
        <w:t xml:space="preserve">The ability of VIHs shareholders to exercise Redemption Rights with respect to the Public Shares may prevent VIH from completing the Business Combination or optimizing its capital structure. </w:t>
      </w:r>
    </w:p>
    <w:p>
      <w:pPr>
        <w:pStyle w:val="TextBody"/>
        <w:spacing w:before="120" w:after="0"/>
        <w:jc w:val="left"/>
        <w:rPr>
          <w:rFonts w:ascii="Times New Roman" w:hAnsi="Times New Roman"/>
          <w:sz w:val="20"/>
        </w:rPr>
      </w:pPr>
      <w:r>
        <w:rPr>
          <w:rFonts w:ascii="Times New Roman" w:hAnsi="Times New Roman"/>
          <w:sz w:val="20"/>
        </w:rPr>
        <w:t xml:space="preserve">VIH does not know how many shareholders will ultimately exercise their Redemption Rights in connection with the Business Combination. As such, the Business Combination is structured based on VIHs expectations (and those of the other parties to the Merger Agreement) as to the number of shares that will be submitted for Redemption. In addition, if a larger number of shares are submitted for Redemption than VIH initially expected, VIH may need to seek to arrange for additional third-party financing to be able to deliver the Available Cash at the Closing (or such lower cash amount designated by Bakkt if Bakkt waives the condition). </w:t>
      </w:r>
    </w:p>
    <w:p>
      <w:pPr>
        <w:pStyle w:val="TextBody"/>
        <w:spacing w:before="240" w:after="0"/>
        <w:jc w:val="left"/>
        <w:rPr>
          <w:rFonts w:ascii="Times New Roman" w:hAnsi="Times New Roman"/>
          <w:sz w:val="20"/>
        </w:rPr>
      </w:pPr>
      <w:r>
        <w:rPr>
          <w:rFonts w:ascii="Times New Roman" w:hAnsi="Times New Roman"/>
          <w:sz w:val="20"/>
        </w:rPr>
        <w:t>Although VIH has obtained the Subscription Agreements in respect of the PIPE Investment, if too many Public shareholders elect to redeem their shares, the PIPE Investment alone may be insufficient to complete the Merger, and additional third-party financing may not be available to VIH. Even if such third-party financing is available, VIHs ability to obtain such financing is subject to restrictions set forth in the Merger Agreement, including the consent of Bakkt. For information regarding the parameters of such restrictions, please see the sections of this proxy statement/prospectus entitled </w:t>
      </w:r>
      <w:r>
        <w:rPr>
          <w:rFonts w:ascii="Times New Roman" w:hAnsi="Times New Roman"/>
          <w:i/>
          <w:sz w:val="20"/>
        </w:rPr>
        <w:t>The Business Combination ProposalMerger AgreementCovenants and Agreements</w:t>
      </w:r>
      <w:r>
        <w:rPr>
          <w:rFonts w:ascii="Times New Roman" w:hAnsi="Times New Roman"/>
          <w:sz w:val="20"/>
        </w:rPr>
        <w:t> and </w:t>
      </w:r>
      <w:r>
        <w:rPr>
          <w:rFonts w:ascii="Times New Roman" w:hAnsi="Times New Roman"/>
          <w:i/>
          <w:sz w:val="20"/>
        </w:rPr>
        <w:t>The Business Combination ProposalMerger AgreementClosing Conditions</w:t>
      </w:r>
      <w:r>
        <w:rPr>
          <w:rFonts w:ascii="Times New Roman" w:hAnsi="Times New Roman"/>
          <w:sz w:val="20"/>
        </w:rPr>
        <w:t xml:space="preserve"> beginning on pages 123 and 133, respectively, of this proxy statement/prospectus. </w:t>
      </w:r>
    </w:p>
    <w:p>
      <w:pPr>
        <w:pStyle w:val="TextBody"/>
        <w:spacing w:before="240" w:after="0"/>
        <w:jc w:val="left"/>
        <w:rPr>
          <w:rFonts w:ascii="Times New Roman" w:hAnsi="Times New Roman"/>
          <w:sz w:val="20"/>
        </w:rPr>
      </w:pPr>
      <w:r>
        <w:rPr>
          <w:rFonts w:ascii="Times New Roman" w:hAnsi="Times New Roman"/>
          <w:sz w:val="20"/>
        </w:rPr>
        <w:t>Furthermore, raising such additional financing, or increasing the equity portion of the Merger Consideration, in either case, if so authorized by Bakkt, may involve dilutive equity issuances or the incurrence of indebtedness at higher than desirable levels. For information on the consequences if the Business Combination is not completed or must be restructured, see the section entitled </w:t>
      </w:r>
      <w:r>
        <w:rPr>
          <w:rFonts w:ascii="Times New Roman" w:hAnsi="Times New Roman"/>
          <w:i/>
          <w:sz w:val="20"/>
        </w:rPr>
        <w:t>Risk FactorsRisks Related to VIH</w:t>
      </w:r>
      <w:r>
        <w:rPr>
          <w:rFonts w:ascii="Times New Roman" w:hAnsi="Times New Roman"/>
          <w:sz w:val="20"/>
        </w:rPr>
        <w:t xml:space="preserve"> beginning on page 102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Subsequent to the Closing, the Company may be required to take write-downs or write-offs, restructuring and impairment or other charges that could have a significant negative effect on its financial condition and its share price, which could cause you to lose some or all of your investment. </w:t>
      </w:r>
    </w:p>
    <w:p>
      <w:pPr>
        <w:pStyle w:val="TextBody"/>
        <w:spacing w:before="120" w:after="0"/>
        <w:jc w:val="left"/>
        <w:rPr>
          <w:rFonts w:ascii="Times New Roman" w:hAnsi="Times New Roman"/>
          <w:sz w:val="20"/>
        </w:rPr>
      </w:pPr>
      <w:r>
        <w:rPr>
          <w:rFonts w:ascii="Times New Roman" w:hAnsi="Times New Roman"/>
          <w:sz w:val="20"/>
        </w:rPr>
        <w:t xml:space="preserve">VIH cannot assure you that the due diligence VIH has conducted on Bakkt will reveal all material issues that may be present with regard to Bakkt, or that factors outside of VIHs or Bakkts control will not later arise. As a result of unidentified issues or factors outside of VIHs or Bakkts control, the Company may be forced to later write-down or write-off assets, restructure operations, or incur impairment or other charges that could result in reporting losses. Even if VIHs due diligence successfully identifies certain risks, unexpected risks may arise and previously known risks may materialize in a manner not consistent with the preliminary risk analysis conducted by VIH. Even though these charges may be non-cash items that would not have an immediate impact on the Companys liquidity, the fact that the Company reports charges of this nature could contribute to negative market perceptions about the Company or its securities. In addition, charges of this nature may cause the Company to violate leverage or other covenants to which it may be subject. Accordingly, any shareholders who choose to remain shareholders following the Business Combination could suffer a reduction in the value of their shares from any such write-down or write-downs. </w:t>
      </w:r>
    </w:p>
    <w:p>
      <w:pPr>
        <w:pStyle w:val="TextBody"/>
        <w:spacing w:before="360" w:after="0"/>
        <w:jc w:val="left"/>
        <w:rPr>
          <w:rFonts w:ascii="Times New Roman" w:hAnsi="Times New Roman"/>
          <w:b/>
          <w:i/>
          <w:sz w:val="20"/>
        </w:rPr>
      </w:pPr>
      <w:r>
        <w:rPr>
          <w:rFonts w:ascii="Times New Roman" w:hAnsi="Times New Roman"/>
          <w:b/>
          <w:i/>
          <w:sz w:val="20"/>
        </w:rPr>
        <w:t xml:space="preserve">The Companys ability to be successful following the Business Combination will depend upon the efforts of the Company Board and Bakkts key personnel. The loss of or failure to adequately integrate such persons could have a material adverse impact on the Companys business following the Business Combination. </w:t>
      </w:r>
    </w:p>
    <w:p>
      <w:pPr>
        <w:pStyle w:val="TextBody"/>
        <w:spacing w:before="120" w:after="0"/>
        <w:jc w:val="left"/>
        <w:rPr>
          <w:rFonts w:ascii="Times New Roman" w:hAnsi="Times New Roman"/>
          <w:sz w:val="20"/>
        </w:rPr>
      </w:pPr>
      <w:r>
        <w:rPr>
          <w:rFonts w:ascii="Times New Roman" w:hAnsi="Times New Roman"/>
          <w:sz w:val="20"/>
        </w:rPr>
        <w:t xml:space="preserve">The Companys ability to be successful following the Business Combination will be dependent upon the efforts of the Company Board and key personnel, many of whom will have only recently joined the Company. VIH cannot assure you that, following the Business Combination, the Company Board and the Companys key personnel will be effective, will integrate successfully or will remain with the Company. In addition to the other challenges they will face, such individuals may not have worked together for a substantial period of time, which could cause them to expend time and resources becoming familiar with each other and their new roles. </w:t>
      </w:r>
    </w:p>
    <w:p>
      <w:pPr>
        <w:pStyle w:val="TextBody"/>
        <w:spacing w:before="240" w:after="0"/>
        <w:jc w:val="left"/>
        <w:rPr>
          <w:rFonts w:ascii="Times New Roman" w:hAnsi="Times New Roman"/>
          <w:sz w:val="20"/>
        </w:rPr>
      </w:pPr>
      <w:r>
        <w:rPr>
          <w:rFonts w:ascii="Times New Roman" w:hAnsi="Times New Roman"/>
          <w:sz w:val="20"/>
        </w:rPr>
        <w:t xml:space="preserve">Further, uncertainty about the effect of the Business Combination on Bakkts business, employees, customers, third parties with whom Bakkt has relationships, and other third parties, including regulators, may have an adverse effect on the Company. These uncertainties may impair the Companys ability to attract, retain and motivate key personnel for a period of time after the Closing. The departure of key employees because of issues related to the uncertainty and difficulty of integration or a desire not to remain with the Company could have a negative effect on the Companys business, financial condition or results of operations. </w:t>
      </w:r>
    </w:p>
    <w:p>
      <w:pPr>
        <w:pStyle w:val="TextBody"/>
        <w:spacing w:before="360" w:after="0"/>
        <w:jc w:val="left"/>
        <w:rPr>
          <w:rFonts w:ascii="Times New Roman" w:hAnsi="Times New Roman"/>
          <w:b/>
          <w:i/>
          <w:sz w:val="20"/>
        </w:rPr>
      </w:pPr>
      <w:bookmarkStart w:id="18" w:name="8f"/>
      <w:bookmarkEnd w:id="18"/>
      <w:r>
        <w:rPr>
          <w:rFonts w:ascii="Times New Roman" w:hAnsi="Times New Roman"/>
          <w:b/>
          <w:i/>
          <w:sz w:val="20"/>
        </w:rPr>
        <w:t xml:space="preserve">The Company will be a holding company and its only material asset after completion of the Proposed Transaction will be its interest in Bakkt Opco, and it is accordingly dependent upon distributions made by its subsidiaries to pay taxes and expenses, make payments under the Tax Receivable Agreement and pay dividends. </w:t>
      </w:r>
    </w:p>
    <w:p>
      <w:pPr>
        <w:pStyle w:val="TextBody"/>
        <w:spacing w:before="120" w:after="0"/>
        <w:jc w:val="left"/>
        <w:rPr>
          <w:rFonts w:ascii="Times New Roman" w:hAnsi="Times New Roman"/>
          <w:sz w:val="20"/>
        </w:rPr>
      </w:pPr>
      <w:r>
        <w:rPr>
          <w:rFonts w:ascii="Times New Roman" w:hAnsi="Times New Roman"/>
          <w:sz w:val="20"/>
        </w:rPr>
        <w:t xml:space="preserve">Following the Closing, the Company will be a holding company with no material assets other than its ownership of Bakkt Opco Common Units and its managing member interest in Bakkt Opco. As a result, the Company will have no independent means of generating revenue or cash flow. The Companys ability to pay taxes and operating expenses, make payments under the Tax Receivable Agreement and pay dividends (if any) will depend on the financial results and cash flows of Bakkt Opco and its subsidiaries and the distributions the Company receives from Bakkt Opco. Deterioration in the financial condition, earnings or cash flow of Bakkt Opco and its subsidiaries for any reason could limit or impair Bakkt Opcos ability to pay such distributions. Additionally, to the extent that the Company needs funds and Bakkt Opco and/or any of its subsidiaries are restricted from making such distributions under applicable law or regulation or under the terms of any financing arrangements, or Bakkt Opco is otherwise unable to provide such funds, it could materially adversely affect the Companys liquidity and financial condition. </w:t>
      </w:r>
    </w:p>
    <w:p>
      <w:pPr>
        <w:pStyle w:val="TextBody"/>
        <w:spacing w:before="240" w:after="0"/>
        <w:jc w:val="left"/>
        <w:rPr>
          <w:rFonts w:ascii="Times New Roman" w:hAnsi="Times New Roman"/>
          <w:sz w:val="20"/>
        </w:rPr>
      </w:pPr>
      <w:r>
        <w:rPr>
          <w:rFonts w:ascii="Times New Roman" w:hAnsi="Times New Roman"/>
          <w:sz w:val="20"/>
        </w:rPr>
        <w:t xml:space="preserve">Bakkt Opco will continue to be treated as a partnership for U.S. federal income tax purposes and, as such, generally will not be subject to any entity-level U.S. federal income tax. Instead, taxable income will be allocated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to holders of Bakkt Opco Common Units. Accordingly, the Company will be required to pay income taxes on its allocable share of any net taxable income of Bakkt Opco. Under the terms of the Surviving Company LLC Agreement, Bakkt Opco is obligated to make certain tax distributions to holders of Bakkt Opco Common Units (including the Company). In addition to tax expenses, the Company will also incur expenses, including payment obligations under the Tax Receivable Agreement, which could be significant. See the section entitled </w:t>
      </w:r>
      <w:r>
        <w:rPr>
          <w:rFonts w:ascii="Times New Roman" w:hAnsi="Times New Roman"/>
          <w:i/>
          <w:sz w:val="20"/>
        </w:rPr>
        <w:t>The Business Combination ProposalRelated AgreementsTax Receivable Agreement</w:t>
      </w:r>
      <w:r>
        <w:rPr>
          <w:rFonts w:ascii="Times New Roman" w:hAnsi="Times New Roman"/>
          <w:sz w:val="20"/>
        </w:rPr>
        <w:t xml:space="preserve"> beginning on page 144 of this proxy statement/prospectus. The Company intends to cause Bakkt Opco to make distributions to holders of Bakkt Opco Common Units, </w:t>
      </w:r>
      <w:r>
        <w:rPr>
          <w:rFonts w:ascii="Times New Roman" w:hAnsi="Times New Roman"/>
          <w:i/>
          <w:sz w:val="20"/>
        </w:rPr>
        <w:t>pro rata</w:t>
      </w:r>
      <w:r>
        <w:rPr>
          <w:rFonts w:ascii="Times New Roman" w:hAnsi="Times New Roman"/>
          <w:sz w:val="20"/>
        </w:rPr>
        <w:t xml:space="preserve">, in aggregate amounts sufficient to cover all applicable income taxes of the Company, payments required to be made by the Company under the Tax Receivable Agreement and dividends, if any, declared by the Company. However, as discussed below, Bakkt Opcos ability to make such distributions may be subject to various limitations and restrictions including, but not limited to, retention of amounts necessary to satisfy the obligations of the Target Companies and restrictions on distributions that would either violate any contract or agreement to which Bakkt Opco is then a party, including debt agreements, or any applicable law, or that would have the effect of rendering Bakkt Opco insolvent. If the Companys cash resources are insufficient to meet its obligations under the Tax Receivable Agreement and to fund its obligations, the Company may be required to incur additional indebtedness to provide the liquidity needed to make such payments, which could materially adversely affect its liquidity and financial condition and subject the Company to various restrictions imposed by any such lenders. To the extent that the Company is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 </w:t>
      </w:r>
    </w:p>
    <w:p>
      <w:pPr>
        <w:pStyle w:val="TextBody"/>
        <w:spacing w:before="240" w:after="0"/>
        <w:jc w:val="left"/>
        <w:rPr>
          <w:rFonts w:ascii="Times New Roman" w:hAnsi="Times New Roman"/>
          <w:sz w:val="20"/>
        </w:rPr>
      </w:pPr>
      <w:r>
        <w:rPr>
          <w:rFonts w:ascii="Times New Roman" w:hAnsi="Times New Roman"/>
          <w:sz w:val="20"/>
        </w:rPr>
        <w:t xml:space="preserve">Additionally, although Bakkt Opco generally will not be subject to any entity-level U.S. federal income tax, it may be liable under federal tax legislation for adjustments to its tax return, absent an election to the contrary. In the event Bakkt Opcos calculations of taxable income are incorrect, Bakkt Opco and/or its members, including the Company, in later years may be subject to material liabilities pursuant to this federal legislation and its related guidance. </w:t>
      </w:r>
    </w:p>
    <w:p>
      <w:pPr>
        <w:pStyle w:val="TextBody"/>
        <w:spacing w:before="240" w:after="0"/>
        <w:jc w:val="left"/>
        <w:rPr>
          <w:rFonts w:ascii="Times New Roman" w:hAnsi="Times New Roman"/>
          <w:sz w:val="20"/>
        </w:rPr>
      </w:pPr>
      <w:r>
        <w:rPr>
          <w:rFonts w:ascii="Times New Roman" w:hAnsi="Times New Roman"/>
          <w:sz w:val="20"/>
        </w:rPr>
        <w:t>The Company anticipates that the distributions it will receive from Bakkt Opco may, in certain periods, exceed the Companys actual tax liabilities and obligations to make payments under the Tax Receivable Agreement. The Company Board, in its sole discretion, will make any determination from time to time with respect to the use of any such excess cash so accumulated, which may include, among other uses to pay dividends, which may include special dividends, on the Bakkt Pubco Class A Common Stock; to fund repurchases of Bakkt Pubco Class A Common Stock; or any combination of the foregoing. The Company will have no obligation to distribute such cash (or other available cash other than any declared dividend) to its stockholders. To the extent that the Company does not distribute such excess cash as dividends on Bakkt Pubco Class A Common Stock or otherwise undertake ameliorative actions between Bakkt Opco Common Units and shares of Bakkt Pubco Class A Common Stock and instead, for example, holds such cash balances, holders of Bakkt Opco Common Units that hold interests in Bakkt pre-Business Combination may benefit from any value attributable to such cash balances as a result of their ownership of Bakkt Pubco Class A Common Stock following an exchange of their Bakkt Opco Common Units, notwithstanding that such holders may previously have participated as holders of Bakkt Opco Common Units in distributions by Bakkt Opco that resulted in such excess cash balances at the Company. See the section entitled </w:t>
      </w:r>
      <w:r>
        <w:rPr>
          <w:rFonts w:ascii="Times New Roman" w:hAnsi="Times New Roman"/>
          <w:i/>
          <w:sz w:val="20"/>
        </w:rPr>
        <w:t>The Business Combination ProposalRelated AgreementsSurviving Company LLC Agreement</w:t>
      </w:r>
      <w:r>
        <w:rPr>
          <w:rFonts w:ascii="Times New Roman" w:hAnsi="Times New Roman"/>
          <w:sz w:val="20"/>
        </w:rPr>
        <w:t xml:space="preserve"> beginning on page 139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Dividends on the Companys Shares, if any, will be paid at the discretion of the Company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Bakkt Opco is generally prohibited under Delaware law from making a distribution to a member to the extent that, at the time of the distribution, after giving effect to the distribution, liabilities of Bakkt Opco (with certain exceptions) exceed the fair value of 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assets. Bakkt Opcos subsidiaries are generally subject to similar legal limitations on their ability to make distributions to Bakkt Opco. If Bakkt Opco does not have sufficient funds to make distributions, the Companys ability to declare and pay cash dividends may also be restricted or impaired. </w:t>
      </w:r>
    </w:p>
    <w:p>
      <w:pPr>
        <w:pStyle w:val="TextBody"/>
        <w:spacing w:before="360" w:after="0"/>
        <w:jc w:val="left"/>
        <w:rPr>
          <w:rFonts w:ascii="Times New Roman" w:hAnsi="Times New Roman"/>
          <w:b/>
          <w:i/>
          <w:sz w:val="20"/>
        </w:rPr>
      </w:pPr>
      <w:r>
        <w:rPr>
          <w:rFonts w:ascii="Times New Roman" w:hAnsi="Times New Roman"/>
          <w:b/>
          <w:i/>
          <w:sz w:val="20"/>
        </w:rPr>
        <w:t xml:space="preserve">The Company may have to constrain its business activities to avoid being deemed an investment company under the Investment Company Act. </w:t>
      </w:r>
    </w:p>
    <w:p>
      <w:pPr>
        <w:pStyle w:val="TextBody"/>
        <w:spacing w:before="120" w:after="0"/>
        <w:jc w:val="left"/>
        <w:rPr>
          <w:rFonts w:ascii="Times New Roman" w:hAnsi="Times New Roman"/>
          <w:sz w:val="20"/>
        </w:rPr>
      </w:pPr>
      <w:r>
        <w:rPr>
          <w:rFonts w:ascii="Times New Roman" w:hAnsi="Times New Roman"/>
          <w:sz w:val="20"/>
        </w:rPr>
        <w:t xml:space="preserve">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The Company believes it has conducted, and intends to continue to conduct, its business in a manner that does not result in the Company being characterized as an investment company. To avoid being deemed an investment company, the Company may decide not to broaden its offerings, which could require the Company to forgo attractive opportunities. If the Company is deemed to be an investment company under the Investment Company Act, it may be required to institute burdensome compliance requirements and its activities may be restricted, which would adversely affect the Companys business, financial condition, and results of operations. In addition, the Company may be forced to make changes to its management team if it is required to register as an investment company under the Investment Company Act. </w:t>
      </w:r>
    </w:p>
    <w:p>
      <w:pPr>
        <w:pStyle w:val="TextBody"/>
        <w:spacing w:before="360" w:after="0"/>
        <w:jc w:val="left"/>
        <w:rPr>
          <w:rFonts w:ascii="Times New Roman" w:hAnsi="Times New Roman"/>
          <w:b/>
          <w:i/>
          <w:sz w:val="20"/>
        </w:rPr>
      </w:pPr>
      <w:r>
        <w:rPr>
          <w:rFonts w:ascii="Times New Roman" w:hAnsi="Times New Roman"/>
          <w:b/>
          <w:i/>
          <w:sz w:val="20"/>
        </w:rPr>
        <w:t xml:space="preserve">Pursuant to the Tax Receivable Agreement, the Company will be required to pay 85% of the net income tax savings the Company realizes as a result of increases in the tax basis in Bakkt Opcos assets as a result of exchanges of Bakkt Opco Common Units for Bakkt Pubco Class A Common Stock (or cash) pursuant to the Exchange Agreement, and those payments may be substantial. </w:t>
      </w:r>
    </w:p>
    <w:p>
      <w:pPr>
        <w:pStyle w:val="TextBody"/>
        <w:spacing w:before="120" w:after="0"/>
        <w:jc w:val="left"/>
        <w:rPr>
          <w:rFonts w:ascii="Times New Roman" w:hAnsi="Times New Roman"/>
          <w:sz w:val="20"/>
        </w:rPr>
      </w:pPr>
      <w:r>
        <w:rPr>
          <w:rFonts w:ascii="Times New Roman" w:hAnsi="Times New Roman"/>
          <w:sz w:val="20"/>
        </w:rPr>
        <w:t xml:space="preserve">The Bakkt Equity Holders may exchange their Bakkt Opco Common Units for Bakkt Pubco Class A Shares (or cash) pursuant to the Exchange Agreement, subject to certain conditions and transfer restrictions as set forth therein and in the Surviving Company LLC Agreement. These exchanges are expected to result in increases in the Companys allocable share of the tax basis of the tangible and intangible assets of Bakkt Opco. These increases in tax basis may increase (for income tax purposes) depreciation and amortization deductions and therefore reduce the amount of U.S. federal and applicable state income tax that the Company would otherwise be required to pay in the future had such exchanges never occurred.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the Company will enter into the Tax Receivable Agreement, which generally provides for the payment by it of 85% of certain net tax benefits, if any, that the Company realizes (or in certain cases is deemed to realize) as a result of these increases in tax basis and certain other tax attributes of Bakkt Opco and tax benefits related to entering into the Tax Receivable Agreement, including tax benefits attributable to payments under the Tax Receivable Agreement. These payments are the obligation of the Company and not of Bakkt Opco. The actual increase in the Companys allocable share of Bakkt Opcos tax basis in its assets, as well as the amount and timing of any payments under the Tax Receivable Agreement, will vary depending upon a number of factors, including the timing of exchanges, the market price of the Bakkt Pubco Class A Common Stock at the time of the exchange, the extent to which such exchanges are taxable and the amount and timing of the recognition of the Companys income. While many of the factors that will determine the amount of payments that the Company will make under the Tax Receivable Agreement are outside of its control, the Company expects that the payments we will make under the Tax Receivable Agreement will be substantial and could have a material adverse effect on the Companys financial condition. The Company may recognize an estimated liability under the Tax Receivable Agreement of approximately $507 million if all Bakkt Equity Holders exchange their Bakkt Opco Common Units for Bakkt Pubco Class A Common Stock at the earliest possible date permitted under the Exchange Agreement and assuming (a) the generation of sufficient future taxable income, (b) a trading price of $10 per share of Bakkt Pubco Class A Common Stock at the time of the exchanges, (c) a constant corporate combined U.S. federal and state income tax rate of 24.68% and (d) no material changes in tax law. The actual amounts the Company will be required to pay may materially differ from these hypothetical amounts, because potential future tax savings that the Company will be deemed to realize,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tax receivable agreement payments made by Company, will be calculated based on the market value of the Bakkt Pubco Class A Common Stock at the time of each redemption or exchange under the Exchange Agreement and the prevailing tax rates applicable to the Company over the life of the Tax Receivable Agreement and will depend on the Company generating sufficient taxable income to realize the tax benefits that are subject to the Tax Receivable Agreement. Any payments made by the Company under the Tax Receivable Agreement will generally reduce the amount of overall cash flow that might have otherwise been available to the Company. To the extent that the Company is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the Companys future obligation to make payments under the Tax Receivable Agreement could make it a less attractive target for an acquisition, particularly in the case of an acquirer that cannot use some or all of the tax benefits that may be deemed realized under the Tax Receivable Agreement. See the section entitled </w:t>
      </w:r>
      <w:r>
        <w:rPr>
          <w:rFonts w:ascii="Times New Roman" w:hAnsi="Times New Roman"/>
          <w:i/>
          <w:sz w:val="20"/>
        </w:rPr>
        <w:t>The Business Combination ProposalRelated AgreementsTax Receivable Agreement</w:t>
      </w:r>
      <w:r>
        <w:rPr>
          <w:rFonts w:ascii="Times New Roman" w:hAnsi="Times New Roman"/>
          <w:sz w:val="20"/>
        </w:rPr>
        <w:t xml:space="preserve"> beginning on page 144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In certain cases, payments under the Tax Receivable Agreement may exceed the actual tax benefits the Company realizes or such payments may be accelerated. </w:t>
      </w:r>
    </w:p>
    <w:p>
      <w:pPr>
        <w:pStyle w:val="TextBody"/>
        <w:spacing w:before="120" w:after="0"/>
        <w:jc w:val="left"/>
        <w:rPr>
          <w:rFonts w:ascii="Times New Roman" w:hAnsi="Times New Roman"/>
          <w:sz w:val="20"/>
        </w:rPr>
      </w:pPr>
      <w:r>
        <w:rPr>
          <w:rFonts w:ascii="Times New Roman" w:hAnsi="Times New Roman"/>
          <w:sz w:val="20"/>
        </w:rPr>
        <w:t>Payments under the Tax Receivable Agreement will be based on the tax reporting positions that the Company determines, and the Internal Revenue Service (the </w:t>
      </w:r>
      <w:r>
        <w:rPr>
          <w:rFonts w:ascii="Times New Roman" w:hAnsi="Times New Roman"/>
          <w:b/>
          <w:sz w:val="20"/>
        </w:rPr>
        <w:t>IRS</w:t>
      </w:r>
      <w:r>
        <w:rPr>
          <w:rFonts w:ascii="Times New Roman" w:hAnsi="Times New Roman"/>
          <w:sz w:val="20"/>
        </w:rPr>
        <w:t xml:space="preserve">) or another taxing authority may challenge all or any part of the tax basis increases, as well as other tax positions that the Company takes, and a court may sustain such a challenge. In the event any tax benefits initially claimed by the Company are disallowed, the current Bakkt Equity Holders will not be required to reimburse the Company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the Company, if any, after the determination of such excess. However, a challenge to any tax benefits initially claimed by the Company may not arise for a number of years following the initial time of such payment or, even if challenged early, such excess cash payment may be greater than the amount of future cash payments that the Company might otherwise be required to make under the terms of the Tax Receivable Agreement and, as a result, there might not be future cash payments from which to net against. As a result, in certain circumstances the Company could make payments under the Tax Receivable Agreement in excess of the Companys actual income tax savings, which could materially impair the Companys financial condition. </w:t>
      </w:r>
    </w:p>
    <w:p>
      <w:pPr>
        <w:pStyle w:val="TextBody"/>
        <w:spacing w:before="240" w:after="0"/>
        <w:jc w:val="left"/>
        <w:rPr>
          <w:rFonts w:ascii="Times New Roman" w:hAnsi="Times New Roman"/>
          <w:sz w:val="20"/>
        </w:rPr>
      </w:pPr>
      <w:r>
        <w:rPr>
          <w:rFonts w:ascii="Times New Roman" w:hAnsi="Times New Roman"/>
          <w:sz w:val="20"/>
        </w:rPr>
        <w:t xml:space="preserve">Moreover, the Tax Receivable Agreement provides that, in the event that (a) the Company exercises its early termination rights under the Tax Receivable Agreement, (b) the Tax Receivable Agreement is rejected in a bankruptcy proceeding, (c) certain changes of control of the Company occur (as described in the Tax Receivable Agreement) or (d) the Company is more than thirty days late in making of a payment due under the Tax Receivable Agreement (unless the Company determines that it has insufficient funds to make such payment as a result of obligations imposed in connection with a senior obligation or applicable law), the Companys obligations under the Tax Receivable Agreement will accelerate and the Company will be required to make an immediate lump-sum cash payment to the Bakkt Equity Holders equal to the present value of all forecasted future payments that would have otherwise been made under the Tax Receivable Agreement, which lump-sum payment would be based on certain assumptions, including those relating to the Companys future taxable income. The lump-sum payment to the Bakkt Equity Holders could be substantial and could exceed the actual tax benefits that the Company realizes subsequent to such payment because such payment would be calculated assuming, among other things, that the Company would have certain tax benefits available to it, that the Company would be able to use the potential tax benefits in future years, and that tax rates applicable to the Company would be the same as they were in the year of the termination. </w:t>
      </w:r>
    </w:p>
    <w:p>
      <w:pPr>
        <w:pStyle w:val="TextBody"/>
        <w:spacing w:before="240" w:after="0"/>
        <w:jc w:val="left"/>
        <w:rPr>
          <w:rFonts w:ascii="Times New Roman" w:hAnsi="Times New Roman"/>
          <w:sz w:val="20"/>
        </w:rPr>
      </w:pPr>
      <w:r>
        <w:rPr>
          <w:rFonts w:ascii="Times New Roman" w:hAnsi="Times New Roman"/>
          <w:sz w:val="20"/>
        </w:rPr>
        <w:t xml:space="preserve">There may be a material negative effect on the Companys liquidity if the payments under the Tax Receivable Agreement exceed the actual income tax savings that the Company realizes. Furthermore, the Companys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obligations to make payments under the Tax Receivable Agreement could also have the effect of delaying, deferring or preventing certain mergers, asset sales, other forms of business combinations or other changes of control. The Company may need to incur additional indebtedness to finance payments under the Tax Receivable Agreement to the extent its cash resources are insufficient to meet its obligations under the Tax Receivable Agreement as a result of timing discrepancies or otherwise. Such indebtedness may have a material adverse effect on the Companys financial condition. </w:t>
      </w:r>
    </w:p>
    <w:p>
      <w:pPr>
        <w:pStyle w:val="TextBody"/>
        <w:spacing w:before="360" w:after="0"/>
        <w:jc w:val="left"/>
        <w:rPr>
          <w:rFonts w:ascii="Times New Roman" w:hAnsi="Times New Roman"/>
          <w:b/>
          <w:i/>
          <w:sz w:val="20"/>
        </w:rPr>
      </w:pPr>
      <w:bookmarkStart w:id="19" w:name="8c"/>
      <w:bookmarkEnd w:id="19"/>
      <w:r>
        <w:rPr>
          <w:rFonts w:ascii="Times New Roman" w:hAnsi="Times New Roman"/>
          <w:b/>
          <w:i/>
          <w:sz w:val="20"/>
        </w:rPr>
        <w:t xml:space="preserve">Some of VIHs officers and directors may have conflicts of interest that may influence or have influenced them to support or approve the Business Combination without regard to your interests or in determining whether Bakkt is appropriate for VIHs initial business combination. </w:t>
      </w:r>
    </w:p>
    <w:p>
      <w:pPr>
        <w:pStyle w:val="TextBody"/>
        <w:spacing w:before="120" w:after="0"/>
        <w:jc w:val="left"/>
        <w:rPr>
          <w:rFonts w:ascii="Times New Roman" w:hAnsi="Times New Roman"/>
          <w:sz w:val="20"/>
        </w:rPr>
      </w:pPr>
      <w:r>
        <w:rPr>
          <w:rFonts w:ascii="Times New Roman" w:hAnsi="Times New Roman"/>
          <w:sz w:val="20"/>
        </w:rPr>
        <w:t xml:space="preserve">The personal and financial interests of the Sponsor, officers and directors may influence or have influenced their motivation in identifying and selecting a target for the Business Combination, their support for completing the Business Combination and the operation of the Company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VIHs Sponsor owns 5,184,300 VIH Class B Ordinary Shares, which were initially acquired prior to the IPO for an aggregate purchase price of $25,000 and VIHs directors and officers have pecuniary interests in such VIH Shares through their ownership interest in the Sponsor. Such shares had an aggregate market value of approximately $61,796,856 based on the last sale price of $11.92 per share on Nasdaq on March 29, 2021. In addition, the Sponsor purchased an aggregate of 6,147,440 Private Placement Warrants, each exercisable for one VIH Class A Ordinary Share at $11.50 per share, for a purchase price of $6,147,440, or $1.00 per warrant. </w:t>
      </w:r>
    </w:p>
    <w:p>
      <w:pPr>
        <w:pStyle w:val="TextBody"/>
        <w:spacing w:before="240" w:after="0"/>
        <w:jc w:val="left"/>
        <w:rPr>
          <w:rFonts w:ascii="Times New Roman" w:hAnsi="Times New Roman"/>
          <w:sz w:val="20"/>
        </w:rPr>
      </w:pPr>
      <w:r>
        <w:rPr>
          <w:rFonts w:ascii="Times New Roman" w:hAnsi="Times New Roman"/>
          <w:sz w:val="20"/>
        </w:rPr>
        <w:t xml:space="preserve">The Cayman Constitutional Documents require VIH to complete an initial business combination prior to September 25, 2022 (unless VIH submits and its shareholders approve an extension of such date). If the Business Combination is not completed and VIH is forced to wind up, dissolve and liquidate in accordance with the Cayman Constitutional Documents, the 5,384,300 VIH Class B Ordinary Shares currently held by the Sponsor and certain directors and the Private Placement Warrants purchased by Sponsor will be worthless (as the holders have waived liquidation rights with respect to such VIH Shares). </w:t>
      </w:r>
    </w:p>
    <w:p>
      <w:pPr>
        <w:pStyle w:val="TextBody"/>
        <w:spacing w:before="240" w:after="0"/>
        <w:jc w:val="left"/>
        <w:rPr>
          <w:rFonts w:ascii="Times New Roman" w:hAnsi="Times New Roman"/>
          <w:sz w:val="20"/>
        </w:rPr>
      </w:pPr>
      <w:r>
        <w:rPr>
          <w:rFonts w:ascii="Times New Roman" w:hAnsi="Times New Roman"/>
          <w:sz w:val="20"/>
        </w:rPr>
        <w:t xml:space="preserve">The Sponsor, its directors and officers, and their respective affiliates have incurred significant out-of-pocket expenses incurred in connection with performing due diligence on suitable targets for business combinations and the negotiation of the Business Combination. At the Closing, the Sponsor, its directors and officers, and their respective affiliates, will be reimbursed for any out-of-pocket expenses incurred in connection with activities on VIHs behalf such as identifying potential target businesses and performing due diligence on suitable targets for business combinations. If a business combination is not completed prior to September 25, 2022, the Sponsor, directors and officers, or any of their respective affiliates will not be eligible for any such reimbursement. </w:t>
      </w:r>
    </w:p>
    <w:p>
      <w:pPr>
        <w:pStyle w:val="TextBody"/>
        <w:spacing w:before="240" w:after="0"/>
        <w:jc w:val="left"/>
        <w:rPr>
          <w:rFonts w:ascii="Times New Roman" w:hAnsi="Times New Roman"/>
          <w:sz w:val="20"/>
        </w:rPr>
      </w:pPr>
      <w:r>
        <w:rPr>
          <w:rFonts w:ascii="Times New Roman" w:hAnsi="Times New Roman"/>
          <w:sz w:val="20"/>
        </w:rPr>
        <w:t xml:space="preserve">Certain officers and members of the VIH Board also participate in arrangements that may provide them with other interests in the Business Combination that are different from yours, including, among others, arrangements for the continued service as directors of the Company. </w:t>
      </w:r>
    </w:p>
    <w:p>
      <w:pPr>
        <w:pStyle w:val="TextBody"/>
        <w:spacing w:before="240" w:after="0"/>
        <w:jc w:val="left"/>
        <w:rPr>
          <w:rFonts w:ascii="Times New Roman" w:hAnsi="Times New Roman"/>
          <w:sz w:val="20"/>
        </w:rPr>
      </w:pPr>
      <w:r>
        <w:rPr>
          <w:rFonts w:ascii="Times New Roman" w:hAnsi="Times New Roman"/>
          <w:sz w:val="20"/>
        </w:rPr>
        <w:t xml:space="preserve">Further, the Sponsor and its officers and directors have, pursuant to the Insider Letter Agreement, each agreed (A) to vote any VIH Shares owned by them in favor of the Business Combination and (B) not to redeem any shares in connection with a shareholder vote to approve the Business Combination. </w:t>
      </w:r>
    </w:p>
    <w:p>
      <w:pPr>
        <w:pStyle w:val="TextBody"/>
        <w:spacing w:before="240" w:after="0"/>
        <w:jc w:val="left"/>
        <w:rPr>
          <w:rFonts w:ascii="Times New Roman" w:hAnsi="Times New Roman"/>
          <w:sz w:val="20"/>
        </w:rPr>
      </w:pPr>
      <w:r>
        <w:rPr>
          <w:rFonts w:ascii="Times New Roman" w:hAnsi="Times New Roman"/>
          <w:sz w:val="20"/>
        </w:rPr>
        <w:t>These interests, among others, may influence or have influenced the Sponsor and the officers and members of the VIH Board and Bakkt to support or approve the Business Combination. For more information concerning the interests of VIHs officers and directors, see the section entitled </w:t>
      </w:r>
      <w:r>
        <w:rPr>
          <w:rFonts w:ascii="Times New Roman" w:hAnsi="Times New Roman"/>
          <w:i/>
          <w:sz w:val="20"/>
        </w:rPr>
        <w:t>The Business Combination ProposalCertain</w:t>
      </w:r>
      <w:r>
        <w:rPr>
          <w:rFonts w:ascii="Times New Roman" w:hAnsi="Times New Roman"/>
          <w:sz w:val="20"/>
        </w:rPr>
        <w:t xml:space="preserve"> </w:t>
      </w:r>
      <w:r>
        <w:rPr>
          <w:rFonts w:ascii="Times New Roman" w:hAnsi="Times New Roman"/>
          <w:i/>
          <w:sz w:val="20"/>
        </w:rPr>
        <w:t>Benefits of VIHs Directors and Officers and Others in the Business Combination</w:t>
      </w:r>
      <w:r>
        <w:rPr>
          <w:rFonts w:ascii="Times New Roman" w:hAnsi="Times New Roman"/>
          <w:sz w:val="20"/>
        </w:rPr>
        <w:t> beginning on page 155 of this proxy statement/prospectus and the risk factor entitled </w:t>
      </w:r>
      <w:r>
        <w:rPr>
          <w:rFonts w:ascii="Times New Roman" w:hAnsi="Times New Roman"/>
          <w:i/>
          <w:sz w:val="20"/>
        </w:rPr>
        <w:t>Risk FactorsRisks Related to VIHThe Sponsor</w:t>
      </w:r>
      <w:r>
        <w:rPr>
          <w:rFonts w:ascii="Times New Roman" w:hAnsi="Times New Roman"/>
          <w:sz w:val="20"/>
        </w:rPr>
        <w:t xml:space="preserve"> </w:t>
      </w:r>
      <w:r>
        <w:rPr>
          <w:rFonts w:ascii="Times New Roman" w:hAnsi="Times New Roman"/>
          <w:i/>
          <w:sz w:val="20"/>
        </w:rPr>
        <w:t>controls a substantial interest in VIH and thus may exert a substantial influence on actions requiring a shareholder vote, potentially in a manner that you do not support</w:t>
      </w:r>
      <w:r>
        <w:rPr>
          <w:rFonts w:ascii="Times New Roman" w:hAnsi="Times New Roman"/>
          <w:sz w:val="20"/>
        </w:rPr>
        <w:t xml:space="preserve"> beginning on page 106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VIH has not obtained an opinion from an independent investment banking firm or another independent firm, and consequently, you may have no assurance from an independent source that the terms of the Business Combination are fair to VIH from a financial point of view. </w:t>
      </w:r>
    </w:p>
    <w:p>
      <w:pPr>
        <w:pStyle w:val="TextBody"/>
        <w:spacing w:before="120" w:after="0"/>
        <w:jc w:val="left"/>
        <w:rPr>
          <w:rFonts w:ascii="Times New Roman" w:hAnsi="Times New Roman"/>
          <w:sz w:val="20"/>
        </w:rPr>
      </w:pPr>
      <w:r>
        <w:rPr>
          <w:rFonts w:ascii="Times New Roman" w:hAnsi="Times New Roman"/>
          <w:sz w:val="20"/>
        </w:rPr>
        <w:t>The VIH Board did not obtain a third-party valuation or fairness opinion in connection with its determination to approve the Business Combination. VIH is not required to obtain an opinion from an independent investment banking firm that is a member of FINRA or from another independent firm that the price it is paying is fair to VIH from a financial point of view. In analyzing the Business Combination, the VIH Board and VIHs management conducted due diligence on Bakkt and researched the industry in which Bakkt operates and concluded that the Business Combination was in the best interest of its shareholders. Accordingly, VIHs shareholders will be relying solely on the judgment of the VIH Board in determining the value of the Business Combination, and the VIH Board may not have properly valued such business. The lack of third-party valuation or fairness opinion may also lead to an increased number of shareholders to vote against the Business Combination or demand Redemption of their shares, which could potentially impact our ability to consummate the Business Combination. For more information about our decision-making process, see the section entitled </w:t>
      </w:r>
      <w:r>
        <w:rPr>
          <w:rFonts w:ascii="Times New Roman" w:hAnsi="Times New Roman"/>
          <w:i/>
          <w:sz w:val="20"/>
        </w:rPr>
        <w:t>The Business Combination ProposalThe VIH Boards Reasons for the Approval of the Business Combination</w:t>
      </w:r>
      <w:r>
        <w:rPr>
          <w:rFonts w:ascii="Times New Roman" w:hAnsi="Times New Roman"/>
          <w:sz w:val="20"/>
        </w:rPr>
        <w:t xml:space="preserve"> beginning on page 151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The NYSE may delist the Companys securities from trading on its exchange, which could limit investors ability to make transactions in the Companys securities and subject the Company to additional trading restrictions. </w:t>
      </w:r>
    </w:p>
    <w:p>
      <w:pPr>
        <w:pStyle w:val="TextBody"/>
        <w:spacing w:before="120" w:after="0"/>
        <w:jc w:val="left"/>
        <w:rPr>
          <w:rFonts w:ascii="Times New Roman" w:hAnsi="Times New Roman"/>
          <w:sz w:val="20"/>
        </w:rPr>
      </w:pPr>
      <w:r>
        <w:rPr>
          <w:rFonts w:ascii="Times New Roman" w:hAnsi="Times New Roman"/>
          <w:sz w:val="20"/>
        </w:rPr>
        <w:t xml:space="preserve">The Public Shares and Public Warrants are currently listed on Nasdaq and it is a condition to Bakkts obligations to complete the Business Combination, that the Bakkt Pubco Class A Common Stock will have been listed on a national stock exchange and will be eligible for continued listing on a national stock exchange immediately following the Business Combination after giving effect to the Redemptions (as if it were a new initial listing by an issuer that had never been listed prior to the Closing). The Company intends to list the Bakkt Pubco Class A Shares on the NYSE upon the Closing. </w:t>
      </w:r>
    </w:p>
    <w:p>
      <w:pPr>
        <w:pStyle w:val="TextBody"/>
        <w:spacing w:before="240" w:after="0"/>
        <w:jc w:val="left"/>
        <w:rPr>
          <w:rFonts w:ascii="Times New Roman" w:hAnsi="Times New Roman"/>
          <w:sz w:val="20"/>
        </w:rPr>
      </w:pPr>
      <w:r>
        <w:rPr>
          <w:rFonts w:ascii="Times New Roman" w:hAnsi="Times New Roman"/>
          <w:sz w:val="20"/>
        </w:rPr>
        <w:t xml:space="preserve">However, VIH cannot assure you that the Companys securities will continue to be listed on the NYSE in the future. In addition, in connection with the Business Combination and as a condition to Bakkts obligations to complete the Business Combination, the Company is required to demonstrate compliance with the NYSEs initial listing requirements, which are more rigorous than the NYSEs continued listing requirements, in order to continue to maintain the listing of the Companys securities on the NYSE. In addition to the listing requirements for the Bakkt Pubco Class A Common Stock, the NYSE imposes listing standards on warrants. VIH cannot assure you that the Company will be able to meet those initial listing requirements, in which case Bakkt will not be obligated to complete the Business Combination. In addition, it is possible that the Bakkt Pubco Class A Common Stock and Public Warrants will cease to meet the NYSE listing requirements following the Closing. </w:t>
      </w:r>
    </w:p>
    <w:p>
      <w:pPr>
        <w:pStyle w:val="TextBody"/>
        <w:spacing w:before="240" w:after="0"/>
        <w:jc w:val="left"/>
        <w:rPr>
          <w:rFonts w:ascii="Times New Roman" w:hAnsi="Times New Roman"/>
          <w:sz w:val="20"/>
        </w:rPr>
      </w:pPr>
      <w:r>
        <w:rPr>
          <w:rFonts w:ascii="Times New Roman" w:hAnsi="Times New Roman"/>
          <w:sz w:val="20"/>
        </w:rPr>
        <w:t xml:space="preserve">If the NYSE delists the Companys securities from trading on its exchange and the Company is not able to list its securities on another national securities exchange, VIH expects the Companys securities could be quoted on an over-the-counter market. If this were to occur, the Company could face significant material adverse consequences,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availability of market quotations for its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reduced liquidity for its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determination that the Bakkt Pubco Class A Common Stock is a penny stock which will require brokers trading in the common stock to adhere to more stringent rules and possibly result in a reduced level of trading activity in the secondary trading market for the Companys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unaudited pro forma financial information included in the section entitled Unaudited Pro Forma Condensed Combined Financial Information may not be representative of the Companys results if the Business Combination is completed. </w:t>
      </w:r>
    </w:p>
    <w:p>
      <w:pPr>
        <w:pStyle w:val="TextBody"/>
        <w:spacing w:before="120" w:after="0"/>
        <w:jc w:val="left"/>
        <w:rPr>
          <w:rFonts w:ascii="Times New Roman" w:hAnsi="Times New Roman"/>
          <w:sz w:val="20"/>
        </w:rPr>
      </w:pPr>
      <w:r>
        <w:rPr>
          <w:rFonts w:ascii="Times New Roman" w:hAnsi="Times New Roman"/>
          <w:sz w:val="20"/>
        </w:rPr>
        <w:t xml:space="preserve">VIH and Bakkt currently operate as separate companies and have had no prior history as a combined entity, and Bakkts and the Companys operations have not previously been managed on a combined basis. The </w:t>
      </w:r>
      <w:r>
        <w:rPr>
          <w:rFonts w:ascii="Times New Roman" w:hAnsi="Times New Roman"/>
          <w:i/>
          <w:sz w:val="20"/>
        </w:rPr>
        <w:t>pro forma</w:t>
      </w:r>
      <w:r>
        <w:rPr>
          <w:rFonts w:ascii="Times New Roman" w:hAnsi="Times New Roman"/>
          <w:sz w:val="20"/>
        </w:rPr>
        <w:t xml:space="preserve"> financial information included in this proxy statement/prospectus is presented for informational purposes only and is not necessarily indicative of the financial position or results of operations that would have actually occurred had the Business Combination been completed at or as of the dates indicated, nor is it indicative of the future operating results or financial position of the Company. The </w:t>
      </w:r>
      <w:r>
        <w:rPr>
          <w:rFonts w:ascii="Times New Roman" w:hAnsi="Times New Roman"/>
          <w:i/>
          <w:sz w:val="20"/>
        </w:rPr>
        <w:t>pro forma</w:t>
      </w:r>
      <w:r>
        <w:rPr>
          <w:rFonts w:ascii="Times New Roman" w:hAnsi="Times New Roman"/>
          <w:sz w:val="20"/>
        </w:rPr>
        <w:t xml:space="preserve"> statement of operations does not reflect future nonrecurring charges resulting from the Business Combination. The unaudited </w:t>
      </w:r>
      <w:r>
        <w:rPr>
          <w:rFonts w:ascii="Times New Roman" w:hAnsi="Times New Roman"/>
          <w:i/>
          <w:sz w:val="20"/>
        </w:rPr>
        <w:t>pro forma</w:t>
      </w:r>
      <w:r>
        <w:rPr>
          <w:rFonts w:ascii="Times New Roman" w:hAnsi="Times New Roman"/>
          <w:sz w:val="20"/>
        </w:rPr>
        <w:t xml:space="preserve"> financial information does not reflect future events that may occur after the Business Combination and does not consider potential impacts of future market conditions on revenues or expenses. The </w:t>
      </w:r>
      <w:r>
        <w:rPr>
          <w:rFonts w:ascii="Times New Roman" w:hAnsi="Times New Roman"/>
          <w:i/>
          <w:sz w:val="20"/>
        </w:rPr>
        <w:t>pro forma</w:t>
      </w:r>
      <w:r>
        <w:rPr>
          <w:rFonts w:ascii="Times New Roman" w:hAnsi="Times New Roman"/>
          <w:sz w:val="20"/>
        </w:rPr>
        <w:t xml:space="preserve"> financial information included in the section entitled </w:t>
      </w:r>
      <w:r>
        <w:rPr>
          <w:rFonts w:ascii="Times New Roman" w:hAnsi="Times New Roman"/>
          <w:i/>
          <w:sz w:val="20"/>
        </w:rPr>
        <w:t>Unaudited Pro Forma Condensed Combined Financial Information</w:t>
      </w:r>
      <w:r>
        <w:rPr>
          <w:rFonts w:ascii="Times New Roman" w:hAnsi="Times New Roman"/>
          <w:sz w:val="20"/>
        </w:rPr>
        <w:t xml:space="preserve"> beginning on page 210 of this proxy statement/prospectus has been derived from VIHs and Bakkts historical financial statements and certain adjustments and assumptions have been made regarding the Company after giving effect to the Business Combination. There may be differences between preliminary estimates in the </w:t>
      </w:r>
      <w:r>
        <w:rPr>
          <w:rFonts w:ascii="Times New Roman" w:hAnsi="Times New Roman"/>
          <w:i/>
          <w:sz w:val="20"/>
        </w:rPr>
        <w:t>pro forma</w:t>
      </w:r>
      <w:r>
        <w:rPr>
          <w:rFonts w:ascii="Times New Roman" w:hAnsi="Times New Roman"/>
          <w:sz w:val="20"/>
        </w:rPr>
        <w:t xml:space="preserve"> financial information and the final acquisition accounting, which could result in material differences from the </w:t>
      </w:r>
      <w:r>
        <w:rPr>
          <w:rFonts w:ascii="Times New Roman" w:hAnsi="Times New Roman"/>
          <w:i/>
          <w:sz w:val="20"/>
        </w:rPr>
        <w:t>pro forma</w:t>
      </w:r>
      <w:r>
        <w:rPr>
          <w:rFonts w:ascii="Times New Roman" w:hAnsi="Times New Roman"/>
          <w:sz w:val="20"/>
        </w:rPr>
        <w:t xml:space="preserve"> information presented in this proxy statement/prospectus in respect of the estimated financial position and results of operations of the Company. </w:t>
      </w:r>
    </w:p>
    <w:p>
      <w:pPr>
        <w:pStyle w:val="TextBody"/>
        <w:spacing w:before="240" w:after="0"/>
        <w:jc w:val="left"/>
        <w:rPr>
          <w:rFonts w:ascii="Times New Roman" w:hAnsi="Times New Roman"/>
          <w:sz w:val="20"/>
        </w:rPr>
      </w:pPr>
      <w:r>
        <w:rPr>
          <w:rFonts w:ascii="Times New Roman" w:hAnsi="Times New Roman"/>
          <w:sz w:val="20"/>
        </w:rPr>
        <w:t xml:space="preserve">In addition, the assumptions used in preparing the </w:t>
      </w:r>
      <w:r>
        <w:rPr>
          <w:rFonts w:ascii="Times New Roman" w:hAnsi="Times New Roman"/>
          <w:i/>
          <w:sz w:val="20"/>
        </w:rPr>
        <w:t>pro forma</w:t>
      </w:r>
      <w:r>
        <w:rPr>
          <w:rFonts w:ascii="Times New Roman" w:hAnsi="Times New Roman"/>
          <w:sz w:val="20"/>
        </w:rPr>
        <w:t xml:space="preserve"> financial information may not prove to be accurate and other factors may affect the Companys financial condition or results of operations following the Closing. Any potential decline in the Companys financial condition or results of operations may cause significant variations in the stock price of the Company. </w:t>
      </w:r>
    </w:p>
    <w:p>
      <w:pPr>
        <w:pStyle w:val="TextBody"/>
        <w:spacing w:before="360" w:after="0"/>
        <w:jc w:val="left"/>
        <w:rPr>
          <w:rFonts w:ascii="Times New Roman" w:hAnsi="Times New Roman"/>
          <w:b/>
          <w:i/>
          <w:sz w:val="20"/>
        </w:rPr>
      </w:pPr>
      <w:r>
        <w:rPr>
          <w:rFonts w:ascii="Times New Roman" w:hAnsi="Times New Roman"/>
          <w:b/>
          <w:i/>
          <w:sz w:val="20"/>
        </w:rPr>
        <w:t xml:space="preserve">During the pendency of the Business Combination, VIH will not be able to enter into a business combination with another party because of restrictions in the Merger Agreement. Furthermore, certain provisions of the Merger Agreement will discourage third parties from submitting alternative takeover proposals, including proposals that may be superior to the arrangements contemplated by the Merger Agreement. </w:t>
      </w:r>
    </w:p>
    <w:p>
      <w:pPr>
        <w:pStyle w:val="TextBody"/>
        <w:spacing w:before="120" w:after="0"/>
        <w:jc w:val="left"/>
        <w:rPr>
          <w:rFonts w:ascii="Times New Roman" w:hAnsi="Times New Roman"/>
          <w:sz w:val="20"/>
        </w:rPr>
      </w:pPr>
      <w:r>
        <w:rPr>
          <w:rFonts w:ascii="Times New Roman" w:hAnsi="Times New Roman"/>
          <w:sz w:val="20"/>
        </w:rPr>
        <w:t xml:space="preserve">Covenants in the Merger Agreement impede the ability of VIH to make acquisitions or complete other transactions that are not in the ordinary course of business pending completion of the Proposed Transaction. As a result, VIH may be at a disadvantage to its competitors during that period. In addition, while the Merger Agreement is in effect, VIH may not solicit, assist, facilitate the making, submission or announcement of, or intentionally encourage any alternative transaction proposal, such as a merger, material sale of assets or equity interests or other business combination, with any third party, even though any such alternative acquisition could be more favorable to VIHs shareholders than the Business Combination. In addition, if the Business Combination is not completed, these provisions will make it more difficult to complete an alternative business combination following the termination of the Merger Agreement due to the passage of time during which these provisions have remained in effect. </w:t>
      </w:r>
    </w:p>
    <w:p>
      <w:pPr>
        <w:pStyle w:val="TextBody"/>
        <w:spacing w:before="360" w:after="0"/>
        <w:jc w:val="left"/>
        <w:rPr>
          <w:rFonts w:ascii="Times New Roman" w:hAnsi="Times New Roman"/>
          <w:b/>
          <w:i/>
          <w:sz w:val="20"/>
        </w:rPr>
      </w:pPr>
      <w:r>
        <w:rPr>
          <w:rFonts w:ascii="Times New Roman" w:hAnsi="Times New Roman"/>
          <w:b/>
          <w:i/>
          <w:sz w:val="20"/>
        </w:rPr>
        <w:t xml:space="preserve">The exercise of VIHs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VIHs shareholders best interests. </w:t>
      </w:r>
    </w:p>
    <w:p>
      <w:pPr>
        <w:pStyle w:val="TextBody"/>
        <w:spacing w:before="120" w:after="0"/>
        <w:jc w:val="left"/>
        <w:rPr>
          <w:rFonts w:ascii="Times New Roman" w:hAnsi="Times New Roman"/>
          <w:sz w:val="20"/>
        </w:rPr>
      </w:pPr>
      <w:r>
        <w:rPr>
          <w:rFonts w:ascii="Times New Roman" w:hAnsi="Times New Roman"/>
          <w:sz w:val="20"/>
        </w:rPr>
        <w:t xml:space="preserve">In the period leading up to the Closing, events may occur that, pursuant to the Merger Agreement, would require VIH to agree to amend the Merger Agreement, to consent to certain actions taken by Bakkt or to waive rights that VIH is entitled to under the Merger Agreement. Such events could arise because of changes in the course of Bakkts businesses or a request by Bakkt to undertake actions that would otherwise be prohibited by the terms of the Merger Agreement. In any of such circumstances, it would be at VIHs discretion, acting through the VIH Board, to grant its consent or waive those rights. The existence of financial and personal interests of one or more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directors described in the preceding risk factors (and described elsewhere in this proxy statement/prospectus) may result in a conflict of interest on the part of such director(s) between what he, she or they may believe is best for VIH and its shareholders and what he, she or they may believe is best for himself, herself or themselves in determining whether or not to take the requested action. As of the date of this proxy statement/prospectus, VIH does not believe there will be any changes or waivers that VIHs directors and executive officers would be likely to make after shareholder approval of the Business Combination Proposal has been obtained. While certain changes could be made without further shareholder approval, VIH will circulate a new or amended proxy statement/prospectus and resolicit VIHs shareholders if changes to the terms of the transaction that would have a material impact on its shareholders are required prior to the vote on the Business Combination Proposal. </w:t>
      </w:r>
    </w:p>
    <w:p>
      <w:pPr>
        <w:pStyle w:val="TextBody"/>
        <w:spacing w:before="360" w:after="0"/>
        <w:jc w:val="left"/>
        <w:rPr>
          <w:rFonts w:ascii="Times New Roman" w:hAnsi="Times New Roman"/>
          <w:b/>
          <w:i/>
          <w:sz w:val="20"/>
        </w:rPr>
      </w:pPr>
      <w:r>
        <w:rPr>
          <w:rFonts w:ascii="Times New Roman" w:hAnsi="Times New Roman"/>
          <w:b/>
          <w:i/>
          <w:sz w:val="20"/>
        </w:rPr>
        <w:t xml:space="preserve">VIH and Bakkt will incur significant transaction and transition costs in connection with the Business Combination. </w:t>
      </w:r>
    </w:p>
    <w:p>
      <w:pPr>
        <w:pStyle w:val="TextBody"/>
        <w:spacing w:before="120" w:after="0"/>
        <w:jc w:val="left"/>
        <w:rPr>
          <w:rFonts w:ascii="Times New Roman" w:hAnsi="Times New Roman"/>
          <w:sz w:val="20"/>
        </w:rPr>
      </w:pPr>
      <w:r>
        <w:rPr>
          <w:rFonts w:ascii="Times New Roman" w:hAnsi="Times New Roman"/>
          <w:sz w:val="20"/>
        </w:rPr>
        <w:t xml:space="preserve">VIH and Bakkt have both incurred and expect to incur significant, nonrecurring costs in connection with consummating the Business Combination and operating as a public company following the consummation of the Business Combination. VIH and Bakkt may also incur additional costs to retain key employees. Certain transaction expenses incurred in connection with the Business Combination, including all legal, accounting, consulting, investment banking and other fees, expenses and costs, will be paid by VIH following the Closing. </w:t>
      </w:r>
    </w:p>
    <w:p>
      <w:pPr>
        <w:pStyle w:val="TextBody"/>
        <w:spacing w:before="360" w:after="0"/>
        <w:jc w:val="left"/>
        <w:rPr>
          <w:rFonts w:ascii="Times New Roman" w:hAnsi="Times New Roman"/>
          <w:b/>
          <w:i/>
          <w:sz w:val="20"/>
        </w:rPr>
      </w:pPr>
      <w:r>
        <w:rPr>
          <w:rFonts w:ascii="Times New Roman" w:hAnsi="Times New Roman"/>
          <w:b/>
          <w:i/>
          <w:sz w:val="20"/>
        </w:rPr>
        <w:t xml:space="preserve">If the conditions to the Merger Agreement are not met, the Business Combination may not occur. </w:t>
      </w:r>
    </w:p>
    <w:p>
      <w:pPr>
        <w:pStyle w:val="TextBody"/>
        <w:spacing w:before="120" w:after="0"/>
        <w:jc w:val="left"/>
        <w:rPr>
          <w:rFonts w:ascii="Times New Roman" w:hAnsi="Times New Roman"/>
          <w:sz w:val="20"/>
        </w:rPr>
      </w:pPr>
      <w:r>
        <w:rPr>
          <w:rFonts w:ascii="Times New Roman" w:hAnsi="Times New Roman"/>
          <w:sz w:val="20"/>
        </w:rPr>
        <w:t>Even if the Merger Agreement is approved by the shareholders and members of VIH and Bakkt, specified conditions must be satisfied or waived before the parties to the Merger Agreement are obligated to complete the Business Combination. For a list of the material closing conditions contained in the Merger Agreement, see the section entitled </w:t>
      </w:r>
      <w:r>
        <w:rPr>
          <w:rFonts w:ascii="Times New Roman" w:hAnsi="Times New Roman"/>
          <w:i/>
          <w:sz w:val="20"/>
        </w:rPr>
        <w:t>The Business Combination ProposalMerger AgreementClosing Conditions</w:t>
      </w:r>
      <w:r>
        <w:rPr>
          <w:rFonts w:ascii="Times New Roman" w:hAnsi="Times New Roman"/>
          <w:sz w:val="20"/>
        </w:rPr>
        <w:t xml:space="preserve"> beginning on page 133 of this proxy statement/prospectus. VIH and Bakkt may not satisfy all of the closing conditions in the Merger Agreement. If the closing conditions are not satisfied or waived, the Business Combination will not occur, or will be delayed pending later satisfaction or waiver, and such delay may cause VIH and Bakkt to each lose some or all of the intended benefits of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Because VIH is incorporated under the laws of the Cayman Islands, in the event the Business Combination is not completed, you may face difficulties in protecting your interests, and your ability to protect your rights through the U.S. federal courts may be limited. </w:t>
      </w:r>
    </w:p>
    <w:p>
      <w:pPr>
        <w:pStyle w:val="TextBody"/>
        <w:spacing w:before="120" w:after="0"/>
        <w:jc w:val="left"/>
        <w:rPr>
          <w:rFonts w:ascii="Times New Roman" w:hAnsi="Times New Roman"/>
          <w:sz w:val="20"/>
        </w:rPr>
      </w:pPr>
      <w:r>
        <w:rPr>
          <w:rFonts w:ascii="Times New Roman" w:hAnsi="Times New Roman"/>
          <w:sz w:val="20"/>
        </w:rPr>
        <w:t xml:space="preserve">Because VIH is currently incorporated under the laws of the Cayman Islands, you may face difficulties in protecting your interests and your ability to protect your rights through the U.S. federal courts may be limited prior to the Domestication. VIH is currently an exempted company under the laws of the Cayman Islands. As a result, it may be difficult for investors to effect service of process within the United States upon VIHs directors or officers, or enforce judgments obtained in the United States courts against VIHs directors or officers. </w:t>
      </w:r>
    </w:p>
    <w:p>
      <w:pPr>
        <w:pStyle w:val="TextBody"/>
        <w:spacing w:before="240" w:after="0"/>
        <w:jc w:val="left"/>
        <w:rPr>
          <w:rFonts w:ascii="Times New Roman" w:hAnsi="Times New Roman"/>
          <w:sz w:val="20"/>
        </w:rPr>
      </w:pPr>
      <w:r>
        <w:rPr>
          <w:rFonts w:ascii="Times New Roman" w:hAnsi="Times New Roman"/>
          <w:sz w:val="20"/>
        </w:rPr>
        <w:t xml:space="preserve">Until the Domestication is effected, VIHs corporate affairs are governed by the Cayman Constitutional Documents, the Companies Act and the common law of the Cayman Islands. The rights of shareholders to take action against the directors, actions by minority shareholders and the fiduciary responsibilities of its directors to VIH under the laws of the Cayman Islands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VIHs shareholders and the fiduciary responsibilities of its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VIH has been advised by its Cayman Islands legal counsel that the courts of the Cayman Islands are unlikely (a) to recognize or enforce against VIH judgments of courts of the United States predicated upon the civil liability provisions of the federal securities laws of the United States or any state; and (b) in original actions brought in the Cayman Islands, to impose liabilities against VIH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spacing w:before="240" w:after="0"/>
        <w:jc w:val="left"/>
        <w:rPr>
          <w:rFonts w:ascii="Times New Roman" w:hAnsi="Times New Roman"/>
          <w:sz w:val="20"/>
        </w:rPr>
      </w:pPr>
      <w:r>
        <w:rPr>
          <w:rFonts w:ascii="Times New Roman" w:hAnsi="Times New Roman"/>
          <w:sz w:val="20"/>
        </w:rPr>
        <w:t xml:space="preserve">The Public Shareholders may have more difficulty in protecting their interests in the face of actions taken by management, members of the VIH Board or controlling shareholders than they would as Public Shareholders of a U.S. company. </w:t>
      </w:r>
    </w:p>
    <w:p>
      <w:pPr>
        <w:pStyle w:val="TextBody"/>
        <w:spacing w:before="360" w:after="0"/>
        <w:jc w:val="left"/>
        <w:rPr>
          <w:rFonts w:ascii="Times New Roman" w:hAnsi="Times New Roman"/>
          <w:b/>
          <w:i/>
          <w:sz w:val="20"/>
        </w:rPr>
      </w:pPr>
      <w:r>
        <w:rPr>
          <w:rFonts w:ascii="Times New Roman" w:hAnsi="Times New Roman"/>
          <w:b/>
          <w:i/>
          <w:sz w:val="20"/>
        </w:rPr>
        <w:t xml:space="preserve">There is a risk that a U.S. Holder may recognize taxable gain with respect to its VIH Shares at the effective time of the Domestication. </w:t>
      </w:r>
    </w:p>
    <w:p>
      <w:pPr>
        <w:pStyle w:val="TextBody"/>
        <w:spacing w:before="120" w:after="0"/>
        <w:jc w:val="left"/>
        <w:rPr>
          <w:rFonts w:ascii="Times New Roman" w:hAnsi="Times New Roman"/>
          <w:sz w:val="20"/>
        </w:rPr>
      </w:pPr>
      <w:r>
        <w:rPr>
          <w:rFonts w:ascii="Times New Roman" w:hAnsi="Times New Roman"/>
          <w:sz w:val="20"/>
        </w:rPr>
        <w:t>VIH intends for the Domestication to qualify as a reorganization within the meaning of Section 368(a)(l)(F) of the Code, i.e., an F Reorganization. If the Domestication fails to qualify as an F Reorganization, a U.S. Holder (as defined in </w:t>
      </w:r>
      <w:r>
        <w:rPr>
          <w:rFonts w:ascii="Times New Roman" w:hAnsi="Times New Roman"/>
          <w:i/>
          <w:sz w:val="20"/>
        </w:rPr>
        <w:t>U.S. Federal Income Tax ConsiderationsU.S. Holders</w:t>
      </w:r>
      <w:r>
        <w:rPr>
          <w:rFonts w:ascii="Times New Roman" w:hAnsi="Times New Roman"/>
          <w:sz w:val="20"/>
        </w:rPr>
        <w:t>) of VIH Class A Ordinary Shares or VIH Warrants generally would recognize gain or loss with respect to its VIH Class A Ordinary Shares or VIH Warrants in an amount equal to the difference, if any, between the fair market value of the corresponding common stock or warrants of Bakkt Pubco received in the Domestication and the U.S. Holders adjusted tax basis in its VIH Class A Ordinary Shares or VIH Warrants surrendered. Because the Domestication will occur prior to the redemption of U.S. Holders that exercise Redemption Rights with respect to VIH Class A Ordinary Shares, U.S. Holders exercising such Redemption Rights will be subject to the potential tax consequences of the Domestication. Additionally, Non-U.S. Holders (as defined in </w:t>
      </w:r>
      <w:r>
        <w:rPr>
          <w:rFonts w:ascii="Times New Roman" w:hAnsi="Times New Roman"/>
          <w:i/>
          <w:sz w:val="20"/>
        </w:rPr>
        <w:t>U.S. Federal Income Tax ConsiderationsNon-U.S. Holders</w:t>
      </w:r>
      <w:r>
        <w:rPr>
          <w:rFonts w:ascii="Times New Roman" w:hAnsi="Times New Roman"/>
          <w:sz w:val="20"/>
        </w:rPr>
        <w:t xml:space="preserve">) may become subject to withholding tax on any amounts treated as dividends paid on Bakkt Pubco common stock after the Domestication. </w:t>
      </w:r>
    </w:p>
    <w:p>
      <w:pPr>
        <w:pStyle w:val="TextBody"/>
        <w:spacing w:before="240" w:after="0"/>
        <w:jc w:val="left"/>
        <w:rPr>
          <w:rFonts w:ascii="Times New Roman" w:hAnsi="Times New Roman"/>
          <w:sz w:val="20"/>
        </w:rPr>
      </w:pPr>
      <w:r>
        <w:rPr>
          <w:rFonts w:ascii="Times New Roman" w:hAnsi="Times New Roman"/>
          <w:sz w:val="20"/>
        </w:rPr>
        <w:t xml:space="preserve">Assuming that the Domestication qualifies as an F Reorganization, subject to the PFIC rules discussed below, U.S. Holders generally will be subject to Section 367(b) of the Code, and, as a result: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U.S. Holder who beneficially owns (directly, indirectly or constructively) 10% or more of the total combined voting power of all classes of VIH stock entitled to vote or 10% or more of the total value of all classes of VIH stock (a </w:t>
            </w:r>
            <w:r>
              <w:rPr>
                <w:rFonts w:ascii="Times New Roman" w:hAnsi="Times New Roman"/>
                <w:b/>
                <w:sz w:val="20"/>
              </w:rPr>
              <w:t>10% U.S. Shareholder</w:t>
            </w:r>
            <w:r>
              <w:rPr>
                <w:rFonts w:ascii="Times New Roman" w:hAnsi="Times New Roman"/>
                <w:sz w:val="20"/>
              </w:rPr>
              <w:t xml:space="preserve">) on the date of the Domestication must include in income as a dividend deemed paid by VIH the all earnings and profits amount attributable to the VIH Class A Ordinary Shares it directly owns within the meaning of Treasury Regulations under Section 367 of the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U.S. Holder whose VIH Class A Ordinary Shares have a fair market value of $50,000 or more and who, on the date of the Domestication, is not a 10% U.S. Shareholder will recognize gain (but not loss) with respect to its VIH Class A Ordinary Shares in the Domestication or, in the alternative, may elect to recognize the all earnings and profits amount attributable to such U.S. Holders VIH Class A Ordinary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U.S. Holder whose VIH Class A Ordinary Shares have a fair market value of less than $50,000 on the date of the Domestication and who, on the date of the Domestication, is not a 10% U.S. Shareholder,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should not be required to recognize any gain or loss or include any part of the all earnings and profits amount in income under Section 367 of the Code in connection with the Domestication. </w:t>
            </w:r>
          </w:p>
        </w:tc>
      </w:tr>
    </w:tbl>
    <w:p>
      <w:pPr>
        <w:pStyle w:val="TextBody"/>
        <w:spacing w:before="240" w:after="0"/>
        <w:jc w:val="left"/>
        <w:rPr>
          <w:rFonts w:ascii="Times New Roman" w:hAnsi="Times New Roman"/>
          <w:sz w:val="20"/>
        </w:rPr>
      </w:pPr>
      <w:r>
        <w:rPr>
          <w:rFonts w:ascii="Times New Roman" w:hAnsi="Times New Roman"/>
          <w:sz w:val="20"/>
        </w:rPr>
        <w:t>Additionally, even if the Domestication qualifies as an F Reorganization, proposed Treasury Regulations promulgated under Section 1291(f) of the Code (which have a retroactive effective date) generally require that a U.S. person who disposes of stock of a PFIC (including for this purpose exchanging VIH Warrants for newly issued Bakkt Pubco Warrants in the Domestication) must recognize gain equal to the excess of the fair market value of such PFIC stock over its adjusted tax basis, notwithstanding any other provision of the Code. VIH believes that it is likely classified as a PFIC for U.S. federal income tax purposes. As a result, these proposed Treasury Regulations, if finalized in their current form, would generally require a U.S. Holder of VIH Class A Ordinary Shares to recognize gain under the PFIC rules on the exchange of VIH Class A Ordinary Shares for Bakkt Pubco Common Stock pursuant to the Domestication unless such U.S. Holder has made certain tax elections with respect to such U.S. Holders VIH Class A Ordinary Shares. In addition, the proposed Treasury Regulations provide coordinating rules with other sections of the Code, including Section 367(b), which affect the manner in which the rules under such other sections apply to transfers of PFIC stock. These proposed Treasury Regulations, if finalized in their current form, would also apply to a U.S. Holder who exchanges VIH Warrants for newly issued Bakkt Pubco Warrants; currently, however, the elections mentioned above do not apply to VIH Warrants (for discussion regarding the unclear application of the PFIC rules to VIH Warrants, see </w:t>
      </w:r>
      <w:r>
        <w:rPr>
          <w:rFonts w:ascii="Times New Roman" w:hAnsi="Times New Roman"/>
          <w:i/>
          <w:sz w:val="20"/>
        </w:rPr>
        <w:t>U.S. Federal Income Tax ConsiderationsU.S. HoldersTax Effects of the Domestication to U.S. HoldersPFIC Considerations</w:t>
      </w:r>
      <w:r>
        <w:rPr>
          <w:rFonts w:ascii="Times New Roman" w:hAnsi="Times New Roman"/>
          <w:sz w:val="20"/>
        </w:rPr>
        <w:t xml:space="preserve">). Any gain recognized from the application of the PFIC rules described above would be taxable income with no corresponding receipt of cash. The tax on any such gain would be imposed at the rate applicable to ordinary income and an interest charge would apply based on complex rules designed to offset the tax deferral to such U.S. Holder on the undistributed earnings, if any, of VIH. It is not possible to determine at this time whether, in what form, and with what effective date, final Treasury Regulations under Section 1291(f) of the Code may be adopted or how any such Treasury Regulations would apply. </w:t>
      </w:r>
    </w:p>
    <w:p>
      <w:pPr>
        <w:pStyle w:val="TextBody"/>
        <w:spacing w:before="360" w:after="0"/>
        <w:jc w:val="left"/>
        <w:rPr>
          <w:rFonts w:ascii="Times New Roman" w:hAnsi="Times New Roman"/>
          <w:b/>
          <w:i/>
          <w:sz w:val="20"/>
        </w:rPr>
      </w:pPr>
      <w:r>
        <w:rPr>
          <w:rFonts w:ascii="Times New Roman" w:hAnsi="Times New Roman"/>
          <w:b/>
          <w:i/>
          <w:sz w:val="20"/>
        </w:rPr>
        <w:t xml:space="preserve">Upon the Closing, the rights of holders of the Bakkt Pubco Common Stock arising under the DGCL will differ from and may be less favorable to the rights of holders of VIH Shares arising under the Companies Act. </w:t>
      </w:r>
    </w:p>
    <w:p>
      <w:pPr>
        <w:pStyle w:val="TextBody"/>
        <w:spacing w:before="120" w:after="0"/>
        <w:jc w:val="left"/>
        <w:rPr>
          <w:rFonts w:ascii="Times New Roman" w:hAnsi="Times New Roman"/>
          <w:sz w:val="20"/>
        </w:rPr>
      </w:pPr>
      <w:r>
        <w:rPr>
          <w:rFonts w:ascii="Times New Roman" w:hAnsi="Times New Roman"/>
          <w:sz w:val="20"/>
        </w:rPr>
        <w:t xml:space="preserve">Upon the Closing, the rights of holders of Bakkt Pubco Common Stock will arise under the DGCL. The DGCL contains provisions that differ in some respects from those in the Companies Act, and, therefore, some rights of holders of Bakkt Pubco Common Stock could differ from the rights that holders of VIH Shares currently possess. For instance, while class actions are generally not available to shareholders under Cayman Islands law, such actions are generally available under Delaware law. This change could increase the likelihood that the Company becomes involved in costly litigation, which could have a material adverse effect on the Company. </w:t>
      </w:r>
    </w:p>
    <w:p>
      <w:pPr>
        <w:pStyle w:val="TextBody"/>
        <w:spacing w:before="240" w:after="0"/>
        <w:jc w:val="left"/>
        <w:rPr>
          <w:rFonts w:ascii="Times New Roman" w:hAnsi="Times New Roman"/>
          <w:sz w:val="20"/>
        </w:rPr>
      </w:pPr>
      <w:r>
        <w:rPr>
          <w:rFonts w:ascii="Times New Roman" w:hAnsi="Times New Roman"/>
          <w:sz w:val="20"/>
        </w:rPr>
        <w:t xml:space="preserve">For a more detailed description of the rights of holders of the Bakkt Pubco Common Stock under the DGCL and how they may differ from the rights of holders of VIH Shares under the Companies Act, please see the section entitled </w:t>
      </w:r>
      <w:r>
        <w:rPr>
          <w:rFonts w:ascii="Times New Roman" w:hAnsi="Times New Roman"/>
          <w:i/>
          <w:sz w:val="20"/>
        </w:rPr>
        <w:t>The Domestication Proposal</w:t>
      </w:r>
      <w:r>
        <w:rPr>
          <w:rFonts w:ascii="Times New Roman" w:hAnsi="Times New Roman"/>
          <w:sz w:val="20"/>
        </w:rPr>
        <w:t></w:t>
      </w:r>
      <w:r>
        <w:rPr>
          <w:rFonts w:ascii="Times New Roman" w:hAnsi="Times New Roman"/>
          <w:i/>
          <w:sz w:val="20"/>
        </w:rPr>
        <w:t xml:space="preserve">Comparison of Shareholder Rights under Applicable Corporate Law Before and After Domestication </w:t>
      </w:r>
      <w:r>
        <w:rPr>
          <w:rFonts w:ascii="Times New Roman" w:hAnsi="Times New Roman"/>
          <w:sz w:val="20"/>
        </w:rPr>
        <w:t xml:space="preserve">beginning on page 164 of this proxy statement/prospectus. </w:t>
      </w:r>
    </w:p>
    <w:p>
      <w:pPr>
        <w:pStyle w:val="TextBody"/>
        <w:spacing w:before="360" w:after="0"/>
        <w:jc w:val="left"/>
        <w:rPr>
          <w:rFonts w:ascii="Times New Roman" w:hAnsi="Times New Roman"/>
          <w:b/>
          <w:i/>
          <w:sz w:val="20"/>
        </w:rPr>
      </w:pPr>
      <w:bookmarkStart w:id="20" w:name="9f"/>
      <w:bookmarkEnd w:id="20"/>
      <w:r>
        <w:rPr>
          <w:rFonts w:ascii="Times New Roman" w:hAnsi="Times New Roman"/>
          <w:b/>
          <w:i/>
          <w:sz w:val="20"/>
        </w:rPr>
        <w:t xml:space="preserve">Delaware law and the Proposed Certificate of Incorporation and Proposed By-Laws will contain certain provisions, including anti-takeover provisions that limit the ability of stockholders to take certain actions and could delay or discourage takeover attempts that stockholders may consider favorable.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and Proposed By-Laws that will be in effect at the Closing differ from the Cayman Constitutional Documents. Among other differences, the Proposed Certificate of Incorporation, and the DGCL, contain provisions that could have the effect of rendering more difficult, delaying, or preventing an acquisition deemed undesirable by the Company Board and therefore depress the trading price of the Bakkt Pubco Class A Common Stock. These provisions could also make it difficult for stockholders to take certain actions, including electing directors who are not nominated by the current members of the Company Board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taking other corporate actions, including effecting changes in management. Among other things, the Proposed Certificate of Incorporation and Proposed By-Laws include provisions regarding: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classified board of directors with three-year staggered terms, which could delay the ability of stockholders to change the membership of a majority of the Company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of the Company Board to issue shares of Bakkt Pubco Preferred Stock, including blank check preferred stock and to determine the price and other terms of those shares, including preferences and voting rights, without stockholder approval, which could be used to significantly dilute the ownership of a hostile acquirer;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limitation of the liability of, and the indemnification of, the Companys directors and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of the Company Board to elect a director to fill a vacancy created by the expansion of the Company Board or the resignation, death or removal of a director, which prevents stockholders from being able to fill vacancies on the Company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directors may only be removed from the Company Board for cause and upon the affirmative vote of the holders of at least 66 2/3% of the total voting power of then outstanding Bakkt Pubco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prohibition on stockholder action by written consent (except for actions by the holders of Bakkt Pubco Class V Common Stock or as required for holders of future series of Bakkt Pubco Preferred Stock), which forces stockholder action to be taken at an annual or special meeting of stockholders and could delay the ability of stockholders to force consideration of a stockholder proposal or to take action, including the removal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a special meeting of stockholders may be called only by the Company Board, the chairman of the Company Board or the Companys chief executive officer, which could delay the ability of stockholders to force consideration of a proposal or to take action, including the removal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controlling the procedures for the conduct and scheduling of the Company Board and stockholder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for the affirmative vote of holders of at least 66 2/3% of the total voting power of all of the then outstanding shares of the voting stock, voting together as a single class, to amend, alter, change or repeal certain provisions in the Proposed Certificate of Incorporation which could preclude stockholders from bringing matters before annual or special meetings of stockholders and delay changes in the Company Board and also may inhibit the ability of an acquirer to effect such amendments to facilitate an unsolicited takeover attempt;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of the Company Board to amend the Proposed By-Laws, which may allow the Company Board to take additional actions to prevent an unsolicited takeover and inhibit the ability of an acquirer to amend the Proposed By-Laws to facilitate an unsolicited takeover attempt;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advance notice procedures with which stockholders of the Company must comply to nominate candidates to the Company Board or to propose matters to be acted upon at a stockholders meeting, which could preclude stockholders from bringing matters before annual or special meetings of stockholders and delay changes in the Company Board and also may discourage or deter a potential acquirer from conducting a solicitation of proxies to elect the acquirers own slate of directors or otherwise attempting to obtain control of Company. </w:t>
            </w:r>
          </w:p>
        </w:tc>
      </w:tr>
    </w:tbl>
    <w:p>
      <w:pPr>
        <w:pStyle w:val="TextBody"/>
        <w:spacing w:before="240" w:after="0"/>
        <w:jc w:val="left"/>
        <w:rPr>
          <w:rFonts w:ascii="Times New Roman" w:hAnsi="Times New Roman"/>
          <w:sz w:val="20"/>
        </w:rPr>
      </w:pPr>
      <w:r>
        <w:rPr>
          <w:rFonts w:ascii="Times New Roman" w:hAnsi="Times New Roman"/>
          <w:sz w:val="20"/>
        </w:rPr>
        <w:t>These provisions, alone or together, could delay or prevent hostile takeovers and changes in control or changes in the Company Board or management. In addition, under the Surviving Company LLC Agreement certain transactions involving Bakkt Pubco, including mergers or other combinations, must be approved by a majority of the holders of Bakkt Opco Common Units (other than Bakkt Pubco). See the section entitled </w:t>
      </w:r>
      <w:r>
        <w:rPr>
          <w:rFonts w:ascii="Times New Roman" w:hAnsi="Times New Roman"/>
          <w:i/>
          <w:sz w:val="20"/>
        </w:rPr>
        <w:t>Related Agreements Surviving Company LLC AgreementTermination Transaction</w:t>
      </w:r>
      <w:r>
        <w:rPr>
          <w:rFonts w:ascii="Times New Roman" w:hAnsi="Times New Roman"/>
          <w:sz w:val="20"/>
        </w:rPr>
        <w:t xml:space="preserve"> beginning on page [143]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as a Delaware corporation, the Company will generally be subject to provisions of Delaware law, including the DGCL. Although the Company will elect not to be governed by Section 203 of the DGCL, certain provisions of the Proposed Certificate of Incorporation will, in a manner substantially similar to Section 203 of the DGCL, prohibit Company stockholders (other than those stockholders who are party to the Stockholders Agreement with the Company and certain of their direct or indirect transferees, and their successors and affiliates) who hold 15% or more of the Companys outstanding capital stock from engaging in certain business combination transactions with the Company for a specified period of time unless certain conditions are met. See the section entitled Description of VIHs and the Companys Securities </w:t>
      </w:r>
      <w:r>
        <w:rPr>
          <w:rFonts w:ascii="Times New Roman" w:hAnsi="Times New Roman"/>
          <w:i/>
          <w:sz w:val="20"/>
        </w:rPr>
        <w:t>Capital Stock of the Company after the Business CombinationAnti-Takeover Effects of the Proposed Certificate of Incorporation, the Proposed By-Laws and Certain Provisions of Delaware LawBusiness Combinations</w:t>
      </w:r>
      <w:r>
        <w:rPr>
          <w:rFonts w:ascii="Times New Roman" w:hAnsi="Times New Roman"/>
          <w:sz w:val="20"/>
        </w:rPr>
        <w:t xml:space="preserve"> beginning on page 246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Any provision of the Proposed Certificate of Incorporation, Proposed By-Laws or Delaware law that has the effect of delaying or preventing a change in control could limit the opportunity for stockholders to receive a premium for their shares of the Companys capital stock and could also affect the price that some investors are willing to pay for Bakkt Pubco Common Stock. </w:t>
      </w:r>
    </w:p>
    <w:p>
      <w:pPr>
        <w:pStyle w:val="TextBody"/>
        <w:spacing w:before="240" w:after="0"/>
        <w:jc w:val="left"/>
        <w:rPr>
          <w:rFonts w:ascii="Times New Roman" w:hAnsi="Times New Roman"/>
          <w:sz w:val="20"/>
        </w:rPr>
      </w:pPr>
      <w:r>
        <w:rPr>
          <w:rFonts w:ascii="Times New Roman" w:hAnsi="Times New Roman"/>
          <w:sz w:val="20"/>
        </w:rPr>
        <w:t xml:space="preserve">The Proposed Certificate of Incorporation is attached as </w:t>
      </w:r>
      <w:r>
        <w:rPr>
          <w:rFonts w:ascii="Times New Roman" w:hAnsi="Times New Roman"/>
          <w:i/>
          <w:sz w:val="20"/>
          <w:u w:val="single"/>
        </w:rPr>
        <w:t>Annex B-1</w:t>
      </w:r>
      <w:r>
        <w:rPr>
          <w:rFonts w:ascii="Times New Roman" w:hAnsi="Times New Roman"/>
          <w:sz w:val="20"/>
        </w:rPr>
        <w:t xml:space="preserve"> to this proxy statement/prospectus and we urge you to read it. </w:t>
      </w:r>
    </w:p>
    <w:p>
      <w:pPr>
        <w:pStyle w:val="TextBody"/>
        <w:spacing w:before="240" w:after="0"/>
        <w:jc w:val="left"/>
        <w:rPr>
          <w:rFonts w:ascii="Times New Roman" w:hAnsi="Times New Roman"/>
          <w:sz w:val="20"/>
        </w:rPr>
      </w:pPr>
      <w:r>
        <w:rPr>
          <w:rFonts w:ascii="Times New Roman" w:hAnsi="Times New Roman"/>
          <w:sz w:val="20"/>
        </w:rPr>
        <w:t xml:space="preserve">In addition, the provisions of the Stockholders Agreement, as described below, provide the stockholders party thereto with certain board rights which could also have the effect of delaying or preventing a change in control. </w:t>
      </w:r>
    </w:p>
    <w:p>
      <w:pPr>
        <w:pStyle w:val="TextBody"/>
        <w:spacing w:before="360" w:after="0"/>
        <w:jc w:val="left"/>
        <w:rPr>
          <w:rFonts w:ascii="Times New Roman" w:hAnsi="Times New Roman"/>
          <w:b/>
          <w:i/>
          <w:sz w:val="20"/>
        </w:rPr>
      </w:pPr>
      <w:r>
        <w:rPr>
          <w:rFonts w:ascii="Times New Roman" w:hAnsi="Times New Roman"/>
          <w:b/>
          <w:i/>
          <w:sz w:val="20"/>
        </w:rPr>
        <w:t xml:space="preserve">The Proposed Certificate of Incorporation will designate a state or federal court located within the State of Delaware as the exclusive forum for substantially all disputes between the Company and its stockholders, which could limit the Companys stockholders ability to choose the judicial forum for disputes with the Company or its directors, officers, or employees.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will provide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its officers or directors arising pursuant to any provision of the DGCL or the Proposed Certificate of Incorporation or Proposed By-Laws or as to which the DGCL confers jurisdiction on the Court of Chancery of the State of Delaware, (d) any action to interpret, apply, enforce or determine the validity of the Proposed Certificate of Incorporation or the Proposed By-Laws or any provision thereof,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w:t>
      </w:r>
    </w:p>
    <w:p>
      <w:pPr>
        <w:pStyle w:val="TextBody"/>
        <w:spacing w:before="240" w:after="0"/>
        <w:jc w:val="left"/>
        <w:rPr>
          <w:rFonts w:ascii="Times New Roman" w:hAnsi="Times New Roman"/>
          <w:sz w:val="20"/>
        </w:rPr>
      </w:pPr>
      <w:r>
        <w:rPr>
          <w:rFonts w:ascii="Times New Roman" w:hAnsi="Times New Roman"/>
          <w:sz w:val="20"/>
        </w:rPr>
        <w:t xml:space="preserve">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Proposed Certificate of Incorporation will also provide that, 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Proposed Certificate of Incorporation will provide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w:t>
      </w:r>
    </w:p>
    <w:p>
      <w:pPr>
        <w:pStyle w:val="TextBody"/>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any of the securities of the Company will be deemed to have notice of and consented to this provision. These exclusive-forum provisions may limit a stockholders ability to bring a claim in a judicial forum of its choosing for disputes with the Company or its directors, officers, or other employees, which may discourage lawsuits against the Company and its directors, officers, and other employees. If a court were to find these exclusive-forum provisions to be inapplicable or unenforceable in an action, the Company may incur additional costs associated with resolving the dispute in other jurisdictions, which could harm its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Following the completion of the Merger, certain significant Company stockholders and Bakkt members whose interests may differ from those of Company public stockholders following the Business Combination will have the ability to significantly influence the Companys business and management. </w:t>
      </w:r>
    </w:p>
    <w:p>
      <w:pPr>
        <w:pStyle w:val="TextBody"/>
        <w:spacing w:before="120" w:after="0"/>
        <w:jc w:val="left"/>
        <w:rPr>
          <w:rFonts w:ascii="Times New Roman" w:hAnsi="Times New Roman"/>
          <w:sz w:val="20"/>
        </w:rPr>
      </w:pPr>
      <w:r>
        <w:rPr>
          <w:rFonts w:ascii="Times New Roman" w:hAnsi="Times New Roman"/>
          <w:sz w:val="20"/>
        </w:rPr>
        <w:t>Pursuant to the Stockholders Agreement that the Company will enter into with the Sponsor and the Bakkt Equity Holders at the Closing, the Sponsor and the Bakkt Equity Holders will agree to designate one director nominated by the Sponsor, who will initially be Gordon Watson, one director nominated by Bakkt Opco, who will be David Clifton, and the remaining three to seven jointly nominated by the Sponsor and Bakkt Opco. The Company Board will be divided into three classes of directors. Class I directors (</w:t>
      </w:r>
      <w:r>
        <w:rPr>
          <w:rFonts w:ascii="Times New Roman" w:hAnsi="Times New Roman"/>
          <w:b/>
          <w:sz w:val="20"/>
        </w:rPr>
        <w:t>Class</w:t>
      </w:r>
      <w:r>
        <w:rPr>
          <w:rFonts w:ascii="Times New Roman" w:hAnsi="Times New Roman"/>
          <w:sz w:val="20"/>
        </w:rPr>
        <w:t> </w:t>
      </w:r>
      <w:r>
        <w:rPr>
          <w:rFonts w:ascii="Times New Roman" w:hAnsi="Times New Roman"/>
          <w:b/>
          <w:sz w:val="20"/>
        </w:rPr>
        <w:t>I Directors</w:t>
      </w:r>
      <w:r>
        <w:rPr>
          <w:rFonts w:ascii="Times New Roman" w:hAnsi="Times New Roman"/>
          <w:sz w:val="20"/>
        </w:rPr>
        <w:t>) will initially serve for a term expiring at the first annual meeting of stockholders following the effectiveness of the Proposed Certificate of Incorporation, Class II directors (</w:t>
      </w:r>
      <w:r>
        <w:rPr>
          <w:rFonts w:ascii="Times New Roman" w:hAnsi="Times New Roman"/>
          <w:b/>
          <w:sz w:val="20"/>
        </w:rPr>
        <w:t>Class</w:t>
      </w:r>
      <w:r>
        <w:rPr>
          <w:rFonts w:ascii="Times New Roman" w:hAnsi="Times New Roman"/>
          <w:sz w:val="20"/>
        </w:rPr>
        <w:t> </w:t>
      </w:r>
      <w:r>
        <w:rPr>
          <w:rFonts w:ascii="Times New Roman" w:hAnsi="Times New Roman"/>
          <w:b/>
          <w:sz w:val="20"/>
        </w:rPr>
        <w:t>II Directors</w:t>
      </w:r>
      <w:r>
        <w:rPr>
          <w:rFonts w:ascii="Times New Roman" w:hAnsi="Times New Roman"/>
          <w:sz w:val="20"/>
        </w:rPr>
        <w:t>) will initially serve for a term expiring at the second annual meeting of stockholders following the effectiveness of the Proposed Certificate of Incorporation and Class III directors (</w:t>
      </w:r>
      <w:r>
        <w:rPr>
          <w:rFonts w:ascii="Times New Roman" w:hAnsi="Times New Roman"/>
          <w:b/>
          <w:sz w:val="20"/>
        </w:rPr>
        <w:t>Class</w:t>
      </w:r>
      <w:r>
        <w:rPr>
          <w:rFonts w:ascii="Times New Roman" w:hAnsi="Times New Roman"/>
          <w:sz w:val="20"/>
        </w:rPr>
        <w:t> </w:t>
      </w:r>
      <w:r>
        <w:rPr>
          <w:rFonts w:ascii="Times New Roman" w:hAnsi="Times New Roman"/>
          <w:b/>
          <w:sz w:val="20"/>
        </w:rPr>
        <w:t>III Directors</w:t>
      </w:r>
      <w:r>
        <w:rPr>
          <w:rFonts w:ascii="Times New Roman" w:hAnsi="Times New Roman"/>
          <w:sz w:val="20"/>
        </w:rPr>
        <w:t xml:space="preserve">) will initially serve for a term expiring at the third annual meeting of stockholders following the effectiveness of the Proposed Certificate of Incorporation. At each succeeding annual meeting, successors to the class of directors whose term expires at that annual meeting shall be elected for a term expiring at the third succeeding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Accordingly, the parties to the Stockholders Agreement will be able to designate all of the members of the post-Closing Company Board. Such stockholders will retain such influence with respect to the Companys management, business plans and policies, including the appointment and removal of its officers. In particular, the parties to the Stockholders Agreement could influence whether acquisitions, dispositions and other change of control transactions are approved. </w:t>
      </w:r>
    </w:p>
    <w:p>
      <w:pPr>
        <w:pStyle w:val="TextBody"/>
        <w:spacing w:before="360" w:after="0"/>
        <w:jc w:val="left"/>
        <w:rPr>
          <w:rFonts w:ascii="Times New Roman" w:hAnsi="Times New Roman"/>
          <w:b/>
          <w:i/>
          <w:sz w:val="20"/>
        </w:rPr>
      </w:pPr>
      <w:r>
        <w:rPr>
          <w:rFonts w:ascii="Times New Roman" w:hAnsi="Times New Roman"/>
          <w:b/>
          <w:i/>
          <w:sz w:val="20"/>
        </w:rPr>
        <w:t xml:space="preserve">Following the completion of the Merger, the Companys principal stockholders and management will exert significant influence over the Company and their interests may conflict with yours in the future. </w:t>
      </w:r>
    </w:p>
    <w:p>
      <w:pPr>
        <w:pStyle w:val="TextBody"/>
        <w:spacing w:before="120" w:after="0"/>
        <w:jc w:val="left"/>
        <w:rPr>
          <w:rFonts w:ascii="Times New Roman" w:hAnsi="Times New Roman"/>
          <w:sz w:val="20"/>
        </w:rPr>
      </w:pPr>
      <w:r>
        <w:rPr>
          <w:rFonts w:ascii="Times New Roman" w:hAnsi="Times New Roman"/>
          <w:sz w:val="20"/>
        </w:rPr>
        <w:t xml:space="preserve">Each Bakkt Pubco Class A Share and each Bakkt Pubco Class V Share initially entitles its holders to one vote on all matters presented to stockholders generally. Accordingly, those owners, if voting in the same manner, will be able to control the election and removal of the directors of the Company and thereby determine corporate and management policies, including potential mergers or acquisitions, payment of dividends, asset sales, amendment of the Proposed Certificate of Incorporation and Proposed By-Laws and other significant corporate transactions of the Company for so long as they retain significant ownership. This concentration of ownership may delay or deter possible changes in control of the Company, which may reduce the value of an investment in the Bakkt Pubco Class A Shares. So long as they continue to own a significant amount of the combined voting power, even if such amount is less than 50%, they will continue to be able to strongly influence or effectively control decisions of the Company. Without limiting the generality of the foregoing statements, ICE will control approximately 65% of Bakkts voting stock. While the Voting Agreement limits ICE to vote only an aggregate of 30% of its voting power, such amount may result in substantial influence in voting matters. The Voting Agreement provides that this limitation on ICEs voting power will terminate at such time as its ownership is less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than a majority of the outstanding voting power, at which time ICE will be entitled to vote all of its voting shares, which may result in an increase in its potential influence and control. </w:t>
      </w:r>
    </w:p>
    <w:p>
      <w:pPr>
        <w:pStyle w:val="TextBody"/>
        <w:spacing w:before="360" w:after="0"/>
        <w:jc w:val="left"/>
        <w:rPr>
          <w:rFonts w:ascii="Times New Roman" w:hAnsi="Times New Roman"/>
          <w:b/>
          <w:i/>
          <w:sz w:val="20"/>
        </w:rPr>
      </w:pPr>
      <w:r>
        <w:rPr>
          <w:rFonts w:ascii="Times New Roman" w:hAnsi="Times New Roman"/>
          <w:b/>
          <w:i/>
          <w:sz w:val="20"/>
        </w:rPr>
        <w:t xml:space="preserve">The Proposed Certificate of Incorporation will not limit the ability of the Sponsor or ICE to compete with us. </w:t>
      </w:r>
    </w:p>
    <w:p>
      <w:pPr>
        <w:pStyle w:val="TextBody"/>
        <w:spacing w:before="120" w:after="0"/>
        <w:jc w:val="left"/>
        <w:rPr>
          <w:rFonts w:ascii="Times New Roman" w:hAnsi="Times New Roman"/>
          <w:sz w:val="20"/>
        </w:rPr>
      </w:pPr>
      <w:r>
        <w:rPr>
          <w:rFonts w:ascii="Times New Roman" w:hAnsi="Times New Roman"/>
          <w:sz w:val="20"/>
        </w:rPr>
        <w:t xml:space="preserve">The Sponsor, ICE and their respective affiliates engage in a broad spectrum of activities, including investments in the financial services and technology industries. In the ordinary course of their business activities, the Sponsor, ICE and their respective affiliates may engage in activities where their interests conflict with the Companys interests or those of its stockholders. The Proposed Certificate of Incorporation will provide that none of the Sponsor, ICE, any of their respective affiliates or any director who is not employed by the Company (including any non-employee director who serves as one of its officers in both his director and officer capacities) or his or her affiliates will have any duty to refrain from engaging, directly or indirectly, in the same business activities or similar business activities or lines of business in which the Company operates. The Sponsor and ICE also may pursue, in their capacities other than as directors of the Company Board, acquisition opportunities that may be complementary to the Companys business, and, as a result, those acquisition opportunities may not be available to the Company. In addition, each of the Sponsor and ICE may have an interest in pursuing acquisitions, divestitures and other transactions that, in its judgment, could enhance its investment, even though such transactions might involve risks to you. </w:t>
      </w:r>
    </w:p>
    <w:p>
      <w:pPr>
        <w:pStyle w:val="TextBody"/>
        <w:spacing w:before="360" w:after="0"/>
        <w:jc w:val="left"/>
        <w:rPr>
          <w:rFonts w:ascii="Times New Roman" w:hAnsi="Times New Roman"/>
          <w:b/>
          <w:i/>
          <w:sz w:val="20"/>
        </w:rPr>
      </w:pPr>
      <w:r>
        <w:rPr>
          <w:rFonts w:ascii="Times New Roman" w:hAnsi="Times New Roman"/>
          <w:b/>
          <w:i/>
          <w:sz w:val="20"/>
        </w:rPr>
        <w:t xml:space="preserve">VIHs officers and directors and/or their affiliates may enter into agreements concerning VIHs securities prior to the extraordinary general meeting, which may have the effect of increasing the likelihood of completion of the Proposed Transaction or decreasing the value of the VIH Shares. </w:t>
      </w:r>
    </w:p>
    <w:p>
      <w:pPr>
        <w:pStyle w:val="TextBody"/>
        <w:spacing w:before="120" w:after="0"/>
        <w:jc w:val="left"/>
        <w:rPr>
          <w:rFonts w:ascii="Times New Roman" w:hAnsi="Times New Roman"/>
          <w:sz w:val="20"/>
        </w:rPr>
      </w:pPr>
      <w:r>
        <w:rPr>
          <w:rFonts w:ascii="Times New Roman" w:hAnsi="Times New Roman"/>
          <w:sz w:val="20"/>
        </w:rPr>
        <w:t xml:space="preserve">At any time prior to the extraordinary general meeting, during a period when they are not then aware of any material non-public information regarding VIH or its securities, VIHs officers and directors and/or their affiliates may enter into a written plan to purchase VIHs securities pursuant to Rule 10b5-1 of the Exchange Act, and may engage in other public market purchases, as well as private purchases, of securities. In addition, at any time prior to the extraordinary general meeting, during a period when they are not then aware of any material non-public information regarding VIH or its securities, VIHs officers and directors and/or their respective affiliates may (a) purchase shares from institutional and other investors who vote, or indicate an intention to vote, against the Business Combination Proposal or the other Shareholder Proposals, (b) execute agreements to purchase such shares from institutional and other investors in the future, and/or (c) enter into transactions with institutional and other investors to provide such persons with incentives to acquire Public Shares or vote their Public Shares in favor of the Business Combination Proposal or the other Shareholder Proposals. Such an agreement may include a contractual acknowledgement that such shareholder, although still the record holder of such shares, is no longer the beneficial owner thereof and therefore agrees not to exercise its Redemption Rights. In the event that VIHs officers and directors or their affiliates purchase shares in privately negotiated transactions from Public Shareholders who have already elected to exercise their Redemption Rights, such selling Public Shareholders would be required to revoke their prior elections to redeem their shares. While the exact nature of any such incentives has not been determined as of the date of this proxy statement/prospectus, they might include, without limitation, arrangements to protect such investors or holders against potential loss in value of their shares, including the granting of put options and the transfer of shares or Private Placement Warrants owned by the Sponsor for nominal value to such investors or holders. </w:t>
      </w:r>
    </w:p>
    <w:p>
      <w:pPr>
        <w:pStyle w:val="TextBody"/>
        <w:spacing w:before="240" w:after="0"/>
        <w:jc w:val="left"/>
        <w:rPr>
          <w:rFonts w:ascii="Times New Roman" w:hAnsi="Times New Roman"/>
          <w:sz w:val="20"/>
        </w:rPr>
      </w:pPr>
      <w:r>
        <w:rPr>
          <w:rFonts w:ascii="Times New Roman" w:hAnsi="Times New Roman"/>
          <w:sz w:val="20"/>
        </w:rPr>
        <w:t xml:space="preserve">The purpose of such share purchases and other transactions by VIHs officers and directors and/or their respective affiliates would be to increase the likelihood of satisfaction of the requirements that (a) the holders of the requisite number of VIH Shares present and voting at the extraordinary general meeting vote in favor of the Business Combination Proposal and the other Shareholder Proposals and/or (b) that VIH will (without regard to any assets or liabilities of the Target Companies) have at least $5,000,001 in net tangible assets immediately prior to the Closing or satisfy the Available Cash Condition after taking into account holders of Public Shares that properly demanded Redemption of their shares into cash, when, in each case, it appears that such requirements would otherwise not be met.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Entering into any such arrangements may have a depressive effect on the VIH Shares. For example, as a result of these arrangements, an investor or holder may have the ability to effectively purchase shares at a price lower than market and may therefore be more likely to sell the shares it owns, either prior to or immediately after the extraordinary general meeting. </w:t>
      </w:r>
    </w:p>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statement/prospectus, except as noted above, VIHs directors and officers and their affiliates have not entered into any such agreements. VIH will file a Current Report on Form 8-K to disclose arrangements entered into or significant purchases made by any of the aforementioned persons that would affect the vote on the Business Combination Proposal or the Redemption threshold. Any such report will include descriptions of any arrangements entered into or significant purchases by any of the aforementioned persons. </w:t>
      </w:r>
    </w:p>
    <w:p>
      <w:pPr>
        <w:pStyle w:val="TextBody"/>
        <w:spacing w:before="360" w:after="0"/>
        <w:jc w:val="left"/>
        <w:rPr>
          <w:rFonts w:ascii="Times New Roman" w:hAnsi="Times New Roman"/>
          <w:b/>
          <w:i/>
          <w:sz w:val="20"/>
        </w:rPr>
      </w:pPr>
      <w:r>
        <w:rPr>
          <w:rFonts w:ascii="Times New Roman" w:hAnsi="Times New Roman"/>
          <w:b/>
          <w:i/>
          <w:sz w:val="20"/>
        </w:rPr>
        <w:t xml:space="preserve">The Companys business and operations could be negatively affected if it becomes subject to any securities litigation or shareholder activism, which could cause the Company to incur significant expense, hinder execution of business and growth strategy and impact its stock price. </w:t>
      </w:r>
    </w:p>
    <w:p>
      <w:pPr>
        <w:pStyle w:val="TextBody"/>
        <w:spacing w:before="12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Bakkt Pubco Class A Common Stock or other reasons may in the future cause it to become the target of securities litigation or shareholder activism. Securities litigation and shareholder activism, including potential proxy contests, could result in substantial costs and divert managements and the Company Boards attention and resources from the Companys business. Additionally, such securities litigation and shareholder activism could give rise to perceived uncertainties as to the Companys future, adversely affect its relationships with service providers and make it more difficult to attract and retain qualified personnel. Also, the Company may be required to incur significant legal fees and other expenses related to any securities litigation and activist shareholder matters. Further, its stock price could be subject to significant fluctuation or otherwise be adversely affected by the events, risks and uncertainties of any securities litigation and shareholder activism. </w:t>
      </w:r>
    </w:p>
    <w:p>
      <w:pPr>
        <w:pStyle w:val="TextBody"/>
        <w:spacing w:before="360" w:after="0"/>
        <w:jc w:val="left"/>
        <w:rPr>
          <w:rFonts w:ascii="Times New Roman" w:hAnsi="Times New Roman"/>
          <w:b/>
          <w:sz w:val="20"/>
        </w:rPr>
      </w:pPr>
      <w:bookmarkStart w:id="21" w:name="4a"/>
      <w:bookmarkEnd w:id="21"/>
      <w:r>
        <w:rPr>
          <w:rFonts w:ascii="Times New Roman" w:hAnsi="Times New Roman"/>
          <w:b/>
          <w:sz w:val="20"/>
        </w:rPr>
        <w:t xml:space="preserve">Risks Related to Bakkts Business </w:t>
      </w:r>
    </w:p>
    <w:p>
      <w:pPr>
        <w:pStyle w:val="TextBody"/>
        <w:spacing w:before="120" w:after="0"/>
        <w:jc w:val="left"/>
        <w:rPr>
          <w:rFonts w:ascii="Times New Roman" w:hAnsi="Times New Roman"/>
          <w:i/>
          <w:sz w:val="20"/>
        </w:rPr>
      </w:pPr>
      <w:r>
        <w:rPr>
          <w:rFonts w:ascii="Times New Roman" w:hAnsi="Times New Roman"/>
          <w:i/>
          <w:sz w:val="20"/>
        </w:rPr>
        <w:t xml:space="preserve">Following the Closing, the Company will be a holding company with no direct operations that relies on dividends, distributions, loans and other payments, advances and transfers of funds from the Target Companies to pay dividends, pay expenses and meet its other obligations. Accordingly, the Companys stockholders and warrant holders will be subject to all of the risks of Bakkts business following the Closing. </w:t>
      </w:r>
    </w:p>
    <w:p>
      <w:pPr>
        <w:pStyle w:val="TextBody"/>
        <w:spacing w:before="240" w:after="0"/>
        <w:jc w:val="left"/>
        <w:rPr>
          <w:rFonts w:ascii="Times New Roman" w:hAnsi="Times New Roman"/>
          <w:i/>
          <w:sz w:val="20"/>
        </w:rPr>
      </w:pPr>
      <w:r>
        <w:rPr>
          <w:rFonts w:ascii="Times New Roman" w:hAnsi="Times New Roman"/>
          <w:i/>
          <w:sz w:val="20"/>
        </w:rPr>
        <w:t xml:space="preserve">Throughout this section, unless otherwise noted, Bakkt refers to Bakkt Holdings, LLC and its consolidated subsidiaries. </w:t>
      </w:r>
    </w:p>
    <w:p>
      <w:pPr>
        <w:pStyle w:val="TextBody"/>
        <w:spacing w:before="360" w:after="0"/>
        <w:jc w:val="left"/>
        <w:rPr>
          <w:rFonts w:ascii="Times New Roman" w:hAnsi="Times New Roman"/>
          <w:b/>
          <w:sz w:val="20"/>
        </w:rPr>
      </w:pPr>
      <w:r>
        <w:rPr>
          <w:rFonts w:ascii="Times New Roman" w:hAnsi="Times New Roman"/>
          <w:b/>
          <w:sz w:val="20"/>
        </w:rPr>
        <w:t xml:space="preserve">Business, Financial and Operational Risks </w:t>
      </w:r>
    </w:p>
    <w:p>
      <w:pPr>
        <w:pStyle w:val="TextBody"/>
        <w:spacing w:before="120" w:after="0"/>
        <w:jc w:val="left"/>
        <w:rPr>
          <w:rFonts w:ascii="Times New Roman" w:hAnsi="Times New Roman"/>
          <w:b/>
          <w:i/>
          <w:sz w:val="20"/>
        </w:rPr>
      </w:pPr>
      <w:r>
        <w:rPr>
          <w:rFonts w:ascii="Times New Roman" w:hAnsi="Times New Roman"/>
          <w:b/>
          <w:i/>
          <w:sz w:val="20"/>
        </w:rPr>
        <w:t xml:space="preserve">Bakkts business model is newly developed, untested and continually evolving and may encounter additional risks and challenges as it grows and changes. </w:t>
      </w:r>
    </w:p>
    <w:p>
      <w:pPr>
        <w:pStyle w:val="TextBody"/>
        <w:spacing w:before="120" w:after="0"/>
        <w:jc w:val="left"/>
        <w:rPr>
          <w:rFonts w:ascii="Times New Roman" w:hAnsi="Times New Roman"/>
          <w:sz w:val="20"/>
        </w:rPr>
      </w:pPr>
      <w:r>
        <w:rPr>
          <w:rFonts w:ascii="Times New Roman" w:hAnsi="Times New Roman"/>
          <w:sz w:val="20"/>
        </w:rPr>
        <w:t xml:space="preserve">Bakkts vision is that its users, which includes consumers, enterprises and financial institutions, will utilize its platform as the go-to solution for buying, selling, converting, spending and sending multiple types of digital assets. Bakkts business model assumes that there will be multiple synergies and benefits to users arising out of a single platform to buy, sell, convert, spend and send digital assets that have traditionally been usable only via individual solutions. Most of the digital assets that Bakkt intends to incorporate into its platform are already being handled by incumbent providers, as well as other competitors who have established payment programs. To be successful, Bakkts platform must be able to lure users away from the existing solutions and platforms, and failure to achieve acceptance would impede Bakkts ability to develop and sustain a commercial business. There can be no assurance that Bakkts platform will gain the acceptance of users, consumers or other market participants. Because some of the digital assets that are anticipated to be available on the platform have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previously been available for these types of usage, it is difficult to predict the preferences and requirements of users, consumers or other market participants, and Bakkts platform, design and technology may not appeal to such users or others market participants, or be incompatible with new or emerging forms of digital assets or related technologies. Failure to achieve acceptance would impede Bakkts ability to develop and sustain a commercial business. </w:t>
      </w:r>
    </w:p>
    <w:p>
      <w:pPr>
        <w:pStyle w:val="TextBody"/>
        <w:spacing w:before="240" w:after="0"/>
        <w:jc w:val="left"/>
        <w:rPr>
          <w:rFonts w:ascii="Times New Roman" w:hAnsi="Times New Roman"/>
          <w:sz w:val="20"/>
        </w:rPr>
      </w:pPr>
      <w:r>
        <w:rPr>
          <w:rFonts w:ascii="Times New Roman" w:hAnsi="Times New Roman"/>
          <w:sz w:val="20"/>
        </w:rPr>
        <w:t xml:space="preserve">Bakkt primarily generates revenue when its users buy, sell, convert, spend and send digital assets through its platform and its success depends in part on transaction volume from consumers. Although Bakkt has some recurring revenue, its future revenue will be heavily dependent on transaction fees earned from users from buying, selling, conversion and spending, and the margin it charges in connection with consumer purchase and sale of cryptoassets, unless and until it develops more recurring revenue opportunities for its platform. If Bakkt is not able to continue to grow its base of active users, Bakkt will not be able to continue to grow its revenues or its business, which would negatively impact Bakkts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The attractiveness of Bakkts platform to users depends upon,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and variety of digital assets that users may buy, sell, convert, spend and send through Bakkts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brand and reputation, as well as users experience and satisfaction with and trust and perception of, Bakkts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technological innovation;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services and products offered by competitors. </w:t>
            </w:r>
          </w:p>
        </w:tc>
      </w:tr>
    </w:tbl>
    <w:p>
      <w:pPr>
        <w:pStyle w:val="TextBody"/>
        <w:spacing w:before="240" w:after="0"/>
        <w:jc w:val="left"/>
        <w:rPr>
          <w:rFonts w:ascii="Times New Roman" w:hAnsi="Times New Roman"/>
          <w:sz w:val="20"/>
        </w:rPr>
      </w:pPr>
      <w:r>
        <w:rPr>
          <w:rFonts w:ascii="Times New Roman" w:hAnsi="Times New Roman"/>
          <w:sz w:val="20"/>
        </w:rPr>
        <w:t xml:space="preserve">Moreover, loyalty partners may choose to modify their rewards programs in a way that makes them less appealing to consumers or terminate their programs entirely, either of which could make Bakkts platform less attractive to consumers. If Bakkt fails retain its existing relationships with, or attract new, loyalty partners, enterprises, and financial institutions, attract new consumers to its platform, or continually expand usage and transaction volume from on its platform, Bakkts business, results of operations, financial condition, and prospects would be materially and adversely affected. </w:t>
      </w:r>
    </w:p>
    <w:p>
      <w:pPr>
        <w:pStyle w:val="TextBody"/>
        <w:spacing w:before="240" w:after="0"/>
        <w:jc w:val="left"/>
        <w:rPr>
          <w:rFonts w:ascii="Times New Roman" w:hAnsi="Times New Roman"/>
          <w:sz w:val="20"/>
        </w:rPr>
      </w:pPr>
      <w:r>
        <w:rPr>
          <w:rFonts w:ascii="Times New Roman" w:hAnsi="Times New Roman"/>
          <w:sz w:val="20"/>
        </w:rPr>
        <w:t xml:space="preserve">Bakkt will have both increased financial and reputational risks if there is a failure to launch one or more features, or if the launch of a new feature is unsuccessful. Also, there can be no assurance that Bakkt will receive support from loyalty partners or enterprises to launch features as planned or that Bakkt will operate as anticipated. Bakkt may also require regulatory approvals, additional licenses and/or consultation with regulators to add, modify or discontinue certain aspects of its business model, which could lead to delays or other complexities in effectuating such changes and have a materially adverse effect on its business and plan of operations. Furthermore, Bakkts business model entails numerous risks, including risks relating to Bakkts ability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manage the complexity of its business model to stay current with the industry and new technologies;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successfully enter new categories, markets and jurisdictions in which it may have limited or no prior experience;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integrate into multiple distributed ledger technologies as they currently exist and as they evolve;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successfully develop and integrate products, systems and personnel into its business operations;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obtain and maintain required licenses and regulatory approvals for its business. </w:t>
            </w:r>
          </w:p>
        </w:tc>
      </w:tr>
    </w:tbl>
    <w:p>
      <w:pPr>
        <w:pStyle w:val="TextBody"/>
        <w:spacing w:before="360" w:after="0"/>
        <w:jc w:val="left"/>
        <w:rPr>
          <w:rFonts w:ascii="Times New Roman" w:hAnsi="Times New Roman"/>
          <w:b/>
          <w:i/>
          <w:sz w:val="20"/>
        </w:rPr>
      </w:pPr>
      <w:r>
        <w:rPr>
          <w:rFonts w:ascii="Times New Roman" w:hAnsi="Times New Roman"/>
          <w:b/>
          <w:i/>
          <w:sz w:val="20"/>
        </w:rPr>
        <w:t xml:space="preserve">Bakkts platform is still under development and is largely untested. Any failure by Bakkt to successfully execute on the development of its platform would have an adverse effect on its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Bakkt is in the process of developing an integrated platform consisting of a loyalty redemption platform, a digital asset marketplace and an alternative payment method. The first manifestation of this integrated platform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Bakkts consumer app, that allows to buy, sell, convert, spend and send digital assets, which include cryptoassets, digital cash, gift cards, loyalty and rewards points, and in the future, upon necessary regulatory approval, securities in electronic form and in-game assets. Bakkts platform is still under development and largely untested on a commercial scale. Bakkts consumer app was made generally available to the public in March 2021. Additional features planned for the consumer app are still under development. Any failure by Bakkt to execute on the development of its platform may have a material adverse effect on its business, financial condition and results of operations. There can be no assurance that Bakkts platform and app and their planned functionality will be successfully developed. Bakkts platform will require significant additional development in order to add all of the additional functionality and features planned by Bakkts management and discussed in this proxy statement/prospectus. There can be no assurance that the additional functionality and features currently planned for Bakkts platform will be successfully developed, including those intended to be included in Bakkts consumer app, in a timely fashion or at all. Any problems that Bakkt encounters with the operation of its platform, including technical, legal and regulatory problems, could have a material adverse effect on its business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If Bakkt is unable to add additional functionalities and digital assets to its platform, Bakkts prospects for future growth may be adversely affected. </w:t>
      </w:r>
    </w:p>
    <w:p>
      <w:pPr>
        <w:pStyle w:val="TextBody"/>
        <w:spacing w:before="120" w:after="0"/>
        <w:jc w:val="left"/>
        <w:rPr>
          <w:rFonts w:ascii="Times New Roman" w:hAnsi="Times New Roman"/>
          <w:sz w:val="20"/>
        </w:rPr>
      </w:pPr>
      <w:r>
        <w:rPr>
          <w:rFonts w:ascii="Times New Roman" w:hAnsi="Times New Roman"/>
          <w:sz w:val="20"/>
        </w:rPr>
        <w:t xml:space="preserve">Bakkts platform initially will reflect a subset of the planned functionalities and digital assets and a limited number of enterprise and loyalty partners and financial institutions. Bakkts ability to attract and retain users to its platform, and therefore increase revenues, depends on Bakkts ability to successfully expand the platforms functionalities and digital assets over time. Accordingly, Bakkt intends to add enterprise and additional loyalty partners, financial institutions, and digital assets, including additional cryptoassets and equity securities, in the future, but Bakkts management has not yet determined either the order that additional partners and digital assets will be included or the timing of any of such additions. Any substantial delay in the inclusion of additional partners and digital assets may have an adverse effect Bakkts business, financial condition and results of operations. Bakkt will have both increased financial and reputational risks if there is a failure to launch one or more functionalities, or if the launch of a new functionality or digital asset is unsuccessful. Also, there can be no assurance that Bakkt will receive the necessary regulatory approvals or support from partners to launch features as planned or that Bakkt will operate as anticipated. </w:t>
      </w:r>
    </w:p>
    <w:p>
      <w:pPr>
        <w:pStyle w:val="TextBody"/>
        <w:spacing w:before="240" w:after="0"/>
        <w:jc w:val="left"/>
        <w:rPr>
          <w:rFonts w:ascii="Times New Roman" w:hAnsi="Times New Roman"/>
          <w:sz w:val="20"/>
        </w:rPr>
      </w:pPr>
      <w:r>
        <w:rPr>
          <w:rFonts w:ascii="Times New Roman" w:hAnsi="Times New Roman"/>
          <w:sz w:val="20"/>
        </w:rPr>
        <w:t xml:space="preserve">Bakkts success in any field depends on Bakkts deep understanding of the industry. To penetrate new markets and add new functionalities, Bakkt will need to develop a similar understanding of those new markets and the associated business challenges faced by participants in them. Developing this level of understanding may require substantial investments of time and resources, and Bakkt may not be successful. In addition to the need for substantial resources, regulation could limit Bakkts ability to introduce new platform opportunities. For instance, the equity securities trading and lending industries are highly regulated. Bakkts proposed operations in these fields could take an extended period of time to be approved by regulatory authorities, or may not be approved at all, and, if approved, would require Bakkt to devote additional resources to compliance. Further, as digital assets and distributed ledger technologies evolve, Bakkt may add, modify or discontinue certain aspects of its business model relating to the product mix and service offerings. Future additions and modifications to Bakkts business will increase the complexity of its business and place significant strain on Bakkts management, personnel, operations, systems, technical performance, financial resources and internal financial control and reporting functions. Bakkt cannot offer any assurance that these or any other additions or modifications will be successful or will not result in harm to Bakkts business. If Bakkt fails to penetrate new markets successfully, Bakkts revenue may grow at a slower rate than Bakkt anticipates and Bakkts business, results of operations and financial condition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Bakkt has a limited operating history and a history of operating losses, which makes it difficult to forecast Bakkts future results of operations. Further, Bakkt may not achieve or sustain profitability in the future. </w:t>
      </w:r>
    </w:p>
    <w:p>
      <w:pPr>
        <w:pStyle w:val="TextBody"/>
        <w:spacing w:before="120" w:after="0"/>
        <w:jc w:val="left"/>
        <w:rPr>
          <w:rFonts w:ascii="Times New Roman" w:hAnsi="Times New Roman"/>
          <w:sz w:val="20"/>
        </w:rPr>
      </w:pPr>
      <w:r>
        <w:rPr>
          <w:rFonts w:ascii="Times New Roman" w:hAnsi="Times New Roman"/>
          <w:sz w:val="20"/>
        </w:rPr>
        <w:t xml:space="preserve">Bakkt was founded in 2018 and has experienced net losses in the periods from inception through December 31, 2020. Bakkts revenue was $17,000 and $28.49 million for the fiscal years ended December 31, 2019 and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respectively, and Bakkt generated net losses of zero and $191.000 for the fiscal years ended December 31, 2019 and 2020, respectively. You should not rely on the revenue growth of any prior quarterly or annual period as an indication of Bakkts future performance. As a result of Bakkts limited operating history, Bakkts ability to accurately forecast its future results of operations is limited and subject to a number of uncertainties, including its ability to plan for and model future growth. Bakkts historical revenue was achieved largely as the result of its white labeled product to loyalty partners and does not reflect any revenues from the launch of Bakkts broader platform or Bakkts initial attempt at attracting consumers directly through the launch of its consumer app, and therefore should not be considered indicative of its future performance. </w:t>
      </w:r>
    </w:p>
    <w:p>
      <w:pPr>
        <w:pStyle w:val="TextBody"/>
        <w:spacing w:before="240" w:after="0"/>
        <w:jc w:val="left"/>
        <w:rPr>
          <w:rFonts w:ascii="Times New Roman" w:hAnsi="Times New Roman"/>
          <w:sz w:val="20"/>
        </w:rPr>
      </w:pPr>
      <w:r>
        <w:rPr>
          <w:rFonts w:ascii="Times New Roman" w:hAnsi="Times New Roman"/>
          <w:sz w:val="20"/>
        </w:rPr>
        <w:t xml:space="preserve">Because of its limited operating history and the fact that Bakkts historical revenue was not derived from its currently planned business model, its future revenue growth is difficult to predict. Even if Bakkt experiences strong revenue growth, in future periods its revenue or revenue growth could decline for a number of reasons, including slowing demand for Bakkts platform, increased competition, changes to technology, a decrease in the growth of its overall market, or Bakkts failure, for any reason, to take advantage of growth opportunities. Bakkt has also encountered, and will continue to encounter, risks and uncertainties frequently experienced by growing companies in rapidly changing industries, such as the risks and uncertainties described below. If Bakkts assumptions regarding these risks and uncertainties and its future revenue growth are incorrect or change, or if Bakkt does not address these risks successfully, its operating and financial results could differ materially from its expectations, and Bakkts business could suffer. </w:t>
      </w:r>
    </w:p>
    <w:p>
      <w:pPr>
        <w:pStyle w:val="TextBody"/>
        <w:spacing w:before="240" w:after="0"/>
        <w:jc w:val="left"/>
        <w:rPr>
          <w:rFonts w:ascii="Times New Roman" w:hAnsi="Times New Roman"/>
          <w:sz w:val="20"/>
        </w:rPr>
      </w:pPr>
      <w:r>
        <w:rPr>
          <w:rFonts w:ascii="Times New Roman" w:hAnsi="Times New Roman"/>
          <w:sz w:val="20"/>
        </w:rPr>
        <w:t xml:space="preserve">Bakkt expects its costs and expenses to increase in future periods. In particular, Bakkt intends to continue to invest significant resources to further develop its platform and expand its sales, marketing, and professional services teams. Bakkt will also incur increased general and administrative expenses associated with its growth, including costs related to internal systems and operating as a public company. Bakkts efforts to grow its business may be costlier than it expects, or Bakkts revenue growth rate may be slower than it expects, and Bakkt may not be able to increase its revenue enough to offset the increase in operating expenses resulting from these investments. If Bakkt is unable to achieve the revenue growth that Bakkt expects from these investments, or achieve profitability, it would have an adverse effect on Bakkts business, financial condition and results of operations and the value of Bakkts business and the Bakkt Pubco Class A Common Stock may significantly decrease. </w:t>
      </w:r>
    </w:p>
    <w:p>
      <w:pPr>
        <w:pStyle w:val="TextBody"/>
        <w:spacing w:before="36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proxy statement/prospectus and elsewhere, may prove to be inaccurate, and even if the market in which Bakkt competes in achieves the forecasted growth, Bakkts business could fail to grow at similar rates, if at all. </w:t>
      </w:r>
    </w:p>
    <w:p>
      <w:pPr>
        <w:pStyle w:val="TextBody"/>
        <w:spacing w:before="120" w:after="0"/>
        <w:jc w:val="left"/>
        <w:rPr>
          <w:rFonts w:ascii="Times New Roman" w:hAnsi="Times New Roman"/>
          <w:sz w:val="20"/>
        </w:rPr>
      </w:pPr>
      <w:r>
        <w:rPr>
          <w:rFonts w:ascii="Times New Roman" w:hAnsi="Times New Roman"/>
          <w:sz w:val="20"/>
        </w:rPr>
        <w:t xml:space="preserve">Market opportunity estimates and growth forecasts included in this proxy statement/prospectus and elsewhere, including those Bakkt has generated, are subject to significant uncertainty and are based on assumptions and estimates that may not prove to be accurate. The variables that go into the calculation of Bakkts market opportunity are subject to change over time, and there is no guarantee that any particular number or percentage of addressable users covered by Bakkts market opportunity estimates will participate in its platform or generate any particular level of revenue for Bakkt. Any expansion in Bakkts markets depends on a number of factors, including the cost, performance, and perceived value associated with Bakkts platform and the products of its competitors. Even if the markets in which Bakkt competes achieve the forecasted growth, Bakkts business could fail to grow at similar rates, or at all. </w:t>
      </w:r>
    </w:p>
    <w:p>
      <w:pPr>
        <w:pStyle w:val="TextBody"/>
        <w:spacing w:before="360" w:after="0"/>
        <w:jc w:val="left"/>
        <w:rPr>
          <w:rFonts w:ascii="Times New Roman" w:hAnsi="Times New Roman"/>
          <w:b/>
          <w:i/>
          <w:sz w:val="20"/>
        </w:rPr>
      </w:pPr>
      <w:r>
        <w:rPr>
          <w:rFonts w:ascii="Times New Roman" w:hAnsi="Times New Roman"/>
          <w:b/>
          <w:i/>
          <w:sz w:val="20"/>
        </w:rPr>
        <w:t xml:space="preserve">Substantially all of Bakkts net revenues each quarter come primarily from transactions during that quarter, which may result in significant fluctuations in Bakkts operating results that could adversely affect Bakkts business, financial condition, results of operations, and cash flows and may not fully reflect the underlying performance of its business. </w:t>
      </w:r>
    </w:p>
    <w:p>
      <w:pPr>
        <w:pStyle w:val="TextBody"/>
        <w:spacing w:before="120" w:after="0"/>
        <w:jc w:val="left"/>
        <w:rPr>
          <w:rFonts w:ascii="Times New Roman" w:hAnsi="Times New Roman"/>
          <w:sz w:val="20"/>
        </w:rPr>
      </w:pPr>
      <w:r>
        <w:rPr>
          <w:rFonts w:ascii="Times New Roman" w:hAnsi="Times New Roman"/>
          <w:sz w:val="20"/>
        </w:rPr>
        <w:t xml:space="preserve">Although Bakkt anticipates some level of recurring revenue and intends to develop other products and services that provide recurring revenue, Bakkts quarterly results, including revenue, expenses, consumer metrics, and other key metrics, will be derived from transactions during that quarter. Accordingly, Bakkts quarterly results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are likely to fluctuate significantly. It is difficult for Bakkt to forecast accurately the level or source of its revenues or earnings, and the results for any one quarter are not necessarily an indication of future performance. Bakkts quarterly results are likely to fluctuate due to a variety of factors, some of which are outside of Bakkts control. Due to the inherent difficulty in forecasting revenues, it is also difficult to forecast expenses. Quarterly and annual expenses reflected in Bakkts financial statements may be significantly different from historical or projected rates. Fluctuations in quarterly results may adversely affect the price of the Bakkt Pubco Class A Common Stock. In addition, many of the factors that affect Bakkts quarterly results are difficult for Bakkt to predict. If Bakkts revenue, expenses, or key metrics in future quarters fall short of the expectations of the Companys investors and financial analysts, the price of the Bakkt Pubco Class A Common Stock will be adversely affected. </w:t>
      </w:r>
    </w:p>
    <w:p>
      <w:pPr>
        <w:pStyle w:val="TextBody"/>
        <w:spacing w:before="240" w:after="0"/>
        <w:jc w:val="left"/>
        <w:rPr>
          <w:rFonts w:ascii="Times New Roman" w:hAnsi="Times New Roman"/>
          <w:sz w:val="20"/>
        </w:rPr>
      </w:pPr>
      <w:r>
        <w:rPr>
          <w:rFonts w:ascii="Times New Roman" w:hAnsi="Times New Roman"/>
          <w:sz w:val="20"/>
        </w:rPr>
        <w:t xml:space="preserve">Other factors that may cause fluctuations in its quarterly results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ability to retain and attract new users;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 volume and mix;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rates of repeat transaction and fluctuations in usage of Bakkts platform, including seasonality;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and timing of Bakkts expenses related to acquiring users, and the maintenance and expansion of its business, operations, and infrastructure;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to Bakkts relationships with its enterprise and loyalty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industry, and market conditions, including the COVID-19 pandemic;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emphasis on user experience instead of near-term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competitive dynamics in the industry in which Bakkt operates;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and timing of stock-based compensation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network outages, cyber-attacks, or other actual or perceived security breaches or data privacy violations;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laws and regulations that impact Bakkts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 of and potential outcomes of potential claims or litigation;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timing of expenses related to the development or acquisition of technologies or businesses and potential future charges for impairment of goodwill from acquired technologies or businesses.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Sales efforts to large enterprise and loyalty partners involve risks that may not be present or that are present to a lesser extent with respect to sales to smaller organizations. If Bakkt is unable to attract additional enterprise or loyalty partners and retain and grow its relationships with its existing enterprise or loyalty partners, Bakkts business, results of operations, financial condition, and future prospects would be materially and adversely affected. </w:t>
      </w:r>
    </w:p>
    <w:p>
      <w:pPr>
        <w:pStyle w:val="TextBody"/>
        <w:spacing w:before="120" w:after="0"/>
        <w:jc w:val="left"/>
        <w:rPr>
          <w:rFonts w:ascii="Times New Roman" w:hAnsi="Times New Roman"/>
          <w:sz w:val="20"/>
        </w:rPr>
      </w:pPr>
      <w:r>
        <w:rPr>
          <w:rFonts w:ascii="Times New Roman" w:hAnsi="Times New Roman"/>
          <w:sz w:val="20"/>
        </w:rPr>
        <w:t xml:space="preserve">For Bakkts platform to be successful, Bakkt must continue its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Bakkts ability to retain and grow its relationships with its enterprise and loyalty partners depends on the willingness of enterprise and loyalty partners to establish a commercial relationship with Bakkt. Moreover, Bakkts growth plan includes significant marketing expense to incentivize large organizations with whom Bakkt develops partnerships to market Bakkts consumer app and platform to their customers, which Bakkt expects would accelerate consumer adoption of its platform and lower Bakkts overall consumer acquisition cost. If the large enterprise and loyalty partners with whom Bakkt develops partnerships fail to market or do not effectively market the platform to their customers, or consumers fail to adopt the platform through these marketing efforts in such numbers as Bakkt has projected, Bakkt may be required to increase spending on direct to consumer marketing and adoption efforts, Bakkts consumer acquisition costs may increase and Bakkts business, financial condition, and results of operations may be adversely affected.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Bakkts platform prior to making a decision, or may request compensation that may erode Bakkts margins. Several factors influence the length and variability of Bakkts sales cycle, including the need to educate potential partners about the uses and benefits of Bakkts platform, the discretionary nature of purchasing and budget cycles, and the competitive nature of evaluation and purchasing approval processes. In order for Bakkts sales efforts to large organizations to be successful, Bakkt often must be able to engage with senior officers of the organization. As a result, the length of Bakkts sales cycle, from identification of the opportunity to deal closure, may vary significantly for each enterprise and loyalty partner, with sales to large enterprises typically taking longer to complete. If Bakkt fails to effectively manage these risks associated with sales cycles and sales to large enterprise and loyalty partners, Bakkts business, financial condition, and results of operations may be adversely affected. </w:t>
      </w:r>
    </w:p>
    <w:p>
      <w:pPr>
        <w:pStyle w:val="TextBody"/>
        <w:spacing w:before="240" w:after="0"/>
        <w:jc w:val="left"/>
        <w:rPr>
          <w:rFonts w:ascii="Times New Roman" w:hAnsi="Times New Roman"/>
          <w:sz w:val="20"/>
        </w:rPr>
      </w:pPr>
      <w:r>
        <w:rPr>
          <w:rFonts w:ascii="Times New Roman" w:hAnsi="Times New Roman"/>
          <w:sz w:val="20"/>
        </w:rPr>
        <w:t xml:space="preserve">Moreover, even when Bakkt executes an agreement with a large partner, Bakkt is still dependent on such partner to deploy its platform. Large partners often delay deployment for a lengthy period of time after executing an agreement. Even when large enterprise and loyalty partners begin their integration into Bakkts platform and consumer app, they do so on a limited basis but nevertheless demand implementation services, which may include customization and controls that limit the functionality of Bakkts platform, and negotiate pricing discounts, which increases Bakkts upfront investment in the sales effort with no guarantee that sales to these partners will justify Bakkts substantial upfront investment. If a large partner delays deployment for lengthy periods of time, Bakkts consumer and revenue growth may not achieve expectations and Bakkts business, financial condition, and results of operations may be adversely affected. </w:t>
      </w:r>
    </w:p>
    <w:p>
      <w:pPr>
        <w:pStyle w:val="TextBody"/>
        <w:spacing w:before="240" w:after="0"/>
        <w:jc w:val="left"/>
        <w:rPr>
          <w:rFonts w:ascii="Times New Roman" w:hAnsi="Times New Roman"/>
          <w:sz w:val="20"/>
        </w:rPr>
      </w:pPr>
      <w:r>
        <w:rPr>
          <w:rFonts w:ascii="Times New Roman" w:hAnsi="Times New Roman"/>
          <w:sz w:val="20"/>
        </w:rPr>
        <w:t xml:space="preserve">Bakkts agreements with its enterprise and loyalty partners have terms that range from approximately three to five years, and its existing partners can generally terminate these agreements without cause upon 30 to 90 days prior written notice. The termination of one or more of Bakkts agreements with a partner would result in a reduction in transaction volume and revenue and Bakkts business, results of operations, financial condition, and future prospects would be materially and adversely affected. </w:t>
      </w:r>
    </w:p>
    <w:p>
      <w:pPr>
        <w:pStyle w:val="TextBody"/>
        <w:spacing w:before="240" w:after="0"/>
        <w:jc w:val="left"/>
        <w:rPr>
          <w:rFonts w:ascii="Times New Roman" w:hAnsi="Times New Roman"/>
          <w:sz w:val="20"/>
        </w:rPr>
      </w:pPr>
      <w:r>
        <w:rPr>
          <w:rFonts w:ascii="Times New Roman" w:hAnsi="Times New Roman"/>
          <w:sz w:val="20"/>
        </w:rPr>
        <w:t xml:space="preserve">Large enterprise and loyalty partners, including future prospects being pursued by Bakkt, that have been adversely impacted by the ongoing COVID-19 pandemic have slowed all new business integrations, particularly those in the travel and hospitality industries. Their willingness to expend resources to integrate into Bakkts platform or support the consumer app is hampered by the uncertainty resulting from the COVID-19 pandemic. Additionally, existing enterprise and loyalty partners may seek financial relief from obligations to Bakkt, or choose to cancel contracts with Bakkt, as a result of the COVID-19 pandemic. </w:t>
      </w:r>
    </w:p>
    <w:p>
      <w:pPr>
        <w:pStyle w:val="TextBody"/>
        <w:spacing w:before="360" w:after="0"/>
        <w:jc w:val="left"/>
        <w:rPr>
          <w:rFonts w:ascii="Times New Roman" w:hAnsi="Times New Roman"/>
          <w:b/>
          <w:i/>
          <w:sz w:val="20"/>
        </w:rPr>
      </w:pPr>
      <w:bookmarkStart w:id="22" w:name="30f"/>
      <w:bookmarkEnd w:id="22"/>
      <w:r>
        <w:rPr>
          <w:rFonts w:ascii="Times New Roman" w:hAnsi="Times New Roman"/>
          <w:b/>
          <w:i/>
          <w:sz w:val="20"/>
        </w:rPr>
        <w:t xml:space="preserve">Bakkt faces substantial and increasingly intense competition worldwide in the global loyalty, rewards, payment and investment industries. </w:t>
      </w:r>
    </w:p>
    <w:p>
      <w:pPr>
        <w:pStyle w:val="TextBody"/>
        <w:spacing w:before="120" w:after="0"/>
        <w:jc w:val="left"/>
        <w:rPr>
          <w:rFonts w:ascii="Times New Roman" w:hAnsi="Times New Roman"/>
          <w:sz w:val="20"/>
        </w:rPr>
      </w:pPr>
      <w:r>
        <w:rPr>
          <w:rFonts w:ascii="Times New Roman" w:hAnsi="Times New Roman"/>
          <w:sz w:val="20"/>
        </w:rPr>
        <w:t xml:space="preserve">The global loyalty, rewards, payment and investment industries are highly competitive, rapidly changing, highly innovative, and increasingly subject to regulatory scrutiny and oversight. Although Bakkt does not believe that it has any single direct competitor for the full range of products it will provide through its platform, Bakkt competes against a wide range of businesses in the global loyalty, rewards, payment and investment industries generally, including those that are larger than Bakkt, have greater name recognition, longer operating histories, or a dominant or more secure position, or offer other products and services to users that Bakkt does not offer, as well as smaller or younger companies that may be more agile in responding quickly to regulatory and technological changes. Many of the areas in which Bakkt competes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Bakkts business. </w:t>
      </w:r>
    </w:p>
    <w:p>
      <w:pPr>
        <w:pStyle w:val="TextBody"/>
        <w:spacing w:before="240" w:after="0"/>
        <w:jc w:val="left"/>
        <w:rPr>
          <w:rFonts w:ascii="Times New Roman" w:hAnsi="Times New Roman"/>
          <w:sz w:val="20"/>
        </w:rPr>
      </w:pPr>
      <w:r>
        <w:rPr>
          <w:rFonts w:ascii="Times New Roman" w:hAnsi="Times New Roman"/>
          <w:sz w:val="20"/>
        </w:rPr>
        <w:t xml:space="preserve">Bakkt competes primarily on the basis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attract, retain, and engage users on its platform;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demonstrate to enterprise and loyalty partners that they may achieve incremental sales by using and offering Bakkts services to consumers;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strength of Bakkts integrated solution over other potential coalitions of disparate point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consumers confidence in the safety, security, privacy and control of their information on Bakkts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develop products and services across multiple commerce channels, including mobile payments, payments at the retail point of sale, cryptoassets, and loyalty/rewards points;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system reliability, regulatory compliance and data security. </w:t>
            </w:r>
          </w:p>
        </w:tc>
      </w:tr>
    </w:tbl>
    <w:p>
      <w:pPr>
        <w:pStyle w:val="TextBody"/>
        <w:spacing w:before="240" w:after="0"/>
        <w:jc w:val="left"/>
        <w:rPr>
          <w:rFonts w:ascii="Times New Roman" w:hAnsi="Times New Roman"/>
          <w:sz w:val="20"/>
        </w:rPr>
      </w:pPr>
      <w:r>
        <w:rPr>
          <w:rFonts w:ascii="Times New Roman" w:hAnsi="Times New Roman"/>
          <w:sz w:val="20"/>
        </w:rPr>
        <w:t xml:space="preserve">Bakkt partners with many businesses, and considers the ability to continue establishing these partnerships as important to Bakkts business. Competition for relationships with these enterprise and loyalty partners is intense, and there can be no assurance that Bakkt will be able to continue to establish, grow, or maintain these partner relationships. </w:t>
      </w:r>
    </w:p>
    <w:p>
      <w:pPr>
        <w:pStyle w:val="TextBody"/>
        <w:spacing w:before="240" w:after="0"/>
        <w:jc w:val="left"/>
        <w:rPr>
          <w:rFonts w:ascii="Times New Roman" w:hAnsi="Times New Roman"/>
          <w:sz w:val="20"/>
        </w:rPr>
      </w:pPr>
      <w:r>
        <w:rPr>
          <w:rFonts w:ascii="Times New Roman" w:hAnsi="Times New Roman"/>
          <w:sz w:val="20"/>
        </w:rPr>
        <w:t xml:space="preserve">Some of Bakkts current and potential competitors have larger customer bases, broader geographic scope, volume, scale, resources, and market share than Bakkt does,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 </w:t>
      </w:r>
    </w:p>
    <w:p>
      <w:pPr>
        <w:pStyle w:val="TextBody"/>
        <w:spacing w:before="240" w:after="0"/>
        <w:jc w:val="left"/>
        <w:rPr>
          <w:rFonts w:ascii="Times New Roman" w:hAnsi="Times New Roman"/>
          <w:sz w:val="20"/>
        </w:rPr>
      </w:pPr>
      <w:r>
        <w:rPr>
          <w:rFonts w:ascii="Times New Roman" w:hAnsi="Times New Roman"/>
          <w:sz w:val="20"/>
        </w:rPr>
        <w:t xml:space="preserve">If Bakkt is not able to differentiate its products and services from those of its competitors, drive value for its users, or effectively and efficiently align its resources with its goals and objectives, Bakkt may not be able to compete effectively in the market. </w:t>
      </w:r>
    </w:p>
    <w:p>
      <w:pPr>
        <w:pStyle w:val="TextBody"/>
        <w:spacing w:before="360" w:after="0"/>
        <w:jc w:val="left"/>
        <w:rPr>
          <w:rFonts w:ascii="Times New Roman" w:hAnsi="Times New Roman"/>
          <w:b/>
          <w:i/>
          <w:sz w:val="20"/>
        </w:rPr>
      </w:pPr>
      <w:bookmarkStart w:id="23" w:name="31f"/>
      <w:bookmarkEnd w:id="23"/>
      <w:r>
        <w:rPr>
          <w:rFonts w:ascii="Times New Roman" w:hAnsi="Times New Roman"/>
          <w:b/>
          <w:i/>
          <w:sz w:val="20"/>
        </w:rPr>
        <w:t xml:space="preserve">If Bakkt fails to promote, protect, and maintain its brand in a cost-effective manner, Bakkt may lose market share and Bakkts revenue may decrease. </w:t>
      </w:r>
    </w:p>
    <w:p>
      <w:pPr>
        <w:pStyle w:val="TextBody"/>
        <w:spacing w:before="120" w:after="0"/>
        <w:jc w:val="left"/>
        <w:rPr>
          <w:rFonts w:ascii="Times New Roman" w:hAnsi="Times New Roman"/>
          <w:sz w:val="20"/>
        </w:rPr>
      </w:pPr>
      <w:r>
        <w:rPr>
          <w:rFonts w:ascii="Times New Roman" w:hAnsi="Times New Roman"/>
          <w:sz w:val="20"/>
        </w:rPr>
        <w:t xml:space="preserve">Bakkts ability to further develop its business depends on its ability to build a strong and trusted brand. Bakkt is in the process of building its brand, and once achieved, believes that developing, protecting, and maintaining awareness of its brand in a cost-effective manner is critical to attracting new and retaining existing users to its platform. To the extent the Bakkt brand exists today, it is largely visible with respect to financial institutions and institutional investment products and services. Successful promotion of Bakkts brand will entail broadening the brand to consumers and will depend largely on the effectiveness of Bakkts marketing efforts and the experience of users. Bakkts efforts to build its brand have involved significant expense, and Bakkt expects to increase its marketing spend in the near term. These brand promotion activities may not result in increased revenue and, even if they do, any increases may not offset the expenses incurred. Additionally, the successful protection and maintenance of Bakkts brand will depend on its ability to obtain, maintain, protect, and enforce trademark and other intellectual property protection for its brand. If Bakkt fails to successfully promote, protect, and maintain its brand or if Bakkt incurs substantial expenses in an unsuccessful attempt to promote, protect, and maintain its brand, Bakkt may lose its existing users to Bakkts competitors or be unable to attract new users. Any such loss of existing users, or inability to attract new users, would have an adverse effect on Bakkts business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If Bakkt fails to maintain a consistently high level of user satisfaction and trust in its brand, its business, results of operations, financial condition, and future prospects would be materially and adversely affected. </w:t>
      </w:r>
    </w:p>
    <w:p>
      <w:pPr>
        <w:pStyle w:val="TextBody"/>
        <w:spacing w:before="120" w:after="0"/>
        <w:jc w:val="left"/>
        <w:rPr>
          <w:rFonts w:ascii="Times New Roman" w:hAnsi="Times New Roman"/>
          <w:sz w:val="20"/>
        </w:rPr>
      </w:pPr>
      <w:r>
        <w:rPr>
          <w:rFonts w:ascii="Times New Roman" w:hAnsi="Times New Roman"/>
          <w:sz w:val="20"/>
        </w:rPr>
        <w:t xml:space="preserve">If consumers do not trust Bakkts brand or have a positive experience, they will not use Bakkts platform. If enterprise and loyalty partners and financial institutions do not participate in Bakkts platform or consumer app, the platform and app cannot attract or retain consumers, and vice versa. As a result, Bakkt has invested heavily in both technology and its support team. If Bakkt is unable to maintain a consistently high level of positive user,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Bakkt will lose existing users and consumers. In addition, Bakkts ability to attract new users is highly dependent on its reputation and on positive recommendations from its existing users. Any failure to maintain a consistently high level of service, or a market perception that Bakkt does not maintain high-quality service, would adversely affect Bakkts reputation and the number of positive referrals that Bakkt receives. As a result, Bakkts business, results of operations, financial condition, and future prospects would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Bakkt relies on ICE in several aspects of its business, which creates additional risk. </w:t>
      </w:r>
    </w:p>
    <w:p>
      <w:pPr>
        <w:pStyle w:val="TextBody"/>
        <w:spacing w:before="120" w:after="0"/>
        <w:jc w:val="left"/>
        <w:rPr>
          <w:rFonts w:ascii="Times New Roman" w:hAnsi="Times New Roman"/>
          <w:sz w:val="20"/>
        </w:rPr>
      </w:pPr>
      <w:r>
        <w:rPr>
          <w:rFonts w:ascii="Times New Roman" w:hAnsi="Times New Roman"/>
          <w:sz w:val="20"/>
        </w:rPr>
        <w:t xml:space="preserve">Bakkt relies on ICE, its majority investor, in several aspects of its business,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ICE provides Bakkt market credibility and regulatory and industry expertise and infrastructure support;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ICE provides critical infrastructure for the custody of cryptoassets by Bakkt;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ICE provides institutional-grade services to support Bakkts custody arrangements that leverages ICEs robust platform of security protocols. </w:t>
            </w:r>
          </w:p>
        </w:tc>
      </w:tr>
    </w:tbl>
    <w:p>
      <w:pPr>
        <w:pStyle w:val="TextBody"/>
        <w:spacing w:before="240" w:after="0"/>
        <w:jc w:val="left"/>
        <w:rPr>
          <w:rFonts w:ascii="Times New Roman" w:hAnsi="Times New Roman"/>
          <w:sz w:val="20"/>
        </w:rPr>
      </w:pPr>
      <w:r>
        <w:rPr>
          <w:rFonts w:ascii="Times New Roman" w:hAnsi="Times New Roman"/>
          <w:sz w:val="20"/>
        </w:rPr>
        <w:t xml:space="preserve">Because Bakkt relies on ICE to provide support services and to facilitate certain of its business activities, Bakkt may face increased operational risk. Over time, Bakkt anticipates that ICE may sell down its ownership interest in Bakkt, thereby reducing the alignment of interests between Bakkt and ICE. With or without this sell down, ICE may be subject to financial, legal, regulatory, and labor issues, cybersecurity incidents, privacy breaches, service terminations, disruptions or interruptions, or other problems, which may impose additional costs or requirements on Bakkt or prevent ICE from providing services to Bakkt or its users on its behalf, which could harm Bakkts business. In addition, ICE may disagree with Bakkts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its services, impose additional costs or requirements on Bakkt or its users, or give preferential treatment to competitive services. There can be no assurance that ICE will continue to provide services directly to Bakkt or its users on its behalf on acceptable terms, or at all. </w:t>
      </w:r>
    </w:p>
    <w:p>
      <w:pPr>
        <w:pStyle w:val="TextBody"/>
        <w:spacing w:before="240" w:after="0"/>
        <w:jc w:val="left"/>
        <w:rPr>
          <w:rFonts w:ascii="Times New Roman" w:hAnsi="Times New Roman"/>
          <w:sz w:val="20"/>
        </w:rPr>
      </w:pPr>
      <w:r>
        <w:rPr>
          <w:rFonts w:ascii="Times New Roman" w:hAnsi="Times New Roman"/>
          <w:sz w:val="20"/>
        </w:rPr>
        <w:t xml:space="preserve">Although Bakkt intends to transition away from its reliance on ICE for many of the services currently provided by ICE, there can be no assurance that Bakkt will be able to timely, efficiently or economically develop these capacities on its own or from third parties, or provide the services at the level that they are currently being provided by ICE or at all. As a result, Bakkt may be subject to business disruptions, losses or costs to remediate any of the deficiencies, consumer dissatisfaction, reputational damage, legal or regulatory proceedings, or other adverse consequences which could harm its business. </w:t>
      </w:r>
    </w:p>
    <w:p>
      <w:pPr>
        <w:pStyle w:val="TextBody"/>
        <w:spacing w:before="360" w:after="0"/>
        <w:jc w:val="left"/>
        <w:rPr>
          <w:rFonts w:ascii="Times New Roman" w:hAnsi="Times New Roman"/>
          <w:b/>
          <w:i/>
          <w:sz w:val="20"/>
        </w:rPr>
      </w:pPr>
      <w:r>
        <w:rPr>
          <w:rFonts w:ascii="Times New Roman" w:hAnsi="Times New Roman"/>
          <w:b/>
          <w:i/>
          <w:sz w:val="20"/>
        </w:rPr>
        <w:t xml:space="preserve">Bakkt relies on third parties, over which it has no control, in many aspects of its business which creates additional risk, including risks related to the failure of third parties to provide various services that are important to Bakkts operations or to comply with legal or regulatory requirements. </w:t>
      </w:r>
    </w:p>
    <w:p>
      <w:pPr>
        <w:pStyle w:val="TextBody"/>
        <w:spacing w:before="120" w:after="0"/>
        <w:jc w:val="left"/>
        <w:rPr>
          <w:rFonts w:ascii="Times New Roman" w:hAnsi="Times New Roman"/>
          <w:sz w:val="20"/>
        </w:rPr>
      </w:pPr>
      <w:r>
        <w:rPr>
          <w:rFonts w:ascii="Times New Roman" w:hAnsi="Times New Roman"/>
          <w:sz w:val="20"/>
        </w:rPr>
        <w:t xml:space="preserve">Bakkt has significant vendors that, among other things, provide Bakkt with financial, technology, and other services to support its platforms and other activities, including, for example, cloud-based data storage and other IT solutions, and payment processing. </w:t>
      </w:r>
    </w:p>
    <w:p>
      <w:pPr>
        <w:pStyle w:val="TextBody"/>
        <w:spacing w:before="240" w:after="0"/>
        <w:jc w:val="left"/>
        <w:rPr>
          <w:rFonts w:ascii="Times New Roman" w:hAnsi="Times New Roman"/>
          <w:sz w:val="20"/>
        </w:rPr>
      </w:pPr>
      <w:r>
        <w:rPr>
          <w:rFonts w:ascii="Times New Roman" w:hAnsi="Times New Roman"/>
          <w:sz w:val="20"/>
        </w:rPr>
        <w:t>Because Bakkt relies on third parties to provide certain of its services and to facilitate certain of its business activities, Bakkt faces increased operational risk. These third parties may be subject to financial, legal, regulatory, and labor issues, cybersecurity incidents, privacy breaches, service terminations, disruptions or interruptions, or other problems, which may impose additional costs or requirements on Bakkt or prevent these third parties from providing services to Bakkt or Bakkts users on its behalf, which could harm its business. Additionally, the Consumer Financial Protection Bureau (</w:t>
      </w:r>
      <w:r>
        <w:rPr>
          <w:rFonts w:ascii="Times New Roman" w:hAnsi="Times New Roman"/>
          <w:b/>
          <w:sz w:val="20"/>
        </w:rPr>
        <w:t>CFPB</w:t>
      </w:r>
      <w:r>
        <w:rPr>
          <w:rFonts w:ascii="Times New Roman" w:hAnsi="Times New Roman"/>
          <w:sz w:val="20"/>
        </w:rPr>
        <w:t xml:space="preserve">) and other regulators have issued guidance stating that institutions under their supervision may be held responsible for the actions of the companies with which they contract. Accordingly, Bakkt could be adversely impacted to the extent its vendors fail to comply with the legal requirements applicable to the particular products or services being offered.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some cases, vendors are the sole source, or one of a limited number of sources, of the services they provide to Bakkt. For example, Bakkt is solely reliant on its agreement with its cloud computing web services provider for the provision of cloud infrastructure services to support its platform. Most of Bakkts vendor agreements are terminable by the vendor on little or no notice, and if Bakkts current vendors were to terminate their agreements with Bakkt or otherwise stop providing services to Bakkt on acceptable terms, Bakkt may be unable to procure alternatives from other vendors in a timely and efficient manner and on acceptable terms (or at all). If any vendor fails to provide the services Bakkt requires, fails to meet contractual requirements (including compliance with applicable laws and regulations), fails to maintain adequate data privacy controls and electronic security systems, or suffers a cyber-attack or other security breach, Bakkt could be subject to CFPB, Federal Trade Commission and other regulatory enforcement actions, claims from third parties, including Bakkt consumers, and suffer economic and reputational harm that could have an adverse effect on Bakkts business. Further, Bakkt may incur significant costs to resolve any such disruptions in service, which could adversely affect its business. </w:t>
      </w:r>
    </w:p>
    <w:p>
      <w:pPr>
        <w:pStyle w:val="TextBody"/>
        <w:spacing w:before="360" w:after="0"/>
        <w:jc w:val="left"/>
        <w:rPr>
          <w:rFonts w:ascii="Times New Roman" w:hAnsi="Times New Roman"/>
          <w:b/>
          <w:i/>
          <w:sz w:val="20"/>
        </w:rPr>
      </w:pPr>
      <w:r>
        <w:rPr>
          <w:rFonts w:ascii="Times New Roman" w:hAnsi="Times New Roman"/>
          <w:b/>
          <w:i/>
          <w:sz w:val="20"/>
        </w:rPr>
        <w:t xml:space="preserve">If the availability of Bakkts platform does not meet its service level commitments, Bakkts current and future revenue and reputation may be negatively impacted. </w:t>
      </w:r>
    </w:p>
    <w:p>
      <w:pPr>
        <w:pStyle w:val="TextBody"/>
        <w:spacing w:before="120" w:after="0"/>
        <w:jc w:val="left"/>
        <w:rPr>
          <w:rFonts w:ascii="Times New Roman" w:hAnsi="Times New Roman"/>
          <w:sz w:val="20"/>
        </w:rPr>
      </w:pPr>
      <w:r>
        <w:rPr>
          <w:rFonts w:ascii="Times New Roman" w:hAnsi="Times New Roman"/>
          <w:sz w:val="20"/>
        </w:rPr>
        <w:t xml:space="preserve">Bakkt typically commits, through service level agreements or otherwise, to maintaining a minimum service level of availability with respect to functionality, availability and response time. If Bakkt is unable to meet these commitments, Bakkt may be obligated to provide users, including customers of its custody business and futures contracts, with additional capacity at Bakkts expense. A failure to meet service level commitments for a relatively short duration could cause Bakkt to be contractually obligated to issue credits or refunds to a large number of affected institutions and consumers or result in the loss of institutions and consumers. In addition, Bakkt cannot predict whether its institutions and consumer participants will accept these credits, refunds, termination or extension rights in lieu of other legal remedies that may be available to them. Bakkts failure to meet its commitments could also result in substantial consumers dissatisfaction or loss. Because of the loss of future revenues through the issuance of credits or the loss institutions and of consumers or other potential liabilities, Bakkts revenue could be significantly impacted if it cannot meet its service level commitments. </w:t>
      </w:r>
    </w:p>
    <w:p>
      <w:pPr>
        <w:pStyle w:val="TextBody"/>
        <w:spacing w:before="240" w:after="0"/>
        <w:jc w:val="left"/>
        <w:rPr>
          <w:rFonts w:ascii="Times New Roman" w:hAnsi="Times New Roman"/>
          <w:sz w:val="20"/>
        </w:rPr>
      </w:pPr>
      <w:r>
        <w:rPr>
          <w:rFonts w:ascii="Times New Roman" w:hAnsi="Times New Roman"/>
          <w:sz w:val="20"/>
        </w:rPr>
        <w:t xml:space="preserve">In addition, Bakkt relies on public cloud providers, such as Microsoft Azure and Google Cloud, and any availability interruption in the public cloud could result in Bakkt not meeting its service-level commitments. In some cases, Bakkt may not have a contractual right with its public cloud providers that compensates Bakkt for any losses due to availability interruptions in the public cloud. </w:t>
      </w:r>
    </w:p>
    <w:p>
      <w:pPr>
        <w:pStyle w:val="TextBody"/>
        <w:spacing w:before="240" w:after="0"/>
        <w:jc w:val="left"/>
        <w:rPr>
          <w:rFonts w:ascii="Times New Roman" w:hAnsi="Times New Roman"/>
          <w:sz w:val="20"/>
        </w:rPr>
      </w:pPr>
      <w:r>
        <w:rPr>
          <w:rFonts w:ascii="Times New Roman" w:hAnsi="Times New Roman"/>
          <w:sz w:val="20"/>
        </w:rPr>
        <w:t xml:space="preserve">Any of the above circumstances or events may harm Bakkts reputation, impair Bakkts ability to develop its platform and grow its base of users, subject Bakkt to financial penalties and liabilities under its service level agreements and otherwise harm Bakkts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If Bakkt cannot keep pace with rapid technological developments to provide new and innovative products and services, the use of Bakkts products and services and, consequently, Bakkts revenues could decline. </w:t>
      </w:r>
    </w:p>
    <w:p>
      <w:pPr>
        <w:pStyle w:val="TextBody"/>
        <w:spacing w:before="120" w:after="0"/>
        <w:jc w:val="left"/>
        <w:rPr>
          <w:rFonts w:ascii="Times New Roman" w:hAnsi="Times New Roman"/>
          <w:sz w:val="20"/>
        </w:rPr>
      </w:pPr>
      <w:r>
        <w:rPr>
          <w:rFonts w:ascii="Times New Roman" w:hAnsi="Times New Roman"/>
          <w:sz w:val="20"/>
        </w:rPr>
        <w:t xml:space="preserve">Rapid, significant, and disruptive technological changes impact the industries in which Bakkt operates,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Bakkt expects new services and technologies to continue to emerge and evolve, and Bakkt cannot predict the effects of technological changes on its business. In addition to Bakkts own initiatives and innovations, Bakkt relies in part on third parties for the development of and access to new or evolving technologies. These third parties may restrict or prevent Bakkts access to, or utilization of, those technologies, as well as their platforms or products. In addition, Bakkt may not be able to accurately predict which technological developments or innovations will become widely adopted and how those technologies may be regulated. Bakkt expects that new services and technologies applicable to the industries in which Bakkt operates will continue to emerge and may be superior to, or render obsolete, the technologies Bakkt currently uses in its products and services. Developing and incorporating new technologies into Bakkts products and services may require substantial expenditures, take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considerable time, and ultimately may not be successful. In addition, Bakkts ability to adopt new products and services and to develop new technologies may be inhibited by industry-wide standards, payments networks, changes to laws and regulations, resistance to change from users, third-party intellectual property rights, or other factors. Bakkts success will depend on its ability to develop and incorporate new technologies and adapt to technological changes and evolving industry standards; if Bakkt is unable to do so in a timely or cost-effective manner, Bakkts business could be harmed. </w:t>
      </w:r>
    </w:p>
    <w:p>
      <w:pPr>
        <w:pStyle w:val="TextBody"/>
        <w:spacing w:before="360" w:after="0"/>
        <w:jc w:val="left"/>
        <w:rPr>
          <w:rFonts w:ascii="Times New Roman" w:hAnsi="Times New Roman"/>
          <w:b/>
          <w:i/>
          <w:sz w:val="20"/>
        </w:rPr>
      </w:pPr>
      <w:r>
        <w:rPr>
          <w:rFonts w:ascii="Times New Roman" w:hAnsi="Times New Roman"/>
          <w:b/>
          <w:i/>
          <w:sz w:val="20"/>
        </w:rPr>
        <w:t xml:space="preserve">If a large percentage of Bakkts revenue is concentrated with a small number of enterprise and/or loyalty partners, the loss of any such enterprise or loyalty partner would materially and adversely affect Bakkts business, results of operations, financial condition, and future prospects. </w:t>
      </w:r>
    </w:p>
    <w:p>
      <w:pPr>
        <w:pStyle w:val="TextBody"/>
        <w:spacing w:before="120" w:after="0"/>
        <w:jc w:val="left"/>
        <w:rPr>
          <w:rFonts w:ascii="Times New Roman" w:hAnsi="Times New Roman"/>
          <w:sz w:val="20"/>
        </w:rPr>
      </w:pPr>
      <w:r>
        <w:rPr>
          <w:rFonts w:ascii="Times New Roman" w:hAnsi="Times New Roman"/>
          <w:sz w:val="20"/>
        </w:rPr>
        <w:t xml:space="preserve">The concentration of a significant portion of Bakkts business and transaction volume with a limited number of enterprise and/or loyalty partners and financial institutions would expose Bakkt disproportionately to any of those partners choosing to no longer partner with Bakkt, to the economic performance of such partners or their respective industries or to any events, circumstances, or risks affecting such partners or their respective industries. Any such loss could make Bakkts platform less appealing to existing and potential users. In addition, because Bakkts business model anticipates revenue synergies between its loyalty redemption, alternative payment method, and digital asset marketplace aspects, the loss of a significant partner in one aspect would have negative repercussions across the three separate revenue streams. Accordingly, the loss of any significant enterprise or loyalty partner or financial institution relationship could materially and adversely affect Bakkts business, results of operations, financial condition, and future prospects. </w:t>
      </w:r>
    </w:p>
    <w:p>
      <w:pPr>
        <w:pStyle w:val="TextBody"/>
        <w:spacing w:before="360" w:after="0"/>
        <w:jc w:val="left"/>
        <w:rPr>
          <w:rFonts w:ascii="Times New Roman" w:hAnsi="Times New Roman"/>
          <w:b/>
          <w:i/>
          <w:sz w:val="20"/>
        </w:rPr>
      </w:pPr>
      <w:r>
        <w:rPr>
          <w:rFonts w:ascii="Times New Roman" w:hAnsi="Times New Roman"/>
          <w:b/>
          <w:i/>
          <w:sz w:val="20"/>
        </w:rPr>
        <w:t xml:space="preserve">Failure to deal effectively with fraud, fictitious transactions, bad transactions, and negative consumer experiences would increase Bakkts loss rate and harm Bakkts business, and could severely diminish user confidence in and use of Bakkts platform. </w:t>
      </w:r>
    </w:p>
    <w:p>
      <w:pPr>
        <w:pStyle w:val="TextBody"/>
        <w:spacing w:before="120" w:after="0"/>
        <w:jc w:val="left"/>
        <w:rPr>
          <w:rFonts w:ascii="Times New Roman" w:hAnsi="Times New Roman"/>
          <w:sz w:val="20"/>
        </w:rPr>
      </w:pPr>
      <w:r>
        <w:rPr>
          <w:rFonts w:ascii="Times New Roman" w:hAnsi="Times New Roman"/>
          <w:sz w:val="20"/>
        </w:rPr>
        <w:t xml:space="preserve">It is expected that Bakkts platform will process a significant volume and dollar value of transactions daily. In the event that enterprise or loyalty partners do not fulfill their obligations to consumers on Bakkts platform, Bakkt may incur substantial losses as a result of claims from consumers. Bakkt seeks to recover such losses from the partner, but may not fully recover them if the partner is unwilling or unable to pay. In addition, in the event of the bankruptcy or other business interruption of a that sells goods or services in advance of the date of their delivery or use (e.g., airline, cruise or concert tickets, custom-made goods, and subscriptions), Bakkt could be liable to consumers who buy such goods or services, through chargebacks. While Bakkt has established allowances for transaction losses based on assumptions and estimates that Bakkt believes are reasonable to cover such losses incurred, these reserves may be insufficient. </w:t>
      </w:r>
    </w:p>
    <w:p>
      <w:pPr>
        <w:pStyle w:val="TextBody"/>
        <w:spacing w:before="240" w:after="0"/>
        <w:jc w:val="left"/>
        <w:rPr>
          <w:rFonts w:ascii="Times New Roman" w:hAnsi="Times New Roman"/>
          <w:sz w:val="20"/>
        </w:rPr>
      </w:pPr>
      <w:r>
        <w:rPr>
          <w:rFonts w:ascii="Times New Roman" w:hAnsi="Times New Roman"/>
          <w:sz w:val="20"/>
        </w:rPr>
        <w:t xml:space="preserve">Bakkt may also incur substantial losses from claims that a consumer did not authorize fraudulent or erroneous transactions. Bakkt has taken measures to detect and reduce the risk of fraud on its platform, but these measures require continuous improvement and may not be effective in detecting and preventing fraud, particularly new and continually evolving forms of fraud or in connection with new or expanded product offerings. If these measures do not succeed, Bakkts business could be negatively impacted. </w:t>
      </w:r>
    </w:p>
    <w:p>
      <w:pPr>
        <w:pStyle w:val="TextBody"/>
        <w:spacing w:before="360" w:after="0"/>
        <w:jc w:val="left"/>
        <w:rPr>
          <w:rFonts w:ascii="Times New Roman" w:hAnsi="Times New Roman"/>
          <w:b/>
          <w:i/>
          <w:sz w:val="20"/>
        </w:rPr>
      </w:pPr>
      <w:r>
        <w:rPr>
          <w:rFonts w:ascii="Times New Roman" w:hAnsi="Times New Roman"/>
          <w:b/>
          <w:i/>
          <w:sz w:val="20"/>
        </w:rPr>
        <w:t xml:space="preserve">Bakkts failure to correctly cause the settlement of transactions running through Bakkts platform, or the failure of a third-party to correctly follow instructions regarding settlement of such transactions, could harm Bakkts business. </w:t>
      </w:r>
    </w:p>
    <w:p>
      <w:pPr>
        <w:pStyle w:val="TextBody"/>
        <w:spacing w:before="120" w:after="0"/>
        <w:jc w:val="left"/>
        <w:rPr>
          <w:rFonts w:ascii="Times New Roman" w:hAnsi="Times New Roman"/>
          <w:sz w:val="20"/>
        </w:rPr>
      </w:pPr>
      <w:r>
        <w:rPr>
          <w:rFonts w:ascii="Times New Roman" w:hAnsi="Times New Roman"/>
          <w:sz w:val="20"/>
        </w:rPr>
        <w:t xml:space="preserve">As Bakkts platform develops, Bakkt will be required to settle large amounts of user transactions on behalf of consumers and on behalf of or through enterprise and loyalty partners via their APIs. Bakkts ability to correctly cause transaction settlement requires a high level of internal controls and to some degree requires the involvement and technology of Bakkts enterprise and loyalty partners. Since Bakkts platform is in its development stage, Bakkt has neither an established operating history nor proven management experience in developing or maintaining the necessary internal controls. Bakkts success will require significant public confidence in Bakkts ability to handle large and growing transaction volumes and the cooperation of Bakkts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enterprise and loyalty partners. Any failure by Bakkt, or by any third-party, to maintain the necessary controls or to effect or cause settlement of transactions running through Bakkts platform accurately and in compliance with applicable regulatory requirements could result in reputational harm, lead users to discontinue or reduce their use of Bakkts platform and result in significant penalties and fines, any of which could materially harm Bakkts business. </w:t>
      </w:r>
    </w:p>
    <w:p>
      <w:pPr>
        <w:pStyle w:val="TextBody"/>
        <w:spacing w:before="360" w:after="0"/>
        <w:jc w:val="left"/>
        <w:rPr>
          <w:rFonts w:ascii="Times New Roman" w:hAnsi="Times New Roman"/>
          <w:b/>
          <w:i/>
          <w:sz w:val="20"/>
        </w:rPr>
      </w:pPr>
      <w:r>
        <w:rPr>
          <w:rFonts w:ascii="Times New Roman" w:hAnsi="Times New Roman"/>
          <w:b/>
          <w:i/>
          <w:sz w:val="20"/>
        </w:rPr>
        <w:t xml:space="preserve">Future issuances of Bakkt Pubco Common Stock and future sales of Bakkt Pubco Common Stock and other equity securities issued to Bakkt Equity Holders, certain VIH shareholders and PIPE Investors may reduce the market price of Bakkt Pubco Common Stock. </w:t>
      </w:r>
    </w:p>
    <w:p>
      <w:pPr>
        <w:pStyle w:val="TextBody"/>
        <w:spacing w:before="120" w:after="0"/>
        <w:jc w:val="left"/>
        <w:rPr>
          <w:rFonts w:ascii="Times New Roman" w:hAnsi="Times New Roman"/>
          <w:sz w:val="20"/>
        </w:rPr>
      </w:pPr>
      <w:r>
        <w:rPr>
          <w:rFonts w:ascii="Times New Roman" w:hAnsi="Times New Roman"/>
          <w:sz w:val="20"/>
        </w:rPr>
        <w:t>Under the Merger Agreement, the Bakkt Equity Holders will exchange their equity interests in Bakkt Opco for 208,200,000 shares of Bakkt Pubco Class V Common Stock and 208,200,000 Bakkt Opco Common Units, subject to the allocation of a certain portion of those Bakkt Opco Common Units and Bakkt Pubco Class V Shares to the holders of Bakkt Warrants that do not exercise such warrants prior to the Closing. See </w:t>
      </w:r>
      <w:r>
        <w:rPr>
          <w:rFonts w:ascii="Times New Roman" w:hAnsi="Times New Roman"/>
          <w:i/>
          <w:sz w:val="20"/>
        </w:rPr>
        <w:t>The Business Combination ProposalMerger AgreementConsiderationTreatment of Bakkt Warrants</w:t>
      </w:r>
      <w:r>
        <w:rPr>
          <w:rFonts w:ascii="Times New Roman" w:hAnsi="Times New Roman"/>
          <w:sz w:val="20"/>
        </w:rPr>
        <w:t xml:space="preserve"> beginning on page 120 of this proxy statement/prospectus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The Merger Agreement provides that, at the Closing of the Business Combination, Bakkt Pubco will enter into the Stockholders Agreement with Bakkt Equity Holders, the Sponsor and the other parties to the Insider Letter Agreement, with respect to the equity securities of Bakkt Pubco and Bakkt Opco, including the Bakkt Pubco Class A Shares, Bakkt Pubco Class V Shares and Bakkt Opco Common Units. Pursuant to the Stockholders Agreement, the Bakkt Equity Holders Bakkt Opco Common Units and Bakkt Pubco Class V Shares will be subject to a six-month lock-up following the Closing. Additionally, the Sponsor and VIHs officers and directors have agreed not to transfer, assign or sell any of their Class B Ordinary Shares or Class A Ordinary Shares (in each case, to be converted into shares of Bakkt Pubco Class A Shares in connection with the Domestication) until the earlier of (i) one year after the completion of the Merger and (ii) subsequent to the Merger, (x) if the closing price of the Bakkt Pubco Class A Shares equals or exceeds $12.00 per share (subject to adjustment) for any 20 trading days within any 30-trading day period commencing at least 150 days after the Merger or (y) the date on which Bakkt Pubco completes a liquidation, merger, amalgamation, capital stock exchange, reorganization or other similar transaction that results in all of the holders of Bakkt Pubco Class A Shares having the right to exchange their Bakkt Pubco Class A Shares for cash, securities or other property. </w:t>
      </w:r>
    </w:p>
    <w:p>
      <w:pPr>
        <w:pStyle w:val="TextBody"/>
        <w:spacing w:before="240" w:after="0"/>
        <w:jc w:val="left"/>
        <w:rPr>
          <w:rFonts w:ascii="Times New Roman" w:hAnsi="Times New Roman"/>
          <w:sz w:val="20"/>
        </w:rPr>
      </w:pPr>
      <w:r>
        <w:rPr>
          <w:rFonts w:ascii="Times New Roman" w:hAnsi="Times New Roman"/>
          <w:sz w:val="20"/>
        </w:rPr>
        <w:t xml:space="preserve">In connection with, and as a condition to the consummation of the Proposed Transaction, the Merger Agreement provides that Bakkt Pubco, the Bakkt Equity Holders and the Sponsor will enter into the Registration Rights Agreement. Pursuant to the terms of the Registration Rights Agreement, Bakkt Pubco will be obligated to file a registration statement to register the resale of certain securities of Bakkt Pubco held by the Bakkt Equity Holders. In addition, pursuant to the terms of the Registration Rights Agreement and subject to certain requirements and customary conditions, including with regard to the number of demand rights that may be exercised, the holders of such rights may demand at any time or from time to time, that Bakkt Pubco file a registration statement to register the Bakkt Pubco Class A Shares held by such Bakkt Equity Holders. The Registration Rights Agreement will also provide the Bakkt Equity Holders with piggy-back registration rights, subject to certain requirements and customary conditions. </w:t>
      </w:r>
    </w:p>
    <w:p>
      <w:pPr>
        <w:pStyle w:val="TextBody"/>
        <w:spacing w:before="240" w:after="0"/>
        <w:jc w:val="left"/>
        <w:rPr>
          <w:rFonts w:ascii="Times New Roman" w:hAnsi="Times New Roman"/>
          <w:sz w:val="20"/>
        </w:rPr>
      </w:pPr>
      <w:r>
        <w:rPr>
          <w:rFonts w:ascii="Times New Roman" w:hAnsi="Times New Roman"/>
          <w:sz w:val="20"/>
        </w:rPr>
        <w:t xml:space="preserve">Bakkt Pubco also has agreed, pursuant to the Subscription Agreements, to register the shares of Bakkt Pubco Class A Shares issued in connection with the PIPE Investment. The registration and availability of such a significant number of securities for trading in the public market may have an adverse effect on the market price of the Bakkt Pubco Class A Shares. </w:t>
      </w:r>
    </w:p>
    <w:p>
      <w:pPr>
        <w:pStyle w:val="TextBody"/>
        <w:spacing w:before="240" w:after="0"/>
        <w:jc w:val="left"/>
        <w:rPr>
          <w:rFonts w:ascii="Times New Roman" w:hAnsi="Times New Roman"/>
          <w:sz w:val="20"/>
        </w:rPr>
      </w:pPr>
      <w:r>
        <w:rPr>
          <w:rFonts w:ascii="Times New Roman" w:hAnsi="Times New Roman"/>
          <w:sz w:val="20"/>
        </w:rPr>
        <w:t xml:space="preserve">Upon expiration of the lock-up periods applicable to the equity securities of Bakkt Pubco and Bakkt Opco held by the Bakkt Equity Holders, the Sponsor, the parties to the Insider Letter Agreement and the PIPE Investors, these parties may sell large amounts of Bakkt Pubco Common Stock in the open market or in privately negotiated transactions. The registration and availability of such a significant number of shares of common stock for trading in the public market may increase the volatility in Bakkt Pubcos stock price or put significant downward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pressure on the price of its stock. In addition, Bakkt Pubco may use shares of Bakkt Pubco Common Stock as consideration for future acquisitions, which could further dilute its stockholders. </w:t>
      </w:r>
    </w:p>
    <w:p>
      <w:pPr>
        <w:pStyle w:val="TextBody"/>
        <w:spacing w:before="240" w:after="0"/>
        <w:jc w:val="left"/>
        <w:rPr>
          <w:rFonts w:ascii="Times New Roman" w:hAnsi="Times New Roman"/>
          <w:sz w:val="20"/>
        </w:rPr>
      </w:pPr>
      <w:r>
        <w:rPr>
          <w:rFonts w:ascii="Times New Roman" w:hAnsi="Times New Roman"/>
          <w:sz w:val="20"/>
        </w:rPr>
        <w:t xml:space="preserve">Additionally, future issuances of shares of Bakkt Pubco Class A Common Stock, including pursuant to the Bakkt Pubco Equity Incentive Plan, may significantly dilute the equity interests of existing holders of VIHs or the Companys securities and may adversely affect prevailing market prices for Bakkt Pubcos securities. </w:t>
      </w:r>
    </w:p>
    <w:p>
      <w:pPr>
        <w:pStyle w:val="TextBody"/>
        <w:spacing w:before="360" w:after="0"/>
        <w:jc w:val="left"/>
        <w:rPr>
          <w:rFonts w:ascii="Times New Roman" w:hAnsi="Times New Roman"/>
          <w:b/>
          <w:i/>
          <w:sz w:val="20"/>
        </w:rPr>
      </w:pPr>
      <w:r>
        <w:rPr>
          <w:rFonts w:ascii="Times New Roman" w:hAnsi="Times New Roman"/>
          <w:b/>
          <w:i/>
          <w:sz w:val="20"/>
        </w:rPr>
        <w:t xml:space="preserve">If Bakkt experiences rapid growth, it may place significant demands on Bakkts operational, administrative, and financial resources and it may be difficult to sustain such growth. </w:t>
      </w:r>
    </w:p>
    <w:p>
      <w:pPr>
        <w:pStyle w:val="TextBody"/>
        <w:spacing w:before="120" w:after="0"/>
        <w:jc w:val="left"/>
        <w:rPr>
          <w:rFonts w:ascii="Times New Roman" w:hAnsi="Times New Roman"/>
          <w:sz w:val="20"/>
        </w:rPr>
      </w:pPr>
      <w:r>
        <w:rPr>
          <w:rFonts w:ascii="Times New Roman" w:hAnsi="Times New Roman"/>
          <w:sz w:val="20"/>
        </w:rPr>
        <w:t xml:space="preserve">Bakkt has a relatively limited operating history even at its current scale, and its projected growth in future periods following the launch of Bakkts consumer app exposes Bakkt to increased risks, uncertainties, expenses, and difficulties. If Bakkt is unable to appropriately scale its operations to support such growth, Bakkts business, results of operations, financial condition, and future prospects would be materially and adversely affected. </w:t>
      </w:r>
    </w:p>
    <w:p>
      <w:pPr>
        <w:pStyle w:val="TextBody"/>
        <w:spacing w:before="240" w:after="0"/>
        <w:jc w:val="left"/>
        <w:rPr>
          <w:rFonts w:ascii="Times New Roman" w:hAnsi="Times New Roman"/>
          <w:sz w:val="20"/>
        </w:rPr>
      </w:pPr>
      <w:r>
        <w:rPr>
          <w:rFonts w:ascii="Times New Roman" w:hAnsi="Times New Roman"/>
          <w:sz w:val="20"/>
        </w:rPr>
        <w:t xml:space="preserve">As a result of Bakkts growth, Bakkt faces significant challenges in: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increasing the number of consumers on, and the volume of transactions facilitated through, Bakkts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maintaining and developing relationships with existing and new enterprise and loyalty partners and financial institutions;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securing funding to maintain its operations and future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maintaining adequate financial, business, and risk controls;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implementing new or updated information and financial and risk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navigating complex and evolving regulatory and competitive environments;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attracting, integrating and retaining an appropriate number and technological skill level of qualified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particularly in the COVID-19 environment, training, managing, and appropriately sizing its workforce and other components of its business on a timely and cost-effective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expanding within existing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entering new markets and introducing new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continuing to develop, maintain, protect, and scale Bakkts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effectively using limited personnel and technology resources;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maintaining the security of Bakkts platform and the confidentiality of the information (including personally identifiable information) provided and utilized across its platform. </w:t>
            </w:r>
          </w:p>
        </w:tc>
      </w:tr>
    </w:tbl>
    <w:p>
      <w:pPr>
        <w:pStyle w:val="TextBody"/>
        <w:spacing w:before="240" w:after="0"/>
        <w:jc w:val="left"/>
        <w:rPr>
          <w:rFonts w:ascii="Times New Roman" w:hAnsi="Times New Roman"/>
          <w:sz w:val="20"/>
        </w:rPr>
      </w:pPr>
      <w:r>
        <w:rPr>
          <w:rFonts w:ascii="Times New Roman" w:hAnsi="Times New Roman"/>
          <w:sz w:val="20"/>
        </w:rPr>
        <w:t xml:space="preserve">Bakkt may not be able to properly manage and scale its expanding operations effectively, and any failure to do so could adversely affect Bakkts ability to generate revenue and control its expenses, and would materially and adversely affect Bakkts business, results of operations, financial condition, and future prospects. </w:t>
      </w:r>
    </w:p>
    <w:p>
      <w:pPr>
        <w:pStyle w:val="TextBody"/>
        <w:spacing w:before="360" w:after="0"/>
        <w:jc w:val="left"/>
        <w:rPr>
          <w:rFonts w:ascii="Times New Roman" w:hAnsi="Times New Roman"/>
          <w:b/>
          <w:i/>
          <w:sz w:val="20"/>
        </w:rPr>
      </w:pPr>
      <w:r>
        <w:rPr>
          <w:rFonts w:ascii="Times New Roman" w:hAnsi="Times New Roman"/>
          <w:b/>
          <w:i/>
          <w:sz w:val="20"/>
        </w:rPr>
        <w:t xml:space="preserve">Acquisitions, strategic investments, partnerships, or alliances could be difficult to identify, pose integration challenges, divert the attention of management, disrupt Bakkts business, dilute stockholder value, and adversely affect Bakkts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Bakkt has in the past and may in the future seek to acquire or invest in businesses, joint ventures, and platform technologies that Bakkt believes could complement or expand its platform, enhance its technology, or otherwise offer growth opportunities. Any such acquisitions or investments may divert the attention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management and cause Bakkt to incur various expenses in identifying, investigating, and pursuing suitable opportunities, whether or not the transactions are completed, and may result in unforeseen operating difficulties and expenditures. In particular, Bakkt may encounter difficulties assimilating or integrating the businesses, technologies, products, personnel, or operations of any acquired companies, particularly if the key personnel of an acquired company choose not to work for Bakkt, or Bakkt has difficulty retaining the customers of any acquired business due to changes in ownership, management, or otherwise. Any such transactions that Bakkt is able to complete may not result in the synergies or other benefits Bakkt expects to achieve, which could result in substantial impairment charges. These transactions could also result in dilutive issuances of equity securities or the incurrence of debt, which could adversely affect Bakkts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Bakkt Pubco may issue additional shares of common stock or other equity securities without stockholder approval, which would dilute the Company stockholders ownership interest in Bakkt Pubco and may reduce the market price of Bakkt Pubco Common Stock. </w:t>
      </w:r>
    </w:p>
    <w:p>
      <w:pPr>
        <w:pStyle w:val="TextBody"/>
        <w:spacing w:before="120" w:after="0"/>
        <w:jc w:val="left"/>
        <w:rPr>
          <w:rFonts w:ascii="Times New Roman" w:hAnsi="Times New Roman"/>
          <w:sz w:val="20"/>
        </w:rPr>
      </w:pPr>
      <w:r>
        <w:rPr>
          <w:rFonts w:ascii="Times New Roman" w:hAnsi="Times New Roman"/>
          <w:sz w:val="20"/>
        </w:rPr>
        <w:t xml:space="preserve">Bakkt Pubco may issue additional Bakkt Pubco Class A Shares or other equity securities in the future in connection with, among other things, future acquisitions, repayment of outstanding indebtedness or grants under the Bakkt Pubco Equity Incentive Plan without stockholder approval in a number of circumstances. The issuance of additional common stock or other equity securities could have one or more of the following effects: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Pubcos existing stockholders proportionate ownership interest will decrease;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of cash available per share, including for payment of dividends in the future, may decrease;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relative voting strength of each previously outstanding share of Bakkt Pubco Common Stock may be diminished;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market price of its common stock may decline. </w:t>
            </w:r>
          </w:p>
        </w:tc>
      </w:tr>
    </w:tbl>
    <w:p>
      <w:pPr>
        <w:pStyle w:val="TextBody"/>
        <w:spacing w:before="360" w:after="0"/>
        <w:jc w:val="left"/>
        <w:rPr>
          <w:rFonts w:ascii="Times New Roman" w:hAnsi="Times New Roman"/>
          <w:b/>
          <w:i/>
          <w:sz w:val="20"/>
        </w:rPr>
      </w:pPr>
      <w:r>
        <w:rPr>
          <w:rFonts w:ascii="Times New Roman" w:hAnsi="Times New Roman"/>
          <w:b/>
          <w:i/>
          <w:sz w:val="20"/>
        </w:rPr>
        <w:t xml:space="preserve">Bakkt may require additional capital to support the growth of its business, and this capital might not be available on acceptable terms, if at all. </w:t>
      </w:r>
    </w:p>
    <w:p>
      <w:pPr>
        <w:pStyle w:val="TextBody"/>
        <w:spacing w:before="120" w:after="0"/>
        <w:jc w:val="left"/>
        <w:rPr>
          <w:rFonts w:ascii="Times New Roman" w:hAnsi="Times New Roman"/>
          <w:sz w:val="20"/>
        </w:rPr>
      </w:pPr>
      <w:r>
        <w:rPr>
          <w:rFonts w:ascii="Times New Roman" w:hAnsi="Times New Roman"/>
          <w:sz w:val="20"/>
        </w:rPr>
        <w:t xml:space="preserve">Bakkt has funded its operations since inception primarily through equity financings and payments received from Bakkts platform. Bakkt cannot be certain when or if its operations will generate sufficient cash to fully fund its ongoing operations or the growth of its business. Bakkt intends to continue to make investments to support its business, which may require Bakkt to engage in equity or debt financings to secure additional funds. Additional financing may not be available on terms favorable to Bakkt, if at all. If adequate funds are not available on acceptable terms, Bakkt may be unable to invest in future growth opportunities, which could harm Bakkts business, operating results, and financial condition. If Bakkt incurs debt, the debt holders would have rights senior to holders of common stock to make claims on Bakkts assets, and the terms of any debt could restrict Bakkts operations, including Bakkts ability to pay dividends on its common stock. Furthermore, if Bakkt issues additional equity securities, stockholders will experience dilution, and the new equity securities could have rights senior to those of Bakkts common stock. Because Bakkts decision to issue securities in the future will depend on numerous considerations, including factors beyond Bakkts control, Bakkt cannot predict or estimate the amount, timing, or nature of any future issuances of debt or equity securities. As a result, Bakkts stockholders bear the risk of future issuances of debt or equity securities reducing the value of Bakkts common stock and diluting their interests. </w:t>
      </w:r>
    </w:p>
    <w:p>
      <w:pPr>
        <w:pStyle w:val="TextBody"/>
        <w:spacing w:before="360" w:after="0"/>
        <w:jc w:val="left"/>
        <w:rPr>
          <w:rFonts w:ascii="Times New Roman" w:hAnsi="Times New Roman"/>
          <w:b/>
          <w:i/>
          <w:sz w:val="20"/>
        </w:rPr>
      </w:pPr>
      <w:r>
        <w:rPr>
          <w:rFonts w:ascii="Times New Roman" w:hAnsi="Times New Roman"/>
          <w:b/>
          <w:i/>
          <w:sz w:val="20"/>
        </w:rPr>
        <w:t xml:space="preserve">Catastrophic events or geopolitical conditions may disrupt Bakkts business. </w:t>
      </w:r>
    </w:p>
    <w:p>
      <w:pPr>
        <w:pStyle w:val="TextBody"/>
        <w:spacing w:before="120" w:after="0"/>
        <w:jc w:val="left"/>
        <w:rPr>
          <w:rFonts w:ascii="Times New Roman" w:hAnsi="Times New Roman"/>
          <w:sz w:val="20"/>
        </w:rPr>
      </w:pPr>
      <w:r>
        <w:rPr>
          <w:rFonts w:ascii="Times New Roman" w:hAnsi="Times New Roman"/>
          <w:sz w:val="20"/>
        </w:rPr>
        <w:t xml:space="preserve">War, terrorism, political events, geopolitical instability, trade barriers and restrictions, public health issues, natural disasters, social and political conditions, civil unrest, or other catastrophic events have caused and could cause damage or disruption to the economy and commerce on a global, regional, country-specific or state-specific basis, which could have a material adverse effect on Bakkts business or Bakkts users. Such events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could decrease demand for Bakkts platform or make it difficult or impossible for Bakkt to deliver products and services to its customers. Bakkts business operations are subject to interruption by, among others, natural disasters, fire, power shortages, earthquakes, floods, nuclear power plant accidents, and events beyond Bakkts control such as other industrial accidents, terrorist attacks and other hostile acts, labor disputes, social and political conditions, civil unrest and public health issues. A catastrophic event that results in a disruption or failure of Bakkts systems or operations could result in significant losses and require substantial recovery time and significant expenditures in order to resume or maintain operations, which could have a material adverse impact on Bakkts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Bakkts financial condition and results of operations may be adversely affected by the impact of the global outbreak of the coronavirus. </w:t>
      </w:r>
    </w:p>
    <w:p>
      <w:pPr>
        <w:pStyle w:val="TextBody"/>
        <w:spacing w:before="120" w:after="0"/>
        <w:jc w:val="left"/>
        <w:rPr>
          <w:rFonts w:ascii="Times New Roman" w:hAnsi="Times New Roman"/>
          <w:sz w:val="20"/>
        </w:rPr>
      </w:pPr>
      <w:r>
        <w:rPr>
          <w:rFonts w:ascii="Times New Roman" w:hAnsi="Times New Roman"/>
          <w:sz w:val="20"/>
        </w:rPr>
        <w:t xml:space="preserve">Occurrences of epidemics or pandemics, depending on their scale, may cause different degrees of damage to the national and local economies within Bakkts geographic focus. Global economic conditions may be disrupted by widespread outbreaks of infectious or contagious diseases. For example, the deadly global outbreak and continuing spread of COVID-19 could have an adverse effect on the value, operating results and financial condition of Bakkts business. In addition, the impact of COVID-19 is likely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has had and may continue to have an adverse effect on Bakkts financial condition and results of operations. The extent and duration of the economic slowdown attributable to COVID-19 remains uncertain at this time. A continued significant economic slowdown could have a substantial adverse effect on Bakkts financial condition, liquidity,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Cryptoasset Risks </w:t>
      </w:r>
    </w:p>
    <w:p>
      <w:pPr>
        <w:pStyle w:val="TextBody"/>
        <w:spacing w:before="120" w:after="0"/>
        <w:jc w:val="left"/>
        <w:rPr>
          <w:rFonts w:ascii="Times New Roman" w:hAnsi="Times New Roman"/>
          <w:b/>
          <w:i/>
          <w:sz w:val="20"/>
        </w:rPr>
      </w:pPr>
      <w:r>
        <w:rPr>
          <w:rFonts w:ascii="Times New Roman" w:hAnsi="Times New Roman"/>
          <w:b/>
          <w:i/>
          <w:sz w:val="20"/>
        </w:rPr>
        <w:t xml:space="preserve">Cryptoasset custodial solutions and related technology, including Bakkts systems and custodial arrangements, are subject to risks related to a loss of funds due to theft of cryptoassets, employee or vendor sabotage, security and cybersecurity risks, system failures and other operational issues, the loss, destruction or other compromise of Bakkts private keys and a lack of sufficient insurance, which could cause damage to Bakkts reputation and brand. </w:t>
      </w:r>
    </w:p>
    <w:p>
      <w:pPr>
        <w:pStyle w:val="TextBody"/>
        <w:spacing w:before="120" w:after="0"/>
        <w:jc w:val="left"/>
        <w:rPr>
          <w:rFonts w:ascii="Times New Roman" w:hAnsi="Times New Roman"/>
          <w:sz w:val="20"/>
        </w:rPr>
      </w:pPr>
      <w:r>
        <w:rPr>
          <w:rFonts w:ascii="Times New Roman" w:hAnsi="Times New Roman"/>
          <w:sz w:val="20"/>
        </w:rPr>
        <w:t xml:space="preserve">Bakkts systems and custodial solutions involve the processing, storage and transmission of cryptoassets and data. While Bakkt will contractually limit the amount of exposure it will have in the event that cryptoassets are stolen or misappropriated, Bakkt cannot guarantee that these limits will protect it from additional liability and other damage. The theft or misappropriation of cryptoassets held in custody by Bakkt would likely result in financial loss, reputational damage, potential lack of trust from Bakkts users, negative press coverage and diversion of Bakkt managements time and focus. The secure storage and transmission of cryptoassets and data over networks will be a critical element of Bakkts operations. Despite the defensive measures Bakkt may take, these threats may come from external factors such as governments, organized crime, hackers and other third parties such as outsourced or infrastructure-support providers and application developers, or may originate internally from an employee or service provider to whom Bakkt has granted access to its systems. </w:t>
      </w:r>
    </w:p>
    <w:p>
      <w:pPr>
        <w:pStyle w:val="TextBody"/>
        <w:spacing w:before="240" w:after="0"/>
        <w:jc w:val="left"/>
        <w:rPr>
          <w:rFonts w:ascii="Times New Roman" w:hAnsi="Times New Roman"/>
          <w:sz w:val="20"/>
        </w:rPr>
      </w:pPr>
      <w:r>
        <w:rPr>
          <w:rFonts w:ascii="Times New Roman" w:hAnsi="Times New Roman"/>
          <w:sz w:val="20"/>
        </w:rPr>
        <w:t xml:space="preserve">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Bakkt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the ability of Bakkt to continue as a going concern. </w:t>
      </w:r>
    </w:p>
    <w:p>
      <w:pPr>
        <w:pStyle w:val="TextBody"/>
        <w:spacing w:before="240" w:after="0"/>
        <w:jc w:val="left"/>
        <w:rPr>
          <w:rFonts w:ascii="Times New Roman" w:hAnsi="Times New Roman"/>
          <w:sz w:val="20"/>
        </w:rPr>
      </w:pPr>
      <w:r>
        <w:rPr>
          <w:rFonts w:ascii="Times New Roman" w:hAnsi="Times New Roman"/>
          <w:sz w:val="20"/>
        </w:rPr>
        <w:t xml:space="preserve">Cryptoassets are controllable only by the possessor of both the unique public key and private key relating to the distributed ledger through which the cryptoassets are held. While the distributed ledgers require a public key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relating to a digital asset to be published when used in a transaction, private keys must be safeguarded and kept private in order to prevent a third party from accessing the cryptoassets. To the extent Bakkts private key is lost, destroyed, or otherwise compromised and no backup of the private key is accessible, Bakkt will be unable to access the cryptoassets held through the distributed ledger. Any loss of private keys relating to, or hack or other compromise of, Bakkts cryptoassets could adversely affect its consumers ability to access or sell their cryptoassets and could harm consumers trust in Bakkt and its products. Additionally, any loss of private keys relating to, or hack or other compromise of, the distributed ledger through which third parties store cryptoassets could have negative reputational effects on Bakkt and harm consumers trust in Bakkt and its products. </w:t>
      </w:r>
    </w:p>
    <w:p>
      <w:pPr>
        <w:pStyle w:val="TextBody"/>
        <w:spacing w:before="240" w:after="0"/>
        <w:jc w:val="left"/>
        <w:rPr>
          <w:rFonts w:ascii="Times New Roman" w:hAnsi="Times New Roman"/>
          <w:sz w:val="20"/>
        </w:rPr>
      </w:pPr>
      <w:r>
        <w:rPr>
          <w:rFonts w:ascii="Times New Roman" w:hAnsi="Times New Roman"/>
          <w:sz w:val="20"/>
        </w:rPr>
        <w:t xml:space="preserve">While Bakkt maintains insurance policies, those policies may not be adequate to reimburse Bakkt for losses caused by security breaches, and Bakkt may lose cryptoassets valued in excess of the insurance policy without any recourse. Unlike bank accounts or accounts at some other financial institutions, in the event of loss or loss of utility value, there is no public insurer to offer recourse to Bakkt or to any consumer and the misappropriated cryptoassets may not be easily traced to the bad actor. </w:t>
      </w:r>
    </w:p>
    <w:p>
      <w:pPr>
        <w:pStyle w:val="TextBody"/>
        <w:spacing w:before="240" w:after="0"/>
        <w:jc w:val="left"/>
        <w:rPr>
          <w:rFonts w:ascii="Times New Roman" w:hAnsi="Times New Roman"/>
          <w:sz w:val="20"/>
        </w:rPr>
      </w:pPr>
      <w:r>
        <w:rPr>
          <w:rFonts w:ascii="Times New Roman" w:hAnsi="Times New Roman"/>
          <w:sz w:val="20"/>
        </w:rPr>
        <w:t xml:space="preserve">Further, when cryptoasset custodial solutions or transfer venues (whether involving Bakkt systems or others) experience system failures or other operational issues, such events could result in a reduction in cryptoasset prices or confidence and impact the success of Bakkt and have a material adverse effect on the ability of Bakkt to continue as a going concern. </w:t>
      </w:r>
    </w:p>
    <w:p>
      <w:pPr>
        <w:pStyle w:val="TextBody"/>
        <w:spacing w:before="360" w:after="0"/>
        <w:jc w:val="left"/>
        <w:rPr>
          <w:rFonts w:ascii="Times New Roman" w:hAnsi="Times New Roman"/>
          <w:b/>
          <w:i/>
          <w:sz w:val="20"/>
        </w:rPr>
      </w:pPr>
      <w:r>
        <w:rPr>
          <w:rFonts w:ascii="Times New Roman" w:hAnsi="Times New Roman"/>
          <w:b/>
          <w:i/>
          <w:sz w:val="20"/>
        </w:rPr>
        <w:t xml:space="preserve">Bakkts cryptoasset businesss pricing model and incentive arrangements may create conflicts of interest and affect Bakkts revenues. </w:t>
      </w:r>
    </w:p>
    <w:p>
      <w:pPr>
        <w:pStyle w:val="TextBody"/>
        <w:spacing w:before="120" w:after="0"/>
        <w:jc w:val="left"/>
        <w:rPr>
          <w:rFonts w:ascii="Times New Roman" w:hAnsi="Times New Roman"/>
          <w:sz w:val="20"/>
        </w:rPr>
      </w:pPr>
      <w:r>
        <w:rPr>
          <w:rFonts w:ascii="Times New Roman" w:hAnsi="Times New Roman"/>
          <w:sz w:val="20"/>
        </w:rPr>
        <w:t>In its cryptoasset business, Bakkts subsidiary, Bakkt Marketplace, LLC (</w:t>
      </w:r>
      <w:r>
        <w:rPr>
          <w:rFonts w:ascii="Times New Roman" w:hAnsi="Times New Roman"/>
          <w:b/>
          <w:sz w:val="20"/>
        </w:rPr>
        <w:t>Bakkt Marketplace</w:t>
      </w:r>
      <w:r>
        <w:rPr>
          <w:rFonts w:ascii="Times New Roman" w:hAnsi="Times New Roman"/>
          <w:sz w:val="20"/>
        </w:rPr>
        <w:t xml:space="preserve">), will transact with consumers on its platform for its own account, at a price determined by Bakkt, which will reflect a margin or other compensation to Bakkt. Bakkt Marketplace is not acting as broker on behalf of the consumer, and there is no assurance that prices on Bakkts platform will be as favorable to consumers as prices that may be available from other sources. To facilitate consumer transactions, Bakkt will enter into transactions in cryptoassets with trading counterparties. The prices at which Bakkt is able to transact with trading counterparties may affect the prices at which Bakkt buys or sells from or to consumers. In addition, Bakkt may enter into arrangements that give it an incentive to use certain trading counterparties for this purpose, which may also affect the price at which Bakkt Marketplace is willing to transact with its consumers. These arrangements may present conflicts of interest. Some consumers may object to Bakkts pricing model, as well as Bakkts arrangements with trading counterparties, and any negative views of users or market participants regarding Bakkts pricing and such arrangements could adversely affect Bakkts business. </w:t>
      </w:r>
    </w:p>
    <w:p>
      <w:pPr>
        <w:pStyle w:val="TextBody"/>
        <w:spacing w:before="360" w:after="0"/>
        <w:jc w:val="left"/>
        <w:rPr>
          <w:rFonts w:ascii="Times New Roman" w:hAnsi="Times New Roman"/>
          <w:b/>
          <w:i/>
          <w:sz w:val="20"/>
        </w:rPr>
      </w:pPr>
      <w:r>
        <w:rPr>
          <w:rFonts w:ascii="Times New Roman" w:hAnsi="Times New Roman"/>
          <w:b/>
          <w:i/>
          <w:sz w:val="20"/>
        </w:rPr>
        <w:t xml:space="preserve">There may be a general perception among regulators and others that cryptoassets are used to facilitate illegal activity such as fraud, money laundering, tax evasion and ransomware scams. Because Bakkt provides the ability to buy, sell, convert, spend and send certain cryptoassets, any negative perceptions associated with cryptoassets could harm Bakkts reputation and brand. </w:t>
      </w:r>
    </w:p>
    <w:p>
      <w:pPr>
        <w:pStyle w:val="TextBody"/>
        <w:spacing w:before="120" w:after="0"/>
        <w:jc w:val="left"/>
        <w:rPr>
          <w:rFonts w:ascii="Times New Roman" w:hAnsi="Times New Roman"/>
          <w:sz w:val="20"/>
        </w:rPr>
      </w:pPr>
      <w:r>
        <w:rPr>
          <w:rFonts w:ascii="Times New Roman" w:hAnsi="Times New Roman"/>
          <w:sz w:val="20"/>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Bakkts platform allows certain individuals and institutions that are direct customers of Bakkt Trust Company LLC (the </w:t>
      </w:r>
      <w:r>
        <w:rPr>
          <w:rFonts w:ascii="Times New Roman" w:hAnsi="Times New Roman"/>
          <w:b/>
          <w:sz w:val="20"/>
        </w:rPr>
        <w:t>Bakkt Warehouse</w:t>
      </w:r>
      <w:r>
        <w:rPr>
          <w:rFonts w:ascii="Times New Roman" w:hAnsi="Times New Roman"/>
          <w:sz w:val="20"/>
        </w:rPr>
        <w:t xml:space="preserve">) to deposit and withdraw cryptoassets, and Bakkts platform allows consumers to buy, sell, convert, spend and send cryptoassets, this perception may harm Bakkts reputation and brand because it could be viewed as facilitating, or could otherwise become associated with, these illegal activities. Any such negative perception of the Bakkt brand and reputation could harm Bakkts business. Further, banks may not provide banking services, or may cut off banking services, to businesses that provide cryptoasset-related services, which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could dampen liquidity in the market and damage the public perception of cryptoassets generally or any one digital asset in particular, such as Bitcoin, which could decrease the trading volume of cryptoassets. </w:t>
      </w:r>
    </w:p>
    <w:p>
      <w:pPr>
        <w:pStyle w:val="TextBody"/>
        <w:spacing w:before="360" w:after="0"/>
        <w:jc w:val="left"/>
        <w:rPr>
          <w:rFonts w:ascii="Times New Roman" w:hAnsi="Times New Roman"/>
          <w:b/>
          <w:i/>
          <w:sz w:val="20"/>
        </w:rPr>
      </w:pPr>
      <w:r>
        <w:rPr>
          <w:rFonts w:ascii="Times New Roman" w:hAnsi="Times New Roman"/>
          <w:b/>
          <w:i/>
          <w:sz w:val="20"/>
        </w:rPr>
        <w:t xml:space="preserve">Cryptoassets, such as Bitcoin, were only introduced within the past decade and distributed ledger technology continues to rapidly evolve. The unique characteristics of these digital assets present risks and challenges to Bakkt that could have a material adverse effect on its business. </w:t>
      </w:r>
    </w:p>
    <w:p>
      <w:pPr>
        <w:pStyle w:val="TextBody"/>
        <w:spacing w:before="120" w:after="0"/>
        <w:jc w:val="left"/>
        <w:rPr>
          <w:rFonts w:ascii="Times New Roman" w:hAnsi="Times New Roman"/>
          <w:sz w:val="20"/>
        </w:rPr>
      </w:pPr>
      <w:r>
        <w:rPr>
          <w:rFonts w:ascii="Times New Roman" w:hAnsi="Times New Roman"/>
          <w:sz w:val="20"/>
        </w:rPr>
        <w:t xml:space="preserve">Cryptoassets, such as Bitcoin, were only introduced within the past decade and distributed ledger technology continues to rapidly evolve. Given the infancy of the development of cryptoasset networks, parties may be unwilling to transact in cryptoassets, which would dampen the growth, if any, of cryptoasset networks. In its capacity as a cryptoasset custodian, Bakkts platform holds cryptoassets for individual and institutional customers, and buys, sells, sends and receives cryptoassets to fulfill buy and sell orders of its consumers, which it then holds on behalf of the consumers through the Bakkt Warehouse. The rate of change of cryptoasset networks can present technological challenges and require Bakkt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Bakkt to develop and incorporate new technologies to integrate with the new fork, which may require substantial expenditures, and take considerable time, if it can be done at all. Until such time as Bakkt develops and incorporates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Bakkts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Bakkts cryptoasset and custody business. </w:t>
      </w:r>
    </w:p>
    <w:p>
      <w:pPr>
        <w:pStyle w:val="TextBody"/>
        <w:spacing w:before="360" w:after="0"/>
        <w:jc w:val="left"/>
        <w:rPr>
          <w:rFonts w:ascii="Times New Roman" w:hAnsi="Times New Roman"/>
          <w:b/>
          <w:i/>
          <w:sz w:val="20"/>
        </w:rPr>
      </w:pPr>
      <w:r>
        <w:rPr>
          <w:rFonts w:ascii="Times New Roman" w:hAnsi="Times New Roman"/>
          <w:b/>
          <w:i/>
          <w:sz w:val="20"/>
        </w:rPr>
        <w:t xml:space="preserve">Bakkts financial results and the market price of the Bakkt Pubco Class A Common Stock may be adversely affected if price volatility of cryptoassets causes its internal market maker algorithm to malfunction. </w:t>
      </w:r>
    </w:p>
    <w:p>
      <w:pPr>
        <w:pStyle w:val="TextBody"/>
        <w:spacing w:before="120" w:after="0"/>
        <w:jc w:val="left"/>
        <w:rPr>
          <w:rFonts w:ascii="Times New Roman" w:hAnsi="Times New Roman"/>
          <w:sz w:val="20"/>
        </w:rPr>
      </w:pPr>
      <w:r>
        <w:rPr>
          <w:rFonts w:ascii="Times New Roman" w:hAnsi="Times New Roman"/>
          <w:sz w:val="20"/>
        </w:rPr>
        <w:t xml:space="preserve">Bakkt holds cryptoassets for its consumers through a consumer account at the Bakkt Warehouse, and Bakkt uses a proprietary algorithm that automatically maintains the appropriate level of cryptoassets in Bakkts treasury (proprietary) account for the purposes of maintaining its desired proprietary balance of cryptoassets and fulfilling the buy and sell orders of its consumers for cryptoassets. The price of cryptoassets have historically been subject to dramatic price fluctuations and are highly volatile and the value of Bakkts cryptoasset holdings could be affected. Additionally, it is possible that Bakkts algorithm could fail, for example, as a result of such dramatic price fluctuations, and cause Bakkt to have to buy or sell one or more cryptoassets for a loss relative to the price at which it bought or sold such cryptoassets to its consumers. Further, Bakkts algorithm could malfunction and buy or sell far more or far fewer cryptoassets than is necessary for the purposes of maintaining its desired proprietary balance of cryptoassets and fulfilling the buy and sell orders of its consumers for cryptoassets. Such a malfunction could cause Bakkt to hold dramatically more cryptoassets than it should hold or that it has the capital to acquire, or cause Bakkt to be unable to fulfill the buy orders of its consumers, all of which may cause Bakkt to experience damage to its reputation as well as financial losses. Any such losses caused by a malfunction of Bakkts algorithm may create significant volatility in Bakkts reported earnings. Any decrease in reported earnings or increased volatility of such earnings due to such losses could have a material adverse effect on the market price of the Bakkt Pubco Class A Common Stock. Further, any future changes in GAAP that require Bakkt to change the manner in which it accounts for its cryptoassets in its own account could have a material adverse effect on Bakkts financial results and the market price of the Bakkt Pubco Class A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Regulatory, Tax and Other Legal Risks </w:t>
      </w:r>
    </w:p>
    <w:p>
      <w:pPr>
        <w:pStyle w:val="TextBody"/>
        <w:spacing w:before="120" w:after="0"/>
        <w:jc w:val="left"/>
        <w:rPr>
          <w:rFonts w:ascii="Times New Roman" w:hAnsi="Times New Roman"/>
          <w:b/>
          <w:i/>
          <w:sz w:val="20"/>
        </w:rPr>
      </w:pPr>
      <w:r>
        <w:rPr>
          <w:rFonts w:ascii="Times New Roman" w:hAnsi="Times New Roman"/>
          <w:b/>
          <w:i/>
          <w:sz w:val="20"/>
        </w:rPr>
        <w:t xml:space="preserve">Bakkts business is subject to extensive government regulation, oversight, licensure and approvals. Bakkts failure to comply with extensive, complex, uncertain, overlapping, and frequently changing rules, regulations, and legal interpretations could materially harm Bakkts business. </w:t>
      </w:r>
    </w:p>
    <w:p>
      <w:pPr>
        <w:pStyle w:val="TextBody"/>
        <w:spacing w:before="120" w:after="0"/>
        <w:jc w:val="left"/>
        <w:rPr>
          <w:rFonts w:ascii="Times New Roman" w:hAnsi="Times New Roman"/>
          <w:sz w:val="20"/>
        </w:rPr>
      </w:pPr>
      <w:r>
        <w:rPr>
          <w:rFonts w:ascii="Times New Roman" w:hAnsi="Times New Roman"/>
          <w:sz w:val="20"/>
        </w:rPr>
        <w:t xml:space="preserve">Bakkts business is subject to laws, rules, regulations, policies, and legal interpretations in the markets in which Bakkt operates, including, but not limited to, those governing: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money transmission;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virtual currency business activity;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prepaid access;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consumer protection;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anti-money laundering;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counter-terrorist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privacy and data protection;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cybersecurity;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economic and trade sanctions;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commodities;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derivatives;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securities. </w:t>
            </w:r>
          </w:p>
        </w:tc>
      </w:tr>
    </w:tbl>
    <w:p>
      <w:pPr>
        <w:pStyle w:val="TextBody"/>
        <w:spacing w:before="240" w:after="0"/>
        <w:jc w:val="left"/>
        <w:rPr>
          <w:rFonts w:ascii="Times New Roman" w:hAnsi="Times New Roman"/>
          <w:sz w:val="20"/>
        </w:rPr>
      </w:pPr>
      <w:r>
        <w:rPr>
          <w:rFonts w:ascii="Times New Roman" w:hAnsi="Times New Roman"/>
          <w:sz w:val="20"/>
        </w:rPr>
        <w:t xml:space="preserve">Bakkt has been, and expects to continue to be, required to apply for and maintain various licenses, certifications, and regulatory approvals in jurisdictions where Bakkt provide its services, including due to changes in applicable laws and regulations or the interpretation of such laws and regulations. There can be no assurance that Bakkt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 </w:t>
      </w:r>
    </w:p>
    <w:p>
      <w:pPr>
        <w:pStyle w:val="TextBody"/>
        <w:spacing w:before="240" w:after="0"/>
        <w:jc w:val="left"/>
        <w:rPr>
          <w:rFonts w:ascii="Times New Roman" w:hAnsi="Times New Roman"/>
          <w:sz w:val="20"/>
        </w:rPr>
      </w:pPr>
      <w:r>
        <w:rPr>
          <w:rFonts w:ascii="Times New Roman" w:hAnsi="Times New Roman"/>
          <w:sz w:val="20"/>
        </w:rPr>
        <w:t xml:space="preserve">Bakkts success and increased visibility may result in increased regulatory oversight and enforcement and more restrictive rules and regulations that apply to Bakkts business. As Bakkt expands its business activities, both as to the products and services offered and into jurisdictions beyond the United States, Bakkt will become increasingly obligated to comply with new laws and regulations, including those of any additional countries or markets in which it operates.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Treasurys OFAC or U.S. anti-money laundering or counter-terrorist financing regulations. </w:t>
      </w:r>
    </w:p>
    <w:p>
      <w:pPr>
        <w:pStyle w:val="TextBody"/>
        <w:spacing w:before="240" w:after="0"/>
        <w:jc w:val="left"/>
        <w:rPr>
          <w:rFonts w:ascii="Times New Roman" w:hAnsi="Times New Roman"/>
          <w:sz w:val="20"/>
        </w:rPr>
      </w:pPr>
      <w:r>
        <w:rPr>
          <w:rFonts w:ascii="Times New Roman" w:hAnsi="Times New Roman"/>
          <w:sz w:val="20"/>
        </w:rPr>
        <w:t xml:space="preserve">Additionally, significant parts of Bakkts business, such as its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the ability of Bakkt to continue to operate, and such actions could affect the ability of Bakkt to continue as a going concern, which would have a material adverse effect on its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prospects or 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 </w:t>
      </w:r>
    </w:p>
    <w:p>
      <w:pPr>
        <w:pStyle w:val="TextBody"/>
        <w:spacing w:before="240" w:after="0"/>
        <w:jc w:val="left"/>
        <w:rPr>
          <w:rFonts w:ascii="Times New Roman" w:hAnsi="Times New Roman"/>
          <w:sz w:val="20"/>
        </w:rPr>
      </w:pPr>
      <w:r>
        <w:rPr>
          <w:rFonts w:ascii="Times New Roman" w:hAnsi="Times New Roman"/>
          <w:sz w:val="20"/>
        </w:rPr>
        <w:t xml:space="preserve">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Bakkt to liability, significant fines, penalties, criminal and civil lawsuits, forfeiture of significant assets, and enforcement actions in one or more jurisdictions, result in additional compliance and licensure requirements, increase regulatory scrutiny of Bakkts business, restrict Bakkts operations, and force Bakkt to change its business practices, make product or operational changes, including ceasing its operations in certain jurisdictions, or delaying planned product launches or improvements. Any of the foregoing could, individually or in the aggregate, harm Bakkts reputation, damage Bakkts brands and business, impose substantial costs, and adversely affect Bakkts results of operations and financial condition. The complexity of U.S. federal and state regulatory and enforcement regimes, coupled with the scope of Bakkts operations and the evolving regulatory environment, could result in a single event giving rise to a large number of overlapping investigations and legal and regulatory proceedings by multiple authorities. Bakkt has implemented policies and procedures designed to help ensure compliance with applicable laws and regulations, but there can be no assurance that Bakkts employees, contractors, or agents will not violate such laws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The U.S. state and federal regulatory regime governing blockchain technologies and cryptocurrencies is uncertain, and new regulations or policies may alter Bakkts business practices with respect to cryptocurrencies. </w:t>
      </w:r>
    </w:p>
    <w:p>
      <w:pPr>
        <w:pStyle w:val="TextBody"/>
        <w:spacing w:before="120" w:after="0"/>
        <w:jc w:val="left"/>
        <w:rPr>
          <w:rFonts w:ascii="Times New Roman" w:hAnsi="Times New Roman"/>
          <w:sz w:val="20"/>
        </w:rPr>
      </w:pPr>
      <w:r>
        <w:rPr>
          <w:rFonts w:ascii="Times New Roman" w:hAnsi="Times New Roman"/>
          <w:sz w:val="20"/>
        </w:rPr>
        <w:t>Bakkt will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w:t>
      </w:r>
      <w:r>
        <w:rPr>
          <w:rFonts w:ascii="Times New Roman" w:hAnsi="Times New Roman"/>
          <w:b/>
          <w:sz w:val="20"/>
        </w:rPr>
        <w:t>FinCEN</w:t>
      </w:r>
      <w:r>
        <w:rPr>
          <w:rFonts w:ascii="Times New Roman" w:hAnsi="Times New Roman"/>
          <w:sz w:val="20"/>
        </w:rPr>
        <w:t xml:space="preserve">), the IRS, and certain state regulators have made official pronouncements or issued guidance or rules regarding the treatment of Bitcoin and other cryptocurrencies. However, there remains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remains some uncertainties about the application of this guidance to certain cryptoasset businesses. Changes to FinCENs rules, regulations and guidance could subject Bakkt to increased scrutiny and/or require updates to Bakkts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 </w:t>
      </w:r>
    </w:p>
    <w:p>
      <w:pPr>
        <w:pStyle w:val="TextBody"/>
        <w:spacing w:before="240" w:after="0"/>
        <w:jc w:val="left"/>
        <w:rPr>
          <w:rFonts w:ascii="Times New Roman" w:hAnsi="Times New Roman"/>
          <w:sz w:val="20"/>
        </w:rPr>
      </w:pPr>
      <w:r>
        <w:rPr>
          <w:rFonts w:ascii="Times New Roman" w:hAnsi="Times New Roman"/>
          <w:sz w:val="20"/>
        </w:rPr>
        <w:t>Meanwhile, certain state regulators, such as the New York State Department of Financial Services (</w:t>
      </w:r>
      <w:r>
        <w:rPr>
          <w:rFonts w:ascii="Times New Roman" w:hAnsi="Times New Roman"/>
          <w:b/>
          <w:sz w:val="20"/>
        </w:rPr>
        <w:t>NYSDFS</w:t>
      </w:r>
      <w:r>
        <w:rPr>
          <w:rFonts w:ascii="Times New Roman" w:hAnsi="Times New Roman"/>
          <w:sz w:val="20"/>
        </w:rPr>
        <w:t xml:space="preserve">), have created or are in the process of creating new regulatory frameworks with respect to virtual currency. For example, in 2015, the NYSDFS adopted the first U.S. regulatory framework for licensing participants in virtual currency business activity. The regulation, known informally as the BitLicense,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states may adopt similar statutes and regulations which will require Bakkt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proposed rule, which is expected to be issued as a final rule by the Louisiana Office of Financial Institutions in 2021.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 </w:t>
      </w:r>
    </w:p>
    <w:p>
      <w:pPr>
        <w:pStyle w:val="TextBody"/>
        <w:spacing w:before="240" w:after="0"/>
        <w:jc w:val="left"/>
        <w:rPr>
          <w:rFonts w:ascii="Times New Roman" w:hAnsi="Times New Roman"/>
          <w:sz w:val="20"/>
        </w:rPr>
      </w:pPr>
      <w:r>
        <w:rPr>
          <w:rFonts w:ascii="Times New Roman" w:hAnsi="Times New Roman"/>
          <w:sz w:val="20"/>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w:t>
      </w:r>
      <w:r>
        <w:rPr>
          <w:rFonts w:ascii="Times New Roman" w:hAnsi="Times New Roman"/>
          <w:b/>
          <w:sz w:val="20"/>
        </w:rPr>
        <w:t>CFTC</w:t>
      </w:r>
      <w:r>
        <w:rPr>
          <w:rFonts w:ascii="Times New Roman" w:hAnsi="Times New Roman"/>
          <w:sz w:val="20"/>
        </w:rPr>
        <w:t>) staff has publicly taken the position that certain virtual currencies, which can include cryptocurrencies,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w:t>
      </w:r>
      <w:r>
        <w:rPr>
          <w:rFonts w:ascii="Times New Roman" w:hAnsi="Times New Roman"/>
          <w:b/>
          <w:sz w:val="20"/>
        </w:rPr>
        <w:t>CEA</w:t>
      </w:r>
      <w:r>
        <w:rPr>
          <w:rFonts w:ascii="Times New Roman" w:hAnsi="Times New Roman"/>
          <w:sz w:val="20"/>
        </w:rPr>
        <w:t xml:space="preserve">), Bakkt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Bakkts Bitcoin futures contract is traded, it may have a significant adverse impact on Bakkts business and plan of operations. </w:t>
      </w:r>
    </w:p>
    <w:p>
      <w:pPr>
        <w:pStyle w:val="TextBody"/>
        <w:spacing w:before="240" w:after="0"/>
        <w:jc w:val="left"/>
        <w:rPr>
          <w:rFonts w:ascii="Times New Roman" w:hAnsi="Times New Roman"/>
          <w:sz w:val="20"/>
        </w:rPr>
      </w:pPr>
      <w:r>
        <w:rPr>
          <w:rFonts w:ascii="Times New Roman" w:hAnsi="Times New Roman"/>
          <w:sz w:val="20"/>
        </w:rPr>
        <w:t xml:space="preserve">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Bakkt currently conducts some aspects of its business. </w:t>
      </w:r>
    </w:p>
    <w:p>
      <w:pPr>
        <w:pStyle w:val="TextBody"/>
        <w:spacing w:before="360" w:after="0"/>
        <w:jc w:val="left"/>
        <w:rPr>
          <w:rFonts w:ascii="Times New Roman" w:hAnsi="Times New Roman"/>
          <w:b/>
          <w:i/>
          <w:sz w:val="20"/>
        </w:rPr>
      </w:pPr>
      <w:r>
        <w:rPr>
          <w:rFonts w:ascii="Times New Roman" w:hAnsi="Times New Roman"/>
          <w:b/>
          <w:i/>
          <w:sz w:val="20"/>
        </w:rPr>
        <w:t xml:space="preserve">Bakkt is subject to anti-money laundering and counter terrorist financing laws and regulations, globally, including the USA PATRIOT Act, and failure to comply with such laws and regulations may subject Bakkt to liability. There can be no assurance that its employees or agents will not violate such laws and regulations. </w:t>
      </w:r>
    </w:p>
    <w:p>
      <w:pPr>
        <w:pStyle w:val="TextBody"/>
        <w:spacing w:before="120" w:after="0"/>
        <w:jc w:val="left"/>
        <w:rPr>
          <w:rFonts w:ascii="Times New Roman" w:hAnsi="Times New Roman"/>
          <w:sz w:val="20"/>
        </w:rPr>
      </w:pPr>
      <w:r>
        <w:rPr>
          <w:rFonts w:ascii="Times New Roman" w:hAnsi="Times New Roman"/>
          <w:sz w:val="20"/>
        </w:rPr>
        <w:t>Bakkt is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the U.S. Department of the Treasurys Office of Foreign Assets Control (</w:t>
      </w:r>
      <w:r>
        <w:rPr>
          <w:rFonts w:ascii="Times New Roman" w:hAnsi="Times New Roman"/>
          <w:b/>
          <w:sz w:val="20"/>
        </w:rPr>
        <w:t>OFAC</w:t>
      </w:r>
      <w:r>
        <w:rPr>
          <w:rFonts w:ascii="Times New Roman" w:hAnsi="Times New Roman"/>
          <w:sz w:val="20"/>
        </w:rPr>
        <w:t xml:space="preserve">). These regulations prohibit, among other things, Bakkts involvement in transferring the proceeds of criminal activities. Under OFACs economic sanctions program, Bakkt is prohibited from financial transactions and other dealings with certain countries and geographies and with persons and entities included in OFAC sanctions lists, including its list of Specially Designated Nationals and Blocked Persons. </w:t>
      </w:r>
    </w:p>
    <w:p>
      <w:pPr>
        <w:pStyle w:val="TextBody"/>
        <w:spacing w:before="240" w:after="0"/>
        <w:jc w:val="left"/>
        <w:rPr>
          <w:rFonts w:ascii="Times New Roman" w:hAnsi="Times New Roman"/>
          <w:sz w:val="20"/>
        </w:rPr>
      </w:pPr>
      <w:r>
        <w:rPr>
          <w:rFonts w:ascii="Times New Roman" w:hAnsi="Times New Roman"/>
          <w:sz w:val="20"/>
        </w:rPr>
        <w:t xml:space="preserve">Bakkt has implemented policies and procedures designed to help ensure compliance with these laws and regulations. However, regulators in the United States, where Bakkt currently operates, continue to increase their scrutiny of compliance with these obligations, which may require Bakkt to further revise or expand its compliance program, including the procedures it uses to verify the identity of consumers and to monitor transactions. Regulators regularly re-examine the transaction volume thresholds at which Bakkt must obtain and keep applicable records or verify identities of consumers and any change in such thresholds could result in greater costs for compliance. Bakkts failure to comply with such laws and regulations, as required by its regulators, may expose Bakkt to liability or enforcement 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also can be no assurance that its employees or agents will not violate such anti-money laundering and counter terrorist financing laws and regulations. A failure by Bakkt or its employees or agents to comply with such laws and regulations and subsequent judgment or settlement against Bakkt under these laws could subject Bakkt to monetary penalties, damages, and/or have a significant reputational impact. </w:t>
      </w:r>
    </w:p>
    <w:p>
      <w:pPr>
        <w:pStyle w:val="TextBody"/>
        <w:spacing w:before="360" w:after="0"/>
        <w:jc w:val="left"/>
        <w:rPr>
          <w:rFonts w:ascii="Times New Roman" w:hAnsi="Times New Roman"/>
          <w:b/>
          <w:i/>
          <w:sz w:val="20"/>
        </w:rPr>
      </w:pPr>
      <w:r>
        <w:rPr>
          <w:rFonts w:ascii="Times New Roman" w:hAnsi="Times New Roman"/>
          <w:b/>
          <w:i/>
          <w:sz w:val="20"/>
        </w:rPr>
        <w:t xml:space="preserve">Digital assets are currently subject to many different, and potentially overlapping, regulatory regimes, and may in the future be subject to different regulatory regimes than those that are currently in effect. There can be no assurance that Bakkt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 </w:t>
      </w:r>
    </w:p>
    <w:p>
      <w:pPr>
        <w:pStyle w:val="TextBody"/>
        <w:spacing w:before="120" w:after="0"/>
        <w:jc w:val="left"/>
        <w:rPr>
          <w:rFonts w:ascii="Times New Roman" w:hAnsi="Times New Roman"/>
          <w:sz w:val="20"/>
        </w:rPr>
      </w:pPr>
      <w:r>
        <w:rPr>
          <w:rFonts w:ascii="Times New Roman" w:hAnsi="Times New Roman"/>
          <w:sz w:val="20"/>
        </w:rPr>
        <w:t xml:space="preserve">The digital assets that Bakkt currently intends to include in its platform include cryptoassets, consumer loyalty and rewards programs, merchant closed-loop gift cards, and in-game payments. Bakkt plans to enable trading of traditional equity securities on its platform, but only through a registered broker-dealer. Bakkt does not presently plan to include cryptoasset securities in its platform. Each of the digital assets that Bakkt intends to include within its platform is currently subject to certain regulatory regimes and may in the future be subject to different regulatory regimes than those that are currently in effect. There can also be no assurance that Bakkt will be able to comply with all of the regulatory regimes that currently apply or may be applied in the future to these digital assets. In addition, it is possible that certain regulatory regimes will make it prohibitively expensive or impossible for Bakkt to provide its planned functionality for one or more digital assets. </w:t>
      </w:r>
    </w:p>
    <w:p>
      <w:pPr>
        <w:pStyle w:val="TextBody"/>
        <w:spacing w:before="240" w:after="0"/>
        <w:jc w:val="left"/>
        <w:rPr>
          <w:rFonts w:ascii="Times New Roman" w:hAnsi="Times New Roman"/>
          <w:sz w:val="20"/>
        </w:rPr>
      </w:pPr>
      <w:r>
        <w:rPr>
          <w:rFonts w:ascii="Times New Roman" w:hAnsi="Times New Roman"/>
          <w:sz w:val="20"/>
        </w:rPr>
        <w:t xml:space="preserve">Bakkt evaluates which cryptoassets to include on its platform pursuant to a new cryptoasset listing policy, which includes review by operational, legal and compliance functions. While Bakkt plans to enable traditional equity securities trading on its platform through a broker-dealer, Bakkt does not currently intend to include cryptoassets that are securities among the digital assets offered through Bakkt Marketplace. </w:t>
      </w:r>
    </w:p>
    <w:p>
      <w:pPr>
        <w:pStyle w:val="TextBody"/>
        <w:spacing w:before="240" w:after="0"/>
        <w:jc w:val="left"/>
        <w:rPr>
          <w:rFonts w:ascii="Times New Roman" w:hAnsi="Times New Roman"/>
          <w:sz w:val="20"/>
        </w:rPr>
      </w:pPr>
      <w:r>
        <w:rPr>
          <w:rFonts w:ascii="Times New Roman" w:hAnsi="Times New Roman"/>
          <w:sz w:val="20"/>
        </w:rPr>
        <w:t xml:space="preserve">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t>
      </w:r>
    </w:p>
    <w:p>
      <w:pPr>
        <w:pStyle w:val="TextBody"/>
        <w:spacing w:before="240" w:after="0"/>
        <w:jc w:val="left"/>
        <w:rPr>
          <w:rFonts w:ascii="Times New Roman" w:hAnsi="Times New Roman"/>
          <w:sz w:val="20"/>
        </w:rPr>
      </w:pPr>
      <w:r>
        <w:rPr>
          <w:rFonts w:ascii="Times New Roman" w:hAnsi="Times New Roman"/>
          <w:sz w:val="20"/>
        </w:rPr>
        <w:t xml:space="preserve">While we currently operate only in the United States, we intend to expand internationally and will be required to comply with the securities (and other) laws of those jurisdictions as we do so. Foreign jurisdictions 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w:t>
      </w:r>
    </w:p>
    <w:p>
      <w:pPr>
        <w:pStyle w:val="TextBody"/>
        <w:spacing w:before="240" w:after="0"/>
        <w:jc w:val="left"/>
        <w:rPr>
          <w:rFonts w:ascii="Times New Roman" w:hAnsi="Times New Roman"/>
          <w:sz w:val="20"/>
        </w:rPr>
      </w:pPr>
      <w:r>
        <w:rPr>
          <w:rFonts w:ascii="Times New Roman" w:hAnsi="Times New Roman"/>
          <w:sz w:val="20"/>
        </w:rPr>
        <w:t xml:space="preserve">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(ATS)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 </w:t>
      </w:r>
    </w:p>
    <w:p>
      <w:pPr>
        <w:pStyle w:val="TextBody"/>
        <w:spacing w:before="240" w:after="0"/>
        <w:jc w:val="left"/>
        <w:rPr>
          <w:rFonts w:ascii="Times New Roman" w:hAnsi="Times New Roman"/>
          <w:sz w:val="20"/>
        </w:rPr>
      </w:pPr>
      <w:r>
        <w:rPr>
          <w:rFonts w:ascii="Times New Roman" w:hAnsi="Times New Roman"/>
          <w:sz w:val="20"/>
        </w:rPr>
        <w:t xml:space="preserve">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 </w:t>
      </w:r>
    </w:p>
    <w:p>
      <w:pPr>
        <w:pStyle w:val="TextBody"/>
        <w:spacing w:before="240" w:after="0"/>
        <w:jc w:val="left"/>
        <w:rPr>
          <w:rFonts w:ascii="Times New Roman" w:hAnsi="Times New Roman"/>
          <w:sz w:val="20"/>
        </w:rPr>
      </w:pPr>
      <w:r>
        <w:rPr>
          <w:rFonts w:ascii="Times New Roman" w:hAnsi="Times New Roman"/>
          <w:sz w:val="20"/>
        </w:rPr>
        <w:t xml:space="preserve">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Bakkts plans to offer equity securities through its platform may expose it to significant regulatory and legal scrutiny and risk. </w:t>
      </w:r>
    </w:p>
    <w:p>
      <w:pPr>
        <w:pStyle w:val="TextBody"/>
        <w:spacing w:before="240" w:after="0"/>
        <w:jc w:val="left"/>
        <w:rPr>
          <w:rFonts w:ascii="Times New Roman" w:hAnsi="Times New Roman"/>
          <w:sz w:val="20"/>
        </w:rPr>
      </w:pPr>
      <w:r>
        <w:rPr>
          <w:rFonts w:ascii="Times New Roman" w:hAnsi="Times New Roman"/>
          <w:sz w:val="20"/>
        </w:rPr>
        <w:t>Bakkt plans to add equity securities trading functionality for its customers on its platform in the future. To do so, Bakkt plans to register as a broker-dealer with the SEC and become a member of the Financial Industry Regulatory Authority, Inc. (</w:t>
      </w:r>
      <w:r>
        <w:rPr>
          <w:rFonts w:ascii="Times New Roman" w:hAnsi="Times New Roman"/>
          <w:b/>
          <w:sz w:val="20"/>
        </w:rPr>
        <w:t>FINRA</w:t>
      </w:r>
      <w:r>
        <w:rPr>
          <w:rFonts w:ascii="Times New Roman" w:hAnsi="Times New Roman"/>
          <w:sz w:val="20"/>
        </w:rPr>
        <w:t xml:space="preserve">), and register in those states in which it expects to conduct its broker-dealer activities (States), in 2021. Bakkt expects that this process will be lengthy and there can be no guarantee that Bakkt will be successful in obtaining its broker-dealer license. As a registered broker-dealer, Bakkt would become subject to the rules and regulations of the SEC, the States, and FINRA, which will be material to its business and likely to impose substantial costs. The regulations applicable to broker-dealers cover all aspect of their securities business, including sales practices, use and safekeeping of customers funds and securities, capital adequacy, record-keeping, and the conduct and qualification of directors, officers, employees and other related parties. As part of the regulatory process, Bakkt would be subject to examinations and inspections by the SEC, the States, and FINRA. </w:t>
      </w:r>
    </w:p>
    <w:p>
      <w:pPr>
        <w:pStyle w:val="TextBody"/>
        <w:spacing w:before="240" w:after="0"/>
        <w:jc w:val="left"/>
        <w:rPr>
          <w:rFonts w:ascii="Times New Roman" w:hAnsi="Times New Roman"/>
          <w:sz w:val="20"/>
        </w:rPr>
      </w:pPr>
      <w:r>
        <w:rPr>
          <w:rFonts w:ascii="Times New Roman" w:hAnsi="Times New Roman"/>
          <w:sz w:val="20"/>
        </w:rPr>
        <w:t xml:space="preserve">For Bakkt to add equity securities trading functionality to its platform in the future, it may also need to conduct its business with the assistance of another licensed broker-dealer. Should Bakkt enter into such an arrangement, Bakkt may be exposed to certain regulatory and legal risks, either as a result of its own actions or the actions of the licensed broker-dealer. </w:t>
      </w:r>
    </w:p>
    <w:p>
      <w:pPr>
        <w:pStyle w:val="TextBody"/>
        <w:spacing w:before="360" w:after="0"/>
        <w:jc w:val="left"/>
        <w:rPr>
          <w:rFonts w:ascii="Times New Roman" w:hAnsi="Times New Roman"/>
          <w:b/>
          <w:i/>
          <w:sz w:val="20"/>
        </w:rPr>
      </w:pPr>
      <w:r>
        <w:rPr>
          <w:rFonts w:ascii="Times New Roman" w:hAnsi="Times New Roman"/>
          <w:b/>
          <w:i/>
          <w:sz w:val="20"/>
        </w:rPr>
        <w:t xml:space="preserve">Bakkt is subject to anti-corruption laws and regulations, globally, including the U.S. Foreign Corrupt Practices Act, and there can be no assurance that its employees or agents will not violate such laws and regulations. </w:t>
      </w:r>
    </w:p>
    <w:p>
      <w:pPr>
        <w:pStyle w:val="TextBody"/>
        <w:spacing w:before="120" w:after="0"/>
        <w:jc w:val="left"/>
        <w:rPr>
          <w:rFonts w:ascii="Times New Roman" w:hAnsi="Times New Roman"/>
          <w:sz w:val="20"/>
        </w:rPr>
      </w:pPr>
      <w:r>
        <w:rPr>
          <w:rFonts w:ascii="Times New Roman" w:hAnsi="Times New Roman"/>
          <w:sz w:val="20"/>
        </w:rPr>
        <w:t xml:space="preserve">Bakkt is also subject to anti-corruption laws and regulations globally, including the U.S. Foreign Corrupt Practices Act. Bakkt has implemented policies and procedures designed to help ensure compliance with these laws and regulations, but there can be no assurance that its employees or agents will not violate such laws and regulations. A failure by Bakkt or its employees or agents to comply with such laws and regulations and subsequent judgment or settlement against Bakkt under these laws could subject Bakkt to monetary penalties, damages, and/or have a significant reputational impact. </w:t>
      </w:r>
    </w:p>
    <w:p>
      <w:pPr>
        <w:pStyle w:val="TextBody"/>
        <w:spacing w:before="360" w:after="0"/>
        <w:jc w:val="left"/>
        <w:rPr>
          <w:rFonts w:ascii="Times New Roman" w:hAnsi="Times New Roman"/>
          <w:b/>
          <w:i/>
          <w:sz w:val="20"/>
        </w:rPr>
      </w:pPr>
      <w:r>
        <w:rPr>
          <w:rFonts w:ascii="Times New Roman" w:hAnsi="Times New Roman"/>
          <w:b/>
          <w:i/>
          <w:sz w:val="20"/>
        </w:rPr>
        <w:t xml:space="preserve">Bakkt is subject to federal and state consumer protection laws and regulations in the jurisdictions in which it operates, which may result in liability or expense, including potential private rights of action, if Bakkt does not comply, or is alleged not to comply, with such laws. </w:t>
      </w:r>
    </w:p>
    <w:p>
      <w:pPr>
        <w:pStyle w:val="TextBody"/>
        <w:spacing w:before="120" w:after="0"/>
        <w:jc w:val="left"/>
        <w:rPr>
          <w:rFonts w:ascii="Times New Roman" w:hAnsi="Times New Roman"/>
          <w:sz w:val="20"/>
        </w:rPr>
      </w:pPr>
      <w:r>
        <w:rPr>
          <w:rFonts w:ascii="Times New Roman" w:hAnsi="Times New Roman"/>
          <w:sz w:val="20"/>
        </w:rPr>
        <w:t>Bakkt is subject to federal and state consumer protection laws and regulations in the jurisdictions in which it operates. In the United States, Bakkt Marketplace is subject to federal and state consumer protection laws and regulations applicable to its activities, including the Electronic Fund Transfer Act (</w:t>
      </w:r>
      <w:r>
        <w:rPr>
          <w:rFonts w:ascii="Times New Roman" w:hAnsi="Times New Roman"/>
          <w:b/>
          <w:sz w:val="20"/>
        </w:rPr>
        <w:t>EFTA</w:t>
      </w:r>
      <w:r>
        <w:rPr>
          <w:rFonts w:ascii="Times New Roman" w:hAnsi="Times New Roman"/>
          <w:sz w:val="20"/>
        </w:rPr>
        <w:t xml:space="preserve">) and Regulation E as implemented by the CFPB. These regulations require Bakkt to provide advance disclosure of changes to its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Bakkts business model and to cryptoassets. Bakkt Marketplace may be considered a covered person for purposes of the CFPBs enforcement authority, and may additionally be subject to the authority of the Federal Trade Commission. Under certain consumer protection rules and regulations, Bakkt may be exposed to significant liability to consumers in the event that there is an incident which results in a large number of unauthorized and fraudulent transfers out of its system. Additionally, Bakkt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Bakkt could also be liable for plaintiffs attorneys fees in such cases. Bakkt could be subject to, and could be required to pay amounts in settlement of, lawsuits containing allegations that its business violated the EFTA and Regulation E or otherwise advance claims for relief relating to its business practices.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Bakkt is in the process of implementing certain changes to comply with the final rule. Bakkt expects that such implementation will require it to make substantial changes to the design of certain U.S. consumer accounts and their operability, which could lead to consumer dissatisfaction, require Bakkt to reallocate resources, and increase its costs, which could negatively affect Bakkts business. </w:t>
      </w:r>
    </w:p>
    <w:p>
      <w:pPr>
        <w:pStyle w:val="TextBody"/>
        <w:spacing w:before="360" w:after="0"/>
        <w:jc w:val="left"/>
        <w:rPr>
          <w:rFonts w:ascii="Times New Roman" w:hAnsi="Times New Roman"/>
          <w:b/>
          <w:i/>
          <w:sz w:val="20"/>
        </w:rPr>
      </w:pPr>
      <w:r>
        <w:rPr>
          <w:rFonts w:ascii="Times New Roman" w:hAnsi="Times New Roman"/>
          <w:b/>
          <w:i/>
          <w:sz w:val="20"/>
        </w:rPr>
        <w:t xml:space="preserve">Complying with evolving privacy and other data related laws and requirements may be expensive and force Bakkt to make adverse changes to its business, and failure to comply with such laws and requirements could result in substantial harm to its business. </w:t>
      </w:r>
    </w:p>
    <w:p>
      <w:pPr>
        <w:pStyle w:val="TextBody"/>
        <w:spacing w:before="120" w:after="0"/>
        <w:jc w:val="left"/>
        <w:rPr>
          <w:rFonts w:ascii="Times New Roman" w:hAnsi="Times New Roman"/>
          <w:sz w:val="20"/>
        </w:rPr>
      </w:pPr>
      <w:r>
        <w:rPr>
          <w:rFonts w:ascii="Times New Roman" w:hAnsi="Times New Roman"/>
          <w:sz w:val="20"/>
        </w:rPr>
        <w:t>Bakkt is subject to a number of laws, rules, directives, and regulations (</w:t>
      </w:r>
      <w:r>
        <w:rPr>
          <w:rFonts w:ascii="Times New Roman" w:hAnsi="Times New Roman"/>
          <w:b/>
          <w:sz w:val="20"/>
        </w:rPr>
        <w:t>privacy laws</w:t>
      </w:r>
      <w:r>
        <w:rPr>
          <w:rFonts w:ascii="Times New Roman" w:hAnsi="Times New Roman"/>
          <w:sz w:val="20"/>
        </w:rPr>
        <w:t>) relating to the collection, use, retention, security, processing, and transfer of personally identifiable information about its consumers and employees (</w:t>
      </w:r>
      <w:r>
        <w:rPr>
          <w:rFonts w:ascii="Times New Roman" w:hAnsi="Times New Roman"/>
          <w:b/>
          <w:sz w:val="20"/>
        </w:rPr>
        <w:t>personal data</w:t>
      </w:r>
      <w:r>
        <w:rPr>
          <w:rFonts w:ascii="Times New Roman" w:hAnsi="Times New Roman"/>
          <w:sz w:val="20"/>
        </w:rPr>
        <w:t xml:space="preserve">) in the jurisdictions where Bakkt operates. Bakkts business relies on the processing of data and the movement of data, and, as a result, much of the personal data that Bakkt processes, especially financial information, may be regulated by multiple privacy laws. In many cases, these laws apply not only to third-party transactions, but also to transfers of information between or among Bakkt, its subsidiaries, and other parties with which Bakkt has commercial relationships. Regulatory scrutiny of privacy, data protection, and the collection, storage, use, and sharing of personal data is increasing across multiple jurisdictions. </w:t>
      </w:r>
    </w:p>
    <w:p>
      <w:pPr>
        <w:pStyle w:val="TextBody"/>
        <w:spacing w:before="240" w:after="0"/>
        <w:jc w:val="left"/>
        <w:rPr>
          <w:rFonts w:ascii="Times New Roman" w:hAnsi="Times New Roman"/>
          <w:sz w:val="20"/>
        </w:rPr>
      </w:pPr>
      <w:r>
        <w:rPr>
          <w:rFonts w:ascii="Times New Roman" w:hAnsi="Times New Roman"/>
          <w:sz w:val="20"/>
        </w:rPr>
        <w:t xml:space="preserve">Furthermore, privacy laws and laws regarding data protection and the use of the Internet as a commercial medium, the use of data in artificial intelligence and machine learning, and data sovereignty requirements are rapidly evolving, extensive, complex, and include inconsistencies and uncertainties. Examples of recent and anticipated developments that have or could impact Bakkts business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5"/>
        <w:gridCol w:w="102"/>
        <w:gridCol w:w="9797"/>
      </w:tblGrid>
      <w:tr>
        <w:trPr/>
        <w:tc>
          <w:tcPr>
            <w:tcW w:w="101"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January 2020, the California Consumer Privacy Act (</w:t>
            </w:r>
            <w:r>
              <w:rPr>
                <w:rFonts w:ascii="Times New Roman" w:hAnsi="Times New Roman"/>
                <w:b/>
                <w:sz w:val="20"/>
              </w:rPr>
              <w:t>CCPA</w:t>
            </w:r>
            <w:r>
              <w:rPr>
                <w:rFonts w:ascii="Times New Roman" w:hAnsi="Times New Roman"/>
                <w:sz w:val="20"/>
              </w:rPr>
              <w:t xml:space="preserve">) took effect, providing California residents increased privacy rights and protections, including the ability to opt out of sales of their personal information. The CCPA may increase Bakkts compliance costs and exposure to liability. Other U.S. states are considering adopting similar 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United States government is considering regulating artificial intelligence and machine learning.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certifications Bakkt maintains and standards it complies with, including PCI-DSS, among others, are becoming more stringent. </w:t>
            </w:r>
          </w:p>
        </w:tc>
      </w:tr>
    </w:tbl>
    <w:p>
      <w:pPr>
        <w:pStyle w:val="TextBody"/>
        <w:spacing w:before="240" w:after="0"/>
        <w:jc w:val="left"/>
        <w:rPr>
          <w:rFonts w:ascii="Times New Roman" w:hAnsi="Times New Roman"/>
          <w:sz w:val="20"/>
        </w:rPr>
      </w:pPr>
      <w:r>
        <w:rPr>
          <w:rFonts w:ascii="Times New Roman" w:hAnsi="Times New Roman"/>
          <w:sz w:val="20"/>
        </w:rPr>
        <w:t xml:space="preserve">These and other similar legal and regulatory developments could contribute to legal and economic uncertainty, affect how Bakkt designs, markets, sells, and operates its platform, how Bakkts merchant partners, consumers and vendors process and share data, how Bakkt processes and uses data, and how Bakkt transfers personal data from one jurisdiction to another, which could negatively impact demand for Bakkts platform. Bakkt may incur substantial costs to comply with such laws and regulations, to meet the demands of its merchant partners relating to their own compliance with applicable laws and regulations, and to establish and maintain internal policies, self-certifications, and third-party certifications supporting Bakkts compliance programs. Bakkts merchant partners may delegate their privacy law obligations to Bakkt via contract, and Bakkt may otherwise be required to expend resources to assist its merchant partners with such compliance obligations. In addition, any actual or perceived non-compliance with applicable laws, regulations, policies, industry data protections, security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standards and certifications could result in proceedings, investigations, or claims against Bakkt by regulatory authorities, consumers, merchant partners, or others, leading to reputational harm, significant fines, litigation costs, and damages. All of these impacts could have a material adverse effect on Bakkts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Bakkt publishes privacy policies and other documentation regarding its collection, processing, use, and disclosure of personal information, credit card information, or other confidential information. Although Bakkt endeavors to comply with its published policies, certifications, and documentation, Bakkt may at times fail to do so or may be perceived to have failed to do so. Moreover, despite Bakkts efforts, it may not be successful in achieving compliance if its employees or vendors fail to comply with Bakkts published policies, certifications, and documentation. Such failures can subject Bakkt to potential local, state, and federal action if they are found to be deceptive, unfair, or misrepresentative of its actual practices. </w:t>
      </w:r>
    </w:p>
    <w:p>
      <w:pPr>
        <w:pStyle w:val="TextBody"/>
        <w:spacing w:before="240" w:after="0"/>
        <w:jc w:val="left"/>
        <w:rPr>
          <w:rFonts w:ascii="Times New Roman" w:hAnsi="Times New Roman"/>
          <w:sz w:val="20"/>
        </w:rPr>
      </w:pPr>
      <w:r>
        <w:rPr>
          <w:rFonts w:ascii="Times New Roman" w:hAnsi="Times New Roman"/>
          <w:sz w:val="20"/>
        </w:rPr>
        <w:t>In addition, because of the large number of text messages, emails, phone calls, and other communications Bakkt sends or makes to its consumers for various business purposes, communication-related privacy laws that provide a specified monetary damage award or fine for each violation could result in particularly significant damage awards or fines. For example, under the Telephone Consumer Protection Act (</w:t>
      </w:r>
      <w:r>
        <w:rPr>
          <w:rFonts w:ascii="Times New Roman" w:hAnsi="Times New Roman"/>
          <w:b/>
          <w:sz w:val="20"/>
        </w:rPr>
        <w:t>TCPA</w:t>
      </w:r>
      <w:r>
        <w:rPr>
          <w:rFonts w:ascii="Times New Roman" w:hAnsi="Times New Roman"/>
          <w:sz w:val="20"/>
        </w:rPr>
        <w:t xml:space="preserve">), in the U.S., plaintiffs may seek actual monetary loss or statutory damages of $500 per violation, whichever is greater, and courts may triple the damage award for willful or knowing violations. Bakkt could be subject to lawsuits (including class-action lawsuits) containing allegations that its business violated the TCPA. These lawsuits seek damages (including statutory damages) and injunctive relief, among other remedies. Given the large number of communications Bakkt send to its consumers, a determination that there have been violations of the TCPA or other communications-based statutes could expose Bakkt to significant damage awards that could, individually or in the aggregate, materially harm Bakkts business. </w:t>
      </w:r>
    </w:p>
    <w:p>
      <w:pPr>
        <w:pStyle w:val="TextBody"/>
        <w:spacing w:before="360" w:after="0"/>
        <w:jc w:val="left"/>
        <w:rPr>
          <w:rFonts w:ascii="Times New Roman" w:hAnsi="Times New Roman"/>
          <w:b/>
          <w:i/>
          <w:sz w:val="20"/>
        </w:rPr>
      </w:pPr>
      <w:r>
        <w:rPr>
          <w:rFonts w:ascii="Times New Roman" w:hAnsi="Times New Roman"/>
          <w:b/>
          <w:i/>
          <w:sz w:val="20"/>
        </w:rPr>
        <w:t xml:space="preserve">Bakkt is subject to significant litigation risk and regulatory liability and penalties. Any future litigation against Bakkt could be costly and time-consuming to defend. </w:t>
      </w:r>
    </w:p>
    <w:p>
      <w:pPr>
        <w:pStyle w:val="TextBody"/>
        <w:spacing w:before="120" w:after="0"/>
        <w:jc w:val="left"/>
        <w:rPr>
          <w:rFonts w:ascii="Times New Roman" w:hAnsi="Times New Roman"/>
          <w:sz w:val="20"/>
        </w:rPr>
      </w:pPr>
      <w:r>
        <w:rPr>
          <w:rFonts w:ascii="Times New Roman" w:hAnsi="Times New Roman"/>
          <w:sz w:val="20"/>
        </w:rPr>
        <w:t xml:space="preserve">Many aspects of Bakkts business involve substantial litigation risks. These risks include, among others, potential liability from disputes over terms of a trade, the claim that a system failure or delay caused monetary losses to a user, that Bakkt entered into an unauthorized transaction, that Bakkt provided materially false or misleading statements in connection with a transaction or that Bakkt failed to effectively fulfill its regulatory oversight responsibilities. Bakkt may be subject to disputes regarding the quality of consumer order execution, the settlement of consumer orders or other matters relating to its services. Bakkt may become subject to these claims as a result of failures or malfunctions of its systems and the services it provides. More generally, Bakkt may become subject to legal proceedings and claims that arise in the ordinary course of business, such as claims brought by Bakkts users in connection with commercial disputes or employment claims made by Bakkts current or former employees. </w:t>
      </w:r>
    </w:p>
    <w:p>
      <w:pPr>
        <w:pStyle w:val="TextBody"/>
        <w:spacing w:before="120" w:after="0"/>
        <w:jc w:val="left"/>
        <w:rPr>
          <w:rFonts w:ascii="Times New Roman" w:hAnsi="Times New Roman"/>
          <w:sz w:val="20"/>
        </w:rPr>
      </w:pPr>
      <w:r>
        <w:rPr>
          <w:rFonts w:ascii="Times New Roman" w:hAnsi="Times New Roman"/>
          <w:sz w:val="20"/>
        </w:rPr>
        <w:t xml:space="preserve">Litigation, even claims without merit, might result in substantial costs and may divert managements attention and resources, which might seriously harm Bakkts business, financial condition, and results of operations. Insurance might not cover such claims, might not provide sufficient payments to cover all the costs to resolve one or more such claims, and might not continue to be available on terms acceptable to Bakkt (including premium increases or the imposition of large deductible or co-insurance requirements). A claim brought against Bakkt that is uninsured or underinsured could result in unanticipated costs, potentially harming Bakkts business, financial position, and results of operations. In addition, Bakkt cannot be sure that its existing insurance coverage and coverage for errors and omissions will continue to be available on acceptable terms, or that Bakkts insurers will not deny coverage as to any future claim. Further, an adverse resolution of any future lawsuit or claim against Bakkt could have a material adverse effect on its business and its reputation. To the extent Bakkt is found to have failed to fulfill its regulatory obligations, Bakkt could lose its authorizations or licenses or become subject to conditions that could make future operations more costly and impair Bakkts profitability. Such events could also result in consumer dissatisfaction and a decline in their willingness to use Bakkts platform.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Bakkt agrees to indemnify enterprise and loyalty partners and other third parties, which exposes Bakkt to substantial potential liability. </w:t>
      </w:r>
    </w:p>
    <w:p>
      <w:pPr>
        <w:pStyle w:val="TextBody"/>
        <w:spacing w:before="120" w:after="0"/>
        <w:jc w:val="left"/>
        <w:rPr>
          <w:rFonts w:ascii="Times New Roman" w:hAnsi="Times New Roman"/>
          <w:sz w:val="20"/>
        </w:rPr>
      </w:pPr>
      <w:r>
        <w:rPr>
          <w:rFonts w:ascii="Times New Roman" w:hAnsi="Times New Roman"/>
          <w:sz w:val="20"/>
        </w:rPr>
        <w:t xml:space="preserve">Bakkts contracts with its enterprise and loyalty partners, investors, and other third parties generally include indemnification provisions under which Bakkt agrees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Bakkts platform or such contracts. Although Bakkt attempts to limit its indemnity obligations, an event triggering its indemnity obligations could give rise to multiple claims involving multiple enterprise and loyalty partners or other third parties. Bakkt may be liable for up to the full amount of the indemnified claims, which could result in substantial liability or material disruption to Bakkt business or could negatively impact Bakkts relationships with loyalty partners , enterprises or other third parties, reduce demand for its products, and adversely affect Bakkts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Bakkts business and operations could be negatively affected if it becomes subject to any securities litigation or shareholder activism, which could cause Bakkt to incur significant expense, hinder execution of business and growth strategy and impact the Bakkt Pubco Class A Common Stock price. </w:t>
      </w:r>
    </w:p>
    <w:p>
      <w:pPr>
        <w:pStyle w:val="TextBody"/>
        <w:spacing w:before="12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Bakkt Pubco Class A Common Stock or other reasons may in the future cause Bakkt to become the target of securities litigation or shareholder activism. Securities litigation and shareholder activism, including potential proxy contests, could result in substantial costs and divert managements and the board of directors attention and resources from Bakkts business. Additionally, such securities litigation and shareholder activism could give rise to perceived uncertainties as to Bakkts future, adversely affect its relationships with service providers and make it more difficult to attract and retain qualified personnel. Also, Bakkt may be required to incur significant legal fees and other expenses related to any securities litigation and activist shareholder matters. Further, the Bakkt Pubco Class A Common Stocks price could be subject to significant fluctuation or otherwise be adversely affected by the events, risks and uncertainties of any securities litigation and shareholder activism. </w:t>
      </w:r>
    </w:p>
    <w:p>
      <w:pPr>
        <w:pStyle w:val="TextBody"/>
        <w:spacing w:before="360" w:after="0"/>
        <w:jc w:val="left"/>
        <w:rPr>
          <w:rFonts w:ascii="Times New Roman" w:hAnsi="Times New Roman"/>
          <w:b/>
          <w:i/>
          <w:sz w:val="20"/>
        </w:rPr>
      </w:pPr>
      <w:r>
        <w:rPr>
          <w:rFonts w:ascii="Times New Roman" w:hAnsi="Times New Roman"/>
          <w:b/>
          <w:i/>
          <w:sz w:val="20"/>
        </w:rPr>
        <w:t xml:space="preserve">Bakkt is subject to patent litigation. </w:t>
      </w:r>
    </w:p>
    <w:p>
      <w:pPr>
        <w:pStyle w:val="TextBody"/>
        <w:spacing w:before="120" w:after="0"/>
        <w:jc w:val="left"/>
        <w:rPr>
          <w:rFonts w:ascii="Times New Roman" w:hAnsi="Times New Roman"/>
          <w:sz w:val="20"/>
        </w:rPr>
      </w:pPr>
      <w:r>
        <w:rPr>
          <w:rFonts w:ascii="Times New Roman" w:hAnsi="Times New Roman"/>
          <w:sz w:val="20"/>
        </w:rPr>
        <w:t xml:space="preserve">Bakkt has been sued for allegedly infringing other parties patents and may continue to be subject to patent infringement claims because, among other reasons: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products and services continue to expand in scope and complexity and to converge with technologies not previously associated with the payments and loyalty points space;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products and services may be designed, developed and delivered without thorough due diligence of prior works covered by legitimate patent protections;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Bakkts products and services may be designed, developed or delivered by bad actors knowingly using intellectual property from a previous employer or vendor;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may continue to expand into new business areas, including through acquisitions;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patent owners who may claim that Bakkt, any of the companies that it has acquired, or Bakkts enterprise or loyalty partners infringe their patents, and the aggregate number of patents controlled by such patent owners, continues to increase. </w:t>
            </w:r>
          </w:p>
        </w:tc>
      </w:tr>
    </w:tbl>
    <w:p>
      <w:pPr>
        <w:pStyle w:val="TextBody"/>
        <w:spacing w:before="240" w:after="0"/>
        <w:jc w:val="left"/>
        <w:rPr>
          <w:rFonts w:ascii="Times New Roman" w:hAnsi="Times New Roman"/>
          <w:sz w:val="20"/>
        </w:rPr>
      </w:pPr>
      <w:r>
        <w:rPr>
          <w:rFonts w:ascii="Times New Roman" w:hAnsi="Times New Roman"/>
          <w:sz w:val="20"/>
        </w:rPr>
        <w:t xml:space="preserve">Such claims may be brought directly against Bakkt or against its enterprise and loyalty partners, who Bakkt may indemnify due to contractual obligations or as a business matter. Bakkt believes that many of the claims against it and other technology companies have been, and continue to be, initiated by third parties whose sole or primary business is to assert such claims. Bakkt will vigorously defend against patent infringement claims. In addition,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Bakkt to make expensive changes in its methods of doing business, enter into costly royalty or licensing agreements, make substantial payments to satisfy adverse judgments, settle claims or proceedings, or cease conducting certain operations, which would harm its business, results of operations, financial condition, and future prospects. </w:t>
      </w:r>
    </w:p>
    <w:p>
      <w:pPr>
        <w:pStyle w:val="TextBody"/>
        <w:spacing w:before="360" w:after="0"/>
        <w:jc w:val="left"/>
        <w:rPr>
          <w:rFonts w:ascii="Times New Roman" w:hAnsi="Times New Roman"/>
          <w:b/>
          <w:i/>
          <w:sz w:val="20"/>
        </w:rPr>
      </w:pPr>
      <w:bookmarkStart w:id="24" w:name="32f"/>
      <w:bookmarkEnd w:id="24"/>
      <w:r>
        <w:rPr>
          <w:rFonts w:ascii="Times New Roman" w:hAnsi="Times New Roman"/>
          <w:b/>
          <w:i/>
          <w:sz w:val="20"/>
        </w:rPr>
        <w:t xml:space="preserve">Bakkt may be unable to sufficiently protect its proprietary rights and may encounter disputes from time to time relating to its use of the intellectual property of third parties. </w:t>
      </w:r>
    </w:p>
    <w:p>
      <w:pPr>
        <w:pStyle w:val="TextBody"/>
        <w:spacing w:before="120" w:after="0"/>
        <w:jc w:val="left"/>
        <w:rPr>
          <w:rFonts w:ascii="Times New Roman" w:hAnsi="Times New Roman"/>
          <w:sz w:val="20"/>
        </w:rPr>
      </w:pPr>
      <w:r>
        <w:rPr>
          <w:rFonts w:ascii="Times New Roman" w:hAnsi="Times New Roman"/>
          <w:sz w:val="20"/>
        </w:rPr>
        <w:t xml:space="preserve">Bakkt relies on a combination of trademarks, service marks, copyrights, trade secrets, domain names and agreements with employees and third parties to protect its proprietary rights. Nonetheless, third parties may challenge, invalidate or circumvent Bakkts intellectual property, and Bakkts intellectual property may not be sufficient to provide it with a competitive advantage. </w:t>
      </w:r>
    </w:p>
    <w:p>
      <w:pPr>
        <w:pStyle w:val="TextBody"/>
        <w:spacing w:before="240" w:after="0"/>
        <w:jc w:val="left"/>
        <w:rPr>
          <w:rFonts w:ascii="Times New Roman" w:hAnsi="Times New Roman"/>
          <w:sz w:val="20"/>
        </w:rPr>
      </w:pPr>
      <w:r>
        <w:rPr>
          <w:rFonts w:ascii="Times New Roman" w:hAnsi="Times New Roman"/>
          <w:sz w:val="20"/>
        </w:rPr>
        <w:t xml:space="preserve">Despite Bakkts efforts to protect these rights, unauthorized third parties may attempt to duplicate or copy the proprietary aspects of Bakkts technology and processes. Bakkts competitors and other third parties independently may design around or develop similar technology or otherwise duplicate Bakkts services or products such that Bakkt could not assert its intellectual property rights against them. In addition, Bakkts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Bakkts intellectual property or proprietary information and the resulting loss of competitive advantage, and Bakkt may be required to litigate to protect its intellectual property and proprietary information from misappropriation or infringement by others, which is expensive, could cause a diversion of resources and may not be successful. </w:t>
      </w:r>
    </w:p>
    <w:p>
      <w:pPr>
        <w:pStyle w:val="TextBody"/>
        <w:spacing w:before="240" w:after="0"/>
        <w:jc w:val="left"/>
        <w:rPr>
          <w:rFonts w:ascii="Times New Roman" w:hAnsi="Times New Roman"/>
          <w:sz w:val="20"/>
        </w:rPr>
      </w:pPr>
      <w:r>
        <w:rPr>
          <w:rFonts w:ascii="Times New Roman" w:hAnsi="Times New Roman"/>
          <w:sz w:val="20"/>
        </w:rPr>
        <w:t xml:space="preserve">Bakkt also may encounter disputes from time to time concerning intellectual property rights of others, and it may not prevail in these disputes. Third parties may raise claims alleging that Bakkt, or consultants or other third parties retained or indemnified by Bakkt, infringe on their intellectual property rights. Given the complex, rapidly changing and competitive technological and business environment in which Bakkt operates, and the potential risks and uncertainties of intellectual property-related litigation, an assertion of an infringement claim against Bakkt may cause Bakkt to spend significant amounts to defend the claim, even if Bakkt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 </w:t>
      </w:r>
    </w:p>
    <w:p>
      <w:pPr>
        <w:pStyle w:val="TextBody"/>
        <w:spacing w:before="360" w:after="0"/>
        <w:jc w:val="left"/>
        <w:rPr>
          <w:rFonts w:ascii="Times New Roman" w:hAnsi="Times New Roman"/>
          <w:b/>
          <w:i/>
          <w:sz w:val="20"/>
        </w:rPr>
      </w:pPr>
      <w:r>
        <w:rPr>
          <w:rFonts w:ascii="Times New Roman" w:hAnsi="Times New Roman"/>
          <w:b/>
          <w:i/>
          <w:sz w:val="20"/>
        </w:rPr>
        <w:t xml:space="preserve">Regulatory requirements upon a change of control of Bakkts regulated subsidiaries may require an investor to obtain prior approval or submit information to regulators upon acquiring a direct or indirect controlling interest in Bakkt. </w:t>
      </w:r>
    </w:p>
    <w:p>
      <w:pPr>
        <w:pStyle w:val="TextBody"/>
        <w:spacing w:before="120" w:after="0"/>
        <w:jc w:val="left"/>
        <w:rPr>
          <w:rFonts w:ascii="Times New Roman" w:hAnsi="Times New Roman"/>
          <w:sz w:val="20"/>
        </w:rPr>
      </w:pPr>
      <w:r>
        <w:rPr>
          <w:rFonts w:ascii="Times New Roman" w:hAnsi="Times New Roman"/>
          <w:sz w:val="20"/>
        </w:rPr>
        <w:t xml:space="preserve">Certain of Bakkts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Bakkt, or exercise, directly or indirectly, a controlling influence over Bakkt or any of the regulated subsidiaries. Under other state money transmitter regulations, that threshold may be higher. </w:t>
      </w:r>
    </w:p>
    <w:p>
      <w:pPr>
        <w:pStyle w:val="TextBody"/>
        <w:spacing w:before="240" w:after="0"/>
        <w:jc w:val="left"/>
        <w:rPr>
          <w:rFonts w:ascii="Times New Roman" w:hAnsi="Times New Roman"/>
          <w:sz w:val="20"/>
        </w:rPr>
      </w:pPr>
      <w:r>
        <w:rPr>
          <w:rFonts w:ascii="Times New Roman" w:hAnsi="Times New Roman"/>
          <w:sz w:val="20"/>
        </w:rPr>
        <w:t xml:space="preserve">Non-compliance with those requirements may lead to injunctions, penalties and sanctions against Bakkt as well as the person seeking to hold, acquire or increase a controlling interest, may subject the relevant transactions to cancellation or forced sale, and may result in increased regulatory compliance requirements or other potential regulatory restrictions on Bakkts business (including in respect of matters such as corporate governance, restructurings, mergers and acquisitions, financings and distributions). If any of this were to occur, it could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damage Bakkts reputation, limit Bakkts growth and materially and adversely affect Bakkts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Transactions involving loyalty points may become subject to U.S. federal income taxation and information reporting obligations. </w:t>
      </w:r>
    </w:p>
    <w:p>
      <w:pPr>
        <w:pStyle w:val="TextBody"/>
        <w:spacing w:before="120" w:after="0"/>
        <w:jc w:val="left"/>
        <w:rPr>
          <w:rFonts w:ascii="Times New Roman" w:hAnsi="Times New Roman"/>
          <w:sz w:val="20"/>
        </w:rPr>
      </w:pPr>
      <w:r>
        <w:rPr>
          <w:rFonts w:ascii="Times New Roman" w:hAnsi="Times New Roman"/>
          <w:sz w:val="20"/>
        </w:rPr>
        <w:t xml:space="preserve">The IRS has stated in administrative guidance that the receipt of loyalty points in connection with the purchase of goods or services for personal use generally is not taxable. Similarly, IRS guidance provides that the receipt or personal use of loyalty points (including airline frequent flyer miles) obtained in connection with business travel is not taxable. However, it is unclear whether the conversion to cash of loyalty points is or may become subject to U.S. federal income taxation or information reporting obligations. </w:t>
      </w:r>
    </w:p>
    <w:p>
      <w:pPr>
        <w:pStyle w:val="TextBody"/>
        <w:spacing w:before="240" w:after="0"/>
        <w:jc w:val="left"/>
        <w:rPr>
          <w:rFonts w:ascii="Times New Roman" w:hAnsi="Times New Roman"/>
          <w:sz w:val="20"/>
        </w:rPr>
      </w:pPr>
      <w:r>
        <w:rPr>
          <w:rFonts w:ascii="Times New Roman" w:hAnsi="Times New Roman"/>
          <w:sz w:val="20"/>
        </w:rPr>
        <w:t xml:space="preserve">Even if such transactions are determined to be subject to U.S. federal income tax, Bakkt Opco is not expected to incur a U.S. federal income tax liability because Bakkt Opco is neither an issuer nor a recipient of such rewards. However, in its capacity as the facilitator of an exchange on which such transactions occur, Bakkt Opco may be deemed to have certain information reporting obligations to the IRS. The IRS has provided limited guidance with respect to information reporting obligations for transactions involving loyalty points, and, absent future regulatory or administrative guidance, Bakkt Opco does not expect to file any information returns with the IRS for such transactions. There can be no assurances, however, that the IRS will not take a contrary position with respect to Bakkt Opcos information reporting obligations. If the IRS were to successfully challenge Bakkt Opcos position with respect to its information reporting obligations or if it were ultimately determined that the conversion of loyalty points to cash is taxable and subject to information reporting obligations, Bakkt Opco could potentially be subject to significant penalties for any failure to satisfy such information reporting obligations. As a result of the foregoing, Bakkt Opcos planned business model may be adversely affected or it may incur additional costs in connection therewith. </w:t>
      </w:r>
    </w:p>
    <w:p>
      <w:pPr>
        <w:pStyle w:val="TextBody"/>
        <w:spacing w:before="360" w:after="0"/>
        <w:jc w:val="left"/>
        <w:rPr>
          <w:rFonts w:ascii="Times New Roman" w:hAnsi="Times New Roman"/>
          <w:b/>
          <w:i/>
          <w:sz w:val="20"/>
        </w:rPr>
      </w:pPr>
      <w:r>
        <w:rPr>
          <w:rFonts w:ascii="Times New Roman" w:hAnsi="Times New Roman"/>
          <w:b/>
          <w:i/>
          <w:sz w:val="20"/>
        </w:rPr>
        <w:t xml:space="preserve">Changes in tax laws or their judicial or administrative interpretations, or becoming subject to additional taxes that cannot be passed through to Bakkts loyalty users, could negatively affect Bakkts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Bakkts operations may be subject to extensive tax liabilities, including federal and state and transactional taxes such as excise, sales/use, payroll, franchise, withholding, and ad valorem taxes. Changes in tax laws or their judicial or administrative interpretations could decrease the amount of revenues Bakkt receives, the value of any tax loss carryforwards and tax credits recorded on its balance sheet and the amount of its cash flow, and may have a material adverse impact on its business, financial condition and results of operations. Some of Bakkts tax liabilities may be subject to periodic audits by the applicable taxing authority which could increase its tax liabilities. Furthermore, Bakkt may become subject to incremental taxation in various taxing jurisdictions. Taxing jurisdictions have not yet adopted uniform positions on this topic. If Bakkt is required to pay additional taxes and is unable to pass the tax expense through to its users, its costs would increase and its net income would be reduced, which could have a material adverse effect on its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Because there is limited guidance for tax reporting or accounting of Bitcoin and other cryptoasset transactions, the determination that Bakkt has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the Companys reputation. </w:t>
      </w:r>
    </w:p>
    <w:p>
      <w:pPr>
        <w:pStyle w:val="TextBody"/>
        <w:spacing w:before="120" w:after="0"/>
        <w:jc w:val="left"/>
        <w:rPr>
          <w:rFonts w:ascii="Times New Roman" w:hAnsi="Times New Roman"/>
          <w:sz w:val="20"/>
        </w:rPr>
      </w:pPr>
      <w:r>
        <w:rPr>
          <w:rFonts w:ascii="Times New Roman" w:hAnsi="Times New Roman"/>
          <w:sz w:val="20"/>
        </w:rPr>
        <w:t xml:space="preserve">Because there has been limited guidance for the tax reporting or accounting of cryptoassets and limited guidance has been provided by the IRS, it is unclear how cryptoasset transactions or other actions related to cryptoassets (such as forks or other similar items) and related tax consequences should be accounted for or reported for tax purposes. Failure to properly account for and report the transactions and other items related to the cryptoassets held by Bakkts consumers to relevant tax authorities, such as the IRS, could have negative outcomes for Bakkt and harm its reputation with consumers and others.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Personnel and Business Continuity Risks </w:t>
      </w:r>
    </w:p>
    <w:p>
      <w:pPr>
        <w:pStyle w:val="TextBody"/>
        <w:spacing w:before="120" w:after="0"/>
        <w:jc w:val="left"/>
        <w:rPr>
          <w:rFonts w:ascii="Times New Roman" w:hAnsi="Times New Roman"/>
          <w:b/>
          <w:i/>
          <w:sz w:val="20"/>
        </w:rPr>
      </w:pPr>
      <w:r>
        <w:rPr>
          <w:rFonts w:ascii="Times New Roman" w:hAnsi="Times New Roman"/>
          <w:b/>
          <w:i/>
          <w:sz w:val="20"/>
        </w:rPr>
        <w:t xml:space="preserve">The loss of the services of Bakkts senior management could adversely affect Bakkts business. </w:t>
      </w:r>
    </w:p>
    <w:p>
      <w:pPr>
        <w:pStyle w:val="TextBody"/>
        <w:spacing w:before="120" w:after="0"/>
        <w:jc w:val="left"/>
        <w:rPr>
          <w:rFonts w:ascii="Times New Roman" w:hAnsi="Times New Roman"/>
          <w:sz w:val="20"/>
        </w:rPr>
      </w:pPr>
      <w:r>
        <w:rPr>
          <w:rFonts w:ascii="Times New Roman" w:hAnsi="Times New Roman"/>
          <w:sz w:val="20"/>
        </w:rPr>
        <w:t xml:space="preserve">The experience of Bakkts senior management is a valuable asset to Bakkt. In January 2021, Mr. David C. Clifton ceased being Bakkts interim Chief Executive Officer and the board of directors hired Mr. Gavin Michael as Bakkts Chief Executive Officer. If Bakkt fails to manage this transition successfully or if Bakkt is unable to retain other members of its core senior management team, Bakkt could experience uncertainty and significant delays or difficulty in the achievement of its development and strategic objectives and Bakkts business, financial condition and results of operations could be materially and adversely harmed. Bakkts management team has significant experience in the digital assets, payments, loyalty, and institutional trading businesses, is responsible for many of Bakkts core competencies, and would be difficult to replace. Competition for senior executives in these businesses, especially in the unique manner in which Bakkt combines such competencies, is intense, and Bakkt may not be able to attract and retain qualified personnel to replace or succeed members of Bakkts senior management team or other key personnel. Failure to retain talented senior leadership could have a material adverse effect on Bakkts business. </w:t>
      </w:r>
    </w:p>
    <w:p>
      <w:pPr>
        <w:pStyle w:val="TextBody"/>
        <w:spacing w:before="360" w:after="0"/>
        <w:jc w:val="left"/>
        <w:rPr>
          <w:rFonts w:ascii="Times New Roman" w:hAnsi="Times New Roman"/>
          <w:b/>
          <w:i/>
          <w:sz w:val="20"/>
        </w:rPr>
      </w:pPr>
      <w:r>
        <w:rPr>
          <w:rFonts w:ascii="Times New Roman" w:hAnsi="Times New Roman"/>
          <w:b/>
          <w:i/>
          <w:sz w:val="20"/>
        </w:rPr>
        <w:t xml:space="preserve">Bakkts business would suffer if it fails to attract and retain highly skilled employees. </w:t>
      </w:r>
    </w:p>
    <w:p>
      <w:pPr>
        <w:pStyle w:val="TextBody"/>
        <w:spacing w:before="120" w:after="0"/>
        <w:jc w:val="left"/>
        <w:rPr>
          <w:rFonts w:ascii="Times New Roman" w:hAnsi="Times New Roman"/>
          <w:sz w:val="20"/>
        </w:rPr>
      </w:pPr>
      <w:r>
        <w:rPr>
          <w:rFonts w:ascii="Times New Roman" w:hAnsi="Times New Roman"/>
          <w:sz w:val="20"/>
        </w:rPr>
        <w:t xml:space="preserve">Bakkts future success will depend on its ability to identify, hire, develop, motivate and retain highly qualified personnel for all areas of its organization, particularly information technology and sales. Further, hiring qualified and experienced personnel in this specialized technology space is difficult due to the high level of competition and scarcity of experience. Many of the companies with which Bakkt competes for experienced employees have greater resources than Bakkt does and may be able to offer more attractive terms of employment. In addition, Bakkt invests significant time and expense in training employees, which increases their value to competitors that may seek to recruit them. Bakkt may not be able to attract, develop and maintain the skilled workforce necessary to operate its business, and labor expenses may increase as a result of a shortage in the supply of qualified personnel, which would negatively impact Bakkts business. </w:t>
      </w:r>
    </w:p>
    <w:p>
      <w:pPr>
        <w:pStyle w:val="TextBody"/>
        <w:spacing w:before="360" w:after="0"/>
        <w:jc w:val="left"/>
        <w:rPr>
          <w:rFonts w:ascii="Times New Roman" w:hAnsi="Times New Roman"/>
          <w:b/>
          <w:i/>
          <w:sz w:val="20"/>
        </w:rPr>
      </w:pPr>
      <w:r>
        <w:rPr>
          <w:rFonts w:ascii="Times New Roman" w:hAnsi="Times New Roman"/>
          <w:b/>
          <w:i/>
          <w:sz w:val="20"/>
        </w:rPr>
        <w:t xml:space="preserve">Bakkt could be harmed by misconduct or errors that are difficult to detect and deter. </w:t>
      </w:r>
    </w:p>
    <w:p>
      <w:pPr>
        <w:pStyle w:val="TextBody"/>
        <w:spacing w:before="120" w:after="0"/>
        <w:jc w:val="left"/>
        <w:rPr>
          <w:rFonts w:ascii="Times New Roman" w:hAnsi="Times New Roman"/>
          <w:sz w:val="20"/>
        </w:rPr>
      </w:pPr>
      <w:r>
        <w:rPr>
          <w:rFonts w:ascii="Times New Roman" w:hAnsi="Times New Roman"/>
          <w:sz w:val="20"/>
        </w:rPr>
        <w:t xml:space="preserve">There have been a number of highly publicized cases involving fraud or other misconduct or manipulative activity by employees of financial services firms and other market participants in the past. Misconduct by Bakkts employees and agents could include hiding unauthorized activities from Bakkt, improper or unauthorized activities on behalf of consumers or improper use or unauthorized disclosure of confidential information. It is not always possible to deter misconduct, and the precautions Bakkt takes to prevent and detect this activity may not be effective in all cases. If Bakkt were found to have not met its regulatory oversight and compliance obligations, Bakkt could be subject to regulatory sanctions, financial penalties, restrictions on its activities for failure to properly identify, monitor and respond to potentially problematic activity and seriously harm Bakkts reputation. Bakkts employees and agents also may commit errors that could subject Bakkt to financial claims for negligence, as well as regulatory actions, or result in Bakkts voluntary assumption of financial liability. Further, allegations by regulatory or criminal authorities of improper activities could affect Bakkts brand and reputation and reduce the number of participants trading in Bakkts platform. If that should occur, it could have a material adverse effect on Bakkts business,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Information Technology and Data Risks </w:t>
      </w:r>
    </w:p>
    <w:p>
      <w:pPr>
        <w:pStyle w:val="TextBody"/>
        <w:spacing w:before="120" w:after="0"/>
        <w:jc w:val="left"/>
        <w:rPr>
          <w:rFonts w:ascii="Times New Roman" w:hAnsi="Times New Roman"/>
          <w:b/>
          <w:i/>
          <w:sz w:val="20"/>
        </w:rPr>
      </w:pPr>
      <w:r>
        <w:rPr>
          <w:rFonts w:ascii="Times New Roman" w:hAnsi="Times New Roman"/>
          <w:b/>
          <w:i/>
          <w:sz w:val="20"/>
        </w:rPr>
        <w:t xml:space="preserve">Cyberattacks and security vulnerabilities could result in serious harm to Bakkts reputation, business, and financial condition. </w:t>
      </w:r>
    </w:p>
    <w:p>
      <w:pPr>
        <w:pStyle w:val="TextBody"/>
        <w:spacing w:before="120" w:after="0"/>
        <w:jc w:val="left"/>
        <w:rPr>
          <w:rFonts w:ascii="Times New Roman" w:hAnsi="Times New Roman"/>
          <w:sz w:val="20"/>
        </w:rPr>
      </w:pPr>
      <w:r>
        <w:rPr>
          <w:rFonts w:ascii="Times New Roman" w:hAnsi="Times New Roman"/>
          <w:sz w:val="20"/>
        </w:rPr>
        <w:t xml:space="preserve">Bakkts business involves the collection, storage, processing, and transmission of confidential information and consumers personal data, including financial information and information about how consumers interact with Bakkts platform. Bakkt has built its reputation on the premise that Bakkt offers consumers a secure and convenient way to manage their digital assets.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Unauthorized parties have attempted, and Bakkt expects that they will continue to attempt, to gain access to Bakkts systems or facilities through various means, including, but not limited to, hacking into Bakkts systems or facilities or those of its users or vendors, and attempting to fraudulently induce users of Bakkts systems (including employees and consumers) into disclosing user names, passwords, payment card information, or other sensitive information, which may in turn be used to access Bakkts information technology systems, or to steal digital assets stored by Bakkts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persisting cyberattacks, cyberextortion, spear phishing and social engineering schemes, the introduction of computer viruses or other malware, and the physical destruction of all or portions of Bakkts information technology and infrastructure could compromise the confidentiality, availability, and integrity of the data in Bakkts systems. Although Bakkt has developed systems and processes designed to protect data it manages, prevent data loss and other security breaches and effectively respond to known and potential risks, and Bakkt expects to continue to expend significant resources to bolster these protections, there can be no assurance that these security measures will provide absolute security or prevent breaches or attacks. </w:t>
      </w:r>
    </w:p>
    <w:p>
      <w:pPr>
        <w:pStyle w:val="TextBody"/>
        <w:spacing w:before="240" w:after="0"/>
        <w:jc w:val="left"/>
        <w:rPr>
          <w:rFonts w:ascii="Times New Roman" w:hAnsi="Times New Roman"/>
          <w:sz w:val="20"/>
        </w:rPr>
      </w:pPr>
      <w:r>
        <w:rPr>
          <w:rFonts w:ascii="Times New Roman" w:hAnsi="Times New Roman"/>
          <w:sz w:val="20"/>
        </w:rPr>
        <w:t xml:space="preserve">Bakkts information technology and infrastructure may be vulnerable to cyberattacks or security incidents, and third parties may be able to access Bakkt users personal and/or proprietary information, banking, digital asset and payment card data that are stored on or accessible through those systems. Bakkt has experienced from time to time, and may experience in the future, incidents of breaches of its security measures due to human error, malfeasance, insider threats, system errors or vulnerabilities, or other irregularities. Actual or perceived breaches of Bakkts security could,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interrupt Bakkts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 in Bakkts systems or services being unavailable;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 in improper disclosure of data and violations of applicable privacy and other 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materially harm Bakkts reputation and brand;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 in significant regulatory scrutiny, investigations, fines, penalties and other legal and financial exposure;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cause Bakkt to incur significant remediation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lead to loss or theft of user digital assets, such as rewards points;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lead to loss of user confidence in, or decreased use of, Bakkts products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divert the attention of management from the operation of Bakkts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 in significant compensation or contractual penalties from Bakkt to Bakkts users as a result of losses to them or claims by them;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adversely affect Bakkts business and results of operations. </w:t>
            </w:r>
          </w:p>
        </w:tc>
      </w:tr>
    </w:tbl>
    <w:p>
      <w:pPr>
        <w:pStyle w:val="TextBody"/>
        <w:spacing w:before="240" w:after="0"/>
        <w:jc w:val="left"/>
        <w:rPr>
          <w:rFonts w:ascii="Times New Roman" w:hAnsi="Times New Roman"/>
          <w:sz w:val="20"/>
        </w:rPr>
      </w:pPr>
      <w:r>
        <w:rPr>
          <w:rFonts w:ascii="Times New Roman" w:hAnsi="Times New Roman"/>
          <w:sz w:val="20"/>
        </w:rPr>
        <w:t xml:space="preserve">In addition, any cyberattacks or data security breaches affecting the information technology or infrastructure of companies Bakkt acquires or of Bakkts users or vendors (including data center and cloud computing providers) could have similar negative effects. Actual or perceived vulnerabilities or data breaches may lead to claims against Bakkt. </w:t>
      </w:r>
    </w:p>
    <w:p>
      <w:pPr>
        <w:pStyle w:val="TextBody"/>
        <w:spacing w:before="240" w:after="0"/>
        <w:jc w:val="left"/>
        <w:rPr>
          <w:rFonts w:ascii="Times New Roman" w:hAnsi="Times New Roman"/>
          <w:sz w:val="20"/>
        </w:rPr>
      </w:pPr>
      <w:r>
        <w:rPr>
          <w:rFonts w:ascii="Times New Roman" w:hAnsi="Times New Roman"/>
          <w:sz w:val="20"/>
        </w:rPr>
        <w:t xml:space="preserve">Bakkt expects to expend significant additional resources to protect against security or privacy breaches and may be required to redress problems caused by breaches. Financial services regulators in various jurisdictions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implemented authentication requirements for banks and payment processors intended to reduce online fraud, which could impose significant costs, require Bakkt to change its business practices, make it more difficult for new consumers to join Bakkt, and reduce the ease of use of Bakkts platform, which could harm Bakkts business. While Bakkt maintains insurance policies, they may not be adequate to reimburse Bakkt for losses caused by security breaches. </w:t>
      </w:r>
    </w:p>
    <w:p>
      <w:pPr>
        <w:pStyle w:val="TextBody"/>
        <w:spacing w:before="360" w:after="0"/>
        <w:jc w:val="left"/>
        <w:rPr>
          <w:rFonts w:ascii="Times New Roman" w:hAnsi="Times New Roman"/>
          <w:b/>
          <w:i/>
          <w:sz w:val="20"/>
        </w:rPr>
      </w:pPr>
      <w:r>
        <w:rPr>
          <w:rFonts w:ascii="Times New Roman" w:hAnsi="Times New Roman"/>
          <w:b/>
          <w:i/>
          <w:sz w:val="20"/>
        </w:rPr>
        <w:t xml:space="preserve">Systems failures and resulting interruptions in the availability of Bakkts websites, applications, products, or services could harm its business. </w:t>
      </w:r>
    </w:p>
    <w:p>
      <w:pPr>
        <w:pStyle w:val="TextBody"/>
        <w:spacing w:before="120" w:after="0"/>
        <w:jc w:val="left"/>
        <w:rPr>
          <w:rFonts w:ascii="Times New Roman" w:hAnsi="Times New Roman"/>
          <w:sz w:val="20"/>
        </w:rPr>
      </w:pPr>
      <w:r>
        <w:rPr>
          <w:rFonts w:ascii="Times New Roman" w:hAnsi="Times New Roman"/>
          <w:sz w:val="20"/>
        </w:rPr>
        <w:t xml:space="preserve">Bakkts systems and those of its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terrorist attacks, computer viruses or other malware, or other events. Bakkt has experienced from time to time, and may experience in the future, disruptions in its systems. In addition, as a provider of payments solutions and digital assets trading and custody solutions, Bakkt is subject to heightened scrutiny by regulators that may require specific business continuity, resiliency and disaster recovery plans, and more rigorous testing of such plans, which may be costly and time-consuming to implement, and may divert its resources from other business priorities. </w:t>
      </w:r>
    </w:p>
    <w:p>
      <w:pPr>
        <w:pStyle w:val="TextBody"/>
        <w:spacing w:before="240" w:after="0"/>
        <w:jc w:val="left"/>
        <w:rPr>
          <w:rFonts w:ascii="Times New Roman" w:hAnsi="Times New Roman"/>
          <w:sz w:val="20"/>
        </w:rPr>
      </w:pPr>
      <w:r>
        <w:rPr>
          <w:rFonts w:ascii="Times New Roman" w:hAnsi="Times New Roman"/>
          <w:sz w:val="20"/>
        </w:rPr>
        <w:t>Bakkt has experienced and expects to continue to experience system failures, denial-of-service attacks, and other events or conditions from time to time that interrupt the availability, or reduce or adversely affect the speed or functionality, of its products and services. These events have resulted and likely will result in loss of revenue. A prolonged interruption in the availability or reduction in the availability, speed, or functionality of Bakkts products and services could materially harm its business. The full-time availability and expeditious delivery of Bakkts products and services is critical to its goal of gaining widespread acceptance among users for digital payments. Frequent or persistent interruptions in Bakkts services could cause current or potential users to believe that Bakkts systems are unreliable, leading them to switch to competitors or to avoid or reduce the use of Bakkts platform, and could permanently harm Bakkts reputation and brand. Moreover, if any system failure or similar event results in damages to Bakkts users, these users could seek significant compensation or contractual penalties from Bakkt for their losses, and those claims, even if unsuccessful, would likely be time-consuming and costly for Bakkt to address, and could have other consequences described in this </w:t>
      </w:r>
      <w:r>
        <w:rPr>
          <w:rFonts w:ascii="Times New Roman" w:hAnsi="Times New Roman"/>
          <w:i/>
          <w:sz w:val="20"/>
        </w:rPr>
        <w:t>Risk Factors</w:t>
      </w:r>
      <w:r>
        <w:rPr>
          <w:rFonts w:ascii="Times New Roman" w:hAnsi="Times New Roman"/>
          <w:sz w:val="20"/>
        </w:rPr>
        <w:t> section under the caption </w:t>
      </w:r>
      <w:r>
        <w:rPr>
          <w:rFonts w:ascii="Times New Roman" w:hAnsi="Times New Roman"/>
          <w:i/>
          <w:sz w:val="20"/>
        </w:rPr>
        <w:t>Cyberattacks and security vulnerabilities could result in serious harm to Bakkts reputation, business, and financial condition</w:t>
      </w:r>
      <w:r>
        <w:rPr>
          <w:rFonts w:ascii="Times New Roman" w:hAnsi="Times New Roman"/>
          <w:sz w:val="20"/>
        </w:rPr>
        <w:t xml:space="preserve"> beginning on page 93 of this proxy statement/prospectus. Further, frequent or persistent site interruptions could lead to regulatory scrutiny, significant fines and penalties, and mandatory and costly changes to Bakkts business practices, and ultimately could cause Bakkt to lose existing licenses that Bakkt needs to operate or prevent or delay Bakkt from obtaining additional licenses that may be required for its business. </w:t>
      </w:r>
    </w:p>
    <w:p>
      <w:pPr>
        <w:pStyle w:val="TextBody"/>
        <w:spacing w:before="240" w:after="0"/>
        <w:jc w:val="left"/>
        <w:rPr>
          <w:rFonts w:ascii="Times New Roman" w:hAnsi="Times New Roman"/>
          <w:sz w:val="20"/>
        </w:rPr>
      </w:pPr>
      <w:r>
        <w:rPr>
          <w:rFonts w:ascii="Times New Roman" w:hAnsi="Times New Roman"/>
          <w:sz w:val="20"/>
        </w:rPr>
        <w:t>Bakkt also relies on facilities, components, applications, and services supplied by third parties, including data center facilities and cloud storage services, which subjects it to risks in the nature of those discussed in this </w:t>
      </w:r>
      <w:r>
        <w:rPr>
          <w:rFonts w:ascii="Times New Roman" w:hAnsi="Times New Roman"/>
          <w:i/>
          <w:sz w:val="20"/>
        </w:rPr>
        <w:t>Risk Factors</w:t>
      </w:r>
      <w:r>
        <w:rPr>
          <w:rFonts w:ascii="Times New Roman" w:hAnsi="Times New Roman"/>
          <w:sz w:val="20"/>
        </w:rPr>
        <w:t> section under the caption </w:t>
      </w:r>
      <w:r>
        <w:rPr>
          <w:rFonts w:ascii="Times New Roman" w:hAnsi="Times New Roman"/>
          <w:i/>
          <w:sz w:val="20"/>
        </w:rPr>
        <w:t>Bakkt relies on third parties, over which it has no control, in many aspects of its business which creates additional risk, including risks related to the failure of third parties to provide various services that are important to Bakkts operations or to comply with legal or regulatory requirements.</w:t>
      </w:r>
      <w:r>
        <w:rPr>
          <w:rFonts w:ascii="Times New Roman" w:hAnsi="Times New Roman"/>
          <w:sz w:val="20"/>
        </w:rPr>
        <w:t xml:space="preserve"> From time to time, such third parties may cease to provide Bakkt with such facilities and services. Additionally, if these third parties experience operational interference or disruptions, breach their agreements with Bakkt, fail to perform their obligations and meet its expectations, or experience a cybersecurity incident, Bakkts operations could be disrupted or otherwise negatively affected, which could result in consumer dissatisfaction, regulatory scrutiny, and damage to its reputation and brands, and materially and adversely affect its business. While Bakkt maintains business interruption insurance, its coverage may be insufficient to compensate Bakkt for all losses that may result from interruptions in its service as a result of systems failures and similar events.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Bakkt is continually improving and upgrading its information systems and technologies. Implementation of new systems and technologies is complex, expensive, and time-consuming. If Bakkt fails to timely and successfully implement new information systems and technologies, or improvements or upgrades to existing information systems and technologies, or if such systems and technologies do not operate as intended, this could have an adverse impact on its business, internal controls (including internal controls over financial reporting),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If Bakkt uses open source software inconsistent with its policies and procedures or the license terms applicable to such software, Bakkt could be subject to legal expenses, damages, or costly remediation or disruption to Bakkts business. </w:t>
      </w:r>
    </w:p>
    <w:p>
      <w:pPr>
        <w:pStyle w:val="TextBody"/>
        <w:spacing w:before="120" w:after="0"/>
        <w:jc w:val="left"/>
        <w:rPr>
          <w:rFonts w:ascii="Times New Roman" w:hAnsi="Times New Roman"/>
          <w:sz w:val="20"/>
        </w:rPr>
      </w:pPr>
      <w:r>
        <w:rPr>
          <w:rFonts w:ascii="Times New Roman" w:hAnsi="Times New Roman"/>
          <w:sz w:val="20"/>
        </w:rPr>
        <w:t xml:space="preserve">Bakkt uses open source software in its platform. While Bakkt has policies and procedures in place governing the use of open source software, there is a risk that Bakkt incorporates open source software with onerous licensing terms, including the obligation to make Bakkts source code available for others to use or modify without compensation. If Bakkt receives an allegation that Bakkt has violated an open source license, Bakkt may incur significant legal expenses, be subject to damages, be required to redesign Bakkts platform or app to remove the open source software, or be required to comply with onerous license restrictions, all of which could have a material impact on Bakkts business. Even in the absence of a claim, if Bakkt discovers the use of open source software inconsistent with its policies, Bakkt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Bakkts ability to commercialize its products. Any use of open source software inconsistent with Bakkts policies or licensing terms could harm Bakkts business and financial position. </w:t>
      </w:r>
    </w:p>
    <w:p>
      <w:pPr>
        <w:pStyle w:val="TextBody"/>
        <w:spacing w:before="360" w:after="0"/>
        <w:jc w:val="left"/>
        <w:rPr>
          <w:rFonts w:ascii="Times New Roman" w:hAnsi="Times New Roman"/>
          <w:b/>
          <w:sz w:val="20"/>
        </w:rPr>
      </w:pPr>
      <w:r>
        <w:rPr>
          <w:rFonts w:ascii="Times New Roman" w:hAnsi="Times New Roman"/>
          <w:b/>
          <w:sz w:val="20"/>
        </w:rPr>
        <w:t xml:space="preserve">Risk Management and Financial Reporting Risks </w:t>
      </w:r>
    </w:p>
    <w:p>
      <w:pPr>
        <w:pStyle w:val="TextBody"/>
        <w:spacing w:before="120" w:after="0"/>
        <w:jc w:val="left"/>
        <w:rPr>
          <w:rFonts w:ascii="Times New Roman" w:hAnsi="Times New Roman"/>
          <w:b/>
          <w:i/>
          <w:sz w:val="20"/>
        </w:rPr>
      </w:pPr>
      <w:r>
        <w:rPr>
          <w:rFonts w:ascii="Times New Roman" w:hAnsi="Times New Roman"/>
          <w:b/>
          <w:i/>
          <w:sz w:val="20"/>
        </w:rPr>
        <w:t xml:space="preserve">Real or perceived inaccuracies in Bakkts key operating metrics may harm Bakkts reputation and negatively affect Bakkts business. </w:t>
      </w:r>
    </w:p>
    <w:p>
      <w:pPr>
        <w:pStyle w:val="TextBody"/>
        <w:spacing w:before="120" w:after="0"/>
        <w:jc w:val="left"/>
        <w:rPr>
          <w:rFonts w:ascii="Times New Roman" w:hAnsi="Times New Roman"/>
          <w:sz w:val="20"/>
        </w:rPr>
      </w:pPr>
      <w:r>
        <w:rPr>
          <w:rFonts w:ascii="Times New Roman" w:hAnsi="Times New Roman"/>
          <w:sz w:val="20"/>
        </w:rPr>
        <w:t xml:space="preserve">Bakkt tracks certain key operating metrics with internal systems and tools that are not independently verified by any third party. While the metrics presented in this proxy statement/prospectus are based on what Bakkt believes to be reasonable assumptions and estimates, Bakkts internal systems and tools have a number of limitations, and Bakkts methodologies for tracking these metrics may change over time. In addition, limitations or errors with respect to how Bakkt measures data or with respect to the data that it measures may affect Bakkts understanding of certain details of its business, which could affect Bakkts long-term strategies. If the internal systems and tools Bakkt uses to track these metrics understate or overstate performance or contain algorithmic or other technical errors, the key operating metrics Bakkt reports may not be accurate. If investors do not perceive Bakkts operating metrics to be accurate, or if Bakkt discovers material inaccuracies with respect to these figures, Bakkts reputation may be significantly harmed, and its results of operations and financial condition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If Bakkt is unable to develop and maintain effective internal controls over financial reporting, it may not be able to produce timely and accurate financial statements, which could have a material adverse effect on its business. </w:t>
      </w:r>
    </w:p>
    <w:p>
      <w:pPr>
        <w:pStyle w:val="TextBody"/>
        <w:spacing w:before="120" w:after="0"/>
        <w:jc w:val="left"/>
        <w:rPr>
          <w:rFonts w:ascii="Times New Roman" w:hAnsi="Times New Roman"/>
          <w:sz w:val="20"/>
        </w:rPr>
      </w:pPr>
      <w:r>
        <w:rPr>
          <w:rFonts w:ascii="Times New Roman" w:hAnsi="Times New Roman"/>
          <w:sz w:val="20"/>
        </w:rPr>
        <w:t xml:space="preserve">Bakkt has had limited accounting and finance personnel and other resources and must develop its own internal controls and procedures consistent with PCAOB standards. Bakkt intends to continue to evaluate actions to enhance its internal controls over financial reporting, but there is no assurance that Bakkt will not identify control deficiencies or material weaknesses in the future. </w:t>
      </w:r>
    </w:p>
    <w:p>
      <w:pPr>
        <w:pStyle w:val="TextBody"/>
        <w:spacing w:before="240" w:after="0"/>
        <w:jc w:val="left"/>
        <w:rPr>
          <w:rFonts w:ascii="Times New Roman" w:hAnsi="Times New Roman"/>
          <w:sz w:val="20"/>
        </w:rPr>
      </w:pPr>
      <w:r>
        <w:rPr>
          <w:rFonts w:ascii="Times New Roman" w:hAnsi="Times New Roman"/>
          <w:sz w:val="20"/>
        </w:rPr>
        <w:t xml:space="preserve">The Sarbanes-Oxley Act requires, among other things, that Bakkt maintain effective internal control over financial reporting and disclosure controls and procedures. To comply with Section 404 of the Sarbanes-Oxley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 Bakkt expects to incur substantial cost, expend significant management time on compliance-related issues and hire additional accounting, financial, and internal audit staff with appropriate public company experience and technical accounting knowledge. Moreover, if Bakkt is not able to comply with the requirements of Section 404 of the Sarbanes-Oxley Act in a timely manner or if Bakkt or its independent registered public accounting firm identify deficiencies in its internal control over financial reporting that are deemed to be material weaknesses, Bakkt could be subject to sanctions or investigations by the SEC or other regulatory authorities, which would require additional financial and management resources. Any failure to maintain effective disclosure controls and procedures or internal control over financial reporting could have an adverse effect on Bakkts business and operating results, and cause a decline in the price of the Bakkt Pubco Class A Common Stock. </w:t>
      </w:r>
    </w:p>
    <w:p>
      <w:pPr>
        <w:pStyle w:val="TextBody"/>
        <w:spacing w:before="360" w:after="0"/>
        <w:jc w:val="left"/>
        <w:rPr>
          <w:rFonts w:ascii="Times New Roman" w:hAnsi="Times New Roman"/>
          <w:b/>
          <w:i/>
          <w:sz w:val="20"/>
        </w:rPr>
      </w:pPr>
      <w:r>
        <w:rPr>
          <w:rFonts w:ascii="Times New Roman" w:hAnsi="Times New Roman"/>
          <w:b/>
          <w:i/>
          <w:sz w:val="20"/>
        </w:rPr>
        <w:t xml:space="preserve">If Bakkts estimates or judgments relating to its critical accounting policies prove to be incorrect, Bakkts results of operations could be adversely affected.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Bakkts consolidated financial statements and accompanying notes appearing elsewhere in this proxy statement/prospectus. Bakkt bases its estimates on historical experience and on various other assumptions that Bakkt believes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deferred commissions, valuation of Bakkts stock-based compensation awards, including the determination of fair value of the Bakkt Pubco Common Stock, accounting for income taxes, the carrying value of operating lease right-of-use assets, and useful lives of long-lived assets, among others. Bakkts results of operations may be adversely affected if its assumptions change or if actual circumstances differ from those in Bakkts assumptions, which could cause Bakkts results of operations to fall below the expectations of securities analysts and investors, resulting in a decline in the market price of the Bakkt Pubco Class A Common Stock. </w:t>
      </w:r>
    </w:p>
    <w:p>
      <w:pPr>
        <w:pStyle w:val="TextBody"/>
        <w:spacing w:before="360" w:after="0"/>
        <w:jc w:val="left"/>
        <w:rPr>
          <w:rFonts w:ascii="Times New Roman" w:hAnsi="Times New Roman"/>
          <w:b/>
          <w:i/>
          <w:sz w:val="20"/>
        </w:rPr>
      </w:pPr>
      <w:r>
        <w:rPr>
          <w:rFonts w:ascii="Times New Roman" w:hAnsi="Times New Roman"/>
          <w:b/>
          <w:i/>
          <w:sz w:val="20"/>
        </w:rPr>
        <w:t xml:space="preserve">The Company will incur increased costs and become subject to additional regulations and requirements as a result of becoming a public company, and the Companys management will be required to devote substantial time to new compliance matters, which could lower profits and make it more difficult to run the Companys business. </w:t>
      </w:r>
    </w:p>
    <w:p>
      <w:pPr>
        <w:pStyle w:val="TextBody"/>
        <w:spacing w:before="120" w:after="0"/>
        <w:jc w:val="left"/>
        <w:rPr>
          <w:rFonts w:ascii="Times New Roman" w:hAnsi="Times New Roman"/>
          <w:sz w:val="20"/>
        </w:rPr>
      </w:pPr>
      <w:r>
        <w:rPr>
          <w:rFonts w:ascii="Times New Roman" w:hAnsi="Times New Roman"/>
          <w:sz w:val="20"/>
        </w:rPr>
        <w:t xml:space="preserve">As a public company, the Company expects to incur significant legal, accounting, reporting, and other expenses the Company has not incurred as a private company, including costs associated with public company reporting requirements and costs of recruiting and retaining non-executive directors. The Company also has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The Company expects these rules and regulations to increase the Companys legal and financial compliance costs and to make some activities more time-consuming and costly, although the Company is currently unable to estimate these costs with any degree of certainty. The Companys management will need to devote a substantial amount of time to ensure that it complies with all of these requirements. These laws and regulations also could make it more difficult and costly for the Company to obtain certain types of insurance, including director and officer liability insurance, and the Company may be forced to accept reduced policy limits and coverage or incur substantially higher costs to obtain the same or similar coverage. These laws and regulations could also make it more difficult to attract and retain qualified persons to serve on the Company Board and board committees and serve as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Furthermore, if the Company is unable to satisfy its obligations as a public company, the Company could be subject to delisting of the Bakkt Pubco Class A Common Stock, fines, sanctions, and other regulatory action and potentially civil litigation. </w:t>
      </w:r>
    </w:p>
    <w:p>
      <w:pPr>
        <w:pStyle w:val="TextBody"/>
        <w:spacing w:before="360" w:after="0"/>
        <w:jc w:val="left"/>
        <w:rPr>
          <w:rFonts w:ascii="Times New Roman" w:hAnsi="Times New Roman"/>
          <w:b/>
          <w:i/>
          <w:sz w:val="20"/>
        </w:rPr>
      </w:pPr>
      <w:r>
        <w:rPr>
          <w:rFonts w:ascii="Times New Roman" w:hAnsi="Times New Roman"/>
          <w:b/>
          <w:i/>
          <w:sz w:val="20"/>
        </w:rPr>
        <w:t xml:space="preserve">The Company is an emerging growth company, as defined under the federal securities laws, and the Company cannot be certain if the reduced disclosure requirements applicable to emerging growth companies will make the Bakkt Pubco Class A Common Stock less attractive to investors. </w:t>
      </w:r>
    </w:p>
    <w:p>
      <w:pPr>
        <w:pStyle w:val="TextBody"/>
        <w:spacing w:before="120" w:after="0"/>
        <w:jc w:val="left"/>
        <w:rPr>
          <w:rFonts w:ascii="Times New Roman" w:hAnsi="Times New Roman"/>
          <w:sz w:val="20"/>
        </w:rPr>
      </w:pPr>
      <w:r>
        <w:rPr>
          <w:rFonts w:ascii="Times New Roman" w:hAnsi="Times New Roman"/>
          <w:sz w:val="20"/>
        </w:rPr>
        <w:t xml:space="preserve">The Company is an emerging growth company, as defined in the Securities Act, and the Company intends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 extended transition period provided in the Securities Act for complying with new or revised accounting standards, and reduced disclosure obligations regarding executive compensation and exemptions from the requirements of holding a nonbinding stockholder advisory vote on executive compensation and stockholder approval of any golden parachute payments not previously approved. As a result, the Companys stockholders may not have access to certain information that they may deem important. </w:t>
      </w:r>
    </w:p>
    <w:p>
      <w:pPr>
        <w:pStyle w:val="TextBody"/>
        <w:spacing w:before="240" w:after="0"/>
        <w:jc w:val="left"/>
        <w:rPr>
          <w:rFonts w:ascii="Times New Roman" w:hAnsi="Times New Roman"/>
          <w:sz w:val="20"/>
        </w:rPr>
      </w:pPr>
      <w:r>
        <w:rPr>
          <w:rFonts w:ascii="Times New Roman" w:hAnsi="Times New Roman"/>
          <w:sz w:val="20"/>
        </w:rPr>
        <w:t xml:space="preserve">The Company will remain an emerging growth company until the earlier of (a) the last day of the fiscal year following September 22, 2025, (b) the last day of the fiscal year in which the Company has total annual gross revenues of at least $1.07 billion, (c) the date on which the Company has issued more than $1.0 billion in non-convertible debt during the prior three-year period and (d) the date on which the Company is deemed to be a large accelerated filer, which means the market value of the Companys common stock that is held by non-affiliates exceeds $700 million as of the prior December 31st. If some investors find the Bakkt Pubco Class A Common Stock less attractive as a result, there may be a less active trading market for the Bakkt Pubco Class A Common Stock, the Companys stock price may be more volatile and the price of the Bakkt Pubco Class A Common Stock may decline. </w:t>
      </w:r>
    </w:p>
    <w:p>
      <w:pPr>
        <w:pStyle w:val="TextBody"/>
        <w:spacing w:before="360" w:after="0"/>
        <w:jc w:val="left"/>
        <w:rPr>
          <w:rFonts w:ascii="Times New Roman" w:hAnsi="Times New Roman"/>
          <w:b/>
          <w:i/>
          <w:sz w:val="20"/>
        </w:rPr>
      </w:pPr>
      <w:r>
        <w:rPr>
          <w:rFonts w:ascii="Times New Roman" w:hAnsi="Times New Roman"/>
          <w:b/>
          <w:i/>
          <w:sz w:val="20"/>
        </w:rPr>
        <w:t xml:space="preserve">Future changes in financial accounting standards may significantly change Bakkts reported results of operations. </w:t>
      </w:r>
    </w:p>
    <w:p>
      <w:pPr>
        <w:pStyle w:val="TextBody"/>
        <w:spacing w:before="120" w:after="0"/>
        <w:jc w:val="left"/>
        <w:rPr>
          <w:rFonts w:ascii="Times New Roman" w:hAnsi="Times New Roman"/>
          <w:sz w:val="20"/>
        </w:rPr>
      </w:pPr>
      <w:r>
        <w:rPr>
          <w:rFonts w:ascii="Times New Roman" w:hAnsi="Times New Roman"/>
          <w:sz w:val="20"/>
        </w:rPr>
        <w:t xml:space="preserve">GAAP is subject to standard setting or interpretation by the Financial Accounting Standards Board, the SEC and various bodies formed to promulgate and interpret appropriate accounting principles. A change in these principles or interpretations could have a significant effect on Bakkts reported financial results and could affect the reporting of transactions completed before the announcement of a change. </w:t>
      </w:r>
    </w:p>
    <w:p>
      <w:pPr>
        <w:pStyle w:val="TextBody"/>
        <w:spacing w:before="360" w:after="0"/>
        <w:jc w:val="left"/>
        <w:rPr>
          <w:rFonts w:ascii="Times New Roman" w:hAnsi="Times New Roman"/>
          <w:b/>
          <w:i/>
          <w:sz w:val="20"/>
        </w:rPr>
      </w:pPr>
      <w:r>
        <w:rPr>
          <w:rFonts w:ascii="Times New Roman" w:hAnsi="Times New Roman"/>
          <w:b/>
          <w:i/>
          <w:sz w:val="20"/>
        </w:rPr>
        <w:t xml:space="preserve">Bakkts merchant partners may be subject to sales reporting and record-keeping obligations. </w:t>
      </w:r>
    </w:p>
    <w:p>
      <w:pPr>
        <w:pStyle w:val="TextBody"/>
        <w:spacing w:before="120" w:after="0"/>
        <w:jc w:val="left"/>
        <w:rPr>
          <w:rFonts w:ascii="Times New Roman" w:hAnsi="Times New Roman"/>
          <w:sz w:val="20"/>
        </w:rPr>
      </w:pPr>
      <w:r>
        <w:rPr>
          <w:rFonts w:ascii="Times New Roman" w:hAnsi="Times New Roman"/>
          <w:sz w:val="20"/>
        </w:rPr>
        <w:t xml:space="preserve">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Bakkt may be required to modify its systems to comply with future requirements, which may negatively impact its consumer experience and increase operational costs. Any failure by Bakkt to comply with these and similar reporting and record-keeping obligations could result in substantial monetary penalties and other sanctions, adversely impact Bakkts ability to do business in certain jurisdictions, and harm its business. </w:t>
      </w:r>
    </w:p>
    <w:p>
      <w:pPr>
        <w:pStyle w:val="TextBody"/>
        <w:spacing w:before="360" w:after="0"/>
        <w:jc w:val="left"/>
        <w:rPr>
          <w:rFonts w:ascii="Times New Roman" w:hAnsi="Times New Roman"/>
          <w:b/>
          <w:i/>
          <w:sz w:val="20"/>
        </w:rPr>
      </w:pPr>
      <w:r>
        <w:rPr>
          <w:rFonts w:ascii="Times New Roman" w:hAnsi="Times New Roman"/>
          <w:b/>
          <w:i/>
          <w:sz w:val="20"/>
        </w:rPr>
        <w:t xml:space="preserve">If securities and industry analysts do not publish research or publish inaccurate or unfavorable research about Bakkts business, the stock price and trading volume of the Bakkt Pubco Class A Common Stock could decline. </w:t>
      </w:r>
    </w:p>
    <w:p>
      <w:pPr>
        <w:pStyle w:val="TextBody"/>
        <w:spacing w:before="120" w:after="0"/>
        <w:jc w:val="left"/>
        <w:rPr>
          <w:rFonts w:ascii="Times New Roman" w:hAnsi="Times New Roman"/>
          <w:sz w:val="20"/>
        </w:rPr>
      </w:pPr>
      <w:r>
        <w:rPr>
          <w:rFonts w:ascii="Times New Roman" w:hAnsi="Times New Roman"/>
          <w:sz w:val="20"/>
        </w:rPr>
        <w:t xml:space="preserve">The trading market for the Bakkt Pubco Class A Common Stock will depend, in part, on the research and reports that securities and industry analysts publish about the Company and Bakkts business. Securities and industry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analysts do not currently, and may never, cover Bakkt. If securities and industry analysts do not commence coverage of Bakkt, the stock price of the Bakkt Pubco Class A Common Stock would likely be negatively impacted. In the event securities or industry analysts initiate coverage, if one or more of the analysts who cover Bakkt downgrade the Bakkt Pubco Class A Common Stock or publish inaccurate or unfavorable research about Bakkts business, the stock price of the Bakkt Pubco Class A Common Stock would likely decline. If one or more of these analysts cease coverage of Bakkt or fail to publish reports on Bakkt regularly, demand for the Companys stock could decrease, which might cause the stock price and trading volume of the Bakkt Pubco Class A Common Stock to decline. </w:t>
      </w:r>
    </w:p>
    <w:p>
      <w:pPr>
        <w:pStyle w:val="TextBody"/>
        <w:spacing w:before="360" w:after="0"/>
        <w:jc w:val="left"/>
        <w:rPr>
          <w:rFonts w:ascii="Times New Roman" w:hAnsi="Times New Roman"/>
          <w:sz w:val="20"/>
        </w:rPr>
      </w:pPr>
      <w:r>
        <w:rPr>
          <w:rFonts w:ascii="Times New Roman" w:hAnsi="Times New Roman"/>
          <w:b/>
          <w:i/>
          <w:sz w:val="20"/>
        </w:rPr>
        <w:t>The price of the Bakkt Pubco Class A Common Stock and Bakkt Pubco Warrants may be volatile.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Upon consummation of the Business Combination, the price of Bakkt Pubco Class A Common Stock and Bakkt Pubco Warrants may fluctuate due to a variety of factors,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industries in which Bakkt operates;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developments involving Bakkts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laws and regulations affecting Bakkts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variations in Bakkts operating performance and the performance of its competitors in general;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anticipated fluctuations in Bakkts quarterly or annual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publication of research reports by securities analysts about Bakkt or its competitors or its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publics reaction to Bakkts press releases, its other public announcements and its filings with the SEC;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actions by stockholders, including the sale by the PIPE Investors of any of their Bakkt Pubco Class A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commencement of, or involvement in, litigation involving the combined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Bakkts capital structure, such as future issuances of securities or the incurrence of debt;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volume of Bakkt Pubco Class A Shares available for public sale;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and political conditions, such as the effects of the COVID-19 outbreak, recessions, volatility in the markets, interest rates, local and national elections, fuel prices, international currency fluctuations, corruption, political instability, and acts of war or terrorism. </w:t>
            </w:r>
          </w:p>
        </w:tc>
      </w:tr>
    </w:tbl>
    <w:p>
      <w:pPr>
        <w:pStyle w:val="TextBody"/>
        <w:spacing w:before="240" w:after="0"/>
        <w:jc w:val="left"/>
        <w:rPr>
          <w:rFonts w:ascii="Times New Roman" w:hAnsi="Times New Roman"/>
          <w:sz w:val="20"/>
        </w:rPr>
      </w:pPr>
      <w:r>
        <w:rPr>
          <w:rFonts w:ascii="Times New Roman" w:hAnsi="Times New Roman"/>
          <w:sz w:val="20"/>
        </w:rPr>
        <w:t xml:space="preserve">These market and industry factors may materially reduce the market price of Bakkt Pubco Class A Common Stock and Bakkt Pubco Warrants regardless of the operating performance of Bakkt. </w:t>
      </w:r>
    </w:p>
    <w:p>
      <w:pPr>
        <w:pStyle w:val="TextBody"/>
        <w:spacing w:before="240" w:after="0"/>
        <w:jc w:val="left"/>
        <w:rPr>
          <w:rFonts w:ascii="Times New Roman" w:hAnsi="Times New Roman"/>
          <w:sz w:val="20"/>
        </w:rPr>
      </w:pPr>
      <w:r>
        <w:rPr>
          <w:rFonts w:ascii="Times New Roman" w:hAnsi="Times New Roman"/>
          <w:b/>
          <w:i/>
          <w:sz w:val="20"/>
        </w:rPr>
        <w:t>Recent market volatility could impact the stock price and trading volume of the Bakkt Pubco Class A 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trading market for the Bakkt Pubco Class A Common Stock could be impacted by recent market volatility. While Bakkt does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the Bakkt Pubco Class A Common Stock. </w:t>
      </w:r>
    </w:p>
    <w:p>
      <w:pPr>
        <w:pStyle w:val="TextBody"/>
        <w:spacing w:before="240" w:after="0"/>
        <w:jc w:val="left"/>
        <w:rPr>
          <w:rFonts w:ascii="Times New Roman" w:hAnsi="Times New Roman"/>
          <w:sz w:val="20"/>
        </w:rPr>
      </w:pPr>
      <w:r>
        <w:rPr>
          <w:rFonts w:ascii="Times New Roman" w:hAnsi="Times New Roman"/>
          <w:sz w:val="20"/>
        </w:rPr>
        <w:t xml:space="preserve">A possible short squeeze due to a sudden increase in demand of Bakkt Pubco Class A Common Stock that largely exceeds supply may lead to price volatility in the Bakkt Pubco Class A Common Stock. Investors may purchase Bakkt Pubco Class A Common Stock to hedge existing exposure or to speculate on the price of the Bakkt Pubco Class A Common Stock. Speculation on the price of Bakkt Pubco Class A Common Stock may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involve both long and short exposures. To the extent aggregate short exposure exceeds the number of Bakkt Pubco Class A Common Stock available for purchase (for example, in the event that large redemption requests dramatically affect liquidity), investors with short exposure may have to pay a premium to repurchase Bakkt Pubco Class A Common Stock for delivery to lenders. Those repurchases may in turn, dramatically increase the price of the Bakkt Pubco Class A Common Stock. This is often referred to as a short squeeze. A short squeeze could lead to volatile price movements in the Bakkt Pubco Class A Common Stock that are not directly correlated to the operating performance of Bakkt. </w:t>
      </w:r>
    </w:p>
    <w:p>
      <w:pPr>
        <w:pStyle w:val="TextBody"/>
        <w:spacing w:before="360" w:after="0"/>
        <w:jc w:val="left"/>
        <w:rPr>
          <w:rFonts w:ascii="Times New Roman" w:hAnsi="Times New Roman"/>
          <w:b/>
          <w:sz w:val="20"/>
        </w:rPr>
      </w:pPr>
      <w:bookmarkStart w:id="25" w:name="29e"/>
      <w:bookmarkEnd w:id="25"/>
      <w:r>
        <w:rPr>
          <w:rFonts w:ascii="Times New Roman" w:hAnsi="Times New Roman"/>
          <w:b/>
          <w:sz w:val="20"/>
        </w:rPr>
        <w:t xml:space="preserve">Risks Related to VIH </w:t>
      </w:r>
    </w:p>
    <w:p>
      <w:pPr>
        <w:pStyle w:val="TextBody"/>
        <w:spacing w:before="120" w:after="0"/>
        <w:jc w:val="left"/>
        <w:rPr>
          <w:rFonts w:ascii="Times New Roman" w:hAnsi="Times New Roman"/>
          <w:b/>
          <w:i/>
          <w:sz w:val="20"/>
        </w:rPr>
      </w:pPr>
      <w:r>
        <w:rPr>
          <w:rFonts w:ascii="Times New Roman" w:hAnsi="Times New Roman"/>
          <w:b/>
          <w:i/>
          <w:sz w:val="20"/>
        </w:rPr>
        <w:t xml:space="preserve">You have limited rights or interests in funds in the Trust Account. To liquidate your investment, therefore, you may be forced to sell your Public Shares or VIH Warrants, potentially at a loss. </w:t>
      </w:r>
    </w:p>
    <w:p>
      <w:pPr>
        <w:pStyle w:val="TextBody"/>
        <w:spacing w:before="120" w:after="0"/>
        <w:jc w:val="left"/>
        <w:rPr>
          <w:rFonts w:ascii="Times New Roman" w:hAnsi="Times New Roman"/>
          <w:sz w:val="20"/>
        </w:rPr>
      </w:pPr>
      <w:r>
        <w:rPr>
          <w:rFonts w:ascii="Times New Roman" w:hAnsi="Times New Roman"/>
          <w:sz w:val="20"/>
        </w:rPr>
        <w:t xml:space="preserve">Public Shareholders will be entitled to receive funds from the Trust Account only upon (a) such shareholders exercise of Redemption Rights in connection with VIHs initial business combination (which will be the Business Combination should it occur) and then only in connection with those VIH Shares that such shareholder properly elected to redeem, subject to the limitations described herein, (b) the Redemption of any Public Shares properly tendered in connection with a shareholder vote to amend the Cayman Constitutional Documents to (A) modify the substance or timing of VIHs obligation to redeem 100% of the Public Shares if VIH does not complete an initial business combination by September 25, 2022 or (B) with respect to any other provision relating to shareholders rights or pre-business combination activity and (c) the Redemption of Public Shares if VIH is unable to complete an initial business combination by September 25, 2022, subject to applicable law and as further described in this proxy statement/prospectus. In addition, if VIHs plan to redeem its Public Shares if it is unable to complete an initial Business Combination by September 25, 2022 is not completed for any reason, compliance with applicable law and the Cayman Constitutional Documents may require that VIH submit a plan of dissolution to its then-existing shareholders for approval prior to the distribution of the proceeds held in the Trust Account. In that case, Public Shareholders may be forced to wait beyond September 25, 2022 before they receive funds from the Trust Account. </w:t>
      </w:r>
    </w:p>
    <w:p>
      <w:pPr>
        <w:pStyle w:val="TextBody"/>
        <w:spacing w:before="240" w:after="0"/>
        <w:jc w:val="left"/>
        <w:rPr>
          <w:rFonts w:ascii="Times New Roman" w:hAnsi="Times New Roman"/>
          <w:sz w:val="20"/>
        </w:rPr>
      </w:pPr>
      <w:r>
        <w:rPr>
          <w:rFonts w:ascii="Times New Roman" w:hAnsi="Times New Roman"/>
          <w:sz w:val="20"/>
        </w:rPr>
        <w:t xml:space="preserve">VIHs ability to complete the Business Combination may be negatively impacted by general market conditions, volatility in the capital and debt markets and the other risks described in this proxy statement/prospectus, including as a result of terrorist attacks, natural disaster or a significant outbreak of infectious diseases. For example, the outbreak of COVID-19 continues to grow in the U.S. and, while the extent of the impact of the outbreak on VIH will depend on future developments, it could limit VIHs ability to complete the Business Combination, including as a result of increased market volatility, decreased market liquidity and third-party financing being unavailable on terms acceptable to VIH or at all. Additionally, the outbreak of COVID-19 and other events (such as terrorist attacks, natural disasters or a significant outbreak of other infectious diseases) may negatively impact the business of Bakkt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If VIH is not able to complete the Business Combination with Bakkt by September 25, 2022, nor able to complete another business combination by such date, in each case, as such date may be extended pursuant to the Cayman Constitutional Documents, VIH will: (a) cease all operations except for the purpose of winding up; (b)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will be net of taxes payable), divided by the number of then issued and outstanding Public Shares, which redemption will completely extinguish Public Shareholders rights as shareholders (including the right to receive further liquidating distributions, if any), subject to applicable law; and (c) as promptly as reasonably possible following such redemption, subject to the approval of VIHs remaining shareholders and the VIH Board, dissolve and liquidate, subject in each case to VIHs obligations under Cayman Islands law to provide for claims of creditors and the requirements of other applicable law. In such case, the Public Shareholders may be forced to wait beyond September 25, 2022 before they receive funds from the Trust Account, receive only approximately $10.00 per share and the Public Warrants will expire worthless. In no other circumstances will a Public Shareholder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right or interest of any kind in the Trust Account. Accordingly, to liquidate your investment, you may be forced to sell your Public Shares or warrants, potentially at a loss. </w:t>
      </w:r>
    </w:p>
    <w:p>
      <w:pPr>
        <w:pStyle w:val="TextBody"/>
        <w:spacing w:before="360" w:after="0"/>
        <w:jc w:val="left"/>
        <w:rPr>
          <w:rFonts w:ascii="Times New Roman" w:hAnsi="Times New Roman"/>
          <w:b/>
          <w:i/>
          <w:sz w:val="20"/>
        </w:rPr>
      </w:pPr>
      <w:r>
        <w:rPr>
          <w:rFonts w:ascii="Times New Roman" w:hAnsi="Times New Roman"/>
          <w:b/>
          <w:i/>
          <w:sz w:val="20"/>
        </w:rPr>
        <w:t xml:space="preserve">If you or a group of shareholders are deemed to hold in excess of 15% of the Public Shares, you will lose the ability to redeem all such shares in excess of 15% of the Public Shares. </w:t>
      </w:r>
    </w:p>
    <w:p>
      <w:pPr>
        <w:pStyle w:val="TextBody"/>
        <w:spacing w:before="120" w:after="0"/>
        <w:jc w:val="left"/>
        <w:rPr>
          <w:rFonts w:ascii="Times New Roman" w:hAnsi="Times New Roman"/>
          <w:sz w:val="20"/>
        </w:rPr>
      </w:pPr>
      <w:r>
        <w:rPr>
          <w:rFonts w:ascii="Times New Roman" w:hAnsi="Times New Roman"/>
          <w:sz w:val="20"/>
        </w:rPr>
        <w:t>The Cayman Constitutional Documents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the IPO, which is referred to as the </w:t>
      </w:r>
      <w:r>
        <w:rPr>
          <w:rFonts w:ascii="Times New Roman" w:hAnsi="Times New Roman"/>
          <w:b/>
          <w:sz w:val="20"/>
        </w:rPr>
        <w:t>Excess Shares</w:t>
      </w:r>
      <w:r>
        <w:rPr>
          <w:rFonts w:ascii="Times New Roman" w:hAnsi="Times New Roman"/>
          <w:sz w:val="20"/>
        </w:rPr>
        <w:t xml:space="preserve">. However, such shareholders may vote all their shares (including Excess Shares) for or against the Business Combination. Your inability to redeem the Excess Shares will reduce your influence over VIHs ability to complete the Business Combination and you could suffer a material loss on your investment in VIH if you sell Excess Shares in open market transactions. Additionally, you will not receive Redemption distributions with respect to the Excess Shares if VIH completes the Business Combination. As a result, you will continue to hold that number of Public Shares exceeding 15% and, in order to dispose of such shares, would be required to sell such shares in open market transactions, potentially at a loss. </w:t>
      </w:r>
    </w:p>
    <w:p>
      <w:pPr>
        <w:pStyle w:val="TextBody"/>
        <w:spacing w:before="360" w:after="0"/>
        <w:jc w:val="left"/>
        <w:rPr>
          <w:rFonts w:ascii="Times New Roman" w:hAnsi="Times New Roman"/>
          <w:b/>
          <w:i/>
          <w:sz w:val="20"/>
        </w:rPr>
      </w:pPr>
      <w:r>
        <w:rPr>
          <w:rFonts w:ascii="Times New Roman" w:hAnsi="Times New Roman"/>
          <w:b/>
          <w:i/>
          <w:sz w:val="20"/>
        </w:rPr>
        <w:t xml:space="preserve">VIHs shareholders may be held liable for claims by third parties against VIH to the extent of distributions received by them upon Redemption of their shares. </w:t>
      </w:r>
    </w:p>
    <w:p>
      <w:pPr>
        <w:pStyle w:val="TextBody"/>
        <w:spacing w:before="120" w:after="0"/>
        <w:jc w:val="left"/>
        <w:rPr>
          <w:rFonts w:ascii="Times New Roman" w:hAnsi="Times New Roman"/>
          <w:sz w:val="20"/>
        </w:rPr>
      </w:pPr>
      <w:r>
        <w:rPr>
          <w:rFonts w:ascii="Times New Roman" w:hAnsi="Times New Roman"/>
          <w:sz w:val="20"/>
        </w:rPr>
        <w:t xml:space="preserve">If VIH is forced to enter into an insolvent liquidation, any distributions received by shareholders could be viewed as an unlawful payment if it was proved that immediately following the date on which the distribution was made, VIH was unable to pay its debts as they fall due in the ordinary course of business. As a result, a liquidator could seek to recover all amounts received by VIHs shareholders. Furthermore, VIHs directors may be viewed as having breached their fiduciary duties to VIH or VIHs creditors and/or having acted in bad faith, and thereby exposing themselves and VIH to claims, by paying Public Shareholders from the Trust Account prior to addressing the claims of creditors. There is no assurance that claims will not be brought against VIH for these reasons. VIH and its directors and officers who knowingly and willfully authorized or permitted any distribution to be paid out of the Trust Account while VIH was unable to pay its debts as they fall due in the ordinary course of business would be guilty of an offence and may be liable to a fine of approximately $18,293 and to imprisonment for five years in the Cayman Islands. </w:t>
      </w:r>
    </w:p>
    <w:p>
      <w:pPr>
        <w:pStyle w:val="TextBody"/>
        <w:spacing w:before="240" w:after="0"/>
        <w:jc w:val="left"/>
        <w:rPr>
          <w:rFonts w:ascii="Times New Roman" w:hAnsi="Times New Roman"/>
          <w:sz w:val="20"/>
        </w:rPr>
      </w:pPr>
      <w:r>
        <w:rPr>
          <w:rFonts w:ascii="Times New Roman" w:hAnsi="Times New Roman"/>
          <w:sz w:val="20"/>
        </w:rPr>
        <w:t xml:space="preserve">Although VIH seeks to have all vendors, service providers (other than its independent auditors), prospective target businesses or other entities with which it does business execute agreements with VIH waiving any right, title, interest or claim of any kind in or to any monies held in the Trust Account for the benefit of the Public Shareholders, as well as distributions to Public Shareholders, such parties may not execute such agreements, or even if they execute such agreements they may not be prevented from bringing claims against the Public Shareholders or claims challenging the enforceability of the waiver. </w:t>
      </w:r>
    </w:p>
    <w:p>
      <w:pPr>
        <w:pStyle w:val="TextBody"/>
        <w:spacing w:before="360" w:after="0"/>
        <w:jc w:val="left"/>
        <w:rPr>
          <w:rFonts w:ascii="Times New Roman" w:hAnsi="Times New Roman"/>
          <w:b/>
          <w:i/>
          <w:sz w:val="20"/>
        </w:rPr>
      </w:pPr>
      <w:r>
        <w:rPr>
          <w:rFonts w:ascii="Times New Roman" w:hAnsi="Times New Roman"/>
          <w:b/>
          <w:i/>
          <w:sz w:val="20"/>
        </w:rPr>
        <w:t xml:space="preserve">If third parties bring claims against VIH, the proceeds held in the Trust Account could be reduced and the Redemption Price received by Public Shareholders may be less than $10.00 per share. </w:t>
      </w:r>
    </w:p>
    <w:p>
      <w:pPr>
        <w:pStyle w:val="TextBody"/>
        <w:spacing w:before="120" w:after="0"/>
        <w:jc w:val="left"/>
        <w:rPr>
          <w:rFonts w:ascii="Times New Roman" w:hAnsi="Times New Roman"/>
          <w:sz w:val="20"/>
        </w:rPr>
      </w:pPr>
      <w:r>
        <w:rPr>
          <w:rFonts w:ascii="Times New Roman" w:hAnsi="Times New Roman"/>
          <w:sz w:val="20"/>
        </w:rPr>
        <w:t xml:space="preserve">VIHs placing of funds in the Trust Account may not protect those funds from third-party claims against VIH. Although VIH seeks to have all vendors, service providers (other than its independent auditors), prospective target businesses or other entities with which it does business execute agreements with VIH waiving any right, title, interest or claim of any kind in or to any monies held in the Trust Account for the benefit of the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VIHs assets, including the funds held in the Trust Account. If any third party refuses to execute an agreement waiving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claims to the monies held in the Trust Account, VIHs management will perform an analysis of the alternatives available to it and will only enter into an agreement with a third party that has not executed a waiver if management believes that such third partys engagement would be significantly more beneficial to VIH than any alternative. </w:t>
      </w:r>
    </w:p>
    <w:p>
      <w:pPr>
        <w:pStyle w:val="TextBody"/>
        <w:spacing w:before="240" w:after="0"/>
        <w:jc w:val="left"/>
        <w:rPr>
          <w:rFonts w:ascii="Times New Roman" w:hAnsi="Times New Roman"/>
          <w:sz w:val="20"/>
        </w:rPr>
      </w:pPr>
      <w:r>
        <w:rPr>
          <w:rFonts w:ascii="Times New Roman" w:hAnsi="Times New Roman"/>
          <w:sz w:val="20"/>
        </w:rPr>
        <w:t xml:space="preserve">Examples of possible instances where VIH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VIH and will not seek recourse against the Trust Account for any reason. Upon Redemption of the Public Shares, if VIH is unable to complete its initial business combination within the prescribed time frame, or upon the exercise of a Redemption Right in connection with the Business Combination, VIH will be required to provide for payment of claims of creditors that were not waived that may be brought against VIH within the ten years following Redemption. Accordingly, the Redemption Price received by Public Shareholders could be less than the $10.00 per share initially held in the Trust Account, due to claims of such creditors. </w:t>
      </w:r>
    </w:p>
    <w:p>
      <w:pPr>
        <w:pStyle w:val="TextBody"/>
        <w:spacing w:before="240" w:after="0"/>
        <w:jc w:val="left"/>
        <w:rPr>
          <w:rFonts w:ascii="Times New Roman" w:hAnsi="Times New Roman"/>
          <w:sz w:val="20"/>
        </w:rPr>
      </w:pPr>
      <w:r>
        <w:rPr>
          <w:rFonts w:ascii="Times New Roman" w:hAnsi="Times New Roman"/>
          <w:sz w:val="20"/>
        </w:rPr>
        <w:t xml:space="preserve">Pursuant to the Insider Letter Agreement, the Sponsor has agreed that it will be liable to VIH if and to the extent any claims by a vendor (other than the independent auditors) for services rendered or products sold to VIH, or a prospective target business with which VIH has discussed entering into a transaction agreement, reduce the amount of funds in the Trust Account to below (a) $10.00 per Public Share or (b)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VIHs indemnity of the underwriters of the IPO against certain liabilities, including liabilities under the Securities Act. Moreover, in the event that an executed waiver is deemed to be unenforceable against a third party, the Sponsor will not be responsible to the extent of any liability for such third-party claims. VIH believes that the Sponsors only assets are securities of VIH, and VIH has neither undertaken any efforts to independently verify whether the Sponsor has sufficient funds available to satisfy its indemnification obligations, nor asked the Sponsor to reserve for such obligations. As a result, if any such claims were successfully made against the Trust Account, the funds available for an initial business combination and Redemptions could be reduced to less than $10.00 per Public Share without any meaningful recourse against the Sponsor. In such event, VIH may not be able to complete an initial business combination, and you would receive such lesser amount per share in connection with any Redemption of your Public Shares. </w:t>
      </w:r>
    </w:p>
    <w:p>
      <w:pPr>
        <w:pStyle w:val="TextBody"/>
        <w:spacing w:before="240" w:after="0"/>
        <w:jc w:val="left"/>
        <w:rPr>
          <w:rFonts w:ascii="Times New Roman" w:hAnsi="Times New Roman"/>
          <w:sz w:val="20"/>
        </w:rPr>
      </w:pPr>
      <w:r>
        <w:rPr>
          <w:rFonts w:ascii="Times New Roman" w:hAnsi="Times New Roman"/>
          <w:sz w:val="20"/>
        </w:rPr>
        <w:t xml:space="preserve">None of VIHs officers or directors will indemnify VIH for claims by third parties including, without limitation, claims by vendors and prospective target businesses. </w:t>
      </w:r>
    </w:p>
    <w:p>
      <w:pPr>
        <w:pStyle w:val="TextBody"/>
        <w:spacing w:before="360" w:after="0"/>
        <w:jc w:val="left"/>
        <w:rPr>
          <w:rFonts w:ascii="Times New Roman" w:hAnsi="Times New Roman"/>
          <w:b/>
          <w:i/>
          <w:sz w:val="20"/>
        </w:rPr>
      </w:pPr>
      <w:r>
        <w:rPr>
          <w:rFonts w:ascii="Times New Roman" w:hAnsi="Times New Roman"/>
          <w:b/>
          <w:i/>
          <w:sz w:val="20"/>
        </w:rPr>
        <w:t xml:space="preserve">VIHs directors may decide not to enforce the indemnification obligations of the Sponsor under the Insider Letter Agreement, resulting in a reduction in the amount of funds in the Trust Account available for distribution to the Public Shareholders. </w:t>
      </w:r>
    </w:p>
    <w:p>
      <w:pPr>
        <w:pStyle w:val="TextBody"/>
        <w:spacing w:before="120" w:after="0"/>
        <w:jc w:val="left"/>
        <w:rPr>
          <w:rFonts w:ascii="Times New Roman" w:hAnsi="Times New Roman"/>
          <w:sz w:val="20"/>
        </w:rPr>
      </w:pPr>
      <w:r>
        <w:rPr>
          <w:rFonts w:ascii="Times New Roman" w:hAnsi="Times New Roman"/>
          <w:sz w:val="20"/>
        </w:rPr>
        <w:t xml:space="preserve">In the event that the proceeds in the Trust Account are reduced below the lesser of (a) $10.00 per Public Share or (b) such lesser amount per share held in the Trust Account as of the date of the liquidation of the Trust Account due to reductions in the value of the trust assets, in each case net of the interest which may be withdrawn to pay taxes, and the Sponsor asserts that it is unable to satisfy its obligations or that it has no indemnification obligations related to a particular claim, VIHs independent directors would determine whether to take legal action against the Sponsor to enforce its indemnification obligations. While VIH currently expects that its independent directors would take legal action on behalf of VIH against the Sponsor to enforce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indemnification obligations to VIH, it is possible that VIHs independent directors in exercising their business judgment may choose not to do so in any particular instance. If VIHs independent directors choose not to enforce these indemnification obligations, there may be less funds in the Trust Account available for distribution to the Public Shareholders. </w:t>
      </w:r>
    </w:p>
    <w:p>
      <w:pPr>
        <w:pStyle w:val="TextBody"/>
        <w:spacing w:before="360" w:after="0"/>
        <w:jc w:val="left"/>
        <w:rPr>
          <w:rFonts w:ascii="Times New Roman" w:hAnsi="Times New Roman"/>
          <w:b/>
          <w:i/>
          <w:sz w:val="20"/>
        </w:rPr>
      </w:pPr>
      <w:r>
        <w:rPr>
          <w:rFonts w:ascii="Times New Roman" w:hAnsi="Times New Roman"/>
          <w:b/>
          <w:i/>
          <w:sz w:val="20"/>
        </w:rPr>
        <w:t xml:space="preserve">If, before distributing the proceeds in the Trust Account to its Public Shareholders, VIH files a bankruptcy petition or an involuntary bankruptcy petition is filed against VIH that is not dismissed, the claims of creditors in such proceeding may have priority over the claims of VIHs shareholders and the per share amount that would otherwise be received by our shareholders in connection with its liquidation may be reduced. </w:t>
      </w:r>
    </w:p>
    <w:p>
      <w:pPr>
        <w:pStyle w:val="TextBody"/>
        <w:spacing w:before="120" w:after="0"/>
        <w:jc w:val="left"/>
        <w:rPr>
          <w:rFonts w:ascii="Times New Roman" w:hAnsi="Times New Roman"/>
          <w:sz w:val="20"/>
        </w:rPr>
      </w:pPr>
      <w:r>
        <w:rPr>
          <w:rFonts w:ascii="Times New Roman" w:hAnsi="Times New Roman"/>
          <w:sz w:val="20"/>
        </w:rPr>
        <w:t xml:space="preserve">If, before distributing the proceeds in the Trust Account to the Public Shareholders, VIH files a bankruptcy petition or an involuntary bankruptcy petition is filed against VIH that is not dismissed, the proceeds held in the Trust Account could be subject to applicable bankruptcy law, and may be included in VIHs bankruptcy estate and subject to the claims of third parties with priority over the claims of VIHs shareholders. To the extent any bankruptcy claims deplete the Trust Account, the per share amount that would otherwise be received by VIHs shareholders in connection with our liquidation may be reduced. </w:t>
      </w:r>
    </w:p>
    <w:p>
      <w:pPr>
        <w:pStyle w:val="TextBody"/>
        <w:spacing w:before="360" w:after="0"/>
        <w:jc w:val="left"/>
        <w:rPr>
          <w:rFonts w:ascii="Times New Roman" w:hAnsi="Times New Roman"/>
          <w:b/>
          <w:i/>
          <w:sz w:val="20"/>
        </w:rPr>
      </w:pPr>
      <w:r>
        <w:rPr>
          <w:rFonts w:ascii="Times New Roman" w:hAnsi="Times New Roman"/>
          <w:b/>
          <w:i/>
          <w:sz w:val="20"/>
        </w:rPr>
        <w:t xml:space="preserve">If, after VIH distributes the proceeds in the Trust Account to its Public Shareholders, VIH files a bankruptcy or insolvency petition or an involuntary bankruptcy petition is filed against VIH that is not dismissed, a bankruptcy court may seek to recover such proceeds and the members of the VIH Board may be viewed as having breached their fiduciary duties to VIHs creditors, thereby exposing the members of the VIH Board and VIH to claims of punitive damages. </w:t>
      </w:r>
    </w:p>
    <w:p>
      <w:pPr>
        <w:pStyle w:val="TextBody"/>
        <w:spacing w:before="120" w:after="0"/>
        <w:jc w:val="left"/>
        <w:rPr>
          <w:rFonts w:ascii="Times New Roman" w:hAnsi="Times New Roman"/>
          <w:sz w:val="20"/>
        </w:rPr>
      </w:pPr>
      <w:r>
        <w:rPr>
          <w:rFonts w:ascii="Times New Roman" w:hAnsi="Times New Roman"/>
          <w:sz w:val="20"/>
        </w:rPr>
        <w:t xml:space="preserve">If, after VIH distributes the proceeds in the Trust Account to its Public Shareholders, VIH files a bankruptcy or insolvency petition or an involuntary bankruptcy petition is filed against VIH that is not dismissed, any distributions received by shareholders could be viewed under applicable debtor/creditor and/or bankruptcy laws as either a preferential transfer or a fraudulent conveyance. As a result, a bankruptcy court could seek to recover all amounts received by VIHs shareholders. In addition, the VIH Board may be viewed as having breached its fiduciary duty to VIHs creditors and/or having acted in bad faith, thereby exposing itself and VIH to claims of punitive damages, by paying Public Shareholders from the Trust Account prior to addressing the claims of creditors. </w:t>
      </w:r>
    </w:p>
    <w:p>
      <w:pPr>
        <w:pStyle w:val="TextBody"/>
        <w:spacing w:before="360" w:after="0"/>
        <w:jc w:val="left"/>
        <w:rPr>
          <w:rFonts w:ascii="Times New Roman" w:hAnsi="Times New Roman"/>
          <w:b/>
          <w:i/>
          <w:sz w:val="20"/>
        </w:rPr>
      </w:pPr>
      <w:r>
        <w:rPr>
          <w:rFonts w:ascii="Times New Roman" w:hAnsi="Times New Roman"/>
          <w:b/>
          <w:i/>
          <w:sz w:val="20"/>
        </w:rPr>
        <w:t xml:space="preserve">Changes in laws or regulations, or a failure to comply with any laws and regulations, may adversely affect the business, investments and results of operations of VIH. </w:t>
      </w:r>
    </w:p>
    <w:p>
      <w:pPr>
        <w:pStyle w:val="TextBody"/>
        <w:spacing w:before="120" w:after="0"/>
        <w:jc w:val="left"/>
        <w:rPr>
          <w:rFonts w:ascii="Times New Roman" w:hAnsi="Times New Roman"/>
          <w:sz w:val="20"/>
        </w:rPr>
      </w:pPr>
      <w:r>
        <w:rPr>
          <w:rFonts w:ascii="Times New Roman" w:hAnsi="Times New Roman"/>
          <w:sz w:val="20"/>
        </w:rPr>
        <w:t xml:space="preserve">VIH is subject to laws and regulations enacted by national, regional and local governments. In particular, VIH is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the business, investments and results of operations of VIH. In addition, a failure to comply with applicable laws or regulations, as interpreted and applied, could have a material adverse effect on VIHs business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Insider Letter Agreement may be amended without shareholder approval. </w:t>
      </w:r>
    </w:p>
    <w:p>
      <w:pPr>
        <w:pStyle w:val="TextBody"/>
        <w:spacing w:before="120" w:after="0"/>
        <w:jc w:val="left"/>
        <w:rPr>
          <w:rFonts w:ascii="Times New Roman" w:hAnsi="Times New Roman"/>
          <w:sz w:val="20"/>
        </w:rPr>
      </w:pPr>
      <w:r>
        <w:rPr>
          <w:rFonts w:ascii="Times New Roman" w:hAnsi="Times New Roman"/>
          <w:sz w:val="20"/>
        </w:rPr>
        <w:t xml:space="preserve">The Insider Letter Agreement with the Sponsor and its directors and officers contains provisions relating to transfer restrictions of the Founder Shares and Private Placement Warrants, indemnification of the Trust Account, waiver of Redemption Rights and participation in liquidation distributions from the Trust Account. The Insider Letter Agreement may be amended without shareholder approval. While VIH does not expect the VIH Board to approve any amendment to this agreement prior to the Business Combination, it may be possible that the VIH Board, in exercising its business judgment and subject to its fiduciary duties and any restrictions under the Merger Agreement, chooses to approve one or more amendments to such agreement. Any such amendment may have an adverse effect on the value of an investment in VIHs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bookmarkStart w:id="26" w:name="6c"/>
      <w:bookmarkEnd w:id="26"/>
      <w:r>
        <w:rPr>
          <w:rFonts w:ascii="Times New Roman" w:hAnsi="Times New Roman"/>
          <w:b/>
          <w:i/>
          <w:sz w:val="20"/>
        </w:rPr>
        <w:t xml:space="preserve">The Sponsor controls a substantial interest in VIH and thus may exert a substantial influence on actions requiring a shareholder vote, potentially in a manner that you do not support. </w:t>
      </w:r>
    </w:p>
    <w:p>
      <w:pPr>
        <w:pStyle w:val="TextBody"/>
        <w:spacing w:before="120" w:after="0"/>
        <w:jc w:val="left"/>
        <w:rPr>
          <w:rFonts w:ascii="Times New Roman" w:hAnsi="Times New Roman"/>
          <w:sz w:val="20"/>
        </w:rPr>
      </w:pPr>
      <w:r>
        <w:rPr>
          <w:rFonts w:ascii="Times New Roman" w:hAnsi="Times New Roman"/>
          <w:sz w:val="20"/>
        </w:rPr>
        <w:t>The Sponsor has the ability to vote the Founder Shares it holds, constituting 20% of the issued and outstanding VIH Shares. Control of the Founder Shares entitles the Sponsor to elect all of VIHs directors prior to an initial business combination, including in the Director Election Proposal in connection with the Business Combination. Holders of Public Shares will have no right to vote on the election of directors during such time. The provisions of the Cayman Constitutional Documents that grant the holders of the Founder Shares the ability to elect directors may only be amended by a special resolution passed by at least 90% of VIH Shares voting in an extraordinary general meeting. Accordingly, the Sponsor may exert a substantial influence on actions requiring a shareholder vote, including the matters to be considered at the extraordinary general meeting, potentially in a manner that you do not support. If the Sponsor and any VIH directors or officers (or their affiliates) purchase any additional VIH Shares in the aftermarket or in privately negotiated transactions, this would increase their control of VIH. Neither the Sponsor nor, to VIHs knowledge, any of VIHs officers or directors, have any current intention to purchase additional securities. Factors that would be considered in making such additional purchases would include consideration of the current trading price of VIHs Class A Ordinary Shares. VIH will not hold an annual general meeting to elect new directors prior to the completion of the Proposed Transaction, in which case all of the current directors will continue in office until at least the completion of the Proposed Transaction. Accordingly, the Sponsor will continue to exert control at least until the completion of the Proposed Transaction. For more information, see the risk factor entitled </w:t>
      </w:r>
      <w:r>
        <w:rPr>
          <w:rFonts w:ascii="Times New Roman" w:hAnsi="Times New Roman"/>
          <w:i/>
          <w:sz w:val="20"/>
        </w:rPr>
        <w:t>Risks Related to the Domestication and Business CombinationSome of VIHs officers and directors may have conflicts of interest that may influence or have influenced them to support or approve the Business Combination without regard to your interests or in determining whether Bakkt is appropriate for VIHs initial business combination</w:t>
      </w:r>
      <w:r>
        <w:rPr>
          <w:rFonts w:ascii="Times New Roman" w:hAnsi="Times New Roman"/>
          <w:sz w:val="20"/>
        </w:rPr>
        <w:t xml:space="preserve"> beginning on page 58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Pursuant to the terms of the Warrant Agreement, a Public Warrant Holder will only be permitted to exercise its warrants for a whole number of VIH Class A Ordinary Shares. </w:t>
      </w:r>
    </w:p>
    <w:p>
      <w:pPr>
        <w:pStyle w:val="TextBody"/>
        <w:spacing w:before="120" w:after="0"/>
        <w:jc w:val="left"/>
        <w:rPr>
          <w:rFonts w:ascii="Times New Roman" w:hAnsi="Times New Roman"/>
          <w:sz w:val="20"/>
        </w:rPr>
      </w:pPr>
      <w:r>
        <w:rPr>
          <w:rFonts w:ascii="Times New Roman" w:hAnsi="Times New Roman"/>
          <w:sz w:val="20"/>
        </w:rPr>
        <w:t xml:space="preserve">Pursuant to the terms of the Warrant Agreement, a Public Warrant Holder may exercise its warrants only for a whole number of VIH Class A Ordinary Shares. This means only a whole warrant may be exercised at any given time by a Public Warrant Holder. For example, if a Public Warrant Holder holds one-quarter of one warrant to purchase a VIH Class A Ordinary Share, such warrant will not be exercisable. However, if a Public Warrant Holder holds four one-quarters of one warrant, such warrants will be exercisable for one VIH Class A Ordinary Share. </w:t>
      </w:r>
    </w:p>
    <w:p>
      <w:pPr>
        <w:pStyle w:val="TextBody"/>
        <w:spacing w:before="360" w:after="0"/>
        <w:jc w:val="left"/>
        <w:rPr>
          <w:rFonts w:ascii="Times New Roman" w:hAnsi="Times New Roman"/>
          <w:b/>
          <w:i/>
          <w:sz w:val="20"/>
        </w:rPr>
      </w:pPr>
      <w:r>
        <w:rPr>
          <w:rFonts w:ascii="Times New Roman" w:hAnsi="Times New Roman"/>
          <w:b/>
          <w:i/>
          <w:sz w:val="20"/>
        </w:rPr>
        <w:t xml:space="preserve">The terms of the Warrants may be amended in a manner that may be adverse to holders with the approval by the holders of at least 50% of the then outstanding Public Warrants. </w:t>
      </w:r>
    </w:p>
    <w:p>
      <w:pPr>
        <w:pStyle w:val="TextBody"/>
        <w:spacing w:before="120" w:after="0"/>
        <w:jc w:val="left"/>
        <w:rPr>
          <w:rFonts w:ascii="Times New Roman" w:hAnsi="Times New Roman"/>
          <w:sz w:val="20"/>
        </w:rPr>
      </w:pPr>
      <w:r>
        <w:rPr>
          <w:rFonts w:ascii="Times New Roman" w:hAnsi="Times New Roman"/>
          <w:sz w:val="20"/>
        </w:rPr>
        <w:t xml:space="preserve">The VIH Warrants were issued pursuant to the Warrant Agreement between Continental Stock Transfer &amp; Trust Company, as warrant agent, and VIH. The Warrant Agreement provides that the terms of the VIH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the Public Warrants. Accordingly, the terms of the Public Warrants may be amended in a manner adverse to a holder if holders of at least 50% of the then outstanding Public Warrants approve of such amendment. VIH or the Company may amend the terms of the Public Warrants with the consent of at least 50% of the then outstanding Public Warrants to effect any change thereto, including to increase the exercise price of the Warrants, shorten the exercise period or decrease the number of shares of VIH or the Company purchasable upon exercise of a Warrant. </w:t>
      </w:r>
    </w:p>
    <w:p>
      <w:pPr>
        <w:pStyle w:val="TextBody"/>
        <w:spacing w:before="360" w:after="0"/>
        <w:jc w:val="left"/>
        <w:rPr>
          <w:rFonts w:ascii="Times New Roman" w:hAnsi="Times New Roman"/>
          <w:b/>
          <w:i/>
          <w:sz w:val="20"/>
        </w:rPr>
      </w:pPr>
      <w:r>
        <w:rPr>
          <w:rFonts w:ascii="Times New Roman" w:hAnsi="Times New Roman"/>
          <w:b/>
          <w:i/>
          <w:sz w:val="20"/>
        </w:rPr>
        <w:t xml:space="preserve">The Warrants may have an adverse effect on the market price of the Bakkt Pubco Class A Common Stock. </w:t>
      </w:r>
    </w:p>
    <w:p>
      <w:pPr>
        <w:pStyle w:val="TextBody"/>
        <w:spacing w:before="120" w:after="0"/>
        <w:jc w:val="left"/>
        <w:rPr>
          <w:rFonts w:ascii="Times New Roman" w:hAnsi="Times New Roman"/>
          <w:sz w:val="20"/>
        </w:rPr>
      </w:pPr>
      <w:r>
        <w:rPr>
          <w:rFonts w:ascii="Times New Roman" w:hAnsi="Times New Roman"/>
          <w:sz w:val="20"/>
        </w:rPr>
        <w:t xml:space="preserve">VIH issued Public Warrants to purchase 10,368,601 VIH Class A Ordinary Shares as part of the VIH Units offered in its IPO, and, simultaneously with the closing of the IPO, VIH issued in a private placement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aggregate of 6,147,440 Private Placement Warrants to the Sponsor, each exercisable to purchase one VIH Class A Ordinary Share at $11.50 per share. Upon the Domestication, the Bakkt Pubco Warrants will entitle the holders to purchase shares of Bakkt Pubco Class A Common Stock. Such Bakkt Pubco Warrants, when exercised, will increase the number of issued and outstanding shares and may reduce the market price of the Bakkt Pubco Class A Common Stock. </w:t>
      </w:r>
    </w:p>
    <w:p>
      <w:pPr>
        <w:pStyle w:val="TextBody"/>
        <w:spacing w:before="360" w:after="0"/>
        <w:jc w:val="left"/>
        <w:rPr>
          <w:rFonts w:ascii="Times New Roman" w:hAnsi="Times New Roman"/>
          <w:b/>
          <w:i/>
          <w:sz w:val="20"/>
        </w:rPr>
      </w:pPr>
      <w:r>
        <w:rPr>
          <w:rFonts w:ascii="Times New Roman" w:hAnsi="Times New Roman"/>
          <w:b/>
          <w:i/>
          <w:sz w:val="20"/>
        </w:rPr>
        <w:t xml:space="preserve">Your unexpired Bakkt Pubco Warrants may be redeemed prior to their exercise at a time that is disadvantageous to you, thereby making your VIH Warrants worthless. </w:t>
      </w:r>
    </w:p>
    <w:p>
      <w:pPr>
        <w:pStyle w:val="TextBody"/>
        <w:spacing w:before="120" w:after="0"/>
        <w:jc w:val="left"/>
        <w:rPr>
          <w:rFonts w:ascii="Times New Roman" w:hAnsi="Times New Roman"/>
          <w:sz w:val="20"/>
        </w:rPr>
      </w:pPr>
      <w:r>
        <w:rPr>
          <w:rFonts w:ascii="Times New Roman" w:hAnsi="Times New Roman"/>
          <w:sz w:val="20"/>
        </w:rPr>
        <w:t xml:space="preserve">Outstanding Bakkt Pubco Warrants may be redeemed at any time after they become exercisable and prior to their expiration, at a price of $0.01 per Bakkt Pubco Warrant, </w:t>
      </w:r>
      <w:r>
        <w:rPr>
          <w:rFonts w:ascii="Times New Roman" w:hAnsi="Times New Roman"/>
          <w:i/>
          <w:sz w:val="20"/>
        </w:rPr>
        <w:t>provided that</w:t>
      </w:r>
      <w:r>
        <w:rPr>
          <w:rFonts w:ascii="Times New Roman" w:hAnsi="Times New Roman"/>
          <w:sz w:val="20"/>
        </w:rPr>
        <w:t xml:space="preserve"> the last reported sales price of the Bakkt Pubco Class A Common Stock equals or exceeds $18.00 per share for any 20 trading days within a 30 trading-day period ending on the third trading day prior to the date the Company sends the notice of Redemption to the Bakkt Pubco Warrant holders. If and when the warrants become redeemable by the Company, the Company may not exercise its Redemption Rights if the issuance of Bakkt Pubco Class A Shares upon exercise of the Bakkt Pubco Warrants is not exempt from registration or qualification under applicable state blue sky laws or VIH is unable to effect such registration or qualification, subject to the Companys obligation in such case to use its best efforts to register or qualify the Bakkt Pubco Class A Shares under the blue sky laws of the state of residence in those states in which the VIH Warrants were initially offered by VIH in its IPO. Redemption of the outstanding Bakkt Pubco Warrants could force you (a) to exercise your Bakkt Pubco Warrants and pay the exercise price at a time when it may be disadvantageous for you to do so, (b) to sell your Bakkt Pubco Warrants at the then-current market price when you might otherwise wish to hold your Bakkt Pubco Warrants or (c) to accept the nominal Redemption Price which, at the time the outstanding Bakkt Pubco Warrants are called for Redemption, is likely to be substantially less than the market value of your Bakkt Pubco Warrants. </w:t>
      </w:r>
    </w:p>
    <w:p>
      <w:pPr>
        <w:pStyle w:val="TextBody"/>
        <w:spacing w:before="240" w:after="0"/>
        <w:jc w:val="left"/>
        <w:rPr>
          <w:rFonts w:ascii="Times New Roman" w:hAnsi="Times New Roman"/>
          <w:sz w:val="20"/>
        </w:rPr>
      </w:pPr>
      <w:r>
        <w:rPr>
          <w:rFonts w:ascii="Times New Roman" w:hAnsi="Times New Roman"/>
          <w:sz w:val="20"/>
        </w:rPr>
        <w:t xml:space="preserve">In addition, outstanding Bakkt Pubco Warrants may be redeemed at any time after they become exercisable and prior to their expiration, at a price of $0.10 per warrant upon a minimum of 30 days prior written notice of redemption; provided that the closing price of the Bakkt Pubco Class A Common Stock equals or exceeds $10.00 per share for any 20 trading days within a 30 trading-day period ending on the third trading day prior to proper notice of such redemption and provided that certain other conditions are met, including that holders will be able to exercise their Bakkt Pubco Warrants prior to redemption for a number of Bakkt Pubco Class A Shares determined based on the redemption date and the fair market value of the Bakkt Pubco Class A Common Stock. The value received upon exercise of the Bakkt Pubco Warrants (1) may be less than the value the holders would have received if they had been able to exercise their Bakkt Pubco Warrants at a later time at which the underlying share price is higher and (2) may not compensate the holders for the value of the Bakkt Pubco Warrants, including because the number of Bakkt Pubco Class A Shares received is capped at 0.361 shares of Bakkt Pubco Class A Common Stock per warrant (subject to adjustment) irrespective of the remaining life of the warrants. </w:t>
      </w:r>
    </w:p>
    <w:p>
      <w:pPr>
        <w:pStyle w:val="TextBody"/>
        <w:spacing w:before="240" w:after="0"/>
        <w:jc w:val="left"/>
        <w:rPr>
          <w:rFonts w:ascii="Times New Roman" w:hAnsi="Times New Roman"/>
          <w:sz w:val="20"/>
        </w:rPr>
      </w:pPr>
      <w:r>
        <w:rPr>
          <w:rFonts w:ascii="Times New Roman" w:hAnsi="Times New Roman"/>
          <w:sz w:val="20"/>
        </w:rPr>
        <w:t>Except as described under </w:t>
      </w:r>
      <w:r>
        <w:rPr>
          <w:rFonts w:ascii="Times New Roman" w:hAnsi="Times New Roman"/>
          <w:i/>
          <w:sz w:val="20"/>
        </w:rPr>
        <w:t>Description of VIHs and the Companys Securities</w:t>
      </w:r>
      <w:r>
        <w:rPr>
          <w:rFonts w:ascii="Times New Roman" w:hAnsi="Times New Roman"/>
          <w:sz w:val="20"/>
        </w:rPr>
        <w:t xml:space="preserve">, beginning on page 237 of this proxy statement/prospectus, none of the Private Placement Warrants will be redeemable by the Company so long as they are held by the Sponsor or its permitted transferees. </w:t>
      </w:r>
    </w:p>
    <w:p>
      <w:pPr>
        <w:pStyle w:val="TextBody"/>
        <w:spacing w:before="360" w:after="0"/>
        <w:jc w:val="left"/>
        <w:rPr>
          <w:rFonts w:ascii="Times New Roman" w:hAnsi="Times New Roman"/>
          <w:b/>
          <w:i/>
          <w:sz w:val="20"/>
        </w:rPr>
      </w:pPr>
      <w:r>
        <w:rPr>
          <w:rFonts w:ascii="Times New Roman" w:hAnsi="Times New Roman"/>
          <w:b/>
          <w:i/>
          <w:sz w:val="20"/>
        </w:rPr>
        <w:t xml:space="preserve">VIH has no obligation to net cash settle the Public Warrants. </w:t>
      </w:r>
    </w:p>
    <w:p>
      <w:pPr>
        <w:pStyle w:val="TextBody"/>
        <w:spacing w:before="120" w:after="0"/>
        <w:jc w:val="left"/>
        <w:rPr>
          <w:rFonts w:ascii="Times New Roman" w:hAnsi="Times New Roman"/>
          <w:sz w:val="20"/>
        </w:rPr>
      </w:pPr>
      <w:r>
        <w:rPr>
          <w:rFonts w:ascii="Times New Roman" w:hAnsi="Times New Roman"/>
          <w:sz w:val="20"/>
        </w:rPr>
        <w:t xml:space="preserve">In no event will VIH have any obligation to net cash settle the Public Warrants. Furthermore, if VIH is unable to complete the Business Combination and VIH liquidates the funds held in the Trust Account, holders of Public Warrants will not receive any of such funds with respect to their Public Warrants, nor will they receive any distribution from VIHs assets held outside of the Trust Account with respect to such Public Warrants. Accordingly, the Public Warrants may expire worthless.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Public Shareholders who wish to redeem their Public Shares for a pro rata portion of the Trust Account must comply with specific requirements for redemption that may make it more difficult for them to exercise their Redemption Rights prior to the deadline. If a Public Shareholder fails to receive notice of VIHs offer to redeem Public Shares in connection with the Business Combination or fails to comply with the redemption requirements specified in this proxy statement/prospectus, such Public Shareholder will not be entitled to redeem such Public Shares for a pro rata portion of the funds held in the Trust Account. </w:t>
      </w:r>
    </w:p>
    <w:p>
      <w:pPr>
        <w:pStyle w:val="TextBody"/>
        <w:spacing w:before="120" w:after="0"/>
        <w:jc w:val="left"/>
        <w:rPr>
          <w:rFonts w:ascii="Times New Roman" w:hAnsi="Times New Roman"/>
          <w:sz w:val="20"/>
        </w:rPr>
      </w:pPr>
      <w:r>
        <w:rPr>
          <w:rFonts w:ascii="Times New Roman" w:hAnsi="Times New Roman"/>
          <w:sz w:val="20"/>
        </w:rPr>
        <w:t xml:space="preserve">A Public Shareholder will be entitled to receive cash for any Public Shares to be redeemed only if such Public Shareholder completes the procedures for electing to redeem their Public Shares prior to [●], Eastern Time, on [●], 2021 (two business days before the extraordinary general meeting) by (a) submitting a written request to the Transfer Agent to redeem all or a portion of their Public Shares for cash; and (b) delivering the certificates (if any) for the Public Shares, either physically or electronically along with the redemption forms to the Transfer Agent through DTC. If you hold the shares in street name, you will have to coordinate with your broker to have your shares certificated or delivered electronically. Certificates that have not been tendered to the Transfer Agent (either physically or electronically) in accordance with these procedures will not be redeemed for cash. There is a nominal cost associated with this tendering process and the act of certificating the shares or delivering them through DTCs DWAC (deposit withdrawal at custodian) system. The Transfer Agent will typically charge the tendering broker a nominal fee and it would be up to the broker whether or not to pass this cost on to the redeeming shareholder. In the event the Business Combination is not completed, this may result in an additional cost to shareholders for the return of their shares. </w:t>
      </w:r>
    </w:p>
    <w:p>
      <w:pPr>
        <w:pStyle w:val="TextBody"/>
        <w:spacing w:before="240" w:after="0"/>
        <w:jc w:val="left"/>
        <w:rPr>
          <w:rFonts w:ascii="Times New Roman" w:hAnsi="Times New Roman"/>
          <w:sz w:val="20"/>
        </w:rPr>
      </w:pPr>
      <w:r>
        <w:rPr>
          <w:rFonts w:ascii="Times New Roman" w:hAnsi="Times New Roman"/>
          <w:sz w:val="20"/>
        </w:rPr>
        <w:t>If, despite VIHs compliance with the proxy rules, a Public Shareholder fails to receive VIHs proxy materials, such VIH shareholder may not become aware of the opportunity to redeem his, her or its Public Shares. In addition, this proxy statement/prospectus that VIH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redeemed. Please see the section entitled </w:t>
      </w:r>
      <w:r>
        <w:rPr>
          <w:rFonts w:ascii="Times New Roman" w:hAnsi="Times New Roman"/>
          <w:i/>
          <w:sz w:val="20"/>
        </w:rPr>
        <w:t>Extraordinary General Meeting of VIHRedemption Rights</w:t>
      </w:r>
      <w:r>
        <w:rPr>
          <w:rFonts w:ascii="Times New Roman" w:hAnsi="Times New Roman"/>
          <w:sz w:val="20"/>
        </w:rPr>
        <w:t xml:space="preserve"> beginning on page 115 of this proxy statement/prospectus for additional information on how to exercise your Redemption Rights. </w:t>
      </w:r>
    </w:p>
    <w:p>
      <w:pPr>
        <w:pStyle w:val="TextBody"/>
        <w:spacing w:before="360" w:after="0"/>
        <w:jc w:val="left"/>
        <w:rPr>
          <w:rFonts w:ascii="Times New Roman" w:hAnsi="Times New Roman"/>
          <w:b/>
          <w:i/>
          <w:sz w:val="20"/>
        </w:rPr>
      </w:pPr>
      <w:r>
        <w:rPr>
          <w:rFonts w:ascii="Times New Roman" w:hAnsi="Times New Roman"/>
          <w:b/>
          <w:i/>
          <w:sz w:val="20"/>
        </w:rPr>
        <w:t xml:space="preserve">If the Business Combination is consummated, and if a Public Shareholder properly exercises its right to redeem all or a portion of the Public Shares that it holds and timely delivers its share certificates (if any) and other redemption forms (as applicable) to the Transfer Agent, VIH will redeem such Public Shares for the Redemption Price. Please see the section entitled Extraordinary General Meeting of VIH  Redemption Rights beginning on page 115 of this proxy statement/prospectus for additional information on how to exercise your Redemption Rights. There is no guarantee that a Public Shareholders decision whether to redeem its shares for a pro rata portion of the Trust Account will put the shareholder in a better future economic position. </w:t>
      </w:r>
    </w:p>
    <w:p>
      <w:pPr>
        <w:pStyle w:val="TextBody"/>
        <w:spacing w:before="120" w:after="0"/>
        <w:jc w:val="left"/>
        <w:rPr>
          <w:rFonts w:ascii="Times New Roman" w:hAnsi="Times New Roman"/>
          <w:sz w:val="20"/>
        </w:rPr>
      </w:pPr>
      <w:r>
        <w:rPr>
          <w:rFonts w:ascii="Times New Roman" w:hAnsi="Times New Roman"/>
          <w:sz w:val="20"/>
        </w:rPr>
        <w:t xml:space="preserve">VIH can give no assurance as to the price at which a Public Shareholder may be able to sell its Public Shares in the future after the Closing or any alternative business combination. Certain events following the consummation of any initial business combination, including the Business Combination, may cause an increase in VIHs share price, and may result in a lower value realized now than a Public Shareholder of VIH might realize in the future had the Public Shareholder not redeemed its shares. Similarly, if a Public Shareholder does not redeem its shares, the Public Shareholder will bear the risk of ownership of the Public Shares after the consummation of any initial business combination, and there can be no assurance that a Public Shareholder can sell its shares in the future for a greater amount than the Redemption Price set forth in this proxy statement/prospectus. A Public Shareholder should consult his, her or its own financial advisor for assistance on how this may affect his, her or its individual situation.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VIH is an emerging growth company within the meaning of the Securities Act and VIH has taken advantage of certain exemptions from disclosure requirements available to emerging growth companies; this could make the Companys securities less attractive to investors and may make it more difficult to compare the Companys performance with other public companies. </w:t>
      </w:r>
    </w:p>
    <w:p>
      <w:pPr>
        <w:pStyle w:val="TextBody"/>
        <w:spacing w:before="120" w:after="0"/>
        <w:jc w:val="left"/>
        <w:rPr>
          <w:rFonts w:ascii="Times New Roman" w:hAnsi="Times New Roman"/>
          <w:sz w:val="20"/>
        </w:rPr>
      </w:pPr>
      <w:r>
        <w:rPr>
          <w:rFonts w:ascii="Times New Roman" w:hAnsi="Times New Roman"/>
          <w:sz w:val="20"/>
        </w:rPr>
        <w:t xml:space="preserve">VIH (and the Company following the Business Combination) is an emerging growth company within the meaning of the Securities Act, as modified by the JOBS Act and has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VIHs periodic reports and proxy statements and exemptions from the requirements of holding a nonbinding advisory vote on certain executive compensation matters. As a result, VIHs shareholders may not have access to certain information they may deem important. VIH and the Company may be an emerging growth company for up to five years from the IPO, although circumstances could cause the loss of that status earlier, including if the market value of the Bakkt Pubco Common Stock held by non-affiliates exceeds $700 million as of any June 30 before that time, in which case the Company would no longer be an emerging growth company as of the following December 31. VIH cannot predict whether investors will find its (or the Companys) securities less attractive because VIH (or the Company) rely on these exemptions. If some investors find the securities less attractive as a result of reliance on these exemptions, the trading prices of the Companys securities may be lower than they otherwise would be, there may be a less active trading market for the Companys securities and the trading prices of the securities may be more volatile. </w:t>
      </w:r>
    </w:p>
    <w:p>
      <w:pPr>
        <w:pStyle w:val="TextBody"/>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VIH has elected not to opt out of such extended transition period. Accordingly, when a standard is issued or revised and it has different application dates for public or private companies, VIH (or the Company following the Business Combination), as an emerging growth company, will adopt the new or revised standard at the time private companies adopt the new or revised standard, unless early adoption is permitted by the standard. This may make comparison of VIHs and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spacing w:before="360" w:after="0"/>
        <w:jc w:val="left"/>
        <w:rPr>
          <w:rFonts w:ascii="Times New Roman" w:hAnsi="Times New Roman"/>
          <w:b/>
          <w:i/>
          <w:sz w:val="20"/>
        </w:rPr>
      </w:pPr>
      <w:r>
        <w:rPr>
          <w:rFonts w:ascii="Times New Roman" w:hAnsi="Times New Roman"/>
          <w:b/>
          <w:i/>
          <w:sz w:val="20"/>
        </w:rPr>
        <w:t xml:space="preserve">Compliance obligations under the Sarbanes-Oxley Act may make it more difficult for VIH to effectuate the Business Combination, require substantial financial and management resources and increase the time and costs of completing an acquisition. </w:t>
      </w:r>
    </w:p>
    <w:p>
      <w:pPr>
        <w:pStyle w:val="TextBody"/>
        <w:spacing w:before="120" w:after="0"/>
        <w:jc w:val="left"/>
        <w:rPr>
          <w:rFonts w:ascii="Times New Roman" w:hAnsi="Times New Roman"/>
          <w:sz w:val="20"/>
        </w:rPr>
      </w:pPr>
      <w:r>
        <w:rPr>
          <w:rFonts w:ascii="Times New Roman" w:hAnsi="Times New Roman"/>
          <w:sz w:val="20"/>
        </w:rPr>
        <w:t xml:space="preserve">Section 404 of the Sarbanes-Oxley Act requires that VIH evaluate and report on its system of internal controls beginning with our Annual Report on Form 10-K for the year ending December 31, 2020. Following the initial Business Combination, if the Company is deemed to be a large accelerated filer or an accelerated filer, it will be required to comply with the independent registered public accounting firm attestation requirement on its internal control over financial reporting. Further, for as long as the Company remains an emerging growth company, it will not be required to comply with the independent registered public accounting firm attestation requirement on its internal control over financial reporting. Following the Business Combination, the Company will be required to assure that it is in compliance with the provisions of the Sarbanes-Oxley Act regarding adequacy of its internal controls. The need to develop the internal control system to achieve compliance with the Sarbanes-Oxley Act may increase the time and costs necessary to complete the Business Combination as well as impose obligations of the Company following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evaluation process of the Companys internal controls, if the Company identifies one or more material weaknesses in its internal control over financial reporting, the Company will be unable to certify that its internal control over financial reporting is effective. The Company cannot assure you that there will not be material weaknesses or significant deficiencies in its internal control over financial reporting in the future. Any failure to maintain internal control over financial reporting could severely inhibit the Companys ability to accurately report its financial condition or results of operations. If the Company is unable to conclude that its internal control over financial reporting is effective, or if its independent registered public accounting firm determines the Company has a material weakness or significant deficiency in its internal control over financial reporting, the Company could lose investor confidence in the accuracy and completeness of its financial reports, the market price of Bakkt Pubco Class A Shares could decline, and the Company could be subject to sanctions or investigations by the SEC or other regulatory authorities. Failure to remedy any material weakness in the Companys internal control over financial reporting, or to implement or maintain other effective control systems required of public companies, could also restrict the Companys future access to the capital markets.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toc108105_10"/>
      <w:bookmarkEnd w:id="27"/>
      <w:r>
        <w:rPr>
          <w:rFonts w:ascii="Times New Roman" w:hAnsi="Times New Roman"/>
          <w:b/>
          <w:sz w:val="20"/>
        </w:rPr>
        <w:t xml:space="preserve">EXTRAORDINARY GENERAL MEETING OF VIH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VIH is furnishing this proxy statement/prospectus to its shareholders as part of the solicitation of proxies by the VIH Board for use at the extraordinary general meeting to be held virtually at [●] a.m. Eastern Time, on [●], 2021 and at any adjournment or postponement thereof. This proxy statement/prospectus provides VIH shareholders with information they need to know to be able to vote or direct their vote to be cast at the extraordinary general meeting. </w:t>
      </w:r>
    </w:p>
    <w:p>
      <w:pPr>
        <w:pStyle w:val="TextBody"/>
        <w:spacing w:before="360" w:after="0"/>
        <w:jc w:val="left"/>
        <w:rPr>
          <w:rFonts w:ascii="Times New Roman" w:hAnsi="Times New Roman"/>
          <w:b/>
          <w:sz w:val="20"/>
        </w:rPr>
      </w:pPr>
      <w:r>
        <w:rPr>
          <w:rFonts w:ascii="Times New Roman" w:hAnsi="Times New Roman"/>
          <w:b/>
          <w:sz w:val="20"/>
        </w:rPr>
        <w:t xml:space="preserve">Date, Time and Place of the Extraordinary General Meeting </w:t>
      </w:r>
    </w:p>
    <w:p>
      <w:pPr>
        <w:pStyle w:val="TextBody"/>
        <w:spacing w:before="120" w:after="0"/>
        <w:jc w:val="left"/>
        <w:rPr>
          <w:rFonts w:ascii="Times New Roman" w:hAnsi="Times New Roman"/>
          <w:sz w:val="20"/>
        </w:rPr>
      </w:pPr>
      <w:r>
        <w:rPr>
          <w:rFonts w:ascii="Times New Roman" w:hAnsi="Times New Roman"/>
          <w:sz w:val="20"/>
        </w:rPr>
        <w:t>The extraordinary general meeting will be held virtually at [●] a.m. Eastern Time, on [●], 2021. In light of ongoing developments related to the novel coronavirus (</w:t>
      </w:r>
      <w:r>
        <w:rPr>
          <w:rFonts w:ascii="Times New Roman" w:hAnsi="Times New Roman"/>
          <w:b/>
          <w:sz w:val="20"/>
        </w:rPr>
        <w:t>COVID-19</w:t>
      </w:r>
      <w:r>
        <w:rPr>
          <w:rFonts w:ascii="Times New Roman" w:hAnsi="Times New Roman"/>
          <w:sz w:val="20"/>
        </w:rPr>
        <w:t xml:space="preserve">), after careful consideration, the Company has determined that the extraordinary general meeting will be a virtual meeting conducted via live webcast at http://[●] in order to facilitate shareholder attendance and participation while safeguarding the health and safety of our shareholders, directors and management team. For the purposes of Cayman Islands law and the Cayman Constitutional Documents, the physical location of the extraordinary general meeting will be at the offices of White &amp; Case LLP at 1221 Avenue of the Americas, New York, New York 10020. </w:t>
      </w:r>
    </w:p>
    <w:p>
      <w:pPr>
        <w:pStyle w:val="TextBody"/>
        <w:spacing w:before="360" w:after="0"/>
        <w:jc w:val="left"/>
        <w:rPr>
          <w:rFonts w:ascii="Times New Roman" w:hAnsi="Times New Roman"/>
          <w:b/>
          <w:sz w:val="20"/>
        </w:rPr>
      </w:pPr>
      <w:r>
        <w:rPr>
          <w:rFonts w:ascii="Times New Roman" w:hAnsi="Times New Roman"/>
          <w:b/>
          <w:sz w:val="20"/>
        </w:rPr>
        <w:t xml:space="preserve">Purpose of the Extraordinary General Meeting </w:t>
      </w:r>
    </w:p>
    <w:p>
      <w:pPr>
        <w:pStyle w:val="TextBody"/>
        <w:spacing w:before="120" w:after="0"/>
        <w:jc w:val="left"/>
        <w:rPr>
          <w:rFonts w:ascii="Times New Roman" w:hAnsi="Times New Roman"/>
          <w:sz w:val="20"/>
        </w:rPr>
      </w:pPr>
      <w:r>
        <w:rPr>
          <w:rFonts w:ascii="Times New Roman" w:hAnsi="Times New Roman"/>
          <w:sz w:val="20"/>
        </w:rPr>
        <w:t xml:space="preserve">At the extraordinary general meeting, VIH is asking holders of VIH Shares to consider and vote upon: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Business Combination Proposal. A copy of the Merger Agreement is attached to this proxy statement/prospectus as </w:t>
            </w:r>
            <w:r>
              <w:rPr>
                <w:rFonts w:ascii="Times New Roman" w:hAnsi="Times New Roman"/>
                <w:i/>
                <w:sz w:val="20"/>
              </w:rPr>
              <w:t>Annex A-1</w:t>
            </w:r>
            <w:r>
              <w:rPr>
                <w:rFonts w:ascii="Times New Roman" w:hAnsi="Times New Roman"/>
                <w:sz w:val="20"/>
              </w:rPr>
              <w:t xml:space="preserve"> and </w:t>
            </w:r>
            <w:r>
              <w:rPr>
                <w:rFonts w:ascii="Times New Roman" w:hAnsi="Times New Roman"/>
                <w:i/>
                <w:sz w:val="20"/>
              </w:rPr>
              <w:t>Annex A-2</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Domestication Proposal. The Proposed Certificate of Incorporation is attached to this proxy statement/prospectus as </w:t>
            </w:r>
            <w:r>
              <w:rPr>
                <w:rFonts w:ascii="Times New Roman" w:hAnsi="Times New Roman"/>
                <w:i/>
                <w:sz w:val="20"/>
                <w:u w:val="single"/>
              </w:rPr>
              <w:t>Annex B-1</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Stock Issuance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Organizational Documents Proposal. The Proposed Certificate of Incorporation and the Proposed By-Laws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i/>
                <w:sz w:val="20"/>
              </w:rPr>
              <w:t xml:space="preserve">, </w:t>
            </w:r>
            <w:r>
              <w:rPr>
                <w:rFonts w:ascii="Times New Roman" w:hAnsi="Times New Roman"/>
                <w:sz w:val="20"/>
              </w:rPr>
              <w:t xml:space="preserve">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Advisory Organizational Documents Proposals;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Bakkt Pubco Equity Incentive Plan Proposal (collectively with the Business Combination Proposal, the Domestication Proposal, the Stock Issuance Proposal and the Organizational Documents Proposal, the </w:t>
            </w:r>
            <w:r>
              <w:rPr>
                <w:rFonts w:ascii="Times New Roman" w:hAnsi="Times New Roman"/>
                <w:b/>
                <w:sz w:val="20"/>
              </w:rPr>
              <w:t>Condition Precedent Proposals</w:t>
            </w:r>
            <w:r>
              <w:rPr>
                <w:rFonts w:ascii="Times New Roman" w:hAnsi="Times New Roman"/>
                <w:sz w:val="20"/>
              </w:rPr>
              <w:t xml:space="preserve">). A copy of the Bakkt Pubco Equity Incentive Plan is attached to this proxy statement/prospectus as </w:t>
            </w:r>
            <w:r>
              <w:rPr>
                <w:rFonts w:ascii="Times New Roman" w:hAnsi="Times New Roman"/>
                <w:i/>
                <w:sz w:val="20"/>
                <w:u w:val="single"/>
              </w:rPr>
              <w:t>Annex C</w:t>
            </w:r>
            <w:r>
              <w:rPr>
                <w:rFonts w:ascii="Times New Roman" w:hAnsi="Times New Roman"/>
                <w:i/>
                <w:sz w:val="20"/>
              </w:rPr>
              <w: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 Election Proposal;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Shareholder Adjournment Proposal. </w:t>
            </w:r>
          </w:p>
        </w:tc>
      </w:tr>
    </w:tbl>
    <w:p>
      <w:pPr>
        <w:pStyle w:val="TextBody"/>
        <w:spacing w:before="240" w:after="0"/>
        <w:jc w:val="left"/>
        <w:rPr>
          <w:rFonts w:ascii="Times New Roman" w:hAnsi="Times New Roman"/>
          <w:sz w:val="20"/>
        </w:rPr>
      </w:pPr>
      <w:r>
        <w:rPr>
          <w:rFonts w:ascii="Times New Roman" w:hAnsi="Times New Roman"/>
          <w:sz w:val="20"/>
        </w:rPr>
        <w:t xml:space="preserve">Each of the Condition Precedent Proposals is cross-conditioned on the approval of each other. The Shareholder Adjournment Proposal and the Advisory Organizational Documents Proposals are not conditioned upon the approval of any other proposal set forth in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sz w:val="20"/>
        </w:rPr>
      </w:pPr>
      <w:r>
        <w:rPr>
          <w:rFonts w:ascii="Times New Roman" w:hAnsi="Times New Roman"/>
          <w:sz w:val="20"/>
        </w:rPr>
        <w:t xml:space="preserve">The VIH Board believes that the Business Combination Proposal and the other proposals to be presented at the extraordinary general meeting are in the best interest of VIHs shareholders and unanimously recommends that its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Organizational Documents Proposals, FOR the approval of the Bakkt Pubco Equity Incentive Plan Proposal, FOR the approval of the Director Election Proposal and FOR the approval of the Shareholder Adjournment Proposal, in each case, if presented to the extraordinary general meeting. </w:t>
      </w:r>
    </w:p>
    <w:p>
      <w:pPr>
        <w:pStyle w:val="TextBody"/>
        <w:spacing w:before="24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of these considerations. </w:t>
      </w:r>
    </w:p>
    <w:p>
      <w:pPr>
        <w:pStyle w:val="TextBody"/>
        <w:spacing w:before="360" w:after="0"/>
        <w:jc w:val="left"/>
        <w:rPr>
          <w:rFonts w:ascii="Times New Roman" w:hAnsi="Times New Roman"/>
          <w:b/>
          <w:sz w:val="20"/>
        </w:rPr>
      </w:pPr>
      <w:r>
        <w:rPr>
          <w:rFonts w:ascii="Times New Roman" w:hAnsi="Times New Roman"/>
          <w:b/>
          <w:sz w:val="20"/>
        </w:rPr>
        <w:t xml:space="preserve">Record Date; Who is Entitled to Vote </w:t>
      </w:r>
    </w:p>
    <w:p>
      <w:pPr>
        <w:pStyle w:val="TextBody"/>
        <w:spacing w:before="120" w:after="0"/>
        <w:jc w:val="left"/>
        <w:rPr>
          <w:rFonts w:ascii="Times New Roman" w:hAnsi="Times New Roman"/>
          <w:sz w:val="20"/>
        </w:rPr>
      </w:pPr>
      <w:r>
        <w:rPr>
          <w:rFonts w:ascii="Times New Roman" w:hAnsi="Times New Roman"/>
          <w:sz w:val="20"/>
        </w:rPr>
        <w:t xml:space="preserve">VIH shareholders will be entitled to vote or direct votes to be cast at the extraordinary general meeting if they owned VIH Shares at the close of business on [●], 2021, which is the Record Date for the extraordinary general meeting. With the exception of the holders of VIH Class B Ordinary Shares, who are entitled to ten votes for each VIH Class B Ordinary Share they hold for the purposes of voting on the Domestication Proposal, shareholders will have one vote for each VIH Share owned at the close of business on the Record Date. If your shares are held in street name or are in a margin or similar account, you should contact your broker to ensure that votes related to the shares you beneficially own are properly counted. VIH Warrants do not have voting rights. As of the close of business on the Record Date, there were 25,921,502 VIH Shares issued and outstanding, of which 20,737,202 were issued and outstanding Public Shares. </w:t>
      </w:r>
    </w:p>
    <w:p>
      <w:pPr>
        <w:pStyle w:val="TextBody"/>
        <w:spacing w:before="240" w:after="0"/>
        <w:jc w:val="left"/>
        <w:rPr>
          <w:rFonts w:ascii="Times New Roman" w:hAnsi="Times New Roman"/>
          <w:sz w:val="20"/>
        </w:rPr>
      </w:pPr>
      <w:r>
        <w:rPr>
          <w:rFonts w:ascii="Times New Roman" w:hAnsi="Times New Roman"/>
          <w:sz w:val="20"/>
        </w:rPr>
        <w:t xml:space="preserve">The Sponsor and each director and each officer of VIH have agreed to, among other things, vote in favor of the Proposed Transaction and waive their Redemption Rights in connection with the consummation of the Proposed Transaction with respect to any VIH Shares held by them. The VIH Shares held by the Sponsor will be excluded from the </w:t>
      </w:r>
      <w:r>
        <w:rPr>
          <w:rFonts w:ascii="Times New Roman" w:hAnsi="Times New Roman"/>
          <w:i/>
          <w:sz w:val="20"/>
        </w:rPr>
        <w:t>pro rata</w:t>
      </w:r>
      <w:r>
        <w:rPr>
          <w:rFonts w:ascii="Times New Roman" w:hAnsi="Times New Roman"/>
          <w:sz w:val="20"/>
        </w:rPr>
        <w:t xml:space="preserve"> calculation used to determine the per-share Redemption Price. As of the date of this proxy statement/prospectus, the Sponsor and certain members of the VIH Board own 20% of the issued and outstanding VIH Shares. </w:t>
      </w:r>
    </w:p>
    <w:p>
      <w:pPr>
        <w:pStyle w:val="TextBody"/>
        <w:spacing w:before="360" w:after="0"/>
        <w:jc w:val="left"/>
        <w:rPr>
          <w:rFonts w:ascii="Times New Roman" w:hAnsi="Times New Roman"/>
          <w:b/>
          <w:sz w:val="20"/>
        </w:rPr>
      </w:pPr>
      <w:r>
        <w:rPr>
          <w:rFonts w:ascii="Times New Roman" w:hAnsi="Times New Roman"/>
          <w:b/>
          <w:sz w:val="20"/>
        </w:rPr>
        <w:t xml:space="preserve">Quorum </w:t>
      </w:r>
    </w:p>
    <w:p>
      <w:pPr>
        <w:pStyle w:val="TextBody"/>
        <w:spacing w:before="120" w:after="0"/>
        <w:jc w:val="left"/>
        <w:rPr>
          <w:rFonts w:ascii="Times New Roman" w:hAnsi="Times New Roman"/>
          <w:sz w:val="20"/>
        </w:rPr>
      </w:pPr>
      <w:r>
        <w:rPr>
          <w:rFonts w:ascii="Times New Roman" w:hAnsi="Times New Roman"/>
          <w:sz w:val="20"/>
        </w:rPr>
        <w:t xml:space="preserve">A quorum of VIH shareholders is necessary to hold a valid meeting. A quorum will be present at the extraordinary general meeting if the holders of a majority of the issued and outstanding VIH Shares entitled to vote at the extraordinary general meeting are represented in person or by proxy. As of the Record Date for the extraordinary general meeting, 12,960,752 VIH Shares would be required to achieve a quorum. </w:t>
      </w:r>
    </w:p>
    <w:p>
      <w:pPr>
        <w:pStyle w:val="TextBody"/>
        <w:spacing w:before="360" w:after="0"/>
        <w:jc w:val="left"/>
        <w:rPr>
          <w:rFonts w:ascii="Times New Roman" w:hAnsi="Times New Roman"/>
          <w:b/>
          <w:sz w:val="20"/>
        </w:rPr>
      </w:pPr>
      <w:r>
        <w:rPr>
          <w:rFonts w:ascii="Times New Roman" w:hAnsi="Times New Roman"/>
          <w:b/>
          <w:sz w:val="20"/>
        </w:rPr>
        <w:t xml:space="preserve">Abstentions and Broker Non-Votes </w:t>
      </w:r>
    </w:p>
    <w:p>
      <w:pPr>
        <w:pStyle w:val="TextBody"/>
        <w:spacing w:before="120" w:after="0"/>
        <w:jc w:val="left"/>
        <w:rPr>
          <w:rFonts w:ascii="Times New Roman" w:hAnsi="Times New Roman"/>
          <w:sz w:val="20"/>
        </w:rPr>
      </w:pPr>
      <w:r>
        <w:rPr>
          <w:rFonts w:ascii="Times New Roman" w:hAnsi="Times New Roman"/>
          <w:sz w:val="20"/>
        </w:rPr>
        <w:t xml:space="preserve">Proxies that are marked abstain and proxies relating to street name shares that are returned to VIH but marked by brokers as not voted will be treated as shares present for purposes of determining the presence of a quorum on all matters, but they will not be treated as shares voted on the matter.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VIH believes all the proposals presented to the shareholders will be considered non-discretionary and therefore your broker, bank, or nominee cannot vote your shares without your instruction.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Business Combination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approval of the Domestication Proposal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The Domestication Proposal is conditioned on the approval of the Business Combination Proposal. Therefore, if the Business Combination Proposal is not approved, the Domestication Proposal will have no effect, even if approved by holders of VIH Shares. </w:t>
      </w:r>
    </w:p>
    <w:p>
      <w:pPr>
        <w:pStyle w:val="TextBody"/>
        <w:spacing w:before="240" w:after="0"/>
        <w:jc w:val="left"/>
        <w:rPr>
          <w:rFonts w:ascii="Times New Roman" w:hAnsi="Times New Roman"/>
          <w:sz w:val="20"/>
        </w:rPr>
      </w:pPr>
      <w:r>
        <w:rPr>
          <w:rFonts w:ascii="Times New Roman" w:hAnsi="Times New Roman"/>
          <w:sz w:val="20"/>
        </w:rPr>
        <w:t xml:space="preserve">The approval of the Stock Issuance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The Stock Issuance Proposal is conditioned on approval of the Business Combination Proposal and the Domestication Proposal. Therefore, if the Business Combination Proposal or the Domestication Proposal is not approved, the Stock Issuance Proposal will have no effect, even if approved by holders of VIH Shares. </w:t>
      </w:r>
    </w:p>
    <w:p>
      <w:pPr>
        <w:pStyle w:val="TextBody"/>
        <w:spacing w:before="240" w:after="0"/>
        <w:jc w:val="left"/>
        <w:rPr>
          <w:rFonts w:ascii="Times New Roman" w:hAnsi="Times New Roman"/>
          <w:sz w:val="20"/>
        </w:rPr>
      </w:pPr>
      <w:r>
        <w:rPr>
          <w:rFonts w:ascii="Times New Roman" w:hAnsi="Times New Roman"/>
          <w:sz w:val="20"/>
        </w:rPr>
        <w:t xml:space="preserve">The approval of the Organizational Documents Proposal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The Organizational Documents Proposal is conditioned on the approval of the Stock Issuance Proposal, and, therefore, also conditioned on approval of the Business Combination Proposal and the Domestication Proposal. Therefore, if the Business Combination Proposal, the Domestication Proposal and the Stock Issuance Proposal are not approved, the Organizational Documents Proposal will have no effect, even if approved by holders of VIH Shares. </w:t>
      </w:r>
    </w:p>
    <w:p>
      <w:pPr>
        <w:pStyle w:val="TextBody"/>
        <w:spacing w:before="240" w:after="0"/>
        <w:jc w:val="left"/>
        <w:rPr>
          <w:rFonts w:ascii="Times New Roman" w:hAnsi="Times New Roman"/>
          <w:sz w:val="20"/>
        </w:rPr>
      </w:pPr>
      <w:r>
        <w:rPr>
          <w:rFonts w:ascii="Times New Roman" w:hAnsi="Times New Roman"/>
          <w:sz w:val="20"/>
        </w:rPr>
        <w:t xml:space="preserve">The approval of each of the Advisory Organizational Documents Proposals, each of which is a non-binding vote,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The Advisory Organizational Documents Proposals are not conditioned upon any other proposal. </w:t>
      </w:r>
    </w:p>
    <w:p>
      <w:pPr>
        <w:pStyle w:val="TextBody"/>
        <w:spacing w:before="240" w:after="0"/>
        <w:jc w:val="left"/>
        <w:rPr>
          <w:rFonts w:ascii="Times New Roman" w:hAnsi="Times New Roman"/>
          <w:sz w:val="20"/>
        </w:rPr>
      </w:pPr>
      <w:r>
        <w:rPr>
          <w:rFonts w:ascii="Times New Roman" w:hAnsi="Times New Roman"/>
          <w:sz w:val="20"/>
        </w:rPr>
        <w:t xml:space="preserve">The approval of the Bakkt Pubco Equity Incentive Plan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The Bakkt Pubco Equity Incentive Plan Proposal is conditioned on the approval of the Organizational Documents Proposal, and, therefore, also conditioned on approval of the Business Combination Proposal, the Domestication Proposal and the Stock Issuance Proposal. Therefore, if the Business Combination Proposal, the Domestication Proposal, the Stock Issuance Proposal or the Organizational Documents Proposal are not approved, the Bakkt Pubco Equity Incentive Plan Proposal will have no effect, even if approved by holders of VIH Shares. </w:t>
      </w:r>
    </w:p>
    <w:p>
      <w:pPr>
        <w:pStyle w:val="TextBody"/>
        <w:spacing w:before="240" w:after="0"/>
        <w:jc w:val="left"/>
        <w:rPr>
          <w:rFonts w:ascii="Times New Roman" w:hAnsi="Times New Roman"/>
          <w:sz w:val="20"/>
        </w:rPr>
      </w:pPr>
      <w:r>
        <w:rPr>
          <w:rFonts w:ascii="Times New Roman" w:hAnsi="Times New Roman"/>
          <w:sz w:val="20"/>
        </w:rPr>
        <w:t xml:space="preserve">The approval of the Director Election Proposal requires an ordinary resolution under Cayman Islands law, being the affirmative vote of a majority of the holders of a majority of the VIH Shares, who, being present in person or by proxy and entitled to vote at the extraordinary general meeting, vote at the extraordinary general meeting. The Director Election Proposal is conditioned on the approval of the Bakkt Pubco Equity Incentive Plan Proposal, and, therefore, also conditioned on approval of the Business Combination Proposal, the Domestication Proposal, the Stock Issuance Proposal and the Organizational Documents Proposal. Therefore, if the Business Combination Proposal, the Domestication Proposal, the Stock Issuance Proposal, the Organizational Documents Proposal or the Bakkt Pubco Equity Incentive Plan Proposal is not approved, the Director Election Proposal will have no effect, even if approved by holders of VIH Shares. </w:t>
      </w:r>
    </w:p>
    <w:p>
      <w:pPr>
        <w:pStyle w:val="TextBody"/>
        <w:spacing w:before="240" w:after="0"/>
        <w:jc w:val="left"/>
        <w:rPr>
          <w:rFonts w:ascii="Times New Roman" w:hAnsi="Times New Roman"/>
          <w:sz w:val="20"/>
        </w:rPr>
      </w:pPr>
      <w:r>
        <w:rPr>
          <w:rFonts w:ascii="Times New Roman" w:hAnsi="Times New Roman"/>
          <w:sz w:val="20"/>
        </w:rPr>
        <w:t xml:space="preserve">The approval of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The Shareholder Adjournment Proposal is not conditioned upon any other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Voting Your Shares </w:t>
      </w:r>
    </w:p>
    <w:p>
      <w:pPr>
        <w:pStyle w:val="TextBody"/>
        <w:spacing w:before="120" w:after="0"/>
        <w:jc w:val="left"/>
        <w:rPr>
          <w:rFonts w:ascii="Times New Roman" w:hAnsi="Times New Roman"/>
          <w:sz w:val="20"/>
        </w:rPr>
      </w:pPr>
      <w:r>
        <w:rPr>
          <w:rFonts w:ascii="Times New Roman" w:hAnsi="Times New Roman"/>
          <w:sz w:val="20"/>
        </w:rPr>
        <w:t xml:space="preserve">With the exception of VIH Class B Ordinary Shares, which entitles the holders to ten votes for each VIH Class B Ordinary Share they hold for the purposes of voting on the Domestication Proposal, each VIH Class A Ordinary Share that you own in your name entitles you to one vote. Your proxy card shows the number of VIH Shares that you own. </w:t>
      </w:r>
    </w:p>
    <w:p>
      <w:pPr>
        <w:pStyle w:val="TextBody"/>
        <w:spacing w:before="240" w:after="0"/>
        <w:jc w:val="left"/>
        <w:rPr>
          <w:rFonts w:ascii="Times New Roman" w:hAnsi="Times New Roman"/>
          <w:sz w:val="20"/>
        </w:rPr>
      </w:pPr>
      <w:r>
        <w:rPr>
          <w:rFonts w:ascii="Times New Roman" w:hAnsi="Times New Roman"/>
          <w:sz w:val="20"/>
        </w:rPr>
        <w:t xml:space="preserve">If you are a record owner of your shares, there are two ways to vote your VIH Shares at the extraordinary general meeting: </w:t>
      </w:r>
    </w:p>
    <w:p>
      <w:pPr>
        <w:pStyle w:val="TextBody"/>
        <w:spacing w:before="240" w:after="0"/>
        <w:jc w:val="left"/>
        <w:rPr>
          <w:rFonts w:ascii="Times New Roman" w:hAnsi="Times New Roman"/>
          <w:sz w:val="20"/>
        </w:rPr>
      </w:pPr>
      <w:r>
        <w:rPr>
          <w:rFonts w:ascii="Times New Roman" w:hAnsi="Times New Roman"/>
          <w:b/>
          <w:sz w:val="20"/>
        </w:rPr>
        <w:t>You Can Vote By Signing and Returning the Enclosed Proxy Card</w:t>
      </w:r>
      <w:r>
        <w:rPr>
          <w:rFonts w:ascii="Times New Roman" w:hAnsi="Times New Roman"/>
          <w:sz w:val="20"/>
        </w:rPr>
        <w:t xml:space="preserve">. If you vote by proxy card, your proxy, whose name is listed on the proxy card, will vote your shares as you instruct on the proxy card. If you sign and return the proxy card but do not give instructions on how to vote your shares, your shares will be voted as recommended by the VIH Board FOR the approval of the Business Combination Proposal, FOR the approval of the Domestication Proposal, FOR the approval of the Stock Issuance Proposal, FOR the approval, on an advisory basis, of each of the separate Advisory Organizational Documents Proposals, FOR the approval of the Bakkt Pubco Equity Incentive Plan Proposal, FOR the approval of the Director Election Proposal and FOR the approval of the Shareholder Adjournment Proposal, in each case, if presented to the extraordinary general meeting. Votes received after a matter has been voted upon at the extraordinary general meeting will not be counted. </w:t>
      </w:r>
    </w:p>
    <w:p>
      <w:pPr>
        <w:pStyle w:val="TextBody"/>
        <w:spacing w:before="240" w:after="0"/>
        <w:jc w:val="left"/>
        <w:rPr>
          <w:rFonts w:ascii="Times New Roman" w:hAnsi="Times New Roman"/>
          <w:sz w:val="20"/>
        </w:rPr>
      </w:pPr>
      <w:r>
        <w:rPr>
          <w:rFonts w:ascii="Times New Roman" w:hAnsi="Times New Roman"/>
          <w:b/>
          <w:sz w:val="20"/>
        </w:rPr>
        <w:t>You Can Attend the Extraordinary General Meeting and Vote in Person</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your shares are registered in your name with the Transfer Agent and you wish to attend the extraordinary general meeting, go to [●],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Beneficial shareholders (those holding shares through a stock brokerage account or by a bank or other holder of record)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extraordinary general meeting. After contacting the Transfer Agent, a beneficial holder will receive an e-mail prior to the extraordinary general meeting with a link and instructions for entering the extraordinary general meeting. Beneficial shareholders should contact the Transfer Agent Company at least five business days prior to the extraordinary general meeting date in order to ensure access. </w:t>
            </w:r>
          </w:p>
        </w:tc>
      </w:tr>
    </w:tbl>
    <w:p>
      <w:pPr>
        <w:pStyle w:val="TextBody"/>
        <w:spacing w:before="240" w:after="0"/>
        <w:jc w:val="left"/>
        <w:rPr>
          <w:rFonts w:ascii="Times New Roman" w:hAnsi="Times New Roman"/>
          <w:sz w:val="20"/>
        </w:rPr>
      </w:pPr>
      <w:r>
        <w:rPr>
          <w:rFonts w:ascii="Times New Roman" w:hAnsi="Times New Roman"/>
          <w:sz w:val="20"/>
        </w:rPr>
        <w:t xml:space="preserve">If your shares are held in street name or are in a margin or similar account, you should contact your broker to ensure that votes related to the shares you beneficially own are properly counted. If you wish to attend the meeting and vote in person or online and your shares are held in street name, you must obtain a legal proxy from your broker, bank or nominee. That is the only way VIH can be sure that the broker, bank or nominee has not already voted your shares. </w:t>
      </w:r>
    </w:p>
    <w:p>
      <w:pPr>
        <w:pStyle w:val="TextBody"/>
        <w:spacing w:before="360" w:after="0"/>
        <w:jc w:val="left"/>
        <w:rPr>
          <w:rFonts w:ascii="Times New Roman" w:hAnsi="Times New Roman"/>
          <w:b/>
          <w:sz w:val="20"/>
        </w:rPr>
      </w:pPr>
      <w:bookmarkStart w:id="28" w:name="7b"/>
      <w:bookmarkEnd w:id="28"/>
      <w:r>
        <w:rPr>
          <w:rFonts w:ascii="Times New Roman" w:hAnsi="Times New Roman"/>
          <w:b/>
          <w:sz w:val="20"/>
        </w:rPr>
        <w:t xml:space="preserve">Revoking Your Proxy </w:t>
      </w:r>
    </w:p>
    <w:p>
      <w:pPr>
        <w:pStyle w:val="TextBody"/>
        <w:spacing w:before="120" w:after="0"/>
        <w:jc w:val="left"/>
        <w:rPr>
          <w:rFonts w:ascii="Times New Roman" w:hAnsi="Times New Roman"/>
          <w:sz w:val="20"/>
        </w:rPr>
      </w:pPr>
      <w:r>
        <w:rPr>
          <w:rFonts w:ascii="Times New Roman" w:hAnsi="Times New Roman"/>
          <w:sz w:val="20"/>
        </w:rPr>
        <w:t xml:space="preserve">If you are a VIH shareholder and you give a proxy, you may revoke it at any time before it is exercised by doing any one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send another proxy card with a later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notify John Martin, Chairman of VIH, in writing before the extraordinary general meeting that you have revoked your proxy;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attend the extraordinary general meeting, revoke your proxy, and vote, as indicated above.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your shares are held in street name or are in a margin or similar account, you should contact your broker for information on how to change or revoke your voting instructions. </w:t>
      </w:r>
    </w:p>
    <w:p>
      <w:pPr>
        <w:pStyle w:val="TextBody"/>
        <w:spacing w:before="360" w:after="0"/>
        <w:jc w:val="left"/>
        <w:rPr>
          <w:rFonts w:ascii="Times New Roman" w:hAnsi="Times New Roman"/>
          <w:b/>
          <w:sz w:val="20"/>
        </w:rPr>
      </w:pPr>
      <w:r>
        <w:rPr>
          <w:rFonts w:ascii="Times New Roman" w:hAnsi="Times New Roman"/>
          <w:b/>
          <w:sz w:val="20"/>
        </w:rPr>
        <w:t xml:space="preserve">Who Can Answer Your Questions About Voting Your Shares </w:t>
      </w:r>
    </w:p>
    <w:p>
      <w:pPr>
        <w:pStyle w:val="TextBody"/>
        <w:spacing w:before="120" w:after="0"/>
        <w:jc w:val="left"/>
        <w:rPr>
          <w:rFonts w:ascii="Times New Roman" w:hAnsi="Times New Roman"/>
          <w:sz w:val="20"/>
        </w:rPr>
      </w:pPr>
      <w:r>
        <w:rPr>
          <w:rFonts w:ascii="Times New Roman" w:hAnsi="Times New Roman"/>
          <w:sz w:val="20"/>
        </w:rPr>
        <w:t xml:space="preserve">If you are a shareholder and have any questions about how to vote or direct a vote in respect of your VIH Shares, you may call Morrow Sodali LLC, our proxy solicitor, by calling (800) 662-5200, or banks and brokers can call collect at (203) 658-9400, or by emailing VIH.info@investor.morrowsodali.com. </w:t>
      </w:r>
    </w:p>
    <w:p>
      <w:pPr>
        <w:pStyle w:val="TextBody"/>
        <w:spacing w:before="360" w:after="0"/>
        <w:jc w:val="left"/>
        <w:rPr>
          <w:rFonts w:ascii="Times New Roman" w:hAnsi="Times New Roman"/>
          <w:b/>
          <w:sz w:val="20"/>
        </w:rPr>
      </w:pPr>
      <w:bookmarkStart w:id="29" w:name="1a"/>
      <w:bookmarkEnd w:id="29"/>
      <w:r>
        <w:rPr>
          <w:rFonts w:ascii="Times New Roman" w:hAnsi="Times New Roman"/>
          <w:b/>
          <w:sz w:val="20"/>
        </w:rPr>
        <w:t xml:space="preserve">Redemption Rights </w:t>
      </w:r>
    </w:p>
    <w:p>
      <w:pPr>
        <w:pStyle w:val="TextBody"/>
        <w:spacing w:before="120" w:after="0"/>
        <w:jc w:val="left"/>
        <w:rPr>
          <w:rFonts w:ascii="Times New Roman" w:hAnsi="Times New Roman"/>
          <w:sz w:val="20"/>
        </w:rPr>
      </w:pPr>
      <w:r>
        <w:rPr>
          <w:rFonts w:ascii="Times New Roman" w:hAnsi="Times New Roman"/>
          <w:sz w:val="20"/>
        </w:rPr>
        <w:t xml:space="preserve">Pursuant to the Cayman Constitutional Documents, a Public Shareholder may request of VIH that Bakkt Pubco redeem all or a portion of its Public Shares for cash if the Proposed Transaction is consummated. As a holder of Public Shares, you will be entitled to receive cash for any Public Shares to be redeemed only if you: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 Public Shares, you elect to separate your VIH Units into the underlying Public Shares and Public Warrants prior to exercising your Redemption Rights with respect to the Public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submit a written request to the Transfer Agent, that Bakkt Pubco redeem all or a portion of your Public Shares for cash;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 the certificates for your Public Shares (if any) along with the redemption forms to the Transfer Agent, physically or electronically through DTC. </w:t>
            </w:r>
          </w:p>
        </w:tc>
      </w:tr>
    </w:tbl>
    <w:p>
      <w:pPr>
        <w:pStyle w:val="TextBody"/>
        <w:spacing w:before="240" w:after="0"/>
        <w:jc w:val="left"/>
        <w:rPr>
          <w:rFonts w:ascii="Times New Roman" w:hAnsi="Times New Roman"/>
          <w:sz w:val="20"/>
        </w:rPr>
      </w:pPr>
      <w:r>
        <w:rPr>
          <w:rFonts w:ascii="Times New Roman" w:hAnsi="Times New Roman"/>
          <w:sz w:val="20"/>
        </w:rPr>
        <w:t xml:space="preserve">Holders must complete the procedures for electing to redeem their Public Shares in the manner described above prior to [●], Eastern Time, on [●], 2021 (two business days before the extraordinary general meeting) in order for their shares to be redeemed. </w:t>
      </w:r>
    </w:p>
    <w:p>
      <w:pPr>
        <w:pStyle w:val="TextBody"/>
        <w:spacing w:before="240" w:after="0"/>
        <w:jc w:val="left"/>
        <w:rPr>
          <w:rFonts w:ascii="Times New Roman" w:hAnsi="Times New Roman"/>
          <w:sz w:val="20"/>
        </w:rPr>
      </w:pPr>
      <w:r>
        <w:rPr>
          <w:rFonts w:ascii="Times New Roman" w:hAnsi="Times New Roman"/>
          <w:sz w:val="20"/>
        </w:rPr>
        <w:t xml:space="preserve">Therefore, the election to exercise Redemption Rights occurs prior to the Domestication, but the Redemption is with respect to the Bakkt Pubco Class A Common Stock that an electing Public Shareholder holds after the Domestication. For the purposes of the Cayman Constitutional Documents, the exercise of Redemption Rights will be treated as an election to have such Public Shares redeemed for cash and references in this proxy statement/prospectus to redemption or redeeming will be interpreted accordingly. Immediately following the Domestication and the consummation of the Proposed Transaction, Bakkt Pubco will satisfy the exercise of Redemption Rights by redeeming the corresponding Bakkt Pubco Class A Common Stock issued to the Public Shareholders that validly exercised their Redemption Rights. </w:t>
      </w:r>
    </w:p>
    <w:p>
      <w:pPr>
        <w:pStyle w:val="TextBody"/>
        <w:spacing w:before="240" w:after="0"/>
        <w:jc w:val="left"/>
        <w:rPr>
          <w:rFonts w:ascii="Times New Roman" w:hAnsi="Times New Roman"/>
          <w:sz w:val="20"/>
        </w:rPr>
      </w:pPr>
      <w:r>
        <w:rPr>
          <w:rFonts w:ascii="Times New Roman" w:hAnsi="Times New Roman"/>
          <w:sz w:val="20"/>
        </w:rPr>
        <w:t xml:space="preserve">Each VIH Unit then issued and outstanding as of immediately prior to the Domestication will automatically be separated into the underlying VIH Class A Ordinary Share and one-half of a VIH Warrant. Public Shareholders may elect to redeem all or a portion of the Public Shares held by them, regardless of if or how they vote in respect of the Business Combination Proposal. If the Business Combination is not consummated, the Public Shares will be returned to the respective holder, broker or bank. If the Proposed Transaction is consummated, and if a Public Shareholder properly exercises its Redemption Rights to redeem all or a portion of the Public Shares that it holds and timely delivers the certificates for its shares (if any) along with the Redemption forms to the Transfer Agent, Bakkt Pubco will redeem such Public Shares for a per-share price, payable in cash, equal to the </w:t>
      </w:r>
      <w:r>
        <w:rPr>
          <w:rFonts w:ascii="Times New Roman" w:hAnsi="Times New Roman"/>
          <w:i/>
          <w:sz w:val="20"/>
        </w:rPr>
        <w:t>pro rata</w:t>
      </w:r>
      <w:r>
        <w:rPr>
          <w:rFonts w:ascii="Times New Roman" w:hAnsi="Times New Roman"/>
          <w:sz w:val="20"/>
        </w:rPr>
        <w:t xml:space="preserve"> portion of the Trust Account, calculated as of two business days prior to the consummation of the Proposed Transaction.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Bakkt Pubco Class A Shares that will be redeemed immediately after consummation of the Proposed Transaction. </w:t>
      </w:r>
    </w:p>
    <w:p>
      <w:pPr>
        <w:pStyle w:val="TextBody"/>
        <w:spacing w:before="240" w:after="0"/>
        <w:jc w:val="left"/>
        <w:rPr>
          <w:rFonts w:ascii="Times New Roman" w:hAnsi="Times New Roman"/>
          <w:sz w:val="20"/>
        </w:rPr>
      </w:pPr>
      <w:r>
        <w:rPr>
          <w:rFonts w:ascii="Times New Roman" w:hAnsi="Times New Roman"/>
          <w:sz w:val="20"/>
        </w:rPr>
        <w:t xml:space="preserve">If you hold the shares in street name, you will have to coordinate with your broker to have your shares certificated or delivered electronically. Bakkt Pubco Class A Shares that have not been tendered (either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physically or electronically) in accordance with these procedures will not be redeemed for cash. There is a nominal cost associated with this tendering process and the act of certificating the shares or delivering them through DTCs DWAC (deposit withdrawal at custodian) system. The Transfer Agent will typically charge the tendering broker $80 and it would be up to the broker to decide whether to pass this cost on to the redeeming shareholder. In the event the Proposed Transaction is not consummated this may result in an additional cost to shareholders for the return of their shares. </w:t>
      </w:r>
    </w:p>
    <w:p>
      <w:pPr>
        <w:pStyle w:val="TextBody"/>
        <w:spacing w:before="240" w:after="0"/>
        <w:jc w:val="left"/>
        <w:rPr>
          <w:rFonts w:ascii="Times New Roman" w:hAnsi="Times New Roman"/>
          <w:sz w:val="20"/>
        </w:rPr>
      </w:pPr>
      <w:r>
        <w:rPr>
          <w:rFonts w:ascii="Times New Roman" w:hAnsi="Times New Roman"/>
          <w:sz w:val="20"/>
        </w:rPr>
        <w:t xml:space="preserve">A VIH shareholder may not withdraw a Redemption request once submitted to VIH unless the VIH Board determines (in its sole discretion) to permit the withdrawal of such Redemption request (which it may do in whole or in part). Furthermore, if a holder of a Public Share delivers its share certificates (if any) along with the Redemption forms in connection with an election of its Redemption and subsequently decides prior to the applicable date not to elect to exercise such rights, it may simply request that VIH permit the withdrawal of the Redemption request and instruct the Transfer Agent to return the certificate (physically or electronically). The holder can make such request by contacting the Transfer Agent at the address or email address listed in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Any corrected or changed written exercise of Redemption Rights must be received by the Transfer Agent prior to the vote taken on the Business Combination Proposal at the extraordinary general meeting. No request for Redemption will be honored unless the holders Public Shares have been delivered (either physically or electronically) to the Transfer Agent at least two business days prior to the vote at the extraordinary general meeting.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spacing w:before="240" w:after="0"/>
        <w:jc w:val="left"/>
        <w:rPr>
          <w:rFonts w:ascii="Times New Roman" w:hAnsi="Times New Roman"/>
          <w:sz w:val="20"/>
        </w:rPr>
      </w:pPr>
      <w:r>
        <w:rPr>
          <w:rFonts w:ascii="Times New Roman" w:hAnsi="Times New Roman"/>
          <w:sz w:val="20"/>
        </w:rPr>
        <w:t xml:space="preserve">The Sponsor and each director and each officer of VIH have agreed to, among other things, vote in favor of the Proposed Transaction and waive their Redemption Rights in connection with the consummation of the Proposed Transaction with respect to any VIH Shares held by them. The VIH Shares held by the Sponsor will be excluded from the </w:t>
      </w:r>
      <w:r>
        <w:rPr>
          <w:rFonts w:ascii="Times New Roman" w:hAnsi="Times New Roman"/>
          <w:i/>
          <w:sz w:val="20"/>
        </w:rPr>
        <w:t>pro rata</w:t>
      </w:r>
      <w:r>
        <w:rPr>
          <w:rFonts w:ascii="Times New Roman" w:hAnsi="Times New Roman"/>
          <w:sz w:val="20"/>
        </w:rPr>
        <w:t xml:space="preserve"> calculation used to determine the per-share Redemption Price. As of the date of this proxy statement/prospectus, the Sponsor and certain members of the VIH Board own 20% of the issued and outstanding VIH Shares. </w:t>
      </w:r>
    </w:p>
    <w:p>
      <w:pPr>
        <w:pStyle w:val="TextBody"/>
        <w:spacing w:before="240" w:after="0"/>
        <w:jc w:val="left"/>
        <w:rPr>
          <w:rFonts w:ascii="Times New Roman" w:hAnsi="Times New Roman"/>
          <w:sz w:val="20"/>
        </w:rPr>
      </w:pPr>
      <w:r>
        <w:rPr>
          <w:rFonts w:ascii="Times New Roman" w:hAnsi="Times New Roman"/>
          <w:sz w:val="20"/>
        </w:rPr>
        <w:t xml:space="preserve">Holders of the warrants will not have Redemption Rights with respect to the warrants. </w:t>
      </w:r>
    </w:p>
    <w:p>
      <w:pPr>
        <w:pStyle w:val="TextBody"/>
        <w:spacing w:before="240" w:after="0"/>
        <w:jc w:val="left"/>
        <w:rPr>
          <w:rFonts w:ascii="Times New Roman" w:hAnsi="Times New Roman"/>
          <w:sz w:val="20"/>
        </w:rPr>
      </w:pPr>
      <w:r>
        <w:rPr>
          <w:rFonts w:ascii="Times New Roman" w:hAnsi="Times New Roman"/>
          <w:sz w:val="20"/>
        </w:rPr>
        <w:t xml:space="preserve">The closing price of Public Shares on March 29, 2021, the most recent practicable date prior to the date of this proxy statement/prospectus, was $11.92. As of March 29, 2021, funds in the Trust Account totaled $207,385,774.05 and were comprised entirely of U.S. government treasury obligations with a maturity of 185 days or less or of money market funds meeting certain conditions under Rule 2a-7 under the Investment Company Act, which invest only in direct U.S. government treasury obligations, or approximately $10.00 per issued and outstanding Public Share. </w:t>
      </w:r>
    </w:p>
    <w:p>
      <w:pPr>
        <w:pStyle w:val="TextBody"/>
        <w:spacing w:before="240" w:after="0"/>
        <w:jc w:val="left"/>
        <w:rPr>
          <w:rFonts w:ascii="Times New Roman" w:hAnsi="Times New Roman"/>
          <w:sz w:val="20"/>
        </w:rPr>
      </w:pPr>
      <w:r>
        <w:rPr>
          <w:rFonts w:ascii="Times New Roman" w:hAnsi="Times New Roman"/>
          <w:sz w:val="20"/>
        </w:rPr>
        <w:t xml:space="preserve">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VIH cannot assure its shareholders that they will be able to sell their Public Shares in the open market, even if the market price per share is higher than the Redemption Price, as there may not be sufficient liquidity in its securities when its shareholders wish to sell their shares. </w:t>
      </w:r>
    </w:p>
    <w:p>
      <w:pPr>
        <w:pStyle w:val="TextBody"/>
        <w:spacing w:before="360" w:after="0"/>
        <w:jc w:val="left"/>
        <w:rPr>
          <w:rFonts w:ascii="Times New Roman" w:hAnsi="Times New Roman"/>
          <w:b/>
          <w:sz w:val="20"/>
        </w:rPr>
      </w:pPr>
      <w:r>
        <w:rPr>
          <w:rFonts w:ascii="Times New Roman" w:hAnsi="Times New Roman"/>
          <w:b/>
          <w:sz w:val="20"/>
        </w:rPr>
        <w:t xml:space="preserve">Appraisal Rights </w:t>
      </w:r>
    </w:p>
    <w:p>
      <w:pPr>
        <w:pStyle w:val="TextBody"/>
        <w:spacing w:before="120" w:after="0"/>
        <w:jc w:val="left"/>
        <w:rPr>
          <w:rFonts w:ascii="Times New Roman" w:hAnsi="Times New Roman"/>
          <w:sz w:val="20"/>
        </w:rPr>
      </w:pPr>
      <w:r>
        <w:rPr>
          <w:rFonts w:ascii="Times New Roman" w:hAnsi="Times New Roman"/>
          <w:sz w:val="20"/>
        </w:rPr>
        <w:t xml:space="preserve">Neither VIHs shareholders nor holders of VIH Warrants have appraisal rights in connection with the Proposed Transaction or the Domestication under Cayman Islands law or under the DGCL.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Proxy Solicitation </w:t>
      </w:r>
    </w:p>
    <w:p>
      <w:pPr>
        <w:pStyle w:val="TextBody"/>
        <w:spacing w:before="120" w:after="0"/>
        <w:jc w:val="left"/>
        <w:rPr>
          <w:rFonts w:ascii="Times New Roman" w:hAnsi="Times New Roman"/>
          <w:sz w:val="20"/>
        </w:rPr>
      </w:pPr>
      <w:r>
        <w:rPr>
          <w:rFonts w:ascii="Times New Roman" w:hAnsi="Times New Roman"/>
          <w:sz w:val="20"/>
        </w:rPr>
        <w:t xml:space="preserve">VIH is soliciting proxies on behalf of the VIH Board. This solicitation is being made by mail but also may be made by telephone or in person. VIH and its directors, officers and employees may also solicit proxies in person, by telephone or by other electronic means. VIH will file with the SEC all scripts and other electronic communications as proxy soliciting materials. VIH will bear the cost of the solicitation. </w:t>
      </w:r>
    </w:p>
    <w:p>
      <w:pPr>
        <w:pStyle w:val="TextBody"/>
        <w:spacing w:before="240" w:after="0"/>
        <w:jc w:val="left"/>
        <w:rPr>
          <w:rFonts w:ascii="Times New Roman" w:hAnsi="Times New Roman"/>
          <w:sz w:val="20"/>
        </w:rPr>
      </w:pPr>
      <w:r>
        <w:rPr>
          <w:rFonts w:ascii="Times New Roman" w:hAnsi="Times New Roman"/>
          <w:sz w:val="20"/>
        </w:rPr>
        <w:t xml:space="preserve">VIH has engaged Morrow Sodali LLC to assist in the solicitation process and will pay Morrow Sodali LLC a fee of $25,000, plus disbursements. </w:t>
      </w:r>
    </w:p>
    <w:p>
      <w:pPr>
        <w:pStyle w:val="TextBody"/>
        <w:spacing w:before="240" w:after="0"/>
        <w:jc w:val="left"/>
        <w:rPr>
          <w:rFonts w:ascii="Times New Roman" w:hAnsi="Times New Roman"/>
          <w:sz w:val="20"/>
        </w:rPr>
      </w:pPr>
      <w:r>
        <w:rPr>
          <w:rFonts w:ascii="Times New Roman" w:hAnsi="Times New Roman"/>
          <w:sz w:val="20"/>
        </w:rPr>
        <w:t xml:space="preserve">VIH will ask banks, brokers and other institutions, nominees and fiduciaries to forward the proxy materials to their principals and to obtain their authority to execute proxies and voting instructions. VIH will reimburse them for their reasonable expenses. </w:t>
      </w:r>
    </w:p>
    <w:p>
      <w:pPr>
        <w:pStyle w:val="TextBody"/>
        <w:spacing w:before="360" w:after="0"/>
        <w:jc w:val="left"/>
        <w:rPr>
          <w:rFonts w:ascii="Times New Roman" w:hAnsi="Times New Roman"/>
          <w:b/>
          <w:sz w:val="20"/>
        </w:rPr>
      </w:pPr>
      <w:r>
        <w:rPr>
          <w:rFonts w:ascii="Times New Roman" w:hAnsi="Times New Roman"/>
          <w:b/>
          <w:sz w:val="20"/>
        </w:rPr>
        <w:t xml:space="preserve">VIH Shareholders </w:t>
      </w:r>
    </w:p>
    <w:p>
      <w:pPr>
        <w:pStyle w:val="TextBody"/>
        <w:spacing w:before="120" w:after="0"/>
        <w:jc w:val="left"/>
        <w:rPr>
          <w:rFonts w:ascii="Times New Roman" w:hAnsi="Times New Roman"/>
          <w:sz w:val="20"/>
        </w:rPr>
      </w:pPr>
      <w:r>
        <w:rPr>
          <w:rFonts w:ascii="Times New Roman" w:hAnsi="Times New Roman"/>
          <w:sz w:val="20"/>
        </w:rPr>
        <w:t xml:space="preserve">As of the date of this proxy statement/prospectus, there are 25,921,502 VIH Shares issued and outstanding, which includes the 5,184,300 Founder Shares held by the Sponsor and the directors and the 20,737,202 Public Shares. As of the date of this proxy statement/prospectus, there is outstanding an aggregate of 16,516,041 VIH Warrants, which includes the 6,147,440 Private Placement Warrants held by the Sponsor and the 10,368,601 Public Warrants. </w:t>
      </w:r>
    </w:p>
    <w:p>
      <w:pPr>
        <w:pStyle w:val="TextBody"/>
        <w:spacing w:before="240" w:after="0"/>
        <w:jc w:val="left"/>
        <w:rPr>
          <w:rFonts w:ascii="Times New Roman" w:hAnsi="Times New Roman"/>
          <w:sz w:val="20"/>
        </w:rPr>
      </w:pPr>
      <w:r>
        <w:rPr>
          <w:rFonts w:ascii="Times New Roman" w:hAnsi="Times New Roman"/>
          <w:sz w:val="20"/>
        </w:rPr>
        <w:t xml:space="preserve">At any time at or prior to the Proposed Transaction, subject to applicable securities laws (including with respect to material non-public information), the Sponsor, the existing equityholders of Bakkt or VIH or their respective directors, officers, advisors or respective affiliates may (a) purchase Public Shares from institutional and other investors who vote, or indicate an intention to vote, against any of the Condition Precedent Proposals, or elect to redeem, or indicate an intention to redeem, Public Shares, (b) execute agreements to purchase such VIH Shares from such investors in the future, or (c) enter into transactions with such investors and others to provide them with incentives to acquire Public Shares, vote their Public Shares in favor of the Condition Precedent Proposals or not redeem their Public Shares. Such a purchase may include a contractual acknowledgement that such shareholder, although still the record holder of VIH Shares, is no longer the beneficial owner thereof and therefore agrees not to exercise its Redemption Rights. In the event that the Sponsor, the existing equityholders of Bakkt or VIH or their respective directors, officers, advisors, or respective affiliates purchase VIH Shares in privately negotiated transactions from Public Shareholders who have already elected to exercise their Redemption Rights, such selling shareholders would be required to revoke their prior elections to redeem their shares. The purpose of such VIH Share purchases and other transactions would be to increase the likelihood of (1) satisfaction of the requirement that holders of a majority of the VIH Shares, represented in person or by proxy and entitled to vote at the extraordinary general meeting, vote in favor of the Business Combination Proposal, the Stock Issuance Proposal, Bakkt Pubco Equity Incentive Plan Proposal, the Director Election Proposal and the Shareholder Adjournment Proposal, (2) satisfaction of the requirement that holders of a majority of at least two-thirds of the VIH Shares, represented in person or by proxy and entitled to vote at the extraordinary general meeting, vote in favor of the Domestication Proposal and the Advisory Organizational Documents Proposals, (3) satisfaction of the Available Cash Condition, and (4) otherwise limiting the number of Public Shares electing to redeem. Entering into any such arrangements may have a depressive effect on the VIH Shares (e.g., by giving an investor or holder the ability to effectively purchase shares at a price lower than market, such investor or holder may therefore become more likely to sell the shares he or she owns, either at or prior to the Proposed Transaction). </w:t>
      </w:r>
    </w:p>
    <w:p>
      <w:pPr>
        <w:pStyle w:val="TextBody"/>
        <w:spacing w:before="240" w:after="0"/>
        <w:jc w:val="left"/>
        <w:rPr>
          <w:rFonts w:ascii="Times New Roman" w:hAnsi="Times New Roman"/>
          <w:sz w:val="20"/>
        </w:rPr>
      </w:pPr>
      <w:r>
        <w:rPr>
          <w:rFonts w:ascii="Times New Roman" w:hAnsi="Times New Roman"/>
          <w:sz w:val="20"/>
        </w:rPr>
        <w:t xml:space="preserve">If such transactions are effected, the consequence could be to cause the Proposed Transaction to be consummated in circumstances where such consummation could not otherwise occur. Purchases of VIH Shares by the persons described above would allow them to exert more influence over the approval of the proposals to be presented at the extraordinary general meeting and would likely increase the chances that such proposals would be approved.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toc108105_11"/>
      <w:bookmarkEnd w:id="30"/>
      <w:r>
        <w:rPr>
          <w:rFonts w:ascii="Times New Roman" w:hAnsi="Times New Roman"/>
          <w:b/>
          <w:sz w:val="20"/>
        </w:rPr>
        <w:t xml:space="preserve">THE BUSINESS COMBINATION PROPOSAL </w:t>
      </w:r>
    </w:p>
    <w:p>
      <w:pPr>
        <w:pStyle w:val="TextBody"/>
        <w:spacing w:before="120" w:after="0"/>
        <w:jc w:val="left"/>
        <w:rPr>
          <w:rFonts w:ascii="Times New Roman" w:hAnsi="Times New Roman"/>
          <w:b/>
          <w:sz w:val="20"/>
        </w:rPr>
      </w:pPr>
      <w:bookmarkStart w:id="31" w:name="6b"/>
      <w:bookmarkEnd w:id="31"/>
      <w:r>
        <w:rPr>
          <w:rFonts w:ascii="Times New Roman" w:hAnsi="Times New Roman"/>
          <w:b/>
          <w:sz w:val="20"/>
        </w:rPr>
        <w:t xml:space="preserve">Merger Agreement </w:t>
      </w:r>
    </w:p>
    <w:p>
      <w:pPr>
        <w:pStyle w:val="TextBody"/>
        <w:spacing w:before="120" w:after="0"/>
        <w:jc w:val="left"/>
        <w:rPr>
          <w:rFonts w:ascii="Times New Roman" w:hAnsi="Times New Roman"/>
          <w:sz w:val="20"/>
        </w:rPr>
      </w:pPr>
      <w:r>
        <w:rPr>
          <w:rFonts w:ascii="Times New Roman" w:hAnsi="Times New Roman"/>
          <w:i/>
          <w:sz w:val="20"/>
        </w:rPr>
        <w:t xml:space="preserve">This subsection of the proxy statement/prospectus describes the material provisions of the Merger Agreement, but does not purport to describe all of the terms of the Merger Agreement. The following summary is qualified in its entirety by reference to the complete text of the Merger Agreement, a copy of which is attached as Annex A-1 </w:t>
      </w:r>
      <w:r>
        <w:rPr>
          <w:rFonts w:ascii="Times New Roman" w:hAnsi="Times New Roman"/>
          <w:sz w:val="20"/>
        </w:rPr>
        <w:t xml:space="preserve">and </w:t>
      </w:r>
      <w:r>
        <w:rPr>
          <w:rFonts w:ascii="Times New Roman" w:hAnsi="Times New Roman"/>
          <w:i/>
          <w:sz w:val="20"/>
        </w:rPr>
        <w:t xml:space="preserve">Annex A-2 to this proxy statement/prospectus. You are urged to read the Merger Agreement in its entirety because it is the primary legal document that governs the Merger. </w:t>
      </w:r>
    </w:p>
    <w:p>
      <w:pPr>
        <w:pStyle w:val="TextBody"/>
        <w:spacing w:before="360" w:after="0"/>
        <w:jc w:val="left"/>
        <w:rPr>
          <w:rFonts w:ascii="Times New Roman" w:hAnsi="Times New Roman"/>
          <w:sz w:val="20"/>
        </w:rPr>
      </w:pPr>
      <w:r>
        <w:rPr>
          <w:rFonts w:ascii="Times New Roman" w:hAnsi="Times New Roman"/>
          <w:i/>
          <w:sz w:val="20"/>
        </w:rPr>
        <w:t>The Merger Agreement contains representations, warranties and covenants that the respective parties thereto made to each other as of the date of the Merger Agreement and/or other specific dates. The assertions and obligations embodied in those representations, warranties and covenants were made for purposes of the contract among the respective parties and are subject to important qualifications and limitations agreed to by the parties thereto in connection with negotiating the Merger Agreement. The representations, warranties and covenants in the Merger Agreement are also modified in part by the underlying disclosure letters (the </w:t>
      </w:r>
      <w:r>
        <w:rPr>
          <w:rFonts w:ascii="Times New Roman" w:hAnsi="Times New Roman"/>
          <w:b/>
          <w:i/>
          <w:sz w:val="20"/>
        </w:rPr>
        <w:t>Disclosure Letters</w:t>
      </w:r>
      <w:r>
        <w:rPr>
          <w:rFonts w:ascii="Times New Roman" w:hAnsi="Times New Roman"/>
          <w:i/>
          <w:sz w:val="20"/>
        </w:rPr>
        <w:t xml:space="preserve">),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Merger Agreement may or may not have been accurate as of any specific date and do not purport to be accurate as of the date of this proxy statement/prospectus. Accordingly, no person should rely on the representations and warranties in the Merger Agreement or the summaries thereof in this proxy statement/prospectus as characterizations of the actual state of facts about VIH, Merger Sub, Bakkt or any other matter. </w:t>
      </w:r>
    </w:p>
    <w:p>
      <w:pPr>
        <w:pStyle w:val="TextBody"/>
        <w:spacing w:before="360" w:after="0"/>
        <w:jc w:val="left"/>
        <w:rPr>
          <w:rFonts w:ascii="Times New Roman" w:hAnsi="Times New Roman"/>
          <w:b/>
          <w:i/>
          <w:sz w:val="20"/>
        </w:rPr>
      </w:pPr>
      <w:bookmarkStart w:id="32" w:name="11a"/>
      <w:bookmarkEnd w:id="32"/>
      <w:r>
        <w:rPr>
          <w:rFonts w:ascii="Times New Roman" w:hAnsi="Times New Roman"/>
          <w:b/>
          <w:i/>
          <w:sz w:val="20"/>
        </w:rPr>
        <w:t xml:space="preserve">Structure of the Merger </w:t>
      </w:r>
    </w:p>
    <w:p>
      <w:pPr>
        <w:pStyle w:val="TextBody"/>
        <w:spacing w:before="120" w:after="0"/>
        <w:jc w:val="left"/>
        <w:rPr>
          <w:rFonts w:ascii="Times New Roman" w:hAnsi="Times New Roman"/>
          <w:sz w:val="20"/>
        </w:rPr>
      </w:pPr>
      <w:r>
        <w:rPr>
          <w:rFonts w:ascii="Times New Roman" w:hAnsi="Times New Roman"/>
          <w:sz w:val="20"/>
        </w:rPr>
        <w:t xml:space="preserve">On January 11, 2021, VIH entered into the Merger Agreement with Merger Sub and Bakkt, pursuant to which, among other things, following the Domestication, (a) Merger Sub will merge with and into Bakkt, the separate corporate existence of Merger Sub will cease and Bakkt Opco will be the surviving limited liability company, to be renamed Bakkt Opco Holdings, LLC and (b) VIH will change its name to Bakkt Holdings, Inc. </w:t>
      </w:r>
    </w:p>
    <w:p>
      <w:pPr>
        <w:pStyle w:val="TextBody"/>
        <w:spacing w:before="240" w:after="0"/>
        <w:jc w:val="left"/>
        <w:rPr>
          <w:rFonts w:ascii="Times New Roman" w:hAnsi="Times New Roman"/>
          <w:sz w:val="20"/>
        </w:rPr>
      </w:pPr>
      <w:r>
        <w:rPr>
          <w:rFonts w:ascii="Times New Roman" w:hAnsi="Times New Roman"/>
          <w:sz w:val="20"/>
        </w:rPr>
        <w:t>Prior to and as a condition of the Merger, pursuant to the Domestication, VIH will change its jurisdiction of incorporation by effecting a deregistration under the Companies Act and a domestication under Section 388 of the DGCL, pursuant to which VIHs jurisdiction of incorporation will be changed from the Cayman Islands to the State of Delaware. For more information, see </w:t>
      </w:r>
      <w:r>
        <w:rPr>
          <w:rFonts w:ascii="Times New Roman" w:hAnsi="Times New Roman"/>
          <w:i/>
          <w:sz w:val="20"/>
        </w:rPr>
        <w:t>The Domestication Proposal</w:t>
      </w:r>
      <w:r>
        <w:rPr>
          <w:rFonts w:ascii="Times New Roman" w:hAnsi="Times New Roman"/>
          <w:sz w:val="20"/>
        </w:rPr>
        <w:t xml:space="preserve"> beginning on page 162 of this proxy statement/prospectus. </w:t>
      </w:r>
    </w:p>
    <w:p>
      <w:pPr>
        <w:pStyle w:val="TextBody"/>
        <w:spacing w:before="360" w:after="0"/>
        <w:jc w:val="left"/>
        <w:rPr>
          <w:rFonts w:ascii="Times New Roman" w:hAnsi="Times New Roman"/>
          <w:b/>
          <w:i/>
          <w:sz w:val="20"/>
        </w:rPr>
      </w:pPr>
      <w:bookmarkStart w:id="33" w:name="5b"/>
      <w:bookmarkEnd w:id="33"/>
      <w:r>
        <w:rPr>
          <w:rFonts w:ascii="Times New Roman" w:hAnsi="Times New Roman"/>
          <w:b/>
          <w:i/>
          <w:sz w:val="20"/>
        </w:rPr>
        <w:t xml:space="preserve">Consideration </w:t>
      </w:r>
    </w:p>
    <w:p>
      <w:pPr>
        <w:pStyle w:val="TextBody"/>
        <w:spacing w:before="120" w:after="0"/>
        <w:jc w:val="left"/>
        <w:rPr>
          <w:rFonts w:ascii="Times New Roman" w:hAnsi="Times New Roman"/>
          <w:i/>
          <w:sz w:val="20"/>
        </w:rPr>
      </w:pPr>
      <w:r>
        <w:rPr>
          <w:rFonts w:ascii="Times New Roman" w:hAnsi="Times New Roman"/>
          <w:i/>
          <w:sz w:val="20"/>
        </w:rPr>
        <w:t xml:space="preserve">Aggregate Merger Consideration </w:t>
      </w:r>
    </w:p>
    <w:p>
      <w:pPr>
        <w:pStyle w:val="TextBody"/>
        <w:spacing w:before="120" w:after="0"/>
        <w:jc w:val="left"/>
        <w:rPr>
          <w:rFonts w:ascii="Times New Roman" w:hAnsi="Times New Roman"/>
          <w:sz w:val="20"/>
        </w:rPr>
      </w:pPr>
      <w:r>
        <w:rPr>
          <w:rFonts w:ascii="Times New Roman" w:hAnsi="Times New Roman"/>
          <w:sz w:val="20"/>
        </w:rPr>
        <w:t>As a result of the Merger, and at the effective time of the Merger (the </w:t>
      </w:r>
      <w:r>
        <w:rPr>
          <w:rFonts w:ascii="Times New Roman" w:hAnsi="Times New Roman"/>
          <w:b/>
          <w:sz w:val="20"/>
        </w:rPr>
        <w:t>Effective Time</w:t>
      </w:r>
      <w:r>
        <w:rPr>
          <w:rFonts w:ascii="Times New Roman" w:hAnsi="Times New Roman"/>
          <w:sz w:val="20"/>
        </w:rPr>
        <w:t>), among other things, (a) all outstanding units of limited liability company interests in Bakkt (including Bakkt Incentive Units, but excluding the Bakkt Participation Units, the treatment of which is discussed below) (collectively, the </w:t>
      </w:r>
      <w:r>
        <w:rPr>
          <w:rFonts w:ascii="Times New Roman" w:hAnsi="Times New Roman"/>
          <w:b/>
          <w:sz w:val="20"/>
        </w:rPr>
        <w:t>Bakkt Interests</w:t>
      </w:r>
      <w:r>
        <w:rPr>
          <w:rFonts w:ascii="Times New Roman" w:hAnsi="Times New Roman"/>
          <w:sz w:val="20"/>
        </w:rPr>
        <w:t xml:space="preserve">) as of immediately prior to the Effective Time (including the Bakkt Interests reserved in respect of Bakkt Warrants (as defined below) outstanding as of immediately prior to the Effective Time that will be converted in connection with the Merger, as more fully described below), held by the Bakkt Equity Holders will be cancelled and converted into the right to receive, or the reservation of, in respect of all Bakkt Equity Holders an aggregate of 208,200,000 Bakkt Opco Common Units and 208,200,000 shares of Bakkt Pubco Class V Shares (which will be non-economic, voting shares of Bakkt Pubco), (b) all outstanding limited liability company interests of Merger Sub as of immediately prior to the Effective Time held by VIH will be cancelled and converted into an aggregate number of Bakkt Opco Common Units equal to the number of outstanding Bakkt Pubco Class A Shares as of immediately prior to the Effective Time (after giving effect to the Domestication,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issuance of 32,500,000 Bakkt Pubco Class A Shares in connection with the PIPE Investment and any Redemptions in connection with the Proposed Transaction), and (c) Bakkt Pubco will automatically be admitted as a member, and the managing member of Bakkt Opco in accordance with the terms of the Surviving Company LLC Agreement. </w:t>
      </w:r>
    </w:p>
    <w:p>
      <w:pPr>
        <w:pStyle w:val="TextBody"/>
        <w:spacing w:before="240" w:after="0"/>
        <w:jc w:val="left"/>
        <w:rPr>
          <w:rFonts w:ascii="Times New Roman" w:hAnsi="Times New Roman"/>
          <w:sz w:val="20"/>
        </w:rPr>
      </w:pPr>
      <w:r>
        <w:rPr>
          <w:rFonts w:ascii="Times New Roman" w:hAnsi="Times New Roman"/>
          <w:sz w:val="20"/>
        </w:rPr>
        <w:t xml:space="preserve">In addition, at the Closing, and in consideration for the Bakkt Opco Common Units to be received by Bakkt Pubco in connection with the Merger, VIH will (a) pay all transaction expenses incurred or payable by VIH and the Target Companies in connection with the Proposed Transaction, and (b) pay to Bakkt Opco an amount equal to the remaining Available Cash. </w:t>
      </w:r>
    </w:p>
    <w:p>
      <w:pPr>
        <w:pStyle w:val="TextBody"/>
        <w:spacing w:before="360" w:after="0"/>
        <w:jc w:val="left"/>
        <w:rPr>
          <w:rFonts w:ascii="Times New Roman" w:hAnsi="Times New Roman"/>
          <w:i/>
          <w:sz w:val="20"/>
        </w:rPr>
      </w:pPr>
      <w:bookmarkStart w:id="34" w:name="34f"/>
      <w:bookmarkEnd w:id="34"/>
      <w:r>
        <w:rPr>
          <w:rFonts w:ascii="Times New Roman" w:hAnsi="Times New Roman"/>
          <w:i/>
          <w:sz w:val="20"/>
        </w:rPr>
        <w:t xml:space="preserve">Treatment of Bakkt Incentive Units and Bakkt Participation Units </w:t>
      </w:r>
    </w:p>
    <w:p>
      <w:pPr>
        <w:pStyle w:val="TextBody"/>
        <w:spacing w:before="120" w:after="0"/>
        <w:jc w:val="left"/>
        <w:rPr>
          <w:rFonts w:ascii="Times New Roman" w:hAnsi="Times New Roman"/>
          <w:sz w:val="20"/>
        </w:rPr>
      </w:pPr>
      <w:r>
        <w:rPr>
          <w:rFonts w:ascii="Times New Roman" w:hAnsi="Times New Roman"/>
          <w:sz w:val="20"/>
        </w:rPr>
        <w:t xml:space="preserve">As mentioned above, as a result of the Merger, and upon the Effective Time, all outstanding Bakkt Incentive Units as of immediately prior to the Effective Time will be converted into the right to receive a portion of the aggregate consideration of 208,200,000 Bakkt Opco Common Units and 208,200,000 shares of Bakkt Pubco Class V Shares, which portion will be calculated pursuant to the mechanics provided in the Merger Agreement. The Bakkt Opco Common Units and the Bakkt Pubco Class V Shares received in connection with the conversion of Bakkt Incentive Units will be subject to vesting, with one-third vesting at the Effective Time, one-third vesting on the first anniversary of the Effective Time and one-third vesting on the second anniversary of the Effective Time, with the unvested amount generally being forfeited to Bakkt Opco and Bakkt Pubco, as applicable, in the event the services provided by the holder thereof to Bakkt Opco and/or its subsidiaries are terminated prior to the applicable vesting date (other than in the event of terminations without cause, in which case all of the applicable holders then-unvested Bakkt Opco Common Units and unvested Bakkt Pubco Class V Shares as of the time of such termination without cause will immediately vest in full). Notwithstanding the foregoing, with respect to Bakkt Incentive Units granted in December 2020, participants have the opportunity, but not the obligation, to require Bakkt, through Bakkt Management, to redeem, effective as of immediately prior to the effective time of the Merger, 40% of the first one-third of their Bakkt Incentive Units scheduled to vest at the effective time of the Merger for the receipt, as of the Closing, of a cash payment for the portion of Bakkt Incentive Units redeemed. Further, with respect to Bakkt Incentive Units granted in September 2020 to one of the executive officers of Bakkt, the executive officer will also have the same opportunity to redeem 40% of the first one-third of his Bakkt Incentive Units scheduled to vest at the effective time of the Merger for a cash payment, and subsequently the opportunity, but not the obligation, to require Bakkt, through Bakkt Management, to redeem 40% of the remaining two-thirds of his Bakkt Incentive Units that will vest as of the date of his termination of employment pursuant to his separation agreement for the receipt of a cash payment for the portion of Bakkt Incentive Units redeemed. As soon as practicable after each redemption date, Bakkt Management will provide the cash payment for the portion of the Bakkt Incentive Units redeemed to the participants. </w:t>
      </w:r>
    </w:p>
    <w:p>
      <w:pPr>
        <w:pStyle w:val="TextBody"/>
        <w:spacing w:before="240" w:after="0"/>
        <w:jc w:val="left"/>
        <w:rPr>
          <w:rFonts w:ascii="Times New Roman" w:hAnsi="Times New Roman"/>
          <w:sz w:val="20"/>
        </w:rPr>
      </w:pPr>
      <w:r>
        <w:rPr>
          <w:rFonts w:ascii="Times New Roman" w:hAnsi="Times New Roman"/>
          <w:sz w:val="20"/>
        </w:rPr>
        <w:t xml:space="preserve">In addition, all Bakkt Participation Units outstanding as of immediately prior to the Effective Time will be subject to vesting, with one-third vesting at the Effective Time, one-third vesting on the first anniversary of the Effective Time and one-third vesting on the second anniversary of the Effective Time, with the unvested amount generally being forfeited in the event the services provided by the holder thereof to Bakkt Opco and/or its subsidiaries are terminated prior to the applicable vesting date (other than in the event of terminations without cause, in which case all of the applicable holders then-unvested Bakkt Participation Units as of the time of such termination without cause will immediately vest in full). Any Bakkt Participation Unit that vests in accordance with the treatment in the preceding sentence will experience a participation unit payment event on the applicable vesting dates. For Bakkt Participation Units that vest on the first and second anniversary of the Effective Time (or earlier upon a termination without cause), the amount payable will be adjusted to reflect a notional investment in Bakkt Pubco Class A Shares in the principal amount equal to the amount that would have been payable had all such Bakkt Participation Units experienced a participation unit payment event at the Effective Time, made as of the Effective Time and held through such participation unit payment event. For Bakkt Participation Units that vest after the date that is six months after the Effective Time, such Bakkt Participation Units may be settled, no less than 15 and no more than 30 business days of the vesting date, with cash, Bakkt Pubco Class A Shares or awards under the Bakkt Pubco Equity Incentive Plan, based on the trading value of the Bakkt Pubco Class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Shares as of the close of business of the date of settlement, in each case equivalent in value on the day of settlement to the amount that otherwise would be payable in cash, or a combination thereof. Any payment due because of accelerated vesting following a termination without cause during the six-month lockup period, however, will be made in the form of cash. </w:t>
      </w:r>
    </w:p>
    <w:p>
      <w:pPr>
        <w:pStyle w:val="TextBody"/>
        <w:spacing w:before="360" w:after="0"/>
        <w:jc w:val="left"/>
        <w:rPr>
          <w:rFonts w:ascii="Times New Roman" w:hAnsi="Times New Roman"/>
          <w:i/>
          <w:sz w:val="20"/>
        </w:rPr>
      </w:pPr>
      <w:bookmarkStart w:id="35" w:name="3b"/>
      <w:bookmarkEnd w:id="35"/>
      <w:r>
        <w:rPr>
          <w:rFonts w:ascii="Times New Roman" w:hAnsi="Times New Roman"/>
          <w:i/>
          <w:sz w:val="20"/>
        </w:rPr>
        <w:t xml:space="preserve">Treatment of Bakkt Warrants </w:t>
      </w:r>
    </w:p>
    <w:p>
      <w:pPr>
        <w:pStyle w:val="TextBody"/>
        <w:spacing w:before="120" w:after="0"/>
        <w:jc w:val="left"/>
        <w:rPr>
          <w:rFonts w:ascii="Times New Roman" w:hAnsi="Times New Roman"/>
          <w:sz w:val="20"/>
        </w:rPr>
      </w:pPr>
      <w:r>
        <w:rPr>
          <w:rFonts w:ascii="Times New Roman" w:hAnsi="Times New Roman"/>
          <w:sz w:val="20"/>
        </w:rPr>
        <w:t>As a result of the Merger, and upon the Effective Time, each outstanding warrant to purchase Bakkt Interests as of immediately prior to the Effective Time (each, a </w:t>
      </w:r>
      <w:r>
        <w:rPr>
          <w:rFonts w:ascii="Times New Roman" w:hAnsi="Times New Roman"/>
          <w:b/>
          <w:sz w:val="20"/>
        </w:rPr>
        <w:t>Bakkt Warrant</w:t>
      </w:r>
      <w:r>
        <w:rPr>
          <w:rFonts w:ascii="Times New Roman" w:hAnsi="Times New Roman"/>
          <w:sz w:val="20"/>
        </w:rPr>
        <w:t xml:space="preserve">) will be automatically converted into the right to receive, upon exercise thereof and payment of the exercise price therefor, from Bakkt Opco and Bakkt Pubco following the Effective Time, the portion of the aggregate consideration of 208,200,000 Bakkt Opco Common Units and 208,200,000 Bakkt Pubco Class V Shares that the holders of such Bakkt Warrants would have received pursuant to the terms of the Merger Agreement if such Bakkt Warrants were exercised in full into Bakkt Interests immediately prior to the Effective Time. </w:t>
      </w:r>
    </w:p>
    <w:p>
      <w:pPr>
        <w:pStyle w:val="TextBody"/>
        <w:spacing w:before="360" w:after="0"/>
        <w:jc w:val="left"/>
        <w:rPr>
          <w:rFonts w:ascii="Times New Roman" w:hAnsi="Times New Roman"/>
          <w:b/>
          <w:i/>
          <w:sz w:val="20"/>
        </w:rPr>
      </w:pPr>
      <w:bookmarkStart w:id="36" w:name="18c"/>
      <w:bookmarkEnd w:id="36"/>
      <w:r>
        <w:rPr>
          <w:rFonts w:ascii="Times New Roman" w:hAnsi="Times New Roman"/>
          <w:b/>
          <w:i/>
          <w:sz w:val="20"/>
        </w:rPr>
        <w:t xml:space="preserve">Closing </w:t>
      </w:r>
    </w:p>
    <w:p>
      <w:pPr>
        <w:pStyle w:val="TextBody"/>
        <w:spacing w:before="120" w:after="0"/>
        <w:jc w:val="left"/>
        <w:rPr>
          <w:rFonts w:ascii="Times New Roman" w:hAnsi="Times New Roman"/>
          <w:sz w:val="20"/>
        </w:rPr>
      </w:pPr>
      <w:r>
        <w:rPr>
          <w:rFonts w:ascii="Times New Roman" w:hAnsi="Times New Roman"/>
          <w:sz w:val="20"/>
        </w:rPr>
        <w:t xml:space="preserve">In accordance with the terms and subject to the conditions of the Merger Agreement, the Closing will take place as promptly as reasonably practicable (but in any event no later than 8:00 a.m., Eastern Time, on the date that is the fifth business day) after the date of the satisfaction or waiver of the conditions set forth in the Merger Agreement (other than those conditions that by their nature are to be satisfied at the Closing, but subject to the satisfaction or waiver of those conditions), unless another time or date is mutually agreed to in writing by the parties. </w:t>
      </w:r>
    </w:p>
    <w:p>
      <w:pPr>
        <w:pStyle w:val="TextBody"/>
        <w:spacing w:before="360" w:after="0"/>
        <w:jc w:val="left"/>
        <w:rPr>
          <w:rFonts w:ascii="Times New Roman" w:hAnsi="Times New Roman"/>
          <w:b/>
          <w:i/>
          <w:sz w:val="20"/>
        </w:rPr>
      </w:pPr>
      <w:bookmarkStart w:id="37" w:name="17c"/>
      <w:bookmarkEnd w:id="37"/>
      <w:r>
        <w:rPr>
          <w:rFonts w:ascii="Times New Roman" w:hAnsi="Times New Roman"/>
          <w:b/>
          <w:i/>
          <w:sz w:val="20"/>
        </w:rPr>
        <w:t xml:space="preserve">Representations and Warranties </w:t>
      </w:r>
    </w:p>
    <w:p>
      <w:pPr>
        <w:pStyle w:val="TextBody"/>
        <w:spacing w:before="120" w:after="0"/>
        <w:jc w:val="left"/>
        <w:rPr>
          <w:rFonts w:ascii="Times New Roman" w:hAnsi="Times New Roman"/>
          <w:sz w:val="20"/>
        </w:rPr>
      </w:pPr>
      <w:r>
        <w:rPr>
          <w:rFonts w:ascii="Times New Roman" w:hAnsi="Times New Roman"/>
          <w:sz w:val="20"/>
        </w:rPr>
        <w:t>The Merger Agreement contains representations and warranties of Bakkt, VIH and Merger Sub, certain of which are qualified by materiality and Material Adverse Effect (as defined below) and may be further modified and limited by the Disclosure Letters. See </w:t>
      </w:r>
      <w:r>
        <w:rPr>
          <w:rFonts w:ascii="Times New Roman" w:hAnsi="Times New Roman"/>
          <w:i/>
          <w:sz w:val="20"/>
        </w:rPr>
        <w:t>The Business Combination ProposalMerger AgreementRepresentations and Warranties</w:t>
      </w:r>
      <w:r>
        <w:rPr>
          <w:rFonts w:ascii="Times New Roman" w:hAnsi="Times New Roman"/>
          <w:sz w:val="20"/>
        </w:rPr>
        <w:t></w:t>
      </w:r>
      <w:r>
        <w:rPr>
          <w:rFonts w:ascii="Times New Roman" w:hAnsi="Times New Roman"/>
          <w:i/>
          <w:sz w:val="20"/>
        </w:rPr>
        <w:t>Material Adverse Effect</w:t>
      </w:r>
      <w:r>
        <w:rPr>
          <w:rFonts w:ascii="Times New Roman" w:hAnsi="Times New Roman"/>
          <w:sz w:val="20"/>
        </w:rPr>
        <w:t xml:space="preserve"> beginning on page 121 of this proxy statement/prospectus. The representations and warranties of VIH are also qualified by information included in VIHs public filings, filed or submitted to the SEC and available on the SECs website at least one business day prior to the date of the Merger Agreement (subject to certain exceptions contemplated by the Merger Agreement). </w:t>
      </w:r>
    </w:p>
    <w:p>
      <w:pPr>
        <w:pStyle w:val="TextBody"/>
        <w:spacing w:before="360" w:after="0"/>
        <w:jc w:val="left"/>
        <w:rPr>
          <w:rFonts w:ascii="Times New Roman" w:hAnsi="Times New Roman"/>
          <w:i/>
          <w:sz w:val="20"/>
        </w:rPr>
      </w:pPr>
      <w:r>
        <w:rPr>
          <w:rFonts w:ascii="Times New Roman" w:hAnsi="Times New Roman"/>
          <w:i/>
          <w:sz w:val="20"/>
        </w:rPr>
        <w:t xml:space="preserve">Representations and Warranties of Bakkt </w:t>
      </w:r>
    </w:p>
    <w:p>
      <w:pPr>
        <w:pStyle w:val="TextBody"/>
        <w:spacing w:before="120" w:after="0"/>
        <w:jc w:val="left"/>
        <w:rPr>
          <w:rFonts w:ascii="Times New Roman" w:hAnsi="Times New Roman"/>
          <w:sz w:val="20"/>
        </w:rPr>
      </w:pPr>
      <w:r>
        <w:rPr>
          <w:rFonts w:ascii="Times New Roman" w:hAnsi="Times New Roman"/>
          <w:sz w:val="20"/>
        </w:rPr>
        <w:t xml:space="preserve">Bakkt has made representations and warranties relating to, among other things, due organization, due authorization, no conflict, capitalization, financial statements, absence of certain changes, real property, assets, taxes, employee benefit plans, labor matters, compliance, permits, legal proceedings, contracts and commitments, intellectual property, data privacy and IT systems, insurance, environmental matters, brokers and agents, transactions with related parties, regulatory matters, board recommendation and that there are no other representations and warranties of VIH or Merger Sub except as set forth in the Merger Agreement or as expressly set forth in any other Transaction Document. </w:t>
      </w:r>
    </w:p>
    <w:p>
      <w:pPr>
        <w:pStyle w:val="TextBody"/>
        <w:spacing w:before="240" w:after="0"/>
        <w:jc w:val="left"/>
        <w:rPr>
          <w:rFonts w:ascii="Times New Roman" w:hAnsi="Times New Roman"/>
          <w:sz w:val="20"/>
        </w:rPr>
      </w:pPr>
      <w:r>
        <w:rPr>
          <w:rFonts w:ascii="Times New Roman" w:hAnsi="Times New Roman"/>
          <w:sz w:val="20"/>
        </w:rPr>
        <w:t>The representations and warranties of Bakkt identified as fundamental under the terms of the Merger Agreement are due organization of Bakkt, due organization of Bakkts subsidiaries and absence of material violations of organizational documents, due authorization, capitalization and brokers and agents (collectively, the </w:t>
      </w:r>
      <w:r>
        <w:rPr>
          <w:rFonts w:ascii="Times New Roman" w:hAnsi="Times New Roman"/>
          <w:b/>
          <w:sz w:val="20"/>
        </w:rPr>
        <w:t>Bakkt Fundamental Representations</w:t>
      </w:r>
      <w:r>
        <w:rPr>
          <w:rFonts w:ascii="Times New Roman" w:hAnsi="Times New Roman"/>
          <w:sz w:val="20"/>
        </w:rPr>
        <w:t>). Additionally, as more fully described below, the representations and warranties of Bakkt made relating to regulatory matters of the Merger Agreement are identified as special representations of Bakkt for purposes of the closing conditions. See </w:t>
      </w:r>
      <w:r>
        <w:rPr>
          <w:rFonts w:ascii="Times New Roman" w:hAnsi="Times New Roman"/>
          <w:i/>
          <w:sz w:val="20"/>
        </w:rPr>
        <w:t>The Business Combination ProposalMerger AgreementClosing ConditionsConditions to the Obligations of VIH and Merger Sub</w:t>
      </w:r>
      <w:r>
        <w:rPr>
          <w:rFonts w:ascii="Times New Roman" w:hAnsi="Times New Roman"/>
          <w:sz w:val="20"/>
        </w:rPr>
        <w:t xml:space="preserve"> beginning on page 134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Representations and Warranties of VIH and Merger Sub </w:t>
      </w:r>
    </w:p>
    <w:p>
      <w:pPr>
        <w:pStyle w:val="TextBody"/>
        <w:spacing w:before="120" w:after="0"/>
        <w:jc w:val="left"/>
        <w:rPr>
          <w:rFonts w:ascii="Times New Roman" w:hAnsi="Times New Roman"/>
          <w:sz w:val="20"/>
        </w:rPr>
      </w:pPr>
      <w:r>
        <w:rPr>
          <w:rFonts w:ascii="Times New Roman" w:hAnsi="Times New Roman"/>
          <w:sz w:val="20"/>
        </w:rPr>
        <w:t xml:space="preserve">VIH and Merger Sub have made representations and warranties relating to, among other things, due organization, due authorization, no conflict, capitalization, Merger Sub, special purposes acquisition company, absence of certain changes, taxes, brokers and agents, financing, legal proceedings, compliance, permits, SEC filings and financials of VIH, national stock exchange, recommendation of the VIH Board, the Trust Account, insurance, intellectual property, agreements, contracts and commitments, title to property, employee matters, regulatory matters, the Investment Company Act, the PIPE Investment, due diligence investigation and that there are no other representations and warranties of Bakkt except as set forth in the Merger Agreement or as expressly set forth in any other Transaction Document. </w:t>
      </w:r>
    </w:p>
    <w:p>
      <w:pPr>
        <w:pStyle w:val="TextBody"/>
        <w:spacing w:before="240" w:after="0"/>
        <w:jc w:val="left"/>
        <w:rPr>
          <w:rFonts w:ascii="Times New Roman" w:hAnsi="Times New Roman"/>
          <w:sz w:val="20"/>
        </w:rPr>
      </w:pPr>
      <w:r>
        <w:rPr>
          <w:rFonts w:ascii="Times New Roman" w:hAnsi="Times New Roman"/>
          <w:sz w:val="20"/>
        </w:rPr>
        <w:t>The representations and warranties of VIH and Merger Sub identified as fundamental under the terms of the Merger Agreement are due organization, due authorization, capitalization and brokers and agents (collectively, the </w:t>
      </w:r>
      <w:r>
        <w:rPr>
          <w:rFonts w:ascii="Times New Roman" w:hAnsi="Times New Roman"/>
          <w:b/>
          <w:sz w:val="20"/>
        </w:rPr>
        <w:t>VIH Fundamental Representations</w:t>
      </w:r>
      <w:r>
        <w:rPr>
          <w:rFonts w:ascii="Times New Roman" w:hAnsi="Times New Roman"/>
          <w:sz w:val="20"/>
        </w:rPr>
        <w:t>). Additionally, as more fully described below, the representations and warranties of VIH and Merger Sub relating to regulatory matters of the Merger Agreement are identified as special representations of VIH and Merger Sub for purposes of the closing conditions. See </w:t>
      </w:r>
      <w:r>
        <w:rPr>
          <w:rFonts w:ascii="Times New Roman" w:hAnsi="Times New Roman"/>
          <w:i/>
          <w:sz w:val="20"/>
        </w:rPr>
        <w:t>The Business Combination ProposalMerger AgreementClosing ConditionsConditions to the Obligations of VIH and Merger Sub</w:t>
      </w:r>
      <w:r>
        <w:rPr>
          <w:rFonts w:ascii="Times New Roman" w:hAnsi="Times New Roman"/>
          <w:sz w:val="20"/>
        </w:rPr>
        <w:t xml:space="preserve"> beginning on page 134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Survival of Representations, Warranties and Covenants </w:t>
      </w:r>
    </w:p>
    <w:p>
      <w:pPr>
        <w:pStyle w:val="TextBody"/>
        <w:spacing w:before="120" w:after="0"/>
        <w:jc w:val="left"/>
        <w:rPr>
          <w:rFonts w:ascii="Times New Roman" w:hAnsi="Times New Roman"/>
          <w:sz w:val="20"/>
        </w:rPr>
      </w:pPr>
      <w:r>
        <w:rPr>
          <w:rFonts w:ascii="Times New Roman" w:hAnsi="Times New Roman"/>
          <w:sz w:val="20"/>
        </w:rPr>
        <w:t xml:space="preserve">Except in the case of claims against a person in respect of such persons actual intentional fraud in making a representation and warranty in the Merger Agreement or in making a representation and warranty in any other Transaction Document, the representations and warranties of the respective parties to the Merger Agreement will not survive the Closing except for fraud claims, representations and warranties by any Bakkt Equity Holder set forth in the letter of transmittal or any covenants to be performed in whole or in part after the Closing. </w:t>
      </w:r>
    </w:p>
    <w:p>
      <w:pPr>
        <w:pStyle w:val="TextBody"/>
        <w:spacing w:before="360" w:after="0"/>
        <w:jc w:val="left"/>
        <w:rPr>
          <w:rFonts w:ascii="Times New Roman" w:hAnsi="Times New Roman"/>
          <w:i/>
          <w:sz w:val="20"/>
        </w:rPr>
      </w:pPr>
      <w:bookmarkStart w:id="38" w:name="10c"/>
      <w:bookmarkEnd w:id="38"/>
      <w:r>
        <w:rPr>
          <w:rFonts w:ascii="Times New Roman" w:hAnsi="Times New Roman"/>
          <w:i/>
          <w:sz w:val="20"/>
        </w:rPr>
        <w:t xml:space="preserve">Material Adverse Effect </w:t>
      </w:r>
    </w:p>
    <w:p>
      <w:pPr>
        <w:pStyle w:val="TextBody"/>
        <w:spacing w:before="120" w:after="0"/>
        <w:jc w:val="left"/>
        <w:rPr>
          <w:rFonts w:ascii="Times New Roman" w:hAnsi="Times New Roman"/>
          <w:sz w:val="20"/>
        </w:rPr>
      </w:pPr>
      <w:r>
        <w:rPr>
          <w:rFonts w:ascii="Times New Roman" w:hAnsi="Times New Roman"/>
          <w:sz w:val="20"/>
        </w:rPr>
        <w:t xml:space="preserve">Under the Merger Agreement, certain representations and warranties of Bakkt are qualified in whole or in part by a material adverse effect standard for purposes of determining whether a breach of such representations and warranties has occurred. Similarly, under the Merger Agreement, certain representations and warranties of VIH and Merger Sub are qualified in whole or in part by a material adverse effect standard for purposes of determining whether a breach of such representations and warranties has occurred. </w:t>
      </w:r>
    </w:p>
    <w:p>
      <w:pPr>
        <w:pStyle w:val="TextBody"/>
        <w:spacing w:before="360" w:after="0"/>
        <w:jc w:val="left"/>
        <w:rPr>
          <w:rFonts w:ascii="Times New Roman" w:hAnsi="Times New Roman"/>
          <w:i/>
          <w:sz w:val="20"/>
        </w:rPr>
      </w:pPr>
      <w:r>
        <w:rPr>
          <w:rFonts w:ascii="Times New Roman" w:hAnsi="Times New Roman"/>
          <w:i/>
          <w:sz w:val="20"/>
        </w:rPr>
        <w:t xml:space="preserve">Bakkt Material Adverse Effect </w:t>
      </w:r>
    </w:p>
    <w:p>
      <w:pPr>
        <w:pStyle w:val="TextBody"/>
        <w:spacing w:before="120" w:after="0"/>
        <w:jc w:val="left"/>
        <w:rPr>
          <w:rFonts w:ascii="Times New Roman" w:hAnsi="Times New Roman"/>
          <w:sz w:val="20"/>
        </w:rPr>
      </w:pPr>
      <w:r>
        <w:rPr>
          <w:rFonts w:ascii="Times New Roman" w:hAnsi="Times New Roman"/>
          <w:sz w:val="20"/>
        </w:rPr>
        <w:t>Pursuant to the Merger Agreement, a material adverse effect with respect to Bakkt (</w:t>
      </w:r>
      <w:r>
        <w:rPr>
          <w:rFonts w:ascii="Times New Roman" w:hAnsi="Times New Roman"/>
          <w:b/>
          <w:sz w:val="20"/>
        </w:rPr>
        <w:t>Bakkt Material Adverse Effect</w:t>
      </w:r>
      <w:r>
        <w:rPr>
          <w:rFonts w:ascii="Times New Roman" w:hAnsi="Times New Roman"/>
          <w:sz w:val="20"/>
        </w:rPr>
        <w:t>) means any result, occurrence, fact, change, event or effect (collectively, </w:t>
      </w:r>
      <w:r>
        <w:rPr>
          <w:rFonts w:ascii="Times New Roman" w:hAnsi="Times New Roman"/>
          <w:b/>
          <w:sz w:val="20"/>
        </w:rPr>
        <w:t>Events</w:t>
      </w:r>
      <w:r>
        <w:rPr>
          <w:rFonts w:ascii="Times New Roman" w:hAnsi="Times New Roman"/>
          <w:sz w:val="20"/>
        </w:rPr>
        <w:t xml:space="preserve">), individually or in the aggregate with any other results, occurrences, facts, changes, events and/or effects, has had or would be reasonably likely to have a material adverse effect on (i) the business, assets, liabilities, results of operations or condition (financial or otherwise) of the Target Companies, taken as a whole, or (ii) the ability of Bakkt to consummate the transactions contemplated by the Merger Agreement and by the other Transaction Documents or to perform their respective obligations under the Merger Agreement or under the Transaction Documents to which they are a party or bound. </w:t>
      </w:r>
    </w:p>
    <w:p>
      <w:pPr>
        <w:pStyle w:val="TextBody"/>
        <w:spacing w:before="240" w:after="0"/>
        <w:jc w:val="left"/>
        <w:rPr>
          <w:rFonts w:ascii="Times New Roman" w:hAnsi="Times New Roman"/>
          <w:sz w:val="20"/>
        </w:rPr>
      </w:pPr>
      <w:r>
        <w:rPr>
          <w:rFonts w:ascii="Times New Roman" w:hAnsi="Times New Roman"/>
          <w:sz w:val="20"/>
        </w:rPr>
        <w:t xml:space="preserve">However, for purposes of item (i) above, no Event (by itself or taken with any and all of the other Events) that results from or arises out of or is related to any of the following will be deemed to constitute or be taken into account in determining whether there has been, a Bakkt Material Adverse Effect: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affecting generally the industries or markets in which the Target Companies operate, including in any change in the financial markets, credit markets or capital markets in the United States or any other country or region in the world;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acts of God, including pandemics (including the COVID-19 virus or any mutation thereof) and the impact of such pandemics on the health of any officer, employee or consultant of Bakkt and the actions of governmental authorities in response thereto;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1"/>
        <w:gridCol w:w="9288"/>
      </w:tblGrid>
      <w:tr>
        <w:trPr/>
        <w:tc>
          <w:tcPr>
            <w:tcW w:w="406"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national or international political or social conditions, including (1)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or (2) social unrest, including protests, demonstrations, riots, arson, conflagration, looting, boycotts, or the response of any governmental authorities or their authorized or unauthorized representatives to such 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GAAP (or the interpretation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law, rules, regulations, orders, or other binding directives issued by any governmental authority (or the interpretation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(f)</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failure by Bakkt to meet any internal or external operating projections or forecasts or revenue or earnings predictions (provided, that the underlying cause of any such failure may be considered in determining whether a Bakkt Material Adverse Effect has occurred or would reasonably be expected to occur to the extent not excluded by another exception);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(g)</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taking of any action expressly required by the Merger Agreement;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(h)</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 announcement or pendency of the Merger Agreement or any of the transactions contemplated by the Merger Agreement or the other Transaction Documents (including but not limited to any impact on the relationships of the Target Companies with customers, vendors, or employees, including voluntary departures of employees in anticipation of such transactions). </w:t>
            </w:r>
          </w:p>
        </w:tc>
      </w:tr>
    </w:tbl>
    <w:p>
      <w:pPr>
        <w:pStyle w:val="TextBody"/>
        <w:spacing w:before="240" w:after="0"/>
        <w:jc w:val="left"/>
        <w:rPr>
          <w:rFonts w:ascii="Times New Roman" w:hAnsi="Times New Roman"/>
          <w:sz w:val="20"/>
        </w:rPr>
      </w:pPr>
      <w:r>
        <w:rPr>
          <w:rFonts w:ascii="Times New Roman" w:hAnsi="Times New Roman"/>
          <w:sz w:val="20"/>
        </w:rPr>
        <w:t xml:space="preserve">In the event a change described in items (a), (b), (c), (d) or (e) above affects the Target Companies in a disproportionate manner relative to other persons or entities operating in the industries or markets in which the Target Companies operate, such change is taken into account in determining whether there has been a Bakkt Material Adverse Effect, but only to the extent of the incremental disproportionate effect thereof. </w:t>
      </w:r>
    </w:p>
    <w:p>
      <w:pPr>
        <w:pStyle w:val="TextBody"/>
        <w:spacing w:before="360" w:after="0"/>
        <w:jc w:val="left"/>
        <w:rPr>
          <w:rFonts w:ascii="Times New Roman" w:hAnsi="Times New Roman"/>
          <w:i/>
          <w:sz w:val="20"/>
        </w:rPr>
      </w:pPr>
      <w:r>
        <w:rPr>
          <w:rFonts w:ascii="Times New Roman" w:hAnsi="Times New Roman"/>
          <w:i/>
          <w:sz w:val="20"/>
        </w:rPr>
        <w:t xml:space="preserve">VIH Material Adverse Effect </w:t>
      </w:r>
    </w:p>
    <w:p>
      <w:pPr>
        <w:pStyle w:val="TextBody"/>
        <w:spacing w:before="120" w:after="0"/>
        <w:jc w:val="left"/>
        <w:rPr>
          <w:rFonts w:ascii="Times New Roman" w:hAnsi="Times New Roman"/>
          <w:sz w:val="20"/>
        </w:rPr>
      </w:pPr>
      <w:r>
        <w:rPr>
          <w:rFonts w:ascii="Times New Roman" w:hAnsi="Times New Roman"/>
          <w:sz w:val="20"/>
        </w:rPr>
        <w:t>Pursuant to the Merger Agreement, a material adverse effect with respect to VIH or Merger Sub (</w:t>
      </w:r>
      <w:r>
        <w:rPr>
          <w:rFonts w:ascii="Times New Roman" w:hAnsi="Times New Roman"/>
          <w:b/>
          <w:sz w:val="20"/>
        </w:rPr>
        <w:t>VIH Material Adverse Effect</w:t>
      </w:r>
      <w:r>
        <w:rPr>
          <w:rFonts w:ascii="Times New Roman" w:hAnsi="Times New Roman"/>
          <w:sz w:val="20"/>
        </w:rPr>
        <w:t> and together with a Bakkt Material Adverse Effect, a </w:t>
      </w:r>
      <w:r>
        <w:rPr>
          <w:rFonts w:ascii="Times New Roman" w:hAnsi="Times New Roman"/>
          <w:b/>
          <w:sz w:val="20"/>
        </w:rPr>
        <w:t>Material Adverse Effect</w:t>
      </w:r>
      <w:r>
        <w:rPr>
          <w:rFonts w:ascii="Times New Roman" w:hAnsi="Times New Roman"/>
          <w:sz w:val="20"/>
        </w:rPr>
        <w:t xml:space="preserve">) means any Events, individually or in the aggregate with any other results, occurrences, facts, changes, events and/or effects, has had or would be reasonably likely to have a material adverse effect on (i) the business, assets, liabilities, results of operations or condition (financial or otherwise) of VIH and Merger Sub, taken as a whole, or (ii) the ability of VIH or Merger to consummate the transactions contemplated by the Merger Agreement or the other Transaction Documents or to perform their respective obligations under the Merger Agreement or under the Transaction Documents to which they are a party or bound. </w:t>
      </w:r>
    </w:p>
    <w:p>
      <w:pPr>
        <w:pStyle w:val="TextBody"/>
        <w:spacing w:before="240" w:after="0"/>
        <w:jc w:val="left"/>
        <w:rPr>
          <w:rFonts w:ascii="Times New Roman" w:hAnsi="Times New Roman"/>
          <w:sz w:val="20"/>
        </w:rPr>
      </w:pPr>
      <w:r>
        <w:rPr>
          <w:rFonts w:ascii="Times New Roman" w:hAnsi="Times New Roman"/>
          <w:sz w:val="20"/>
        </w:rPr>
        <w:t xml:space="preserve">However, for purposes of item (i) above, no Event (by itself or taken with any and all of the other Events) that results from or arises out of or is related to any of the following will be deemed to constitute or be taken into account in determining whether there has been, a VIH Material Adverse Effect: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affecting generally the industries or markets in which VIH and Merger Sub operate, including in any change in the financial markets, credit markets or capital markets in the United States or any other country or region in the world;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acts of God, including pandemics (including the COVID-19 virus or any mutation thereof) and the actions of governmental authorities in response thereto which are binding on VIH and Merger Sub;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GAAP (or the interpretation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law, rules, regulations, orders, or other binding directives issued by any governmental authority (or the interpretation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(f)</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taking of any action expressly required by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(g)</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 announcement or pendency of the Merger Agreement or any of the transactions contemplated by the Merger Agreement or the other Transaction Documents;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(h)</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consummation and effects of Redemptions. </w:t>
            </w:r>
          </w:p>
        </w:tc>
      </w:tr>
    </w:tbl>
    <w:p>
      <w:pPr>
        <w:pStyle w:val="TextBody"/>
        <w:spacing w:before="240" w:after="0"/>
        <w:jc w:val="left"/>
        <w:rPr>
          <w:rFonts w:ascii="Times New Roman" w:hAnsi="Times New Roman"/>
          <w:sz w:val="20"/>
        </w:rPr>
      </w:pPr>
      <w:r>
        <w:rPr>
          <w:rFonts w:ascii="Times New Roman" w:hAnsi="Times New Roman"/>
          <w:sz w:val="20"/>
        </w:rPr>
        <w:t xml:space="preserve">In the event a change described in items (a), (b), (c), (d) or (e) above affects VIH or Merger Sub in a disproportionate manner relative to other Persons operating in the industries or markets in which VIH or Merger Sub operate, such change will be taken into account in determining whether there has been a VIH Material Adverse Effect. </w:t>
      </w:r>
    </w:p>
    <w:p>
      <w:pPr>
        <w:pStyle w:val="TextBody"/>
        <w:spacing w:before="360" w:after="0"/>
        <w:jc w:val="left"/>
        <w:rPr>
          <w:rFonts w:ascii="Times New Roman" w:hAnsi="Times New Roman"/>
          <w:b/>
          <w:i/>
          <w:sz w:val="20"/>
        </w:rPr>
      </w:pPr>
      <w:bookmarkStart w:id="39" w:name="2c"/>
      <w:bookmarkEnd w:id="39"/>
      <w:r>
        <w:rPr>
          <w:rFonts w:ascii="Times New Roman" w:hAnsi="Times New Roman"/>
          <w:b/>
          <w:i/>
          <w:sz w:val="20"/>
        </w:rPr>
        <w:t xml:space="preserve">Covenants and Agreements </w:t>
      </w:r>
    </w:p>
    <w:p>
      <w:pPr>
        <w:pStyle w:val="TextBody"/>
        <w:spacing w:before="120" w:after="0"/>
        <w:jc w:val="left"/>
        <w:rPr>
          <w:rFonts w:ascii="Times New Roman" w:hAnsi="Times New Roman"/>
          <w:sz w:val="20"/>
        </w:rPr>
      </w:pPr>
      <w:r>
        <w:rPr>
          <w:rFonts w:ascii="Times New Roman" w:hAnsi="Times New Roman"/>
          <w:sz w:val="20"/>
        </w:rPr>
        <w:t xml:space="preserve">Bakkt has made covenants relating to, among other things, conduct of business, access to information, cooperation with respect to the PIPE Investment, governmental consents, filing of notices and this registration statement, public disclosures, acquisition proposals, post-closing directors and officers of Bakkt Pubco, third- party consents. </w:t>
      </w:r>
    </w:p>
    <w:p>
      <w:pPr>
        <w:pStyle w:val="TextBody"/>
        <w:spacing w:before="240" w:after="0"/>
        <w:jc w:val="left"/>
        <w:rPr>
          <w:rFonts w:ascii="Times New Roman" w:hAnsi="Times New Roman"/>
          <w:sz w:val="20"/>
        </w:rPr>
      </w:pPr>
      <w:r>
        <w:rPr>
          <w:rFonts w:ascii="Times New Roman" w:hAnsi="Times New Roman"/>
          <w:sz w:val="20"/>
        </w:rPr>
        <w:t xml:space="preserve">VIH has made covenants relating to, among other things, conduct of business, access to information, cooperation with respect to governmental consents and filing of notices, filing of this registration statement, Trust Account proceeds, adoption by the VIH Board of a resolution regarding the Proposed Transaction for purposes of Section 16 of the Exchange Act, the NYSE listing, no solicitation by VIH, post-closing directors and officers of Bakkt Pubco, Domestication, director and officer indemnification and insurance, public disclosures, PIPE Investment subscriptions, entry into the Cooperation Agreement (as defined below) and shareholder litigation. </w:t>
      </w:r>
    </w:p>
    <w:p>
      <w:pPr>
        <w:pStyle w:val="TextBody"/>
        <w:spacing w:before="360" w:after="0"/>
        <w:jc w:val="left"/>
        <w:rPr>
          <w:rFonts w:ascii="Times New Roman" w:hAnsi="Times New Roman"/>
          <w:i/>
          <w:sz w:val="20"/>
        </w:rPr>
      </w:pPr>
      <w:r>
        <w:rPr>
          <w:rFonts w:ascii="Times New Roman" w:hAnsi="Times New Roman"/>
          <w:i/>
          <w:sz w:val="20"/>
        </w:rPr>
        <w:t xml:space="preserve">Conduct of Business by Bakkt </w:t>
      </w:r>
    </w:p>
    <w:p>
      <w:pPr>
        <w:pStyle w:val="TextBody"/>
        <w:spacing w:before="120" w:after="0"/>
        <w:jc w:val="left"/>
        <w:rPr>
          <w:rFonts w:ascii="Times New Roman" w:hAnsi="Times New Roman"/>
          <w:sz w:val="20"/>
        </w:rPr>
      </w:pPr>
      <w:r>
        <w:rPr>
          <w:rFonts w:ascii="Times New Roman" w:hAnsi="Times New Roman"/>
          <w:sz w:val="20"/>
        </w:rPr>
        <w:t>Bakkt has agreed that from the date of the Merger Agreement through the earlier of the Closing or the termination of the Merger Agreement (the </w:t>
      </w:r>
      <w:r>
        <w:rPr>
          <w:rFonts w:ascii="Times New Roman" w:hAnsi="Times New Roman"/>
          <w:b/>
          <w:sz w:val="20"/>
        </w:rPr>
        <w:t>Interim Period</w:t>
      </w:r>
      <w:r>
        <w:rPr>
          <w:rFonts w:ascii="Times New Roman" w:hAnsi="Times New Roman"/>
          <w:sz w:val="20"/>
        </w:rPr>
        <w:t xml:space="preserve">), it will, and will cause its subsidiaries to, except as otherwise explicitly contemplated by the Merger Agreement, as consented to by VIH (which consent will not be unreasonably withheld, conditioned, or delayed) or as required by applicable law, (a) conduct their respective businesses in the ordinary course of business and in material compliance with applicable law, and (b) in each case in all material respects, use their commercially reasonable efforts to maintain and preserve their respective businesses, assets and organizations intact, retain their respective present officers and employees and maintain and preserve their respective relationships with their officers and employees, suppliers, vendors, licensors, governmental authorities, creditors and others having business relations with such Person. </w:t>
      </w:r>
    </w:p>
    <w:p>
      <w:pPr>
        <w:pStyle w:val="TextBody"/>
        <w:spacing w:before="240" w:after="0"/>
        <w:jc w:val="left"/>
        <w:rPr>
          <w:rFonts w:ascii="Times New Roman" w:hAnsi="Times New Roman"/>
          <w:sz w:val="20"/>
        </w:rPr>
      </w:pPr>
      <w:r>
        <w:rPr>
          <w:rFonts w:ascii="Times New Roman" w:hAnsi="Times New Roman"/>
          <w:sz w:val="20"/>
        </w:rPr>
        <w:t>During the Interim Period, Bakkt has also agreed not to, and to cause its subsidiaries not to, except as otherwise contemplated by the Merger Agreement, including the Bakkt disclosure letter thereto (the </w:t>
      </w:r>
      <w:r>
        <w:rPr>
          <w:rFonts w:ascii="Times New Roman" w:hAnsi="Times New Roman"/>
          <w:b/>
          <w:sz w:val="20"/>
        </w:rPr>
        <w:t>Bakkt Disclosure Letter</w:t>
      </w:r>
      <w:r>
        <w:rPr>
          <w:rFonts w:ascii="Times New Roman" w:hAnsi="Times New Roman"/>
          <w:sz w:val="20"/>
        </w:rPr>
        <w:t xml:space="preserve">) or as consented to by VIH (which consent will not be unreasonably withheld, conditioned, or delayed) or as required by applicable law or governmental authority (provided that nothing in the Merger Agreement is intended to provided VIH, directly or indirectly, the right to control or direct the ordinary course operations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of the Target Companies prior to the Closing, provided further that none of the Target Companies will take any action prohibited by certain of the following clauses as set forth in the Merger Agreement):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or amend the governing documents of the Target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its equity capitalization or capital structure, or enter into any agreement, understanding or arrangement with respect to the voting of equity securities of Bakkt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exercises or conversions of currently outstanding rights shall not be prohibited), or grant any additional equity or equity-based compensation (including Bakkt Incentive Units and Bakkt Participation Units under the Bakkt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declare or pay any distribution in respect of the limited liability company interests of Bakkt (other than ordinary and regular tax distributions or distributions made to or by wholly-owned subsidiaries) or authorize the issuance of any other securities in respect of, in lieu of or in substitution for any of its securities or purchase, redeem or otherwise acquire or retire for value any of its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 loan or advance to or investment in any third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sell, assign, lease, sublease, exclusively license, exclusively sublicense, pledge, fail to renew, or otherwise transfer or dispose of or grant any option or exclusive rights in, to or under, any material assets of the Target Companies (other than any such actions performed by any of the Target Companies in the ordinary course of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 any material trade secrets, material software or material confidential intellectual property of the Target Companies (including the source code for any proprietary software) to any Person who has not entered into a reasonably protective confidentiality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acquire (whether by merger, consolidation, acquisition of stock or assets or any other form of business combination) any non-natural Person or business or initiate the start-up of any new business, non-wholly-owned subsidiary or joint venture or otherwise acquire any securities or material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incur, create, assume, guarantee or otherwise become liable for any indebtedness (directly, contingently or otherwise) except for (a) advances of any kind under any credit facilities or other debt instrument (including under any applicable credit line) of Bakkt existing as of the date of the Merger Agreement not to exceed $1,000,000, (b) any such indebtedness among Bakkt and its wholly-owned subsidiaries or among Bakkts wholly-owned subsidiaries, (c) guarantees by Bakkt of existing indebtedness of subsidiaries of Bakkt, and (d) the accrual of interest on indebtedness outstanding as of the date of the Merger Agreement or incurred in compliance with clauses (a)-(c);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withdraw any license application except as agreed to by the parties with respect to governmental consents and notice filings;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any material contract or amend, modify, terminate or waive any material right under any material contract or any material permit (other than in the ordinary course of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than matters arising in the ordinary course of business or with a value of less than $250,000, commence a material lawsuit or settle, compromise, release or waive its rights under any claim or litigation, other than for routine collection and settlement matters of accounts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amend or terminate (other than terminations in accordance with their terms) any contract or transaction with any related party, or waive any material right in connection therewith;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announce, implement or effect any reduction in force, mass lay off, early retirement program, severance program, or other program or effort concerning the termination of more than 10 employees, including, but not limited to, any reduction in force, mass lay off, early retirement program, severance program or other program or effort concerning the termination of employees, in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1"/>
        <w:gridCol w:w="9294"/>
      </w:tblGrid>
      <w:tr>
        <w:trPr/>
        <w:tc>
          <w:tcPr>
            <w:tcW w:w="911" w:type="dxa"/>
            <w:tcBorders/>
            <w:shd w:fill="auto" w:val="clear"/>
            <w:vAlign w:val="center"/>
          </w:tcPr>
          <w:p>
            <w:pPr>
              <w:pStyle w:val="TableContents"/>
              <w:spacing w:before="0" w:after="283"/>
              <w:rPr/>
            </w:pPr>
            <w:r>
              <w:rPr/>
              <w:t> </w:t>
            </w:r>
          </w:p>
        </w:tc>
        <w:tc>
          <w:tcPr>
            <w:tcW w:w="9294"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each case which would trigger any liability or advance notice requirements under the Workers Adjustment Retraining and Notification Act of 1988, as amended, or any similar state, local or foreign law or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as otherwise required by law, existing Bakkt Benefit Plans or Bakkt Benefit Arrangements (as each is defined in the Merger Agreement) listed in the Bakkt Disclosure Letter or as would not be material to the Target Companies taken as a whole, and only with respect to officers of Bakkt, (a) grant any severance, retention, change in control or termination or similar pay, (b) terminate, adopt, enter into or materially amend or grant any new awards under any Bakkt Benefit Plan or Bakkt Benefit Arrangement (including the Bakkt Plan) or any plan, policy, practice, program, agreement or other arrangement that would be deemed a Bakkt Benefit Plan or Bakkt Benefit Arrangement as of the date of the Merger Agreement, (c) materially increase the cash compensation or bonus opportunity, except in the ordinary course of business consistent with past practice, (d) take any action to amend or waive any performance or vesting criteria or to accelerate the payment or vesting of any compensation or benefit payable by the Target Companies, (e) hire or engage any new officer of Bakkt, or (f) terminate the employment or engagement, other than for cause, death or disability, of any officer of Bakkt;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or extend any collective bargaining agreement or similar labor agreement, other than as required by applicable law, or recognize any labor union, labor organization, or group of employees of Target Companies as the bargaining representative for any employees of the Target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revalue any of its material assets or make any change in accounting methods, principles or practices (including cash management practices), except to the extent required to comply with GAAP or to upgrade its practices to those suitable for a public company or as may be necessary in order to give effect to de-consolidation from the parent company of ICEHs GAAP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VIH),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agree to or adopt a plan of complete or partial liquidation, dissolution, merger, consolidation, restructuring, recapitalization or other reorganization;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 to comply in any material respect with a material law applicable to its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accelerate or delay, other than in the ordinary course of business, consistent with past practice, the collection of any trade receivables or the payment of trade payables or any other liability or other material amounts;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authorize or agree (in writing or otherwise) to take any of the actions described in the foregoing. </w:t>
            </w:r>
          </w:p>
        </w:tc>
      </w:tr>
    </w:tbl>
    <w:p>
      <w:pPr>
        <w:pStyle w:val="TextBody"/>
        <w:spacing w:before="360" w:after="0"/>
        <w:jc w:val="left"/>
        <w:rPr>
          <w:rFonts w:ascii="Times New Roman" w:hAnsi="Times New Roman"/>
          <w:i/>
          <w:sz w:val="20"/>
        </w:rPr>
      </w:pPr>
      <w:r>
        <w:rPr>
          <w:rFonts w:ascii="Times New Roman" w:hAnsi="Times New Roman"/>
          <w:i/>
          <w:sz w:val="20"/>
        </w:rPr>
        <w:t xml:space="preserve">Conduct of Business of VIH </w:t>
      </w:r>
    </w:p>
    <w:p>
      <w:pPr>
        <w:pStyle w:val="TextBody"/>
        <w:spacing w:before="120" w:after="0"/>
        <w:jc w:val="left"/>
        <w:rPr>
          <w:rFonts w:ascii="Times New Roman" w:hAnsi="Times New Roman"/>
          <w:sz w:val="20"/>
        </w:rPr>
      </w:pPr>
      <w:r>
        <w:rPr>
          <w:rFonts w:ascii="Times New Roman" w:hAnsi="Times New Roman"/>
          <w:sz w:val="20"/>
        </w:rPr>
        <w:t>VIH has agreed that from the date of the Merger Agreement through the earlier of the Closing or the termination of the Merger Agreement, it will, and will cause Merger Sub to, except as otherwise explicitly contemplated by the Merger Agreement (including as set forth in the VIH disclosure letter thereto (the </w:t>
      </w:r>
      <w:r>
        <w:rPr>
          <w:rFonts w:ascii="Times New Roman" w:hAnsi="Times New Roman"/>
          <w:b/>
          <w:sz w:val="20"/>
        </w:rPr>
        <w:t>VIH Disclosure Letter</w:t>
      </w:r>
      <w:r>
        <w:rPr>
          <w:rFonts w:ascii="Times New Roman" w:hAnsi="Times New Roman"/>
          <w:sz w:val="20"/>
        </w:rPr>
        <w:t xml:space="preserve">) or as contemplated by the Redemption), as required by applicable law or governmental authority or as consented to by Bakkt (which consent will not be unreasonably conditioned, withheld, or delayed), (a) conduct their respective businesses in the ordinary course of business, (b) conduct their respective businesses in material compliance with applicable law, and (c) in each case in all material respects, use their commercially reasonable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such party. </w:t>
      </w:r>
    </w:p>
    <w:p>
      <w:pPr>
        <w:pStyle w:val="TextBody"/>
        <w:spacing w:before="240" w:after="0"/>
        <w:jc w:val="left"/>
        <w:rPr>
          <w:rFonts w:ascii="Times New Roman" w:hAnsi="Times New Roman"/>
          <w:sz w:val="20"/>
        </w:rPr>
      </w:pPr>
      <w:r>
        <w:rPr>
          <w:rFonts w:ascii="Times New Roman" w:hAnsi="Times New Roman"/>
          <w:sz w:val="20"/>
        </w:rPr>
        <w:t xml:space="preserve">During the Interim Period, VIH has also agreed not to, and to cause Merger Sub not to, except as otherwise contemplated by the Merger Agreement (including as set forth in the VIH Disclosure Letter or as contemplated by the Redemption), as consented to by Bakkt (which consent will not be unreasonably withheld, conditioned, or delayed) or as required by applicable law or governmental authority: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or amend any of the organizational documents of VIH or Merger Sub, or authorize or propose the same, except pursuant to the transactions contemplated by the Transaction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than pursuant to the PIPE Investment, 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the equity capitalization or capital structure of VIH or Merger Sub, or enter into any agreement, understanding or arrangement with respect to the voting of equity securities of VIH;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declare or pay any distribution in respect of the equity interests of VIH or Merger Sub or authorize the issuance of any other securities in respect of, in lieu of or in substitution for any of the securities of VIH or Merger Sub or purchase, redeem or otherwise acquire or retire for value any of the securities of VIH or Merger Sub;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incur, create, assume, guarantee or otherwise become liable for any indebtedness for borrowed money or guarantee any indebtedness of another Person (directly, contingently or otherwise), other than (i) as contemplated by the PIPE Investment, or (ii) working capital loans made by Sponsor necessary to finance VIHs ordinary course administrative costs and expenses and expenses incurred in connection with the consummation of the Merger and the other transactions pursuant to the Transaction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 loan or advance to or investment in any third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or agree to make any capital expenditures;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sell, assign, lease, sublease, exclusively license, exclusively sublicense, pledge or otherwise transfer or dispose of or grant any option or exclusive rights in, to or under, any material assets of VIH or Merger Sub;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acquire (whether by merger, consolidation, acquisition of stock or assets or any other form of business combination) any non-natural Person or business or initiate the start-up of any new business, non-wholly owned subsidiary or joint venture or otherwise acquire any securities or material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amend, or terminate (other than terminations in accordance with their terms) any contract with any related party, or waive any material right in connection therewith (other than working capital loans made by Sponsor in accordance with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hire any employee or adopt or enter into any Benefit Plan (as such meaning is given in Section 3(3) of the Employee Retirement Income Security Act of 1974, together with plans or arrangements that would be so defined if they were not otherwise exempt from the Employee Retirement Income Security Act of 1974 by that or another section);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adopt a plan of complete or partial liquidation, dissolution, merger, consolidation, restructuring, recapitalization or other reorganization;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in accounting methods, principles or practices, except to the extent required by changes in Law or to comply with GAAP;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Bakkt),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amend, waive or otherwise change the Trust Agreement in any manner materially adverse to VIH;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authorize or agree (in writing or otherwise) to take any of the actions described in the foregoing. </w:t>
            </w:r>
          </w:p>
        </w:tc>
      </w:tr>
    </w:tbl>
    <w:p>
      <w:pPr>
        <w:pStyle w:val="TextBody"/>
        <w:spacing w:before="360" w:after="0"/>
        <w:jc w:val="left"/>
        <w:rPr>
          <w:rFonts w:ascii="Times New Roman" w:hAnsi="Times New Roman"/>
          <w:i/>
          <w:sz w:val="20"/>
        </w:rPr>
      </w:pPr>
      <w:bookmarkStart w:id="40" w:name="28f"/>
      <w:bookmarkEnd w:id="40"/>
      <w:r>
        <w:rPr>
          <w:rFonts w:ascii="Times New Roman" w:hAnsi="Times New Roman"/>
          <w:i/>
          <w:sz w:val="20"/>
        </w:rPr>
        <w:t xml:space="preserve">Covenants of VIH </w:t>
      </w:r>
    </w:p>
    <w:p>
      <w:pPr>
        <w:pStyle w:val="TextBody"/>
        <w:spacing w:before="120" w:after="0"/>
        <w:jc w:val="left"/>
        <w:rPr>
          <w:rFonts w:ascii="Times New Roman" w:hAnsi="Times New Roman"/>
          <w:sz w:val="20"/>
        </w:rPr>
      </w:pPr>
      <w:r>
        <w:rPr>
          <w:rFonts w:ascii="Times New Roman" w:hAnsi="Times New Roman"/>
          <w:sz w:val="20"/>
        </w:rPr>
        <w:t xml:space="preserve">Pursuant to the Merger Agreement, VIH has agreed,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connection with the access rights provided by the Target Companies during the Interim Period, VIH has agreed that it will not contact or communicate with any of the Target Companies customers, suppliers or employees (other than as permitted by the Merger Agreement) without Bakkts prior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Interim Period, VIH will provide to Bakkt and its representatives reasonable access to (a) the financial books and records of VIH and Merger Sub and (b) such additional financial and operating data and other information relating to the business and properties of VIH and Merger Sub as Bakkt may reasonably request, subject to the limitations contained in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unless otherwise approved in writing by Bakkt (in its sole discretion), VIH will not permit any amendment or modification to be made to, any waiver of, or provide consent to modify, the applicable purchase price per share or provide the applicable PIPE Investor any material post-Closing right in respect of Bakkt Pubco under any Subscription Agreement, in each case other than by termination of such Subscription Agreement (and a withdrawal of the applicable PIPE Investor) or a reduction in the PIPE Investors commitment under such Subscription Agreement (in which case, VIH will provide Bakkt prompt written notice of any such termination or reduction). In the event VIH determines to permit any other amendment or modification to be made to, any other waiver (in whole or in part) of, or provide any other consent to modify, any other material provision of any Subscription Agreement, VIH will provide Bakkt prompt written notice of any such amendment, modification, waiver or consent to modify;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promptly as reasonably practicable after the date of the Merger Agreement, VIH will, with the assistance, cooperation and reasonable best efforts of Bakkt, prepare and file the Registration Statement with all other applicable regulatory bodies;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comply in all material respects with all applicable laws, any applicable rules and regulations of the applicable national stock exchange, the Cayman Constitutional Documents and the Merger Agreement in the preparation, filing and distribution of the Registration Statement, any solicitation of proxies thereunder, the holding of the extraordinary general meeting of the VIH shareholders and the Redemption;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permit Bakkt and its counsel to review and comment on the Registration Statement, consider such comments in good faith, and not file the Registration Statement without the prior written consent of Bakkt, not to be unreasonably withheld, conditioned or delayed;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use its reasonable best efforts to cause the Registration Statement to comply with the rules and regulations promulgated by the SEC, to clear comments from the SEC and become effective as promptly as reasonably practicable;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in the proxy statement/prospectus the recommendation of the VIH Board that the VIH Shareholders vote in favor of adoption and approval of the Merger Agreement and the other shareholder proposals set forth in the proxy statement/prospectus and to otherwise use its reasonable best efforts to obtain the VIH Shareholders Approval; and neither the VIH Board nor any committee or agent or representative thereof may withdraw (or modify in a manner adverse to Bakkt), or propose to withdraw (or modify in a manner adverse to Bakkt), the VIH Boards recommendation that the VIH Shareholders vote in favor of adoption and approval of the Merger Agreement and the other shareholder proposals;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use its reasonable best efforts to obtain all necessary state securities law or Blue Sky permits and approvals required to carry out the transactions contemplated by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soon as reasonably practicable following the declaration of effectiveness of the Registration Statement, VIH will distribute the proxy statement and other proxy materials included in the Registration Statement to the holders of VIH Shares to call the extraordinary general meeting and solicit proxies of such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use its reasonable best efforts to cause the Bakkt Pubco Class A Shares to be approved for listing on the NYSE as of the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cause the Trust Account to be disbursed to VIH pursuant to the Merger Agreement concurrently with the Closing upon the terms set forth in the Trust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the Closing, the VIH Board, or an appropriate committee thereof, will adopt a resolution so that the acquisition of VIH and/or Bakkt Pubco equity securities, as applicable, by any person owning securities of the Target Companies who is expected to become a director or officer of Bakkt Pubco will be an exempt transaction for purposes of Section 16(b) of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promptly following the execution of the Merger Agreement, VIH, in consultation with Bakkt, will work in good faith with ICE to memorialize a cooperation agreement (the </w:t>
            </w:r>
            <w:r>
              <w:rPr>
                <w:rFonts w:ascii="Times New Roman" w:hAnsi="Times New Roman"/>
                <w:b/>
                <w:sz w:val="20"/>
              </w:rPr>
              <w:t>Cooperation Agreement</w:t>
            </w:r>
            <w:r>
              <w:rPr>
                <w:rFonts w:ascii="Times New Roman" w:hAnsi="Times New Roman"/>
                <w:sz w:val="20"/>
              </w:rPr>
              <w:t xml:space="preserve">) between Bakkt Pubco and ICE, to be effective as of the Closing and in a form reasonably acceptable to VIH and ICE, which Cooperation Agreement will contain customary cooperation, information sharing and related provisions intended to facilitate compliance by ICEH and its affiliates following the Closing with its accounting, financial reporting, public disclosure and similar requirements insofar as they relate to ICEHs ownership interest in Bakkt Pubco and Bakkt Opco;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the Closing, holders of VIH Shares will approve the Bakkt Pubco Equity Incentive Plan (with such changes as may be mutually agreed in writing by VIH and Bakkt);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promptly notify Bakkt of, and give Bakkt the opportunity to participate in (but not control) (subject to a customary joint defense agreement), the defense or settlement of any shareholder litigation against VIH or its directors or officers relating to the transactions contemplated by the Transaction Documents; provided, however, that no such settlement will be agreed to without Bakkts consent (not to be unreasonably withheld, conditioned or delayed). </w:t>
            </w:r>
          </w:p>
        </w:tc>
      </w:tr>
    </w:tbl>
    <w:p>
      <w:pPr>
        <w:pStyle w:val="TextBody"/>
        <w:spacing w:before="360" w:after="0"/>
        <w:jc w:val="left"/>
        <w:rPr>
          <w:rFonts w:ascii="Times New Roman" w:hAnsi="Times New Roman"/>
          <w:i/>
          <w:sz w:val="20"/>
        </w:rPr>
      </w:pPr>
      <w:r>
        <w:rPr>
          <w:rFonts w:ascii="Times New Roman" w:hAnsi="Times New Roman"/>
          <w:i/>
          <w:sz w:val="20"/>
        </w:rPr>
        <w:t xml:space="preserve">Covenants of Bakkt </w:t>
      </w:r>
    </w:p>
    <w:p>
      <w:pPr>
        <w:pStyle w:val="TextBody"/>
        <w:spacing w:before="120" w:after="0"/>
        <w:jc w:val="left"/>
        <w:rPr>
          <w:rFonts w:ascii="Times New Roman" w:hAnsi="Times New Roman"/>
          <w:sz w:val="20"/>
        </w:rPr>
      </w:pPr>
      <w:r>
        <w:rPr>
          <w:rFonts w:ascii="Times New Roman" w:hAnsi="Times New Roman"/>
          <w:sz w:val="20"/>
        </w:rPr>
        <w:t xml:space="preserve">Pursuant to the Merger Agreement, Bakkt has agreed,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during the Interim Period, Bakkt will and will cause its subsidiaries to, upon reasonable notice and during regular business hours and at VIHs sole expense, for any purpose reasonably related to the transactions contemplated by the Transaction Documents or to VIHs prospective interest in any of the Target Companies, afford to the authorized representatives of VIH reasonable access to (a) the financial books and records of the Target Companies and (b) such additional financial and operating data and other information relating to the business and properties of the Target Companies as VIH may reasonably request; provided, that such access will not materially disrupt or burden the operations of the Target Companies and VIH and its authorized representatives will use their respective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vAlign w:val="center"/>
          </w:tcPr>
          <w:p>
            <w:pPr>
              <w:pStyle w:val="TableContents"/>
              <w:spacing w:before="0" w:after="283"/>
              <w:rPr/>
            </w:pPr>
            <w:r>
              <w:rPr/>
              <w:t> </w:t>
            </w:r>
          </w:p>
        </w:tc>
        <w:tc>
          <w:tcPr>
            <w:tcW w:w="9289"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commercially reasonable efforts to minimize any such disruption; and, provided, further, that all such access will be done in compliance with applicable laws and the social distancing requirements applicable to Bakkt personnel. Notwithstanding anything to the contrary contained in the Merger Agreement, none of the Target Companies will be required to provide (a) any information or access that Bakkt reasonably believes would violate applicable law, including antitrust laws and data protection laws, rules or regulations or the terms of any applicable confidentiality obligation or cause forfeiture of attorney/client privilege, (b) if Bakkt or any of its affiliates, on the one hand, and VIH or any of its affiliates, on the other hand, are adverse parties in a litigation, any information that is reasonably pertinent thereto or (c) any information or access to the extent that it relates to interactions with other prospective buyers of the Target Companies prior to the date of the Merger Agreement or the negotiation of the Transaction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cause its appropriate officers and employees, to use reasonable best efforts to cooperate in connection with (a) the arrangement of the PIPE Investment and (b) the marketing of the transactions contemplated by the Transaction Documents in the public markets and/or with existing holders of VIH Shares, in each case as may be reasonably requested by VIH.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to provide VIH as promptly as reasonably practicable prior to the filing of the Registration Statement (or the Form 8-K announcing the Closing, together with, or incorporating by reference, the required pro forma financial statements and the historical financial statements prepared by Bakkt and its accountant and the other Form 10 information required to be filed therein (the </w:t>
            </w:r>
            <w:r>
              <w:rPr>
                <w:rFonts w:ascii="Times New Roman" w:hAnsi="Times New Roman"/>
                <w:b/>
                <w:sz w:val="20"/>
              </w:rPr>
              <w:t>Completion 8-K</w:t>
            </w:r>
            <w:r>
              <w:rPr>
                <w:rFonts w:ascii="Times New Roman" w:hAnsi="Times New Roman"/>
                <w:sz w:val="20"/>
              </w:rPr>
              <w:t>) with the SEC, (a) an audited consolidated balance sheet of Bakkt as of December 31, 2019, and as soon as reasonably practicable after the filing of the Registration Statement, an audited consolidated balance sheet of Bakkt as of December 31, 2020, in each case together with related audited consolidated statements of operations, members equity and cash flows for the fiscal year ended on such dates, together with all related notes and schedules thereto, accompanied by the reports thereon of Bakkts independent registered public accounting firm prepared in accordance with GAAP, applied on a consistent basis throughout the covered periods, and Regulation S-X of the SEC and in each case, audited in accordance with the standards of the PCAOB (the </w:t>
            </w:r>
            <w:r>
              <w:rPr>
                <w:rFonts w:ascii="Times New Roman" w:hAnsi="Times New Roman"/>
                <w:b/>
                <w:sz w:val="20"/>
              </w:rPr>
              <w:t>PCAOB Financial Statements</w:t>
            </w:r>
            <w:r>
              <w:rPr>
                <w:rFonts w:ascii="Times New Roman" w:hAnsi="Times New Roman"/>
                <w:sz w:val="20"/>
              </w:rPr>
              <w:t xml:space="preserve">), (b) all other audited and unaudited financial statements of Bakkt and any company or business units acquired by it, as applicable, required under the applicable rules and regulations and guidance of the SEC to be included in the Registration Statement, including the Proxy Statement, and/or the Completion 8-K (including pro forma financial information), (c) all selected financial data of Bakkt required by Item 301 of Regulation S-K, as necessary for inclusion in the Registration Statement and Completion 8-K and (d) managements discussion and analysis of financial conditions and results of operations prepared in accordance with Item 303 of Regulation S-K of the SEC with respect to the periods described in clauses (a) and (b), above, as necessary for inclusion in the Registration Statement and Completion 8-K (including pro forma financial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during the Interim Period, Bakkt will use commercially reasonable efforts to obtain any consents that are listed in the Bakkt Disclosure Letter.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advise VIH in writing of any event occurring following the date of the Merger Agreement that would render any representation or warranty of Bakkt contained in the Merger Agreement to be untrue or inaccurate in any material respect such that the condition with respect to the accuracy of Bakkts representations or warranties set forth in the Merger Agreement would not be satisfied. </w:t>
            </w:r>
          </w:p>
        </w:tc>
      </w:tr>
    </w:tbl>
    <w:p>
      <w:pPr>
        <w:pStyle w:val="TextBody"/>
        <w:spacing w:before="360" w:after="0"/>
        <w:jc w:val="left"/>
        <w:rPr>
          <w:rFonts w:ascii="Times New Roman" w:hAnsi="Times New Roman"/>
          <w:i/>
          <w:sz w:val="20"/>
        </w:rPr>
      </w:pPr>
      <w:bookmarkStart w:id="41" w:name="16c"/>
      <w:bookmarkEnd w:id="41"/>
      <w:r>
        <w:rPr>
          <w:rFonts w:ascii="Times New Roman" w:hAnsi="Times New Roman"/>
          <w:i/>
          <w:sz w:val="20"/>
        </w:rPr>
        <w:t xml:space="preserve">Joint Covenants of VIH, Merger Sub and Bakkt </w:t>
      </w:r>
    </w:p>
    <w:p>
      <w:pPr>
        <w:pStyle w:val="TextBody"/>
        <w:spacing w:before="120" w:after="0"/>
        <w:jc w:val="left"/>
        <w:rPr>
          <w:rFonts w:ascii="Times New Roman" w:hAnsi="Times New Roman"/>
          <w:sz w:val="20"/>
        </w:rPr>
      </w:pPr>
      <w:r>
        <w:rPr>
          <w:rFonts w:ascii="Times New Roman" w:hAnsi="Times New Roman"/>
          <w:sz w:val="20"/>
        </w:rPr>
        <w:t xml:space="preserve">In addition, each of VIH, Merger Sub and/or Bakkt has agreed, among other things, to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Whenever any event occurs which would reasonably be expected to result in the Registration Statement containing any untrue statement of a material fact or omitting to state a material fact necessary in order to make the statements made, in light of the circumstances under which they were made, not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2"/>
        <w:gridCol w:w="9293"/>
      </w:tblGrid>
      <w:tr>
        <w:trPr/>
        <w:tc>
          <w:tcPr>
            <w:tcW w:w="912" w:type="dxa"/>
            <w:tcBorders/>
            <w:shd w:fill="auto" w:val="clear"/>
            <w:vAlign w:val="center"/>
          </w:tcPr>
          <w:p>
            <w:pPr>
              <w:pStyle w:val="TableContents"/>
              <w:spacing w:before="0" w:after="283"/>
              <w:rPr/>
            </w:pPr>
            <w:r>
              <w:rPr/>
              <w:t> </w:t>
            </w:r>
          </w:p>
        </w:tc>
        <w:tc>
          <w:tcPr>
            <w:tcW w:w="9293"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misleading, VIH or Bakkt, as the case may be, must promptly inform the other party of such occurrence and cooperate in filing with the SEC or its staff or any other government officials, and/or mailing to the holders of VIH Shares, an amendment or supplement to the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is aware, and each of their respective controlled affiliates is aware (or upon receipt of any material nonpublic information of the other party, will be advised), of the restrictions imposed by the United States federal securities laws and other applicable foreign and domestic laws on parties possessing material nonpublic information about a public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Interim Period, except in connection with or support of the transactions contemplated by the Merger Agreement (including any communications with potential PIPE Investors), while any of them are in possession of such material nonpublic information, none of such parties will, directly or indirectly (through its affiliates or otherwise), acquire, offer or propose to acquire, agree to acquire, sell or transfer or offer or propose to sell or transfer any securities of VIH or ICEH, communicate such information to any other party or cause or encourage any party to do any of the foregoing; </w:t>
            </w:r>
            <w:r>
              <w:rPr>
                <w:rFonts w:ascii="Times New Roman" w:hAnsi="Times New Roman"/>
                <w:sz w:val="20"/>
                <w:u w:val="single"/>
              </w:rPr>
              <w:t>provided</w:t>
            </w:r>
            <w:r>
              <w:rPr>
                <w:rFonts w:ascii="Times New Roman" w:hAnsi="Times New Roman"/>
                <w:sz w:val="20"/>
              </w:rPr>
              <w:t xml:space="preserve"> that, in respect of VIH, the foregoing only applies to VIH and its controlled affiliates, agents, professional advisors, employees and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Interim Period, each party to the Merger Agreement will give prompt notice (and, in any event, within five business days) to the other parties of any event which would reasonably be expected to cause any of the closing conditions in the Merger Agreement not to be fulfilled or the fulfillment of those conditions to be materially delayed.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Subject to the Merger Agreement, (a) Bakkt will, and Bakkt will cause its subsidiaries to use reasonable best efforts to cause each of its closing conditions of the Merger Agreement to be satisfied at or prior to the Closing (see The Business Combination ProposalMerger Agreement</w:t>
            </w:r>
            <w:r>
              <w:rPr>
                <w:rFonts w:ascii="Times New Roman" w:hAnsi="Times New Roman"/>
                <w:i/>
                <w:sz w:val="20"/>
              </w:rPr>
              <w:t>Closing</w:t>
            </w:r>
            <w:r>
              <w:rPr>
                <w:rFonts w:ascii="Times New Roman" w:hAnsi="Times New Roman"/>
                <w:sz w:val="20"/>
              </w:rPr>
              <w:t xml:space="preserve"> </w:t>
            </w:r>
            <w:r>
              <w:rPr>
                <w:rFonts w:ascii="Times New Roman" w:hAnsi="Times New Roman"/>
                <w:i/>
                <w:sz w:val="20"/>
              </w:rPr>
              <w:t>ConditionsConditions to the Obligations of Each Party</w:t>
            </w:r>
            <w:r>
              <w:rPr>
                <w:rFonts w:ascii="Times New Roman" w:hAnsi="Times New Roman"/>
                <w:sz w:val="20"/>
              </w:rPr>
              <w:t> and </w:t>
            </w:r>
            <w:r>
              <w:rPr>
                <w:rFonts w:ascii="Times New Roman" w:hAnsi="Times New Roman"/>
                <w:i/>
                <w:sz w:val="20"/>
              </w:rPr>
              <w:t>The Business Combination ProposalMerger AgreementClosing ConditionsConditions to the Obligations of VIH and Merger Sub</w:t>
            </w:r>
            <w:r>
              <w:rPr>
                <w:rFonts w:ascii="Times New Roman" w:hAnsi="Times New Roman"/>
                <w:sz w:val="20"/>
              </w:rPr>
              <w:t> beginning on pages 133 and 134, respectively, of this proxy statement/prospectus); and (b) VIH and Merger Sub will use reasonable best efforts to cause each of its closing conditions of the Merger Agreement to be satisfied at or prior to the Closing (see </w:t>
            </w:r>
            <w:r>
              <w:rPr>
                <w:rFonts w:ascii="Times New Roman" w:hAnsi="Times New Roman"/>
                <w:i/>
                <w:sz w:val="20"/>
              </w:rPr>
              <w:t>The Business Combination ProposalMerger AgreementClosing ConditionsConditions to the Obligations of Each Party</w:t>
            </w:r>
            <w:r>
              <w:rPr>
                <w:rFonts w:ascii="Times New Roman" w:hAnsi="Times New Roman"/>
                <w:sz w:val="20"/>
              </w:rPr>
              <w:t> and </w:t>
            </w:r>
            <w:r>
              <w:rPr>
                <w:rFonts w:ascii="Times New Roman" w:hAnsi="Times New Roman"/>
                <w:i/>
                <w:sz w:val="20"/>
              </w:rPr>
              <w:t>Closing ConditionsConditions to the Obligations of Bakkt</w:t>
            </w:r>
            <w:r>
              <w:rPr>
                <w:rFonts w:ascii="Times New Roman" w:hAnsi="Times New Roman"/>
                <w:sz w:val="20"/>
              </w:rPr>
              <w:t xml:space="preserve"> beginning on pages 133 and 135, respectively,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party to the Merger Agreement will, as promptly as reasonably practicable, use reasonable best efforts to obtain, or cause to be obtained, all consents, authorizations, orders and approvals from all governmental authorities that may be or become necessary for its execution and delivery of the Merger Agreement and the performance of its obligations pursuant to the Transaction Documents (the </w:t>
            </w:r>
            <w:r>
              <w:rPr>
                <w:rFonts w:ascii="Times New Roman" w:hAnsi="Times New Roman"/>
                <w:b/>
                <w:sz w:val="20"/>
              </w:rPr>
              <w:t>Regulatory Filings</w:t>
            </w:r>
            <w:r>
              <w:rPr>
                <w:rFonts w:ascii="Times New Roman" w:hAnsi="Times New Roman"/>
                <w:sz w:val="20"/>
              </w:rPr>
              <w:t xml:space="preserve">), and to amend as necessary in connection with the transactions contemplated by the Merger Agreement any license applications.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party to the Merger Agreement will use reasonable best efforts to cooperate fully with the other party and its affiliates in promptly seeking to obtain all such consents, authorizations, orders and approvals and effect any such filing, withdrawal or amendment. With respect to the Regulatory Filings, each of Bakkt and VIH agrees to use its reasonable best efforts and cooperate with the other parties (a) in timely making inquiries with governmental authorities regarding the Regulatory Filings, (b) in determining if any Regulatory Filings are required by governmental authorities, and (c) in timely making all Regulatory Filings (except with respect to such jurisdictions where the parties agree that a Regulatory Filing is not required). The parties to the Merger Agreement will not willfully take any action that will have the effect of delaying, impairing or impeding in any material respect the receipt of any Regulatory Filings or any other required consents, authorizations, orders and approvals that, if not received, would have a material adverse impact on the business of the Target Companies, taken as a whole.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as otherwise provided by the Merger Agreement or as required by applicable law, none of the parties to the Merger Agreement will make any disclosure or permit any of their respective affiliates to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vAlign w:val="center"/>
          </w:tcPr>
          <w:p>
            <w:pPr>
              <w:pStyle w:val="TableContents"/>
              <w:spacing w:before="0" w:after="283"/>
              <w:rPr/>
            </w:pPr>
            <w:r>
              <w:rPr/>
              <w:t> </w:t>
            </w:r>
          </w:p>
        </w:tc>
        <w:tc>
          <w:tcPr>
            <w:tcW w:w="9289"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make any public disclosure (whether or not in response to an inquiry) of the subject matter of the Merger Agreement unless previously approved by VIH and Bakkt in writing, which approval will not be unreasonably conditioned, withheld or delayed.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and Bakkt will mutually agree upon and, as promptly as practicable after the execution of the Merger Agreement, issue a press release announcing the execution of the Merger Agreement. VIH, Bakkt Pubco and Bakkt will cooperate in good faith with respect to the prompt preparation of, and, as promptly as practicable after the execution of the Merger Agreement VIH will file with the SEC, a Current Report on Form 8-K pursuant to the Exchange Act to report the execution of the Merger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Prior to Closing, VIH and Bakkt will mutually agree upon and prepare the press release announcing the consummation of the transactions contemplated by the Merger Agreement (</w:t>
            </w:r>
            <w:r>
              <w:rPr>
                <w:rFonts w:ascii="Times New Roman" w:hAnsi="Times New Roman"/>
                <w:b/>
                <w:sz w:val="20"/>
              </w:rPr>
              <w:t>Closing Press Release</w:t>
            </w:r>
            <w:r>
              <w:rPr>
                <w:rFonts w:ascii="Times New Roman" w:hAnsi="Times New Roman"/>
                <w:sz w:val="20"/>
              </w:rPr>
              <w:t xml:space="preserve">). Concurrently with or promptly after the Closing, VIH will issue the Closing Press Release. VIH and Bakkt will cooperate in good faith with respect to the preparation of, and, at least five days prior to the Closing, VIH will prepare a draft Completion 8-K.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Interim Period, neither Bakkt nor VIH will, and each will cause its representatives to not, directly or indirectly, (a) take any action to solicit, assist, initiate or facilitate the making, submission or announcement of, or encourage, any sale or other disposition of any of the Target Companies equity or any other transaction that would impede, delay, interfere with or prevent the consummation of the transactions contemplated by the Transaction Documents or proposal to do the same, (b) furnish, or afford access to, (including through any virtual data room) any information regarding such party or its affiliates or their respective businesses, operations, assets, liabilities, financial condition, books and records, prospects or employees to any party (other than a party to the Merger Agreement or their respective representatives (other than ICEH)) in all cases for the purpose of assisting with or facilitating, or that would otherwise reasonably be expected to lead to, such a transaction or proposal, (c) enter into, continue, engage or participate in discussions or negotiations with any party with respect to, or that would reasonably be expected to lead to, such transaction or proposal, (d) approve, endorse or recommend, or publicly propose to approve, endorse or recommend, any such transaction or proposal, (e) enter into such transaction or negotiate or enter into any agreement, arrangement or understanding (including any letter of intent or term sheet) relating to such or publicly announce an intention to do so, or (f) release any third Person from, or waive any provision of, any confidentiality agreement to which such party is a party. Each party to the Merger Agreement will notify the others as reasonably promptly as practicable (and in any event within 48 hours) in writing of the receipt by such party or any of its representatives of (a) any inquiries, proposals or offers, requests for information or requests for discussions or negotiations regarding or constituting any such proposal or any inquiries, proposals or offers, requests for information or requests for discussions or negotiations that could reasonably be expected to result in such proposal, and (b) any request for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to the Merger Agreement will keep the others promptly informed of the status of any such inquiries, proposals, offers or requests for information. During the Interim Period, each party to the Merger Agreement will, and will cause its representatives to, immediately cease and cause to be terminated any solicitations, discussions or negotiations with any party with respect to any such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parties to the Merger Agreement will take all necessary action, including causing the members of the VIH Board to resign, so that effective as of the Closing, the Company Board will consist of five to nine members, with one designated by Bakkt, one designated by the Sponsor, and the remaining members to appointed jointly by Bakkt and the Sponsor. The directors to be designated jointly by Bakkt and the Sponsor will include (a) a majority of independent directors for purposes of the listing rules of the exchange on which the Bakkt Pubco Class A Shares will be traded and (ii) at least three qualified members of the audit committee of the Company Board (with one of such persons being an audit committee financial expert). In accordance with the Proposed Organizational Documents, the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vAlign w:val="center"/>
          </w:tcPr>
          <w:p>
            <w:pPr>
              <w:pStyle w:val="TableContents"/>
              <w:spacing w:before="0" w:after="283"/>
              <w:rPr/>
            </w:pPr>
            <w:r>
              <w:rPr/>
              <w:t> </w:t>
            </w:r>
          </w:p>
        </w:tc>
        <w:tc>
          <w:tcPr>
            <w:tcW w:w="9288"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parties have agreed that the Company Board will be a classified board with three classes of directors, with: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508"/>
        <w:gridCol w:w="8576"/>
      </w:tblGrid>
      <w:tr>
        <w:trPr/>
        <w:tc>
          <w:tcPr>
            <w:tcW w:w="1121"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w:t>
            </w:r>
          </w:p>
        </w:tc>
        <w:tc>
          <w:tcPr>
            <w:tcW w:w="85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one class of directors (the </w:t>
            </w:r>
            <w:r>
              <w:rPr>
                <w:rFonts w:ascii="Times New Roman" w:hAnsi="Times New Roman"/>
                <w:b/>
                <w:sz w:val="20"/>
              </w:rPr>
              <w:t>Class</w:t>
            </w:r>
            <w:r>
              <w:rPr>
                <w:rFonts w:ascii="Times New Roman" w:hAnsi="Times New Roman"/>
                <w:sz w:val="20"/>
              </w:rPr>
              <w:t> </w:t>
            </w:r>
            <w:r>
              <w:rPr>
                <w:rFonts w:ascii="Times New Roman" w:hAnsi="Times New Roman"/>
                <w:b/>
                <w:sz w:val="20"/>
              </w:rPr>
              <w:t>I Directors</w:t>
            </w:r>
            <w:r>
              <w:rPr>
                <w:rFonts w:ascii="Times New Roman" w:hAnsi="Times New Roman"/>
                <w:sz w:val="20"/>
              </w:rPr>
              <w:t xml:space="preserve">), initially serving a term effective from the Closing until the first annual meeting of the stockholders of Bakkt Pubco held after the Closing (but any subsequent Class I Directors serving a three-year term), with the Class I Directors initially to be appointed jointly by Bakkt and the Sponsor, and who are intended to be (x) independent directors for purposes of the listing rules of the exchange on which the Bakkt Pubco Class A Shares will be traded and (y) not affiliated with either ICEH or the Sponsor;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509"/>
        <w:gridCol w:w="8575"/>
      </w:tblGrid>
      <w:tr>
        <w:trPr/>
        <w:tc>
          <w:tcPr>
            <w:tcW w:w="112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85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second class of directors (the </w:t>
            </w:r>
            <w:r>
              <w:rPr>
                <w:rFonts w:ascii="Times New Roman" w:hAnsi="Times New Roman"/>
                <w:b/>
                <w:sz w:val="20"/>
              </w:rPr>
              <w:t>Class</w:t>
            </w:r>
            <w:r>
              <w:rPr>
                <w:rFonts w:ascii="Times New Roman" w:hAnsi="Times New Roman"/>
                <w:sz w:val="20"/>
              </w:rPr>
              <w:t> </w:t>
            </w:r>
            <w:r>
              <w:rPr>
                <w:rFonts w:ascii="Times New Roman" w:hAnsi="Times New Roman"/>
                <w:b/>
                <w:sz w:val="20"/>
              </w:rPr>
              <w:t>II Directors</w:t>
            </w:r>
            <w:r>
              <w:rPr>
                <w:rFonts w:ascii="Times New Roman" w:hAnsi="Times New Roman"/>
                <w:sz w:val="20"/>
              </w:rPr>
              <w:t xml:space="preserve">), initially serving a term effective from the Closing until the second annual meeting of the stockholders of Bakkt Pubco held following the Closing (but any subsequent Class II Directors serving a three-year term), with the two individuals initially designated by Bakkt and the Sponsor, respectively, to serve as Class II Directors;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510"/>
        <w:gridCol w:w="8574"/>
      </w:tblGrid>
      <w:tr>
        <w:trPr/>
        <w:tc>
          <w:tcPr>
            <w:tcW w:w="112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85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third class of directors (the </w:t>
            </w:r>
            <w:r>
              <w:rPr>
                <w:rFonts w:ascii="Times New Roman" w:hAnsi="Times New Roman"/>
                <w:b/>
                <w:sz w:val="20"/>
              </w:rPr>
              <w:t>Class</w:t>
            </w:r>
            <w:r>
              <w:rPr>
                <w:rFonts w:ascii="Times New Roman" w:hAnsi="Times New Roman"/>
                <w:sz w:val="20"/>
              </w:rPr>
              <w:t> </w:t>
            </w:r>
            <w:r>
              <w:rPr>
                <w:rFonts w:ascii="Times New Roman" w:hAnsi="Times New Roman"/>
                <w:b/>
                <w:sz w:val="20"/>
              </w:rPr>
              <w:t>III Directors</w:t>
            </w:r>
            <w:r>
              <w:rPr>
                <w:rFonts w:ascii="Times New Roman" w:hAnsi="Times New Roman"/>
                <w:sz w:val="20"/>
              </w:rPr>
              <w:t xml:space="preserve">), serving a term effective from the Closing until the third annual meeting of the stockholders of Bakkt Pubco held following the Closing (but any subsequent Class III Directors serving a three-year term), with the Class III Directors initially to be appointed jointly by Bakkt and the Sponsor, and who are intended to be (x) independent directors for purposes of the listing rules of the exchange on which the Bakkt Pubco Class A Shares will be traded and (y) not affiliated with either ICEH or the Sponsor.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parties to the Merger Agreement will take all action necessary, including causing the executive officers of VIH to resign, so that the individuals serving as executive officers of Bakkt Pubco immediately after the Closing (other than the Chief Executive Officer or as otherwise approved by VIH) will be the persons who were serving as officers of Bakkt immediately prior to Closing. The Chief Executive Officer of Bakkt Pubco and Bakkt Opco will be the individual appointed by the Company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Interim Period, except as otherwise expressly contemplated by the Merger Agreement, (a) Bakkt will not, and will cause its representatives and subsidiaries not to, engage in any transactions involving the equity interests of VIH (including, without limitation, the VIH Class A Ordinary Shares) without the prior written consent of VIH and (b) VIH will not, and will cause its controlled affiliates, agents, professional advisors, employees and officers not to, engage in any transactions involving the equity interests of ICE without the prior written consent of ICE. </w:t>
            </w:r>
          </w:p>
        </w:tc>
      </w:tr>
    </w:tbl>
    <w:p>
      <w:pPr>
        <w:pStyle w:val="TextBody"/>
        <w:spacing w:before="360" w:after="0"/>
        <w:jc w:val="left"/>
        <w:rPr>
          <w:rFonts w:ascii="Times New Roman" w:hAnsi="Times New Roman"/>
          <w:i/>
          <w:sz w:val="20"/>
        </w:rPr>
      </w:pPr>
      <w:r>
        <w:rPr>
          <w:rFonts w:ascii="Times New Roman" w:hAnsi="Times New Roman"/>
          <w:i/>
          <w:sz w:val="20"/>
        </w:rPr>
        <w:t xml:space="preserve">Covenants of Bakkt Pubco </w:t>
      </w:r>
    </w:p>
    <w:p>
      <w:pPr>
        <w:pStyle w:val="TextBody"/>
        <w:spacing w:before="120" w:after="0"/>
        <w:jc w:val="left"/>
        <w:rPr>
          <w:rFonts w:ascii="Times New Roman" w:hAnsi="Times New Roman"/>
          <w:sz w:val="20"/>
        </w:rPr>
      </w:pPr>
      <w:r>
        <w:rPr>
          <w:rFonts w:ascii="Times New Roman" w:hAnsi="Times New Roman"/>
          <w:sz w:val="20"/>
        </w:rPr>
        <w:t xml:space="preserve">Concurrently with the Closing, or as soon as practicable (but in any event within four business days) thereafter, Bakkt Pubco will file the Completion 8-K with the SEC. </w:t>
      </w:r>
    </w:p>
    <w:p>
      <w:pPr>
        <w:pStyle w:val="TextBody"/>
        <w:spacing w:before="240" w:after="0"/>
        <w:jc w:val="left"/>
        <w:rPr>
          <w:rFonts w:ascii="Times New Roman" w:hAnsi="Times New Roman"/>
          <w:sz w:val="20"/>
        </w:rPr>
      </w:pPr>
      <w:r>
        <w:rPr>
          <w:rFonts w:ascii="Times New Roman" w:hAnsi="Times New Roman"/>
          <w:sz w:val="20"/>
        </w:rPr>
        <w:t xml:space="preserve">At the Closing, Bakkt Pubco will execute and deliver to each director of the Company Board a customary director indemnification agreement, in form and substance reasonably acceptable to Bakkt and VIH. </w:t>
      </w:r>
    </w:p>
    <w:p>
      <w:pPr>
        <w:pStyle w:val="TextBody"/>
        <w:spacing w:before="240" w:after="0"/>
        <w:jc w:val="left"/>
        <w:rPr>
          <w:rFonts w:ascii="Times New Roman" w:hAnsi="Times New Roman"/>
          <w:sz w:val="20"/>
        </w:rPr>
      </w:pPr>
      <w:r>
        <w:rPr>
          <w:rFonts w:ascii="Times New Roman" w:hAnsi="Times New Roman"/>
          <w:sz w:val="20"/>
        </w:rPr>
        <w:t>Bakkt Pubco, from and after the Closing through the sixth anniversary of the Closing, will cause the Proposed Organizational Documents, the Surviving Company LLC Agreement and the organizational documents of Bakkt Pubcos and Bakkt Opcos respective subsidiaries to contain provisions no less favorable to the current or former directors, managers, officers or employees of such companies (collectively, </w:t>
      </w:r>
      <w:r>
        <w:rPr>
          <w:rFonts w:ascii="Times New Roman" w:hAnsi="Times New Roman"/>
          <w:b/>
          <w:sz w:val="20"/>
        </w:rPr>
        <w:t>D&amp;O Indemnitees</w:t>
      </w:r>
      <w:r>
        <w:rPr>
          <w:rFonts w:ascii="Times New Roman" w:hAnsi="Times New Roman"/>
          <w:sz w:val="20"/>
        </w:rPr>
        <w:t xml:space="preserve">) with respect to limitation of certain liabilities, advancement of expenses and indemnification than are set forth as of the date of the Merger Agreement in the organizational documents of such companies, which provisions are no less favorable than those in existence as of the date of the Merger Agreement and in each case will not be amended, repealed or otherwise modified in a manner that would adversely affect the rights thereunder of the D&amp;O Indemnitees with respect to any acts or omissions occurring at or prior to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Prior to the Closing, Bakkt Pubco and Bakkt will obtain tail coverage, for a period of at least six years from and after Closing, with respect to Bakkt Opcos and its subsidiaries directors and officers liability insurance policies with coverage amounts, terms and conditions substantially similar to those of the Target Companies directors and officers liability insurance policies in effect as of the date of the Merger Agreement and covering each D&amp;O Indemnitee covered by the Target Companies directors and officers liability insurance policies in effect as of the date of the Merger Agreement. Prior to the Closing, VIH will obtain tail coverage, for a period of at least six years, with respect to VIHs or Merger Subs directors and officers liability insurance policies with coverage amounts, terms and conditions substantially similar to those of VIHs or Merger Subs directors and officers liability insurance policies in effect as of the date of the Merger Agreement and covering each D&amp;O Indemnitee covered by VIHs or Merger Subs directors and officers liability insurance policies in effect as of the date of the Merger Agreement. Bakkt Pubco will and will cause Bakkt Opco to maintain each such tail policy and not take any action to adversely modify or terminate any such tail policy during the applicable tail period thereof. </w:t>
      </w:r>
    </w:p>
    <w:p>
      <w:pPr>
        <w:pStyle w:val="TextBody"/>
        <w:spacing w:before="240" w:after="0"/>
        <w:jc w:val="left"/>
        <w:rPr>
          <w:rFonts w:ascii="Times New Roman" w:hAnsi="Times New Roman"/>
          <w:sz w:val="20"/>
        </w:rPr>
      </w:pPr>
      <w:r>
        <w:rPr>
          <w:rFonts w:ascii="Times New Roman" w:hAnsi="Times New Roman"/>
          <w:sz w:val="20"/>
        </w:rPr>
        <w:t xml:space="preserve">Prior to the Closing, holders of VIH Shares will approve the Bakkt Pubco Equity Incentive Plan. Within two (2) business days following the expiration of the sixty (60)-day period following the date Bakkt Pubco has filed the Completion 8-K, Bakkt Pubco will file an effective registration statement on Form S-8 (or other applicable form, including Form S-3) with respect to the equity awards issuable under the Bakkt Pubco Equity Incentive Plan, and Bakkt Pubco will use reasonable best efforts to maintain the effectiveness of such registration statement(s) (and maintain the current status of the prospectus or prospectus contained therein) for so long as awards granted pursuant to the Bakkt Pubco Equity Incentive Plan remain outstanding. </w:t>
      </w:r>
    </w:p>
    <w:p>
      <w:pPr>
        <w:pStyle w:val="TextBody"/>
        <w:spacing w:before="360" w:after="0"/>
        <w:jc w:val="left"/>
        <w:rPr>
          <w:rFonts w:ascii="Times New Roman" w:hAnsi="Times New Roman"/>
          <w:b/>
          <w:i/>
          <w:sz w:val="20"/>
        </w:rPr>
      </w:pPr>
      <w:bookmarkStart w:id="42" w:name="3c"/>
      <w:bookmarkEnd w:id="42"/>
      <w:r>
        <w:rPr>
          <w:rFonts w:ascii="Times New Roman" w:hAnsi="Times New Roman"/>
          <w:b/>
          <w:i/>
          <w:sz w:val="20"/>
        </w:rPr>
        <w:t xml:space="preserve">Closing Conditions </w:t>
      </w:r>
    </w:p>
    <w:p>
      <w:pPr>
        <w:pStyle w:val="TextBody"/>
        <w:spacing w:before="120" w:after="0"/>
        <w:jc w:val="left"/>
        <w:rPr>
          <w:rFonts w:ascii="Times New Roman" w:hAnsi="Times New Roman"/>
          <w:sz w:val="20"/>
        </w:rPr>
      </w:pPr>
      <w:r>
        <w:rPr>
          <w:rFonts w:ascii="Times New Roman" w:hAnsi="Times New Roman"/>
          <w:sz w:val="20"/>
        </w:rPr>
        <w:t xml:space="preserve">The consummation of the Merger is conditioned upon the satisfaction or waiver by the applicable parties to the Merger Agreement of the conditions set forth below. Therefore, unless these conditions are satisfied or waived by the applicable parties to the Merger Agreement, the Merger may not be consummated. There can be no assurance that the parties to the Merger Agreement would satisfy or waive any such provisions of the Merger Agreement. </w:t>
      </w:r>
    </w:p>
    <w:p>
      <w:pPr>
        <w:pStyle w:val="TextBody"/>
        <w:spacing w:before="360" w:after="0"/>
        <w:jc w:val="left"/>
        <w:rPr>
          <w:rFonts w:ascii="Times New Roman" w:hAnsi="Times New Roman"/>
          <w:i/>
          <w:sz w:val="20"/>
        </w:rPr>
      </w:pPr>
      <w:bookmarkStart w:id="43" w:name="13c"/>
      <w:bookmarkEnd w:id="43"/>
      <w:r>
        <w:rPr>
          <w:rFonts w:ascii="Times New Roman" w:hAnsi="Times New Roman"/>
          <w:i/>
          <w:sz w:val="20"/>
        </w:rPr>
        <w:t xml:space="preserve">Available Cash Condition </w:t>
      </w:r>
    </w:p>
    <w:p>
      <w:pPr>
        <w:pStyle w:val="TextBody"/>
        <w:spacing w:before="120" w:after="0"/>
        <w:jc w:val="left"/>
        <w:rPr>
          <w:rFonts w:ascii="Times New Roman" w:hAnsi="Times New Roman"/>
          <w:sz w:val="20"/>
        </w:rPr>
      </w:pPr>
      <w:r>
        <w:rPr>
          <w:rFonts w:ascii="Times New Roman" w:hAnsi="Times New Roman"/>
          <w:sz w:val="20"/>
        </w:rPr>
        <w:t>The Merger Agreement provides that the obligations of Bakkt to consummate the Merger are conditioned on, among other things, that, as of the Closing, the Available Cash (a) in the Trust Account, after deducting the amount required to satisfy redemptions of VIH Class A Ordinary Shares, if any, (b) outside of the Trust Account, and (c) from the gross proceeds of the PIPE Investment (in each case, prior to payment of (i) deferred underwriting commissions and (ii) transaction expenses of VIH or its affiliates), is at least $425,000,000 (the </w:t>
      </w:r>
      <w:r>
        <w:rPr>
          <w:rFonts w:ascii="Times New Roman" w:hAnsi="Times New Roman"/>
          <w:b/>
          <w:sz w:val="20"/>
        </w:rPr>
        <w:t>Available Cash Condition</w:t>
      </w:r>
      <w:r>
        <w:rPr>
          <w:rFonts w:ascii="Times New Roman" w:hAnsi="Times New Roman"/>
          <w:sz w:val="20"/>
        </w:rPr>
        <w:t xml:space="preserve">). The Available Cash Condition is for the sole benefit of Bakkt. </w:t>
      </w:r>
    </w:p>
    <w:p>
      <w:pPr>
        <w:pStyle w:val="TextBody"/>
        <w:spacing w:before="360" w:after="0"/>
        <w:jc w:val="left"/>
        <w:rPr>
          <w:rFonts w:ascii="Times New Roman" w:hAnsi="Times New Roman"/>
          <w:i/>
          <w:sz w:val="20"/>
        </w:rPr>
      </w:pPr>
      <w:bookmarkStart w:id="44" w:name="8b"/>
      <w:bookmarkEnd w:id="44"/>
      <w:r>
        <w:rPr>
          <w:rFonts w:ascii="Times New Roman" w:hAnsi="Times New Roman"/>
          <w:i/>
          <w:sz w:val="20"/>
        </w:rPr>
        <w:t xml:space="preserve">Conditions to the Obligations of Each Party </w:t>
      </w:r>
    </w:p>
    <w:p>
      <w:pPr>
        <w:pStyle w:val="TextBody"/>
        <w:spacing w:before="120" w:after="0"/>
        <w:jc w:val="left"/>
        <w:rPr>
          <w:rFonts w:ascii="Times New Roman" w:hAnsi="Times New Roman"/>
          <w:sz w:val="20"/>
        </w:rPr>
      </w:pPr>
      <w:r>
        <w:rPr>
          <w:rFonts w:ascii="Times New Roman" w:hAnsi="Times New Roman"/>
          <w:sz w:val="20"/>
        </w:rPr>
        <w:t xml:space="preserve">The obligations of each party to the Merger Agreement to effect the Closing are subject to the satisfaction or waiver, at or before the Closing, of the following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law will be in effect that prohibits, makes illegal, enjoins or prevents the consummation of the transactions contemplated by the Merger Agreement and the other Transaction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approval of the Condition Precedent Proposals by VIHs shareholders will have been obtained (the </w:t>
            </w:r>
            <w:r>
              <w:rPr>
                <w:rFonts w:ascii="Times New Roman" w:hAnsi="Times New Roman"/>
                <w:b/>
                <w:sz w:val="20"/>
              </w:rPr>
              <w:t>VIH Shareholder Approval</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approval by Bakkt Equity Holders that hold, in the aggregate, Bakkt Interests which constitute not less than the requisite number of then outstanding Bakkt Interests necessary to approve the Proposed Transaction under the current Bakkt operating agreement (the </w:t>
            </w:r>
            <w:r>
              <w:rPr>
                <w:rFonts w:ascii="Times New Roman" w:hAnsi="Times New Roman"/>
                <w:b/>
                <w:sz w:val="20"/>
              </w:rPr>
              <w:t>Bakkt Equity Holders Approval</w:t>
            </w:r>
            <w:r>
              <w:rPr>
                <w:rFonts w:ascii="Times New Roman" w:hAnsi="Times New Roman"/>
                <w:sz w:val="20"/>
              </w:rPr>
              <w:t xml:space="preserve">) will have been obtained;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authorizations, consents, orders, approvals, non-objections, declarations, filings or waiting periods from state banking authorities or money transmitter licensing authorities in states in which two of Bakkts subsidiaries (i.e., Bakkt Trust Company LLC and Bakkt Marketplace, LLC) hold licenses (solely to the extent required by such state banking authorities or money transmitter licensing authorities for the transactions contemplated by the Merger Agreement), including all required Regulatory Filings, will have been made, received or expired,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Registration Statement will have been declared effective by the SEC and no stop order suspending the effectiveness of the Registration Statement will have been issued and no proceedings for that purposes will have been initiated or threatened by the SEC or any other governmental authority; </w:t>
            </w:r>
          </w:p>
        </w:tc>
      </w:tr>
    </w:tbl>
    <w:p>
      <w:pPr>
        <w:pStyle w:val="TextBody"/>
        <w:spacing w:before="360" w:after="0"/>
        <w:jc w:val="left"/>
        <w:rPr>
          <w:rFonts w:ascii="Times New Roman" w:hAnsi="Times New Roman"/>
          <w:i/>
          <w:sz w:val="20"/>
        </w:rPr>
      </w:pPr>
      <w:bookmarkStart w:id="45" w:name="11c"/>
      <w:bookmarkEnd w:id="45"/>
      <w:r>
        <w:rPr>
          <w:rFonts w:ascii="Times New Roman" w:hAnsi="Times New Roman"/>
          <w:i/>
          <w:sz w:val="20"/>
        </w:rPr>
        <w:t xml:space="preserve">Conditions to the Obligations of VIH and Merger Sub </w:t>
      </w:r>
    </w:p>
    <w:p>
      <w:pPr>
        <w:pStyle w:val="TextBody"/>
        <w:spacing w:before="120" w:after="0"/>
        <w:jc w:val="left"/>
        <w:rPr>
          <w:rFonts w:ascii="Times New Roman" w:hAnsi="Times New Roman"/>
          <w:sz w:val="20"/>
        </w:rPr>
      </w:pPr>
      <w:r>
        <w:rPr>
          <w:rFonts w:ascii="Times New Roman" w:hAnsi="Times New Roman"/>
          <w:sz w:val="20"/>
        </w:rPr>
        <w:t xml:space="preserve">The obligations of VIH and Merger Sub to effect the Closing are subject to the satisfaction or waiver, at or before the Closing, of the following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Bakkt Fundamental Representations will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xml:space="preserve">) as of the date of the Merger Agreement and as of the Closing as if made as of the Closing (except for representations and warranties made as of a specific date, which will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as of such date) (the </w:t>
            </w:r>
            <w:r>
              <w:rPr>
                <w:rFonts w:ascii="Times New Roman" w:hAnsi="Times New Roman"/>
                <w:b/>
                <w:sz w:val="20"/>
              </w:rPr>
              <w:t>Bakkt Fundamental Representations Closing Condition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regulatory matters representations and warranties made by Bakkt will be true and correct in all material respects as of the date of the Merger Agreement and as of the Closing as if made as of the Closing ((a) provided, that representations and warranties qualified by Bakkt Material Adverse Effect or other materiality qualifications will be true and correct in all respects as of the date of the Merger Agreement and as of the Closing as if made as of the Closing; and (b) provided, further that representations and warranties made as of a specific date will be true and correct in all material respects as of such date (except that representations and warranties qualified by Bakkt Material Adverse Effect or other materiality qualifications will be true and correct in all respects as of such date)) (the </w:t>
            </w:r>
            <w:r>
              <w:rPr>
                <w:rFonts w:ascii="Times New Roman" w:hAnsi="Times New Roman"/>
                <w:b/>
                <w:sz w:val="20"/>
              </w:rPr>
              <w:t>Bakkt Regulatory Representations Closing Condition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remaining representations and warranties of Bakkt contained in the Merger Agreement will be true and correct as of the date of the Merger Agreement and as of the Closing as if made as of the Closing (except for representations and warranties made as of a specific date, which will be true and correct as of such date) (in each case, without giving effect to any Bakkt Material Adverse Effect or other materiality qualifications contained therein), except where the failure of such representations and warranties to be so true and correct would not, individually or in the aggregate, have a Bakkt Material Adverse Effect (together with the Bakkt Fundamental Representations Closing Condition and the Bakkt Regulatory Representations Closing Condition, the </w:t>
            </w:r>
            <w:r>
              <w:rPr>
                <w:rFonts w:ascii="Times New Roman" w:hAnsi="Times New Roman"/>
                <w:b/>
                <w:sz w:val="20"/>
              </w:rPr>
              <w:t>Bakkt Representations Closing Conditions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Bakkt will have performed or complied in all material respects with all obligations, agreements and covenants contained in the Merger Agreement to be performed or complied with by Bakkt prior to the Closing (the </w:t>
            </w:r>
            <w:r>
              <w:rPr>
                <w:rFonts w:ascii="Times New Roman" w:hAnsi="Times New Roman"/>
                <w:b/>
                <w:sz w:val="20"/>
              </w:rPr>
              <w:t>Bakkt Covenants Closing Condition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since the date of the Merger Agreement, there will not have occurred a Bakkt Material Adverse Effect;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will have received the deliverables required to be delivered by Bakkt upon Closing under the Merger Agreement.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bookmarkStart w:id="46" w:name="12c"/>
      <w:bookmarkEnd w:id="46"/>
      <w:r>
        <w:rPr>
          <w:rFonts w:ascii="Times New Roman" w:hAnsi="Times New Roman"/>
          <w:i/>
          <w:sz w:val="20"/>
        </w:rPr>
        <w:t xml:space="preserve">Conditions to the Obligations of Bakkt </w:t>
      </w:r>
    </w:p>
    <w:p>
      <w:pPr>
        <w:pStyle w:val="TextBody"/>
        <w:spacing w:before="120" w:after="0"/>
        <w:jc w:val="left"/>
        <w:rPr>
          <w:rFonts w:ascii="Times New Roman" w:hAnsi="Times New Roman"/>
          <w:sz w:val="20"/>
        </w:rPr>
      </w:pPr>
      <w:r>
        <w:rPr>
          <w:rFonts w:ascii="Times New Roman" w:hAnsi="Times New Roman"/>
          <w:sz w:val="20"/>
        </w:rPr>
        <w:t xml:space="preserve">The obligation of Bakkt to effect the Closing is subject to the satisfaction or waiver, at or before the Closing, of the following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VIH Fundamental Representations will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xml:space="preserve">) as of the date of the Merger Agreement and as of the Closing as if made as of the Closing (except for representations and warranties made as of a specific date, which will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as of such date) (the </w:t>
            </w:r>
            <w:r>
              <w:rPr>
                <w:rFonts w:ascii="Times New Roman" w:hAnsi="Times New Roman"/>
                <w:b/>
                <w:sz w:val="20"/>
              </w:rPr>
              <w:t>VIH Fundamental Representations Closing Condition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regulatory representations and warranties made by VIH and Merger Sub will be true and correct in all material respects as of the date of the Merger Agreement and as of the Closing as if made as of the Closing ((a) provided, that representations and warranties qualified by VIH Material Adverse Effect or other materiality qualifications will be true and correct in all respects as of the date of the Merger Agreement and as of the Closing as if made as of the Closing; and (b) provided, further that representations and warranties made as of a specific date will be true and correct in all material respects as of such date (except that representations and warranties qualified by VIH Material Adverse Effect or other materiality qualifications will be true and correct in all respects as of such date)) (the </w:t>
            </w:r>
            <w:r>
              <w:rPr>
                <w:rFonts w:ascii="Times New Roman" w:hAnsi="Times New Roman"/>
                <w:b/>
                <w:sz w:val="20"/>
              </w:rPr>
              <w:t>VIH Regulatory Representations Closing Condition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remaining representations and warranties of VIH and Merger Sub contained in the Merger Agreement will be true and correct as of the date of the Merger Agreement and as of the Closing as if made as of the Closing (except for representations and warranties made as of a specific date, which will be true and correct as of such date) (in each case, without giving effect to any VIH Material Adverse Effect or other materiality qualifications contained therein), except where the failure of such representations and warranties to be so true and correct would not, individually or in the aggregate, have a VIH Material Adverse Effect (together with the VIH Fundamental Representations Closing Condition and the VIH Regulatory Representations Closing Condition, the </w:t>
            </w:r>
            <w:r>
              <w:rPr>
                <w:rFonts w:ascii="Times New Roman" w:hAnsi="Times New Roman"/>
                <w:b/>
                <w:sz w:val="20"/>
              </w:rPr>
              <w:t>VIH Representations Closing Conditions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VIH and Merger Sub will have performed or complied in all material respects with all obligations, agreements and covenants contained in the Merger Agreement to be performed or complied with by VIH and Merger Sub (as applicable) prior to the Closing (the </w:t>
            </w:r>
            <w:r>
              <w:rPr>
                <w:rFonts w:ascii="Times New Roman" w:hAnsi="Times New Roman"/>
                <w:b/>
                <w:sz w:val="20"/>
              </w:rPr>
              <w:t>VIH Covenants Closing Condition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since the date of the Merger Agreement, there will not have occurred a VIH Material Adverse Effect;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Bakkt Pubco Class A Shares (including the Bakkt Pubco Class A Shares to be issued in connection with the Domestication, the Bakkt Pubco Class A Shares to be issued in the PIPE Investment and the Bakkt Pubco Class A Shares issuable upon exchange of Bakkt Opco Common Units in accordance with the Exchange Agreement (as more fully discussed in </w:t>
            </w:r>
            <w:r>
              <w:rPr>
                <w:rFonts w:ascii="Times New Roman" w:hAnsi="Times New Roman"/>
                <w:i/>
                <w:sz w:val="20"/>
              </w:rPr>
              <w:t>The Business Combination ProposalRelated AgreementsExchange Agreement</w:t>
            </w:r>
            <w:r>
              <w:rPr>
                <w:rFonts w:ascii="Times New Roman" w:hAnsi="Times New Roman"/>
                <w:sz w:val="20"/>
              </w:rPr>
              <w:t xml:space="preserve"> beginning on page 143 of this proxy statement/prospectus) will have been listed on a national stock exchange and will be eligible for continued listing on a national stock exchange immediately following the Closing and after giving effect to the redemptions of VIH Class A Ordinary Shares by the Public Shareholders (as if it were a new initial listing by an issuer that had never been listed prior to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existing members of the VIH Board will have resigned effective as of the Closing, and the post-Closing directors on the Company Board (as named in the </w:t>
            </w:r>
            <w:r>
              <w:rPr>
                <w:rFonts w:ascii="Times New Roman" w:hAnsi="Times New Roman"/>
                <w:i/>
                <w:sz w:val="20"/>
              </w:rPr>
              <w:t>The Director Election Proposal</w:t>
            </w:r>
            <w:r>
              <w:rPr>
                <w:rFonts w:ascii="Times New Roman" w:hAnsi="Times New Roman"/>
                <w:sz w:val="20"/>
              </w:rPr>
              <w:t> beginning on page 191 of this proxy statement/prospectus) will have been appointed in accordance with the DGCL, the Proposed Organizational Documents and the Stockholders Agreement (see </w:t>
            </w:r>
            <w:r>
              <w:rPr>
                <w:rFonts w:ascii="Times New Roman" w:hAnsi="Times New Roman"/>
                <w:i/>
                <w:sz w:val="20"/>
              </w:rPr>
              <w:t>The Organizational Documents Proposal</w:t>
            </w:r>
            <w:r>
              <w:rPr>
                <w:rFonts w:ascii="Times New Roman" w:hAnsi="Times New Roman"/>
                <w:sz w:val="20"/>
              </w:rPr>
              <w:t> beginning on page 172 of this proxy statement/prospectus) to serve on the Company Board effective as of the Closing (for additional information, see </w:t>
            </w:r>
            <w:r>
              <w:rPr>
                <w:rFonts w:ascii="Times New Roman" w:hAnsi="Times New Roman"/>
                <w:i/>
                <w:sz w:val="20"/>
              </w:rPr>
              <w:t>The Director Election Proposal</w:t>
            </w:r>
            <w:r>
              <w:rPr>
                <w:rFonts w:ascii="Times New Roman" w:hAnsi="Times New Roman"/>
                <w:sz w:val="20"/>
              </w:rPr>
              <w:t xml:space="preserve"> beginning on page 191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existing officers of VIH will have resigned effective as of the Closing, and the post-Closing officers of Bakkt Pubco (which would be Bakkts current officers) will have been appointed in accordance with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2"/>
        <w:gridCol w:w="9293"/>
      </w:tblGrid>
      <w:tr>
        <w:trPr/>
        <w:tc>
          <w:tcPr>
            <w:tcW w:w="912" w:type="dxa"/>
            <w:tcBorders/>
            <w:shd w:fill="auto" w:val="clear"/>
            <w:vAlign w:val="center"/>
          </w:tcPr>
          <w:p>
            <w:pPr>
              <w:pStyle w:val="TableContents"/>
              <w:spacing w:before="0" w:after="283"/>
              <w:rPr/>
            </w:pPr>
            <w:r>
              <w:rPr/>
              <w:t> </w:t>
            </w:r>
          </w:p>
        </w:tc>
        <w:tc>
          <w:tcPr>
            <w:tcW w:w="9293" w:type="dxa"/>
            <w:tcBorders/>
            <w:shd w:fill="auto" w:val="clear"/>
          </w:tcPr>
          <w:p>
            <w:pPr>
              <w:pStyle w:val="TableContents"/>
              <w:spacing w:before="0" w:after="0"/>
              <w:rPr>
                <w:rFonts w:ascii="Times New Roman" w:hAnsi="Times New Roman"/>
                <w:sz w:val="20"/>
              </w:rPr>
            </w:pPr>
            <w:r>
              <w:rPr>
                <w:rFonts w:ascii="Times New Roman" w:hAnsi="Times New Roman"/>
                <w:sz w:val="20"/>
              </w:rPr>
              <w:t>the DGCL, the Proposed Organizational Documents and the Stockholders Agreement (see </w:t>
            </w:r>
            <w:r>
              <w:rPr>
                <w:rFonts w:ascii="Times New Roman" w:hAnsi="Times New Roman"/>
                <w:i/>
                <w:sz w:val="20"/>
              </w:rPr>
              <w:t>The Organizational Documents Proposal</w:t>
            </w:r>
            <w:r>
              <w:rPr>
                <w:rFonts w:ascii="Times New Roman" w:hAnsi="Times New Roman"/>
                <w:sz w:val="20"/>
              </w:rPr>
              <w:t> beginning on page 172 of this proxy statement/prospectus) to serve effective as of the Closing (for additional information, see </w:t>
            </w:r>
            <w:r>
              <w:rPr>
                <w:rFonts w:ascii="Times New Roman" w:hAnsi="Times New Roman"/>
                <w:i/>
                <w:sz w:val="20"/>
              </w:rPr>
              <w:t>Management of the Company Following the Business Combination</w:t>
            </w:r>
            <w:r>
              <w:rPr>
                <w:rFonts w:ascii="Times New Roman" w:hAnsi="Times New Roman"/>
                <w:sz w:val="20"/>
              </w:rPr>
              <w:t xml:space="preserve"> beginning on page 303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Domestication will be consummated immediately prior to the Closing (for additional information, see </w:t>
            </w:r>
            <w:r>
              <w:rPr>
                <w:rFonts w:ascii="Times New Roman" w:hAnsi="Times New Roman"/>
                <w:i/>
                <w:sz w:val="20"/>
              </w:rPr>
              <w:t>The Domestication Proposal</w:t>
            </w:r>
            <w:r>
              <w:rPr>
                <w:rFonts w:ascii="Times New Roman" w:hAnsi="Times New Roman"/>
                <w:sz w:val="20"/>
              </w:rPr>
              <w:t xml:space="preserve"> beginning on page 162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PIPE Investment will have been consummated;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Available Cash Condition discussed above will have been satisfied (for additional information, see </w:t>
            </w:r>
            <w:r>
              <w:rPr>
                <w:rFonts w:ascii="Times New Roman" w:hAnsi="Times New Roman"/>
                <w:i/>
                <w:sz w:val="20"/>
              </w:rPr>
              <w:t>The Business Combination ProposalMerger AgreementClosing ConditionsAvailable Cash Condition</w:t>
            </w:r>
            <w:r>
              <w:rPr>
                <w:rFonts w:ascii="Times New Roman" w:hAnsi="Times New Roman"/>
                <w:sz w:val="20"/>
              </w:rPr>
              <w:t xml:space="preserve"> beginning on page 133 of this proxy statement/prospectus);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will have received the deliverables required to be delivered by VIH and Merger Sub upon Closing pursuant to the Merger Agreement. </w:t>
            </w:r>
          </w:p>
        </w:tc>
      </w:tr>
    </w:tbl>
    <w:p>
      <w:pPr>
        <w:pStyle w:val="TextBody"/>
        <w:spacing w:before="360" w:after="0"/>
        <w:jc w:val="left"/>
        <w:rPr>
          <w:rFonts w:ascii="Times New Roman" w:hAnsi="Times New Roman"/>
          <w:b/>
          <w:i/>
          <w:sz w:val="20"/>
        </w:rPr>
      </w:pPr>
      <w:bookmarkStart w:id="47" w:name="15c"/>
      <w:bookmarkEnd w:id="47"/>
      <w:r>
        <w:rPr>
          <w:rFonts w:ascii="Times New Roman" w:hAnsi="Times New Roman"/>
          <w:b/>
          <w:i/>
          <w:sz w:val="20"/>
        </w:rPr>
        <w:t xml:space="preserve">Termination; Effectiveness </w:t>
      </w:r>
    </w:p>
    <w:p>
      <w:pPr>
        <w:pStyle w:val="TextBody"/>
        <w:spacing w:before="120" w:after="0"/>
        <w:jc w:val="left"/>
        <w:rPr>
          <w:rFonts w:ascii="Times New Roman" w:hAnsi="Times New Roman"/>
          <w:sz w:val="20"/>
        </w:rPr>
      </w:pPr>
      <w:r>
        <w:rPr>
          <w:rFonts w:ascii="Times New Roman" w:hAnsi="Times New Roman"/>
          <w:sz w:val="20"/>
        </w:rPr>
        <w:t xml:space="preserve">The Merger Agreement may be terminated at any time prior to the Closing solely: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written consent of VIH and Bakkt;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either VIH or Bakkt, if the Closing has not occurred by September 30, 2021 (the </w:t>
            </w:r>
            <w:r>
              <w:rPr>
                <w:rFonts w:ascii="Times New Roman" w:hAnsi="Times New Roman"/>
                <w:b/>
                <w:sz w:val="20"/>
              </w:rPr>
              <w:t>Termination Date</w:t>
            </w:r>
            <w:r>
              <w:rPr>
                <w:rFonts w:ascii="Times New Roman" w:hAnsi="Times New Roman"/>
                <w:sz w:val="20"/>
              </w:rPr>
              <w:t xml:space="preserve">), unless such partys failure to materially fulfil any representation, warranty, covenant or obligation under the Merger Agreement or other action has been the actual or proximate cause of the failure of the Closing to occur on or before the Termination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either VIH or Bakkt, if any governmental authority having competent jurisdiction has issued a final, non-appealable order, decree or ruling, or there exists any law, in each case that permanently prohibits, makes illegal, enjoins or prevents the consummation of the transactions contemplated by the Merger Agreement and the other Transaction Documents, unless such partys failure to materially fulfil any representation, warranty, covenant or obligation under the Merger Agreement or other material action has been the actual or proximate cause of such order, decree, ruling or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either VIH or Bakkt, if the extraordinary general meeting discussed in </w:t>
            </w:r>
            <w:r>
              <w:rPr>
                <w:rFonts w:ascii="Times New Roman" w:hAnsi="Times New Roman"/>
                <w:i/>
                <w:sz w:val="20"/>
              </w:rPr>
              <w:t>Extraordinary General Meeting of VIH</w:t>
            </w:r>
            <w:r>
              <w:rPr>
                <w:rFonts w:ascii="Times New Roman" w:hAnsi="Times New Roman"/>
                <w:sz w:val="20"/>
              </w:rPr>
              <w:t xml:space="preserve"> beginning on page 111 of this proxy statement/prospectus has been held (including any adjournment or postponement thereof permitted by the Merger Agreement), has concluded, VIHs shareholders have duly voted, and the VIH Shareholder Approval has not been obtained;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VIH (if neither it nor Merger Sub is in material breach of their respective representations, warranties, covenants and obligations under the Merger Agreement) if there has been a breach of, or inaccuracy in, any representation, warranty, covenant or agreement of Bakkt set forth in the Merger Agreement, which breach or inaccuracy would cause the Bakkt Covenants Closing Condition or any of the Bakkt Representations Closing Conditions not to be satisfied if it remained uncured as of the Termination Date (and such breach or inaccuracy has not been cured or such condition has not been satisfied within 20 business days after the receipt by Bakkt of written notice thereof from VIH);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Bakkt (if it is not in material breach of its representations, warranties, covenants and obligations under the Merger Agreement) if there has been a breach of, or inaccuracy in, any representation, warranty, covenant or agreement of VIH or Merger Sub set forth in the Merger Agreement, which breach or inaccuracy would cause the VIH Covenants Closing Condition or any of the VIH Representations Closing Conditions not to be satisfied if it remained uncured as of the Termination Date (and such breach or inaccuracy has not been cured or such condition has not been satisfied within 20 business days after the receipt by VIH of written notice thereof from Bakkt);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Bakkt if (a) all of the conditions discussed above under </w:t>
            </w:r>
            <w:r>
              <w:rPr>
                <w:rFonts w:ascii="Times New Roman" w:hAnsi="Times New Roman"/>
                <w:i/>
                <w:sz w:val="20"/>
              </w:rPr>
              <w:t>The Business Combination Proposal</w:t>
            </w:r>
            <w:r>
              <w:rPr>
                <w:rFonts w:ascii="Times New Roman" w:hAnsi="Times New Roman"/>
                <w:sz w:val="20"/>
              </w:rPr>
              <w:t></w:t>
            </w:r>
            <w:r>
              <w:rPr>
                <w:rFonts w:ascii="Times New Roman" w:hAnsi="Times New Roman"/>
                <w:i/>
                <w:sz w:val="20"/>
              </w:rPr>
              <w:t>The Merger AgreementClosing ConditionsConditions to the Obligations of Each Party</w:t>
            </w:r>
            <w:r>
              <w:rPr>
                <w:rFonts w:ascii="Times New Roman" w:hAnsi="Times New Roman"/>
                <w:sz w:val="20"/>
              </w:rPr>
              <w:t xml:space="preserve">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vAlign w:val="center"/>
          </w:tcPr>
          <w:p>
            <w:pPr>
              <w:pStyle w:val="TableContents"/>
              <w:spacing w:before="0" w:after="283"/>
              <w:rPr/>
            </w:pPr>
            <w:r>
              <w:rPr/>
              <w:t> </w:t>
            </w:r>
          </w:p>
        </w:tc>
        <w:tc>
          <w:tcPr>
            <w:tcW w:w="9288"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The Business Combination Proposal</w:t>
            </w:r>
            <w:r>
              <w:rPr>
                <w:rFonts w:ascii="Times New Roman" w:hAnsi="Times New Roman"/>
                <w:sz w:val="20"/>
              </w:rPr>
              <w:t></w:t>
            </w:r>
            <w:r>
              <w:rPr>
                <w:rFonts w:ascii="Times New Roman" w:hAnsi="Times New Roman"/>
                <w:i/>
                <w:sz w:val="20"/>
              </w:rPr>
              <w:t>The Merger AgreementClosing ConditionsConditions to the Obligations of VIH and Merger Sub</w:t>
            </w:r>
            <w:r>
              <w:rPr>
                <w:rFonts w:ascii="Times New Roman" w:hAnsi="Times New Roman"/>
                <w:sz w:val="20"/>
              </w:rPr>
              <w:t> beginning on pages 133 and 134, respectively, have been satisfied or waived (other than conditions that by their terms or nature are to be satisfied at the Closing) on the date that the Closing should have been consummated pursuant to the terms of the Merger Agreement (as more fully described under </w:t>
            </w:r>
            <w:r>
              <w:rPr>
                <w:rFonts w:ascii="Times New Roman" w:hAnsi="Times New Roman"/>
                <w:i/>
                <w:sz w:val="20"/>
              </w:rPr>
              <w:t>The Business Combination Proposal</w:t>
            </w:r>
            <w:r>
              <w:rPr>
                <w:rFonts w:ascii="Times New Roman" w:hAnsi="Times New Roman"/>
                <w:sz w:val="20"/>
              </w:rPr>
              <w:t></w:t>
            </w:r>
            <w:r>
              <w:rPr>
                <w:rFonts w:ascii="Times New Roman" w:hAnsi="Times New Roman"/>
                <w:i/>
                <w:sz w:val="20"/>
              </w:rPr>
              <w:t>The Merger AgreementClosing</w:t>
            </w:r>
            <w:r>
              <w:rPr>
                <w:rFonts w:ascii="Times New Roman" w:hAnsi="Times New Roman"/>
                <w:sz w:val="20"/>
              </w:rPr>
              <w:t> beginning on page 120 of this proxy statement/prospectus), (b) Bakkt has irrevocably confirmed by written notice to VIH and Merger Sub that all of the conditions discussed above under </w:t>
            </w:r>
            <w:r>
              <w:rPr>
                <w:rFonts w:ascii="Times New Roman" w:hAnsi="Times New Roman"/>
                <w:i/>
                <w:sz w:val="20"/>
              </w:rPr>
              <w:t>The Business Combination Proposal</w:t>
            </w:r>
            <w:r>
              <w:rPr>
                <w:rFonts w:ascii="Times New Roman" w:hAnsi="Times New Roman"/>
                <w:sz w:val="20"/>
              </w:rPr>
              <w:t></w:t>
            </w:r>
            <w:r>
              <w:rPr>
                <w:rFonts w:ascii="Times New Roman" w:hAnsi="Times New Roman"/>
                <w:i/>
                <w:sz w:val="20"/>
              </w:rPr>
              <w:t>The Merger AgreementClosing ConditionsConditions to the Obligations of Bakkt</w:t>
            </w:r>
            <w:r>
              <w:rPr>
                <w:rFonts w:ascii="Times New Roman" w:hAnsi="Times New Roman"/>
                <w:sz w:val="20"/>
              </w:rPr>
              <w:t> beginning on page 135 of this proxy statement/prospectus have been satisfied (other than conditions that by their terms or nature are to be satisfied at the Closing) or that it is willing to waive any such unsatisfied conditions and that Bakkt is ready, willing and able to consummate the Closing and (c) VIH and Merger Sub have failed to consummate the transactions contemplated by the Merger Agreement and other Transaction Documents by the earlier of the day that is (i) 10 business days after the day the Closing is required to occur pursuant to the terms of the Merger Agreement (as more fully described under </w:t>
            </w:r>
            <w:r>
              <w:rPr>
                <w:rFonts w:ascii="Times New Roman" w:hAnsi="Times New Roman"/>
                <w:i/>
                <w:sz w:val="20"/>
              </w:rPr>
              <w:t>The Business Combination Proposal</w:t>
            </w:r>
            <w:r>
              <w:rPr>
                <w:rFonts w:ascii="Times New Roman" w:hAnsi="Times New Roman"/>
                <w:sz w:val="20"/>
              </w:rPr>
              <w:t></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AgreementClosing</w:t>
            </w:r>
            <w:r>
              <w:rPr>
                <w:rFonts w:ascii="Times New Roman" w:hAnsi="Times New Roman"/>
                <w:sz w:val="20"/>
              </w:rPr>
              <w:t xml:space="preserve"> beginning on page 120 of this proxy statement/prospectus) or (ii) five business days prior to the Termination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Bakkt, if Available Cash set forth on the closing statement, to be prepared by Bakkt and VIH following the date on which the Redemption Rights expire, is less than $425,000,000 (see </w:t>
            </w:r>
            <w:r>
              <w:rPr>
                <w:rFonts w:ascii="Times New Roman" w:hAnsi="Times New Roman"/>
                <w:i/>
                <w:sz w:val="20"/>
              </w:rPr>
              <w:t>The Business Combination ProposalMerger AgreementClosing ConditionsAvailable Cash Condition</w:t>
            </w:r>
            <w:r>
              <w:rPr>
                <w:rFonts w:ascii="Times New Roman" w:hAnsi="Times New Roman"/>
                <w:sz w:val="20"/>
              </w:rPr>
              <w:t xml:space="preserve"> beginning on page 133 of this proxy statement/prospectus for more detail);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VIH, if (a) the Bakkt Equity Holders Support Agreement (defined below) (including the written consents contemplated therein) was not executed and delivered by ICEH within 24 hours following the execution of the Merger Agreement and (b) the Bakkt Equity Holders Approval was not obtained within seven days following the execution of the Merger Agreement. </w:t>
            </w:r>
          </w:p>
        </w:tc>
      </w:tr>
    </w:tbl>
    <w:p>
      <w:pPr>
        <w:pStyle w:val="TextBody"/>
        <w:spacing w:before="240" w:after="0"/>
        <w:jc w:val="left"/>
        <w:rPr>
          <w:rFonts w:ascii="Times New Roman" w:hAnsi="Times New Roman"/>
          <w:sz w:val="20"/>
        </w:rPr>
      </w:pPr>
      <w:r>
        <w:rPr>
          <w:rFonts w:ascii="Times New Roman" w:hAnsi="Times New Roman"/>
          <w:sz w:val="20"/>
        </w:rPr>
        <w:t xml:space="preserve">In the event of the termination of the Merger Agreement, the Merger Agreement will become void and of no further force or effect (other than with respect to certain exceptions contemplated by the Merger Agreement (including the continued effect of the non-disclosure agreement, dated November 18, 2020, executed by VIH and Bakkt) that will survive any termination of the Merger Agreement), and no party to the Merger Agreement (nor any of its representatives), will have any liability or obligation under the Merger Agreement, other than liability of Bakkt, VIH or Merger Sub, as the case may be, for any willful and intentional breach of the Merger Agreement or any other Transaction Document occurring prior to such termination. </w:t>
      </w:r>
    </w:p>
    <w:p>
      <w:pPr>
        <w:pStyle w:val="TextBody"/>
        <w:spacing w:before="360" w:after="0"/>
        <w:jc w:val="left"/>
        <w:rPr>
          <w:rFonts w:ascii="Times New Roman" w:hAnsi="Times New Roman"/>
          <w:b/>
          <w:i/>
          <w:sz w:val="20"/>
        </w:rPr>
      </w:pPr>
      <w:r>
        <w:rPr>
          <w:rFonts w:ascii="Times New Roman" w:hAnsi="Times New Roman"/>
          <w:b/>
          <w:i/>
          <w:sz w:val="20"/>
        </w:rPr>
        <w:t xml:space="preserve">Waiver; Amendments </w:t>
      </w:r>
    </w:p>
    <w:p>
      <w:pPr>
        <w:pStyle w:val="TextBody"/>
        <w:spacing w:before="120" w:after="0"/>
        <w:jc w:val="left"/>
        <w:rPr>
          <w:rFonts w:ascii="Times New Roman" w:hAnsi="Times New Roman"/>
          <w:sz w:val="20"/>
        </w:rPr>
      </w:pPr>
      <w:r>
        <w:rPr>
          <w:rFonts w:ascii="Times New Roman" w:hAnsi="Times New Roman"/>
          <w:sz w:val="20"/>
        </w:rPr>
        <w:t xml:space="preserve">Any extension or waiver by any party to the Merger Agreement of any provision of the Merger Agreement will be valid only if set forth in an instrument in writing signed on behalf of such party. </w:t>
      </w:r>
    </w:p>
    <w:p>
      <w:pPr>
        <w:pStyle w:val="TextBody"/>
        <w:spacing w:before="240" w:after="0"/>
        <w:jc w:val="left"/>
        <w:rPr>
          <w:rFonts w:ascii="Times New Roman" w:hAnsi="Times New Roman"/>
          <w:sz w:val="20"/>
        </w:rPr>
      </w:pPr>
      <w:r>
        <w:rPr>
          <w:rFonts w:ascii="Times New Roman" w:hAnsi="Times New Roman"/>
          <w:sz w:val="20"/>
        </w:rPr>
        <w:t xml:space="preserve">The Merger Agreement may be amended by the parties to the Merger Agreement at any time by execution of an instrument in writing signed on behalf of each of the parties to the Merger Agreement. </w:t>
      </w:r>
    </w:p>
    <w:p>
      <w:pPr>
        <w:pStyle w:val="TextBody"/>
        <w:spacing w:before="360" w:after="0"/>
        <w:jc w:val="left"/>
        <w:rPr>
          <w:rFonts w:ascii="Times New Roman" w:hAnsi="Times New Roman"/>
          <w:b/>
          <w:i/>
          <w:sz w:val="20"/>
        </w:rPr>
      </w:pPr>
      <w:r>
        <w:rPr>
          <w:rFonts w:ascii="Times New Roman" w:hAnsi="Times New Roman"/>
          <w:b/>
          <w:i/>
          <w:sz w:val="20"/>
        </w:rPr>
        <w:t xml:space="preserve">Fees and Expenses </w:t>
      </w:r>
    </w:p>
    <w:p>
      <w:pPr>
        <w:pStyle w:val="TextBody"/>
        <w:spacing w:before="120" w:after="0"/>
        <w:jc w:val="left"/>
        <w:rPr>
          <w:rFonts w:ascii="Times New Roman" w:hAnsi="Times New Roman"/>
          <w:sz w:val="20"/>
        </w:rPr>
      </w:pPr>
      <w:r>
        <w:rPr>
          <w:rFonts w:ascii="Times New Roman" w:hAnsi="Times New Roman"/>
          <w:sz w:val="20"/>
        </w:rPr>
        <w:t>If the Merger Agreement is terminated in accordance with its terms (see </w:t>
      </w:r>
      <w:r>
        <w:rPr>
          <w:rFonts w:ascii="Times New Roman" w:hAnsi="Times New Roman"/>
          <w:i/>
          <w:sz w:val="20"/>
        </w:rPr>
        <w:t>The Business Combination ProposalMerger AgreementTermination; Effectiveness</w:t>
      </w:r>
      <w:r>
        <w:rPr>
          <w:rFonts w:ascii="Times New Roman" w:hAnsi="Times New Roman"/>
          <w:sz w:val="20"/>
        </w:rPr>
        <w:t xml:space="preserve"> beginning on page 136 of this proxy statement/prospectus for a description of the termination provisions), each of the parties to the Merger Agreement will bear its own expenses in connection with the negotiation and execution of the Merger Agreement, the performance of its obligations thereunder and the consummation of the transactions contemplated by the Merger Agreement and the other Transaction Documents, including, all fees and expenses of its legal counsel, investment bankers, financial advisors, accountants and other advisors. If the Merger is consummated, all transaction expenses incurred by VIH, and the Target Companies will be borne by Bakkt Pubco.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Related Agreements </w:t>
      </w:r>
    </w:p>
    <w:p>
      <w:pPr>
        <w:pStyle w:val="TextBody"/>
        <w:spacing w:before="120" w:after="0"/>
        <w:jc w:val="left"/>
        <w:rPr>
          <w:rFonts w:ascii="Times New Roman" w:hAnsi="Times New Roman"/>
          <w:sz w:val="20"/>
        </w:rPr>
      </w:pPr>
      <w:r>
        <w:rPr>
          <w:rFonts w:ascii="Times New Roman" w:hAnsi="Times New Roman"/>
          <w:i/>
          <w:sz w:val="20"/>
        </w:rPr>
        <w:t>This section describes certain additional agreements entered into or to be entered into pursuant to the Merger Agreement (the </w:t>
      </w:r>
      <w:r>
        <w:rPr>
          <w:rFonts w:ascii="Times New Roman" w:hAnsi="Times New Roman"/>
          <w:b/>
          <w:i/>
          <w:sz w:val="20"/>
        </w:rPr>
        <w:t>Related Agreements</w:t>
      </w:r>
      <w:r>
        <w:rPr>
          <w:rFonts w:ascii="Times New Roman" w:hAnsi="Times New Roman"/>
          <w:i/>
          <w:sz w:val="20"/>
        </w:rPr>
        <w:t xml:space="preserve">), but does not purport to describe all of the terms thereof.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of VIH and other interested parties are urged to read such Related Agreements in their entirety prior to voting on the proposals presented at the extraordinary general meeting. </w:t>
      </w:r>
    </w:p>
    <w:p>
      <w:pPr>
        <w:pStyle w:val="TextBody"/>
        <w:spacing w:before="360" w:after="0"/>
        <w:jc w:val="left"/>
        <w:rPr>
          <w:rFonts w:ascii="Times New Roman" w:hAnsi="Times New Roman"/>
          <w:b/>
          <w:i/>
          <w:sz w:val="20"/>
        </w:rPr>
      </w:pPr>
      <w:bookmarkStart w:id="48" w:name="25f"/>
      <w:bookmarkEnd w:id="48"/>
      <w:r>
        <w:rPr>
          <w:rFonts w:ascii="Times New Roman" w:hAnsi="Times New Roman"/>
          <w:b/>
          <w:i/>
          <w:sz w:val="20"/>
        </w:rPr>
        <w:t xml:space="preserve">Insider Letter Agreement </w:t>
      </w:r>
    </w:p>
    <w:p>
      <w:pPr>
        <w:pStyle w:val="TextBody"/>
        <w:spacing w:before="120" w:after="0"/>
        <w:jc w:val="left"/>
        <w:rPr>
          <w:rFonts w:ascii="Times New Roman" w:hAnsi="Times New Roman"/>
          <w:sz w:val="20"/>
        </w:rPr>
      </w:pPr>
      <w:r>
        <w:rPr>
          <w:rFonts w:ascii="Times New Roman" w:hAnsi="Times New Roman"/>
          <w:sz w:val="20"/>
        </w:rPr>
        <w:t>Simultaneously with the execution of the Merger Agreement, the Sponsor, VIH, and certain members of VIH Board and management team (such members of VIH Board and management team, the </w:t>
      </w:r>
      <w:r>
        <w:rPr>
          <w:rFonts w:ascii="Times New Roman" w:hAnsi="Times New Roman"/>
          <w:b/>
          <w:sz w:val="20"/>
        </w:rPr>
        <w:t>Insiders</w:t>
      </w:r>
      <w:r>
        <w:rPr>
          <w:rFonts w:ascii="Times New Roman" w:hAnsi="Times New Roman"/>
          <w:sz w:val="20"/>
        </w:rPr>
        <w:t>), entered into an amendment (the </w:t>
      </w:r>
      <w:r>
        <w:rPr>
          <w:rFonts w:ascii="Times New Roman" w:hAnsi="Times New Roman"/>
          <w:b/>
          <w:sz w:val="20"/>
        </w:rPr>
        <w:t>Insider Letter Agreement</w:t>
      </w:r>
      <w:r>
        <w:rPr>
          <w:rFonts w:ascii="Times New Roman" w:hAnsi="Times New Roman"/>
          <w:sz w:val="20"/>
        </w:rPr>
        <w:t>) to that certain letter agreement, dated as of September 22, 2020, by and among VIH, Sponsor and the Insiders (the </w:t>
      </w:r>
      <w:r>
        <w:rPr>
          <w:rFonts w:ascii="Times New Roman" w:hAnsi="Times New Roman"/>
          <w:b/>
          <w:sz w:val="20"/>
        </w:rPr>
        <w:t>Insider Letter</w:t>
      </w:r>
      <w:r>
        <w:rPr>
          <w:rFonts w:ascii="Times New Roman" w:hAnsi="Times New Roman"/>
          <w:sz w:val="20"/>
        </w:rPr>
        <w:t xml:space="preserve">). The Insider Letter was amended on January 11, 2021, with the addition of Bakkt as a party and the inclusion of certain provisions with respect to the Merger Agreement. </w:t>
      </w:r>
    </w:p>
    <w:p>
      <w:pPr>
        <w:pStyle w:val="TextBody"/>
        <w:spacing w:before="240" w:after="0"/>
        <w:jc w:val="left"/>
        <w:rPr>
          <w:rFonts w:ascii="Times New Roman" w:hAnsi="Times New Roman"/>
          <w:sz w:val="20"/>
        </w:rPr>
      </w:pPr>
      <w:r>
        <w:rPr>
          <w:rFonts w:ascii="Times New Roman" w:hAnsi="Times New Roman"/>
          <w:sz w:val="20"/>
        </w:rPr>
        <w:t xml:space="preserve">Pursuant to the Insider Letter Agreement, the Sponsor and the Insiders agreed to waive certain anti-dilution rights under the Cayman Constitutional Documents that may have been otherwise triggered upon the completion of the financing transactions in connection with the Merger Agreement or the transactions contemplated by the Merger Agreement. Sponsor and the Insiders have also agreed not to redeem any of their VIH Shares in connection with the vote to approve the Merger Agreement. </w:t>
      </w:r>
    </w:p>
    <w:p>
      <w:pPr>
        <w:pStyle w:val="TextBody"/>
        <w:spacing w:before="240" w:after="0"/>
        <w:jc w:val="left"/>
        <w:rPr>
          <w:rFonts w:ascii="Times New Roman" w:hAnsi="Times New Roman"/>
          <w:sz w:val="20"/>
        </w:rPr>
      </w:pPr>
      <w:r>
        <w:rPr>
          <w:rFonts w:ascii="Times New Roman" w:hAnsi="Times New Roman"/>
          <w:sz w:val="20"/>
        </w:rPr>
        <w:t xml:space="preserve">In addition, pursuant to the Insider Letter Agreement, among other things, the Sponsor and each Insider agreed to vote: (a) in favor of the adoption and approval of the Merger Agreement and all of the other transactions contemplated thereby; (b) in favor of any proposal to adjourn a meeting at which there is a proposal for shareholders of VIH to approve and adopt certain voting matters to a later date if there are not sufficient votes to approve and adopt such voting matters, or if there are not sufficient shares present in person or represented by proxy at such meeting to constitute a quorum; (c) against any proposal providing for an alternative transaction or the adoption of an agreement to enter into an alternative transaction; and (d) except for voting in favor of certain voting matters, against any proposal for any amendment or modification of the Cayman Constitutional Documents that would change the voting rights of any VIH Shares or the number of votes required to approve any proposal, including the vote required to approve and adopt any of the voting matters. In addition, the Sponsor and each Insider acknowledged and agreed not to, directly or indirectly, take any action that would violate the non-solicitation clause in the Merger Agreement (as more fully discussed in </w:t>
      </w:r>
      <w:r>
        <w:rPr>
          <w:rFonts w:ascii="Times New Roman" w:hAnsi="Times New Roman"/>
          <w:i/>
          <w:sz w:val="20"/>
        </w:rPr>
        <w:t>The Business Combination ProposalMerger AgreementJoint Covenants of VIH, Merger Sub and Bakkt</w:t>
      </w:r>
      <w:r>
        <w:rPr>
          <w:rFonts w:ascii="Times New Roman" w:hAnsi="Times New Roman"/>
          <w:sz w:val="20"/>
        </w:rPr>
        <w:t xml:space="preserve"> beginning on page [129]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Sponsor and VIHs officers and directors have agreed not to transfer, assign or sell any of their VIH Class B Ordinary Shares or VIH Class A Ordinary Shares (in each case, to be converted into Bakkt Pubco Class A Shares in connection with the Domestication) until the earlier of (a) one year following the Closing and (b) subsequent to the Closing, (i) if the closing price of the Bakkt Pubco Class A Shares equals or exceeds $12.00 per share (subject to adjustment) for any trading days within any 30-trading day period commencing at least 150 days after the Closing or (ii) the date on which Bakkt Pubco completes a liquidation, merger amalgamation, capital stock exchange, reorganization or other similar transaction that results in all of the holders of Bakkt Pubco Class A Shares having the right to exchange their Bakkt Pubco Class A Shares for cash, securities or other property. The Sponsor and VIHs officers and directors own and are entitled to vote 20% of the VIH Shares (an aggregate of 5,184,300 VIH Class B Ordinary Shares) as of the record date. As further discussed in the section titled [●] beginning on page [●] of this proxy statement/prospectus, the Sponsor and VIHs officers and directors have agreed to vote in favor of the proposals. If only the minimum number of VIH Shares required to establish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quorum were voted, only 6.25% (an aggregate of 1,296,077 Public Shares) of the Public Shares would need to be voted in favor of the Business Combination Proposal. </w:t>
      </w:r>
    </w:p>
    <w:p>
      <w:pPr>
        <w:pStyle w:val="TextBody"/>
        <w:spacing w:before="240" w:after="0"/>
        <w:jc w:val="left"/>
        <w:rPr>
          <w:rFonts w:ascii="Times New Roman" w:hAnsi="Times New Roman"/>
          <w:sz w:val="20"/>
        </w:rPr>
      </w:pPr>
      <w:r>
        <w:rPr>
          <w:rFonts w:ascii="Times New Roman" w:hAnsi="Times New Roman"/>
          <w:sz w:val="20"/>
        </w:rPr>
        <w:t xml:space="preserve">In addition, the Sponsor and each Insider have agreed not to transfer, assign or sell any of their Private Placement Warrants (or VIH Class A Ordinary Shares underlying such Private Placement Warrants), until 30 days after the Closing. </w:t>
      </w:r>
    </w:p>
    <w:p>
      <w:pPr>
        <w:pStyle w:val="TextBody"/>
        <w:spacing w:before="360" w:after="0"/>
        <w:jc w:val="left"/>
        <w:rPr>
          <w:rFonts w:ascii="Times New Roman" w:hAnsi="Times New Roman"/>
          <w:b/>
          <w:i/>
          <w:sz w:val="20"/>
        </w:rPr>
      </w:pPr>
      <w:bookmarkStart w:id="49" w:name="24f"/>
      <w:bookmarkEnd w:id="49"/>
      <w:r>
        <w:rPr>
          <w:rFonts w:ascii="Times New Roman" w:hAnsi="Times New Roman"/>
          <w:b/>
          <w:i/>
          <w:sz w:val="20"/>
        </w:rPr>
        <w:t xml:space="preserve">Bakkt Equity Holders Support Agreement </w:t>
      </w:r>
    </w:p>
    <w:p>
      <w:pPr>
        <w:pStyle w:val="TextBody"/>
        <w:spacing w:before="120" w:after="0"/>
        <w:jc w:val="left"/>
        <w:rPr>
          <w:rFonts w:ascii="Times New Roman" w:hAnsi="Times New Roman"/>
          <w:sz w:val="20"/>
        </w:rPr>
      </w:pPr>
      <w:r>
        <w:rPr>
          <w:rFonts w:ascii="Times New Roman" w:hAnsi="Times New Roman"/>
          <w:sz w:val="20"/>
        </w:rPr>
        <w:t xml:space="preserve">Within 24 hours following the execution of the Merger Agreement, VIH entered into a support agreement, a copy of which is attached as </w:t>
      </w:r>
      <w:r>
        <w:rPr>
          <w:rFonts w:ascii="Times New Roman" w:hAnsi="Times New Roman"/>
          <w:i/>
          <w:sz w:val="20"/>
          <w:u w:val="single"/>
        </w:rPr>
        <w:t>Annex J</w:t>
      </w:r>
      <w:r>
        <w:rPr>
          <w:rFonts w:ascii="Times New Roman" w:hAnsi="Times New Roman"/>
          <w:sz w:val="20"/>
        </w:rPr>
        <w:t xml:space="preserve"> (the </w:t>
      </w:r>
      <w:r>
        <w:rPr>
          <w:rFonts w:ascii="Times New Roman" w:hAnsi="Times New Roman"/>
          <w:b/>
          <w:sz w:val="20"/>
        </w:rPr>
        <w:t>Bakkt Equity Holders Support Agreement</w:t>
      </w:r>
      <w:r>
        <w:rPr>
          <w:rFonts w:ascii="Times New Roman" w:hAnsi="Times New Roman"/>
          <w:sz w:val="20"/>
        </w:rPr>
        <w:t xml:space="preserve">), with Bakkt and ICEH. ICEH holds the majority of the voting power of Bakkt. Within seven days following the execution of the Merger Agreement, certain Bakkt Equity Holders, who hold, in the aggregate, the required number of affirmative votes required to approve the Merger Agreement in accordance with the DLLCA and the current Bakkt operating agreement (defined below) and all other documents and transactions contemplated thereby, delivered a written consent in the form attached to the Bakkt Equity Holders Support Agreement, which constituted the Bakkt Equity Holders Approval. </w:t>
      </w:r>
    </w:p>
    <w:p>
      <w:pPr>
        <w:pStyle w:val="TextBody"/>
        <w:spacing w:before="360" w:after="0"/>
        <w:jc w:val="left"/>
        <w:rPr>
          <w:rFonts w:ascii="Times New Roman" w:hAnsi="Times New Roman"/>
          <w:i/>
          <w:sz w:val="20"/>
        </w:rPr>
      </w:pPr>
      <w:r>
        <w:rPr>
          <w:rFonts w:ascii="Times New Roman" w:hAnsi="Times New Roman"/>
          <w:i/>
          <w:sz w:val="20"/>
        </w:rPr>
        <w:t xml:space="preserve">Voting and Lockup </w:t>
      </w:r>
    </w:p>
    <w:p>
      <w:pPr>
        <w:pStyle w:val="TextBody"/>
        <w:spacing w:before="120" w:after="0"/>
        <w:jc w:val="left"/>
        <w:rPr>
          <w:rFonts w:ascii="Times New Roman" w:hAnsi="Times New Roman"/>
          <w:sz w:val="20"/>
        </w:rPr>
      </w:pPr>
      <w:r>
        <w:rPr>
          <w:rFonts w:ascii="Times New Roman" w:hAnsi="Times New Roman"/>
          <w:sz w:val="20"/>
        </w:rPr>
        <w:t xml:space="preserve">Pursuant to the Bakkt Equity Holders Support Agreement, such Bakkt Equity Holders agreed to, among other things, vote: (a) in favor of any proposal for Bakkt Equity Holders to approve and adopt the Merger Agreement, the other Transaction Documents and all other documents and transactions contemplated thereby; (b) in favor of any proposal to adjourn a meeting at which there is a proposal of Bakkt Equity Holders to approve and adopt the Merger Agreement, the other Transaction Documents and all other documents and transactions contemplated thereby; (c) against any proposal providing for an alternative transaction or the adoption of an agreement to enter into an alternative transaction; (d) against any proposal for any amendment or modification of the current Bakkt operating agreement that would, among other things, change the voting rights or number of votes required to approve any proposal in connection with the approval or adoption of the Merger Agreement, the other Transaction Documents and all other documents and transactions contemplated thereby; and (e) against any action, transaction, or agreement that (i) would result in a breach of any of the Bakkt Fundamental Representations or (ii) would reasonably be expected to prevent, delay or impair consummation of the transactions contemplated by the Merger Agreement, the other Transaction Documents and all other documents contemplated thereby in any material respect, in each case, subject to the terms and conditions of the Bakkt Equity Holders Support Agreement. </w:t>
      </w:r>
    </w:p>
    <w:p>
      <w:pPr>
        <w:pStyle w:val="TextBody"/>
        <w:spacing w:before="240" w:after="0"/>
        <w:jc w:val="left"/>
        <w:rPr>
          <w:rFonts w:ascii="Times New Roman" w:hAnsi="Times New Roman"/>
          <w:sz w:val="20"/>
        </w:rPr>
      </w:pPr>
      <w:r>
        <w:rPr>
          <w:rFonts w:ascii="Times New Roman" w:hAnsi="Times New Roman"/>
          <w:sz w:val="20"/>
        </w:rPr>
        <w:t xml:space="preserve">The Bakkt Equity Holders Support Agreement also prevents such Bakkt Equity Holders from transferring their respective equity securities in Bakkt, except to permitted transferees. </w:t>
      </w:r>
    </w:p>
    <w:p>
      <w:pPr>
        <w:pStyle w:val="TextBody"/>
        <w:spacing w:before="360" w:after="0"/>
        <w:jc w:val="left"/>
        <w:rPr>
          <w:rFonts w:ascii="Times New Roman" w:hAnsi="Times New Roman"/>
          <w:i/>
          <w:sz w:val="20"/>
        </w:rPr>
      </w:pPr>
      <w:r>
        <w:rPr>
          <w:rFonts w:ascii="Times New Roman" w:hAnsi="Times New Roman"/>
          <w:i/>
          <w:sz w:val="20"/>
        </w:rPr>
        <w:t xml:space="preserve">Waiver of Appraisal Rights and Non-Solicitation </w:t>
      </w:r>
    </w:p>
    <w:p>
      <w:pPr>
        <w:pStyle w:val="TextBody"/>
        <w:spacing w:before="120" w:after="0"/>
        <w:jc w:val="left"/>
        <w:rPr>
          <w:rFonts w:ascii="Times New Roman" w:hAnsi="Times New Roman"/>
          <w:sz w:val="20"/>
        </w:rPr>
      </w:pPr>
      <w:r>
        <w:rPr>
          <w:rFonts w:ascii="Times New Roman" w:hAnsi="Times New Roman"/>
          <w:sz w:val="20"/>
        </w:rPr>
        <w:t>Such Bakkt Equity Holders agree not to exercise or perfect, directly or indirectly, and irrevocably and unconditionally waive, any appraisal rights that such Bakkt Equity Holder may be entitled to under applicable law (including under the DLLCA or otherwise) with respect to the Merger or the other transactions contemplated by the Merger Agreement. In addition, such Bakkt Equity Holders have each agreed not to, directly or indirectly, take any action that would violate the non-solicitation clause in the Merger Agreement (as discussed in greater detail in the section entitled </w:t>
      </w:r>
      <w:r>
        <w:rPr>
          <w:rFonts w:ascii="Times New Roman" w:hAnsi="Times New Roman"/>
          <w:i/>
          <w:sz w:val="20"/>
        </w:rPr>
        <w:t>The Business Combination ProposalMerger AgreementJoint Covenants of VIH, Merger Sub and Bakkt</w:t>
      </w:r>
      <w:r>
        <w:rPr>
          <w:rFonts w:ascii="Times New Roman" w:hAnsi="Times New Roman"/>
          <w:sz w:val="20"/>
        </w:rPr>
        <w:t xml:space="preserve"> beginning on page 129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Termination </w:t>
      </w:r>
    </w:p>
    <w:p>
      <w:pPr>
        <w:pStyle w:val="TextBody"/>
        <w:spacing w:before="120" w:after="0"/>
        <w:jc w:val="left"/>
        <w:rPr>
          <w:rFonts w:ascii="Times New Roman" w:hAnsi="Times New Roman"/>
          <w:sz w:val="20"/>
        </w:rPr>
      </w:pPr>
      <w:r>
        <w:rPr>
          <w:rFonts w:ascii="Times New Roman" w:hAnsi="Times New Roman"/>
          <w:sz w:val="20"/>
        </w:rPr>
        <w:t xml:space="preserve">The Bakkt Equity Holders Support Agreement terminates on the earlier of: (a) the Closing; (b) the termination of the Merger Agreement pursuant to its terms; and (c) the effective date of a written agreement duly executed and delivered by VIH and each such Bakkt Equity Holder.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bookmarkStart w:id="50" w:name="11f"/>
      <w:bookmarkEnd w:id="50"/>
      <w:r>
        <w:rPr>
          <w:rFonts w:ascii="Times New Roman" w:hAnsi="Times New Roman"/>
          <w:b/>
          <w:i/>
          <w:sz w:val="20"/>
        </w:rPr>
        <w:t xml:space="preserve">Registration Rights Agreement </w:t>
      </w:r>
    </w:p>
    <w:p>
      <w:pPr>
        <w:pStyle w:val="TextBody"/>
        <w:spacing w:before="120" w:after="0"/>
        <w:jc w:val="left"/>
        <w:rPr>
          <w:rFonts w:ascii="Times New Roman" w:hAnsi="Times New Roman"/>
          <w:i/>
          <w:sz w:val="20"/>
        </w:rPr>
      </w:pPr>
      <w:r>
        <w:rPr>
          <w:rFonts w:ascii="Times New Roman" w:hAnsi="Times New Roman"/>
          <w:i/>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Concurrently with the Closing, VIH will enter into a Registration Rights Agreement with the Bakkt Equity Holders, Bakkt Pubco and the Sponsor, the form of which is attached hereto as </w:t>
      </w:r>
      <w:r>
        <w:rPr>
          <w:rFonts w:ascii="Times New Roman" w:hAnsi="Times New Roman"/>
          <w:i/>
          <w:sz w:val="20"/>
          <w:u w:val="single"/>
        </w:rPr>
        <w:t>Annex E</w:t>
      </w:r>
      <w:r>
        <w:rPr>
          <w:rFonts w:ascii="Times New Roman" w:hAnsi="Times New Roman"/>
          <w:sz w:val="20"/>
        </w:rPr>
        <w:t xml:space="preserve"> (the </w:t>
      </w:r>
      <w:r>
        <w:rPr>
          <w:rFonts w:ascii="Times New Roman" w:hAnsi="Times New Roman"/>
          <w:b/>
          <w:sz w:val="20"/>
        </w:rPr>
        <w:t>Registration</w:t>
      </w:r>
      <w:r>
        <w:rPr>
          <w:rFonts w:ascii="Times New Roman" w:hAnsi="Times New Roman"/>
          <w:sz w:val="20"/>
        </w:rPr>
        <w:t xml:space="preserve"> </w:t>
      </w:r>
      <w:r>
        <w:rPr>
          <w:rFonts w:ascii="Times New Roman" w:hAnsi="Times New Roman"/>
          <w:b/>
          <w:sz w:val="20"/>
        </w:rPr>
        <w:t>Rights Agreement</w:t>
      </w:r>
      <w:r>
        <w:rPr>
          <w:rFonts w:ascii="Times New Roman" w:hAnsi="Times New Roman"/>
          <w:sz w:val="20"/>
        </w:rPr>
        <w:t>). Under the Registration Rights Agreement, </w:t>
      </w:r>
      <w:r>
        <w:rPr>
          <w:rFonts w:ascii="Times New Roman" w:hAnsi="Times New Roman"/>
          <w:b/>
          <w:sz w:val="20"/>
        </w:rPr>
        <w:t>Registrable Securities</w:t>
      </w:r>
      <w:r>
        <w:rPr>
          <w:rFonts w:ascii="Times New Roman" w:hAnsi="Times New Roman"/>
          <w:sz w:val="20"/>
        </w:rPr>
        <w:t xml:space="preserve"> are defined as (a) any of the Bakkt Pubco Class A Shares issuable in exchange for VIH Shares held by the Sponsor and VIHs independent directors pursuant to the Domestication and the Merger, (b) any Bakkt Pubco Class A Shares issuable to Bakkt Equity Holders pursuant to the Surviving Company LLC Agreement and the Exchange Agreement, (c) the warrants that were issued to the Sponsor concurrently with the IPO, each of which will become exercisable for Bakkt Pubco Class A Shares after the Closing, in accordance with its terms, and any of Bakkt Pubco Class A Shares issuable upon the exercise thereof, and (d) any other equity security of Bakkt Pubco issued or issuable to any holder of Registrable Securities with respect to any Bakkt Pubco Class A Shares referred to in clauses (a)  (c) by way of a stock dividend or stock split or in connection with a combination of shares, recapitalization, merger, consolidation or reorganization. </w:t>
      </w:r>
    </w:p>
    <w:p>
      <w:pPr>
        <w:pStyle w:val="TextBody"/>
        <w:spacing w:before="240" w:after="0"/>
        <w:jc w:val="left"/>
        <w:rPr>
          <w:rFonts w:ascii="Times New Roman" w:hAnsi="Times New Roman"/>
          <w:sz w:val="20"/>
        </w:rPr>
      </w:pPr>
      <w:r>
        <w:rPr>
          <w:rFonts w:ascii="Times New Roman" w:hAnsi="Times New Roman"/>
          <w:sz w:val="20"/>
        </w:rPr>
        <w:t>Pursuant to the Registration Rights Agreement, Bakkt Pubco will, as soon as practicable after the Closing, but in any event within 30 days after the Closing, file a registration statement pursuant to the Securities Act to permit the public resale of all the Registrable Securities held by the holders of Registrable Securities from time to time as permitted by Rule 415 under the Securities Act on the terms and conditions specified in the Merger Agreement. If any holder of Registrable Securities elects to dispose of Registrable Securities under a registration statement in a firm commitment underwritten distribution to the public of Bakkt Pubcos securities, upon written demand of one or more holders of Registrable Securities that have a value of at least $50,000,000 based on the average closing price of the Bakkt Pubco Class A Shares in the preceding 30 trading days prior to the date of such determination, Bakkt Pubco and any holder of Registrable Securities participating in that offering will enter into an underwriting agreement for such offering (a </w:t>
      </w:r>
      <w:r>
        <w:rPr>
          <w:rFonts w:ascii="Times New Roman" w:hAnsi="Times New Roman"/>
          <w:b/>
          <w:sz w:val="20"/>
        </w:rPr>
        <w:t>Demand Registration</w:t>
      </w:r>
      <w:r>
        <w:rPr>
          <w:rFonts w:ascii="Times New Roman" w:hAnsi="Times New Roman"/>
          <w:sz w:val="20"/>
        </w:rPr>
        <w:t xml:space="preserve">). Bakkt Pubco is obligated to effect no more than three Demand Registrations, and a registration will count for this purpose only if all Registrable Securities requested to be registered are registered. The holders of Registrable Securities will have the right to require Bakkt Pubco to register on Form S-3, if available for use by Bakkt Pubco, Registrable Securities for an aggregate offering price of at least $15 million. The holders of Registrable Securities will be entitled to piggyback registration rights on all registration statements of Bakkt Pubco (other than registrations on Form S-4 or S-8), subject to the right, however, of Bakkt Pubco and its underwriters to reduce the number of shares proposed to be registered at the underwriters discretion. In addition, each Bakkt Equity Holder that is an executive officer or director of Bakkt Pubco or owner of more than 1% of the outstanding Bakkt Pubco Class A Shares will agree that in connection with any underwritten offering of Bakkt Pubco Class A Shares, if requested by the underwriters managing the offering, not to sell or dispose any Bakkt Pubco Class A Shares without the prior written consent of Bakkt Pubco, during the 90-day period beginning on the date of pricing of such offering, except as expressly permitted by such lock-up agreement or in the event the managing underwriters otherwise agree by written consent. </w:t>
      </w:r>
    </w:p>
    <w:p>
      <w:pPr>
        <w:pStyle w:val="TextBody"/>
        <w:spacing w:before="360" w:after="0"/>
        <w:jc w:val="left"/>
        <w:rPr>
          <w:rFonts w:ascii="Times New Roman" w:hAnsi="Times New Roman"/>
          <w:i/>
          <w:sz w:val="20"/>
        </w:rPr>
      </w:pPr>
      <w:r>
        <w:rPr>
          <w:rFonts w:ascii="Times New Roman" w:hAnsi="Times New Roman"/>
          <w:i/>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Under the Registration Rights Agreement, Bakkt Pubco has agreed to indemnify the holders of Registrable Securities or its permitted transferees and each underwriter and each of their respective controlling persons against any losses or damages resulting from any untrue statement or omission of a material fact in any registration statement or prospectus pursuant to which they sell shares of Bakkt Pubco. Bakkt Equity Holders have agreed to indemnify Bakkt Pubco and its officers and directors and controlling persons against all losses caused by their misstatements or omissions in any such registration statement or prospectus. </w:t>
      </w:r>
    </w:p>
    <w:p>
      <w:pPr>
        <w:pStyle w:val="TextBody"/>
        <w:spacing w:before="360" w:after="0"/>
        <w:jc w:val="left"/>
        <w:rPr>
          <w:rFonts w:ascii="Times New Roman" w:hAnsi="Times New Roman"/>
          <w:i/>
          <w:sz w:val="20"/>
        </w:rPr>
      </w:pPr>
      <w:r>
        <w:rPr>
          <w:rFonts w:ascii="Times New Roman" w:hAnsi="Times New Roman"/>
          <w:i/>
          <w:sz w:val="20"/>
        </w:rPr>
        <w:t xml:space="preserve">Lock-up </w:t>
      </w:r>
    </w:p>
    <w:p>
      <w:pPr>
        <w:pStyle w:val="TextBody"/>
        <w:spacing w:before="120" w:after="0"/>
        <w:jc w:val="left"/>
        <w:rPr>
          <w:rFonts w:ascii="Times New Roman" w:hAnsi="Times New Roman"/>
          <w:sz w:val="20"/>
        </w:rPr>
      </w:pPr>
      <w:r>
        <w:rPr>
          <w:rFonts w:ascii="Times New Roman" w:hAnsi="Times New Roman"/>
          <w:sz w:val="20"/>
        </w:rPr>
        <w:t xml:space="preserve">Each holder of Registrable Securities or its permitted transferees agrees that it, he, or she will not transfer any Registrable Security until the expiration of the applicable lock-up period (unless otherwise stated) (as discussed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in greater detail in the section entitled The Business Combination Proposal</w:t>
      </w:r>
      <w:r>
        <w:rPr>
          <w:rFonts w:ascii="Times New Roman" w:hAnsi="Times New Roman"/>
          <w:i/>
          <w:sz w:val="20"/>
        </w:rPr>
        <w:t>Related AgreementsStockholders Agreement</w:t>
      </w:r>
      <w:r>
        <w:rPr>
          <w:rFonts w:ascii="Times New Roman" w:hAnsi="Times New Roman"/>
          <w:sz w:val="20"/>
        </w:rPr>
        <w:t xml:space="preserve"> beginning on page 141 of this proxy statement/prospectus). </w:t>
      </w:r>
    </w:p>
    <w:p>
      <w:pPr>
        <w:pStyle w:val="TextBody"/>
        <w:spacing w:before="360" w:after="0"/>
        <w:jc w:val="left"/>
        <w:rPr>
          <w:rFonts w:ascii="Times New Roman" w:hAnsi="Times New Roman"/>
          <w:b/>
          <w:i/>
          <w:sz w:val="20"/>
        </w:rPr>
      </w:pPr>
      <w:bookmarkStart w:id="51" w:name="10f"/>
      <w:bookmarkEnd w:id="51"/>
      <w:r>
        <w:rPr>
          <w:rFonts w:ascii="Times New Roman" w:hAnsi="Times New Roman"/>
          <w:b/>
          <w:i/>
          <w:sz w:val="20"/>
        </w:rPr>
        <w:t xml:space="preserve">Stockholders Agreement </w:t>
      </w:r>
    </w:p>
    <w:p>
      <w:pPr>
        <w:pStyle w:val="TextBody"/>
        <w:spacing w:before="120" w:after="0"/>
        <w:jc w:val="left"/>
        <w:rPr>
          <w:rFonts w:ascii="Times New Roman" w:hAnsi="Times New Roman"/>
          <w:sz w:val="20"/>
        </w:rPr>
      </w:pPr>
      <w:r>
        <w:rPr>
          <w:rFonts w:ascii="Times New Roman" w:hAnsi="Times New Roman"/>
          <w:sz w:val="20"/>
        </w:rPr>
        <w:t xml:space="preserve">Concurrently with the Closing, the Sponsor, Bakkt Pubco and certain Bakkt Equity Holders will enter into a Stockholders Agreement, in substantially the form attached as </w:t>
      </w:r>
      <w:r>
        <w:rPr>
          <w:rFonts w:ascii="Times New Roman" w:hAnsi="Times New Roman"/>
          <w:i/>
          <w:sz w:val="20"/>
          <w:u w:val="single"/>
        </w:rPr>
        <w:t>Annex F</w:t>
      </w:r>
      <w:r>
        <w:rPr>
          <w:rFonts w:ascii="Times New Roman" w:hAnsi="Times New Roman"/>
          <w:sz w:val="20"/>
        </w:rPr>
        <w:t xml:space="preserve"> (the </w:t>
      </w:r>
      <w:r>
        <w:rPr>
          <w:rFonts w:ascii="Times New Roman" w:hAnsi="Times New Roman"/>
          <w:b/>
          <w:sz w:val="20"/>
        </w:rPr>
        <w:t>Stockholders Agreement</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Election of Directors </w:t>
      </w:r>
    </w:p>
    <w:p>
      <w:pPr>
        <w:pStyle w:val="TextBody"/>
        <w:spacing w:before="120" w:after="0"/>
        <w:jc w:val="left"/>
        <w:rPr>
          <w:rFonts w:ascii="Times New Roman" w:hAnsi="Times New Roman"/>
          <w:sz w:val="20"/>
        </w:rPr>
      </w:pPr>
      <w:r>
        <w:rPr>
          <w:rFonts w:ascii="Times New Roman" w:hAnsi="Times New Roman"/>
          <w:sz w:val="20"/>
        </w:rPr>
        <w:t>Pursuant to the Stockholders Agreement, Bakkt Pubco, the Sponsor and certain Bakkt Equity Holders will take all necessary action to cause the initial Company Board to be comprised of five to nine directors, (a) one of whom is designated by the Sponsor (the </w:t>
      </w:r>
      <w:r>
        <w:rPr>
          <w:rFonts w:ascii="Times New Roman" w:hAnsi="Times New Roman"/>
          <w:b/>
          <w:sz w:val="20"/>
        </w:rPr>
        <w:t>Sponsor Director</w:t>
      </w:r>
      <w:r>
        <w:rPr>
          <w:rFonts w:ascii="Times New Roman" w:hAnsi="Times New Roman"/>
          <w:sz w:val="20"/>
        </w:rPr>
        <w:t>), who will initially be Gordon Watson, (b) one of whom is designated by Bakkt (the </w:t>
      </w:r>
      <w:r>
        <w:rPr>
          <w:rFonts w:ascii="Times New Roman" w:hAnsi="Times New Roman"/>
          <w:b/>
          <w:sz w:val="20"/>
        </w:rPr>
        <w:t>Bakkt Director</w:t>
      </w:r>
      <w:r>
        <w:rPr>
          <w:rFonts w:ascii="Times New Roman" w:hAnsi="Times New Roman"/>
          <w:sz w:val="20"/>
        </w:rPr>
        <w:t>), who will initially be David Clifton, and (c) the remainder of whom will be jointly designated by the Sponsor and Bakkt, and a majority of whom will qualify as independent directors under NYSE listing rules (the </w:t>
      </w:r>
      <w:r>
        <w:rPr>
          <w:rFonts w:ascii="Times New Roman" w:hAnsi="Times New Roman"/>
          <w:b/>
          <w:sz w:val="20"/>
        </w:rPr>
        <w:t>Unaffiliated Directors</w:t>
      </w:r>
      <w:r>
        <w:rPr>
          <w:rFonts w:ascii="Times New Roman" w:hAnsi="Times New Roman"/>
          <w:sz w:val="20"/>
        </w:rPr>
        <w:t>). For more information, see the section entitled </w:t>
      </w:r>
      <w:r>
        <w:rPr>
          <w:rFonts w:ascii="Times New Roman" w:hAnsi="Times New Roman"/>
          <w:i/>
          <w:sz w:val="20"/>
        </w:rPr>
        <w:t>The Director Election Proposal</w:t>
      </w:r>
      <w:r>
        <w:rPr>
          <w:rFonts w:ascii="Times New Roman" w:hAnsi="Times New Roman"/>
          <w:sz w:val="20"/>
        </w:rPr>
        <w:t xml:space="preserve"> beginning on page 191 of this proxy statement/prospectus. </w:t>
      </w:r>
    </w:p>
    <w:p>
      <w:pPr>
        <w:pStyle w:val="TextBody"/>
        <w:spacing w:before="240" w:after="0"/>
        <w:jc w:val="left"/>
        <w:rPr>
          <w:rFonts w:ascii="Times New Roman" w:hAnsi="Times New Roman"/>
          <w:sz w:val="20"/>
        </w:rPr>
      </w:pPr>
      <w:r>
        <w:rPr>
          <w:rFonts w:ascii="Times New Roman" w:hAnsi="Times New Roman"/>
          <w:sz w:val="20"/>
        </w:rPr>
        <w:t>In addition, Bakkt Pubco, Sponsor and certain Bakkt Equity Holders will take all necessary action to cause the foregoing directors to be divided into three classes of directors, with each class serving for staggered three year terms as follows: (a) the class I directors will include Gavin Michael and two Unaffiliated Directors, who are initially proposed to be Michelle Goldberg and Adrienne Harris; (b) the class II directors will include the Sponsor Director and the Bakkt Director, who are initially proposed to be Gordon Watson and David Clifton and one Unaffiliated Director, Kristyn Cook; and (c) the class III directors will include two Unaffiliated Directors, who are initially proposed to be Andrew A. Main and Richard Lumb, and Sean Collins. The initial term of the class I directors will expire at the first annual meeting of the stockholders of Bakkt Pubco following the Closing at which directors are elected. The initial term of the class II directors will expire at the second annual meeting of stockholders of Bakkt Pubco following the Closing at which directors are elected. The initial term of the class III directors will expire at the third annual meeting of stockholders of Bakkt Pubco following the Closing at which directors are elected. For more information, see the section entitled </w:t>
      </w:r>
      <w:r>
        <w:rPr>
          <w:rFonts w:ascii="Times New Roman" w:hAnsi="Times New Roman"/>
          <w:i/>
          <w:sz w:val="20"/>
        </w:rPr>
        <w:t>The Director Election Proposal</w:t>
      </w:r>
      <w:r>
        <w:rPr>
          <w:rFonts w:ascii="Times New Roman" w:hAnsi="Times New Roman"/>
          <w:sz w:val="20"/>
        </w:rPr>
        <w:t xml:space="preserve"> beginning on page 191 of this proxy statement/prospectus. </w:t>
      </w:r>
    </w:p>
    <w:p>
      <w:pPr>
        <w:pStyle w:val="TextBody"/>
        <w:spacing w:before="240" w:after="0"/>
        <w:jc w:val="left"/>
        <w:rPr>
          <w:rFonts w:ascii="Times New Roman" w:hAnsi="Times New Roman"/>
          <w:sz w:val="20"/>
        </w:rPr>
      </w:pPr>
      <w:r>
        <w:rPr>
          <w:rFonts w:ascii="Times New Roman" w:hAnsi="Times New Roman"/>
          <w:sz w:val="20"/>
        </w:rPr>
        <w:t>If prior to the second annual meeting of stockholders of Bakkt Pubco following the Closing at which directors are elected, a vacancy is created at any time by the death, retirement, removal or resignation of the Sponsor Director or the Bakkt Director, any individual nominated by or at the direction of the Company Board or any duly-authorized committee thereof to fill such vacancy will be, and Bakkt Pubco and each stockholder of Bakkt Pubco will take all necessary action to cause such vacancy to be filled as soon as possible by, (a) in the case of a vacancy created by the death, retirement, removal or resignation of the Sponsor Director, a designee of the Sponsor if the Sponsor is a qualified stockholder at such time, or (b) in the case of a vacancy created by the death, retirement, removal or resignation of the Bakkt Director, a designee of ICEH if ICEH is a qualified stockholder at such time. For more information, see the section entitled </w:t>
      </w:r>
      <w:r>
        <w:rPr>
          <w:rFonts w:ascii="Times New Roman" w:hAnsi="Times New Roman"/>
          <w:i/>
          <w:sz w:val="20"/>
        </w:rPr>
        <w:t>The Director Election Proposal</w:t>
      </w:r>
      <w:r>
        <w:rPr>
          <w:rFonts w:ascii="Times New Roman" w:hAnsi="Times New Roman"/>
          <w:sz w:val="20"/>
        </w:rPr>
        <w:t xml:space="preserve"> beginning on page 191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Lock-Up </w:t>
      </w:r>
    </w:p>
    <w:p>
      <w:pPr>
        <w:pStyle w:val="TextBody"/>
        <w:spacing w:before="120" w:after="0"/>
        <w:jc w:val="left"/>
        <w:rPr>
          <w:rFonts w:ascii="Times New Roman" w:hAnsi="Times New Roman"/>
          <w:sz w:val="20"/>
        </w:rPr>
      </w:pPr>
      <w:r>
        <w:rPr>
          <w:rFonts w:ascii="Times New Roman" w:hAnsi="Times New Roman"/>
          <w:sz w:val="20"/>
        </w:rPr>
        <w:t>Pursuant to the Stockholders Agreement, unless such transfer is a permitted transfer: (a) no Bakkt Equity Holder may transfer, or make a public announcement of any intention to transfer, any equity securities of Bakkt Pubco and the equity securities of Bakkt Opco, in each case, during the period commencing on the Closing and continuing until the six-month anniversary of the Closing; (b) the Sponsor may not transfer, or make a public announcement of any intention to transfer, any Private Placement Warrant and Bakkt Pubco Class A Shares from the exercise of such warrant during the private placement lock-up period (as discussed in greater detail in </w:t>
      </w:r>
      <w:r>
        <w:rPr>
          <w:rFonts w:ascii="Times New Roman" w:hAnsi="Times New Roman"/>
          <w:i/>
          <w:sz w:val="20"/>
        </w:rPr>
        <w:t>Related AgreementsInsider Letter Agreement</w:t>
      </w:r>
      <w:r>
        <w:rPr>
          <w:rFonts w:ascii="Times New Roman" w:hAnsi="Times New Roman"/>
          <w:sz w:val="20"/>
        </w:rPr>
        <w:t> above); and (c) the Sponsor may not transfer, or make a public announcement of any intention to transfer, any equity securities of Bakkt Pubco during the founder shares lock-up period (as discussed in greater detail in </w:t>
      </w:r>
      <w:r>
        <w:rPr>
          <w:rFonts w:ascii="Times New Roman" w:hAnsi="Times New Roman"/>
          <w:i/>
          <w:sz w:val="20"/>
        </w:rPr>
        <w:t>Related AgreementsInsider Letter Agreement</w:t>
      </w:r>
      <w:r>
        <w:rPr>
          <w:rFonts w:ascii="Times New Roman" w:hAnsi="Times New Roman"/>
          <w:sz w:val="20"/>
        </w:rPr>
        <w:t xml:space="preserve">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bookmarkStart w:id="52" w:name="16f"/>
      <w:bookmarkEnd w:id="52"/>
      <w:r>
        <w:rPr>
          <w:rFonts w:ascii="Times New Roman" w:hAnsi="Times New Roman"/>
          <w:b/>
          <w:i/>
          <w:sz w:val="20"/>
        </w:rPr>
        <w:t xml:space="preserve">Voting Agreement </w:t>
      </w:r>
    </w:p>
    <w:p>
      <w:pPr>
        <w:pStyle w:val="TextBody"/>
        <w:spacing w:before="120" w:after="0"/>
        <w:jc w:val="left"/>
        <w:rPr>
          <w:rFonts w:ascii="Times New Roman" w:hAnsi="Times New Roman"/>
          <w:sz w:val="20"/>
        </w:rPr>
      </w:pPr>
      <w:r>
        <w:rPr>
          <w:rFonts w:ascii="Times New Roman" w:hAnsi="Times New Roman"/>
          <w:sz w:val="20"/>
        </w:rPr>
        <w:t xml:space="preserve">Concurrently with the Closing, ICEH and Bakkt Pubco will enter into a Voting Agreement, in substantially the form attached as </w:t>
      </w:r>
      <w:r>
        <w:rPr>
          <w:rFonts w:ascii="Times New Roman" w:hAnsi="Times New Roman"/>
          <w:i/>
          <w:sz w:val="20"/>
          <w:u w:val="single"/>
        </w:rPr>
        <w:t>Annex H</w:t>
      </w:r>
      <w:r>
        <w:rPr>
          <w:rFonts w:ascii="Times New Roman" w:hAnsi="Times New Roman"/>
          <w:sz w:val="20"/>
        </w:rPr>
        <w:t xml:space="preserve"> (the </w:t>
      </w:r>
      <w:r>
        <w:rPr>
          <w:rFonts w:ascii="Times New Roman" w:hAnsi="Times New Roman"/>
          <w:b/>
          <w:sz w:val="20"/>
        </w:rPr>
        <w:t>Voting Agreement</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To the extent that ICEHs voting power as jointly calculated by ICEH and Bakkt Pubco and represented by Bakkt Pubco Class A Shares and Bakkt Pubco Class V Shares beneficially owned by ICEH and its affiliates (the </w:t>
      </w:r>
      <w:r>
        <w:rPr>
          <w:rFonts w:ascii="Times New Roman" w:hAnsi="Times New Roman"/>
          <w:b/>
          <w:sz w:val="20"/>
        </w:rPr>
        <w:t>ICE Shares</w:t>
      </w:r>
      <w:r>
        <w:rPr>
          <w:rFonts w:ascii="Times New Roman" w:hAnsi="Times New Roman"/>
          <w:sz w:val="20"/>
        </w:rPr>
        <w:t>) as of any record date for a stockholder vote or consent of Bakkt Pubco (a </w:t>
      </w:r>
      <w:r>
        <w:rPr>
          <w:rFonts w:ascii="Times New Roman" w:hAnsi="Times New Roman"/>
          <w:b/>
          <w:sz w:val="20"/>
        </w:rPr>
        <w:t>Stockholder Matter</w:t>
      </w:r>
      <w:r>
        <w:rPr>
          <w:rFonts w:ascii="Times New Roman" w:hAnsi="Times New Roman"/>
          <w:sz w:val="20"/>
        </w:rPr>
        <w:t>), exceeds 30% of the total voting power of all Bakkt Pubco Class A Shares and Bakkt Pubco Class V Shares that are issued and outstanding and entitled to vote as of the relevant record date (such amount, the </w:t>
      </w:r>
      <w:r>
        <w:rPr>
          <w:rFonts w:ascii="Times New Roman" w:hAnsi="Times New Roman"/>
          <w:b/>
          <w:sz w:val="20"/>
        </w:rPr>
        <w:t>Excess Amoun</w:t>
      </w:r>
      <w:r>
        <w:rPr>
          <w:rFonts w:ascii="Times New Roman" w:hAnsi="Times New Roman"/>
          <w:sz w:val="20"/>
        </w:rPr>
        <w:t>t, and the ICE Shares represented thereby, the </w:t>
      </w:r>
      <w:r>
        <w:rPr>
          <w:rFonts w:ascii="Times New Roman" w:hAnsi="Times New Roman"/>
          <w:b/>
          <w:sz w:val="20"/>
        </w:rPr>
        <w:t>Excess Shares</w:t>
      </w:r>
      <w:r>
        <w:rPr>
          <w:rFonts w:ascii="Times New Roman" w:hAnsi="Times New Roman"/>
          <w:sz w:val="20"/>
        </w:rPr>
        <w:t xml:space="preserve">), ICEH will irrevocably appoint a proxy, designated by the Company Board, to vote the Excess Shares in the same percentages for and against such Stockholder Matter as votes were cast for and against such Stockholder Matter by all stockholders of Bakkt Pubco other than ICEH. </w:t>
      </w:r>
    </w:p>
    <w:p>
      <w:pPr>
        <w:pStyle w:val="TextBody"/>
        <w:spacing w:before="240" w:after="0"/>
        <w:jc w:val="left"/>
        <w:rPr>
          <w:rFonts w:ascii="Times New Roman" w:hAnsi="Times New Roman"/>
          <w:sz w:val="20"/>
        </w:rPr>
      </w:pPr>
      <w:r>
        <w:rPr>
          <w:rFonts w:ascii="Times New Roman" w:hAnsi="Times New Roman"/>
          <w:sz w:val="20"/>
        </w:rPr>
        <w:t xml:space="preserve">The Voting Agreement does not apply to the giving or withholding of consent or approval in respect of any matter requiring the approval of the Required Interest of Bakkt Opco equityholders under the Surviving Company LLC Agreement. For additional information, see the section entitled Surviving Company LLC Agreement beginning on page [142]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Termination </w:t>
      </w:r>
    </w:p>
    <w:p>
      <w:pPr>
        <w:pStyle w:val="TextBody"/>
        <w:spacing w:before="120" w:after="0"/>
        <w:jc w:val="left"/>
        <w:rPr>
          <w:rFonts w:ascii="Times New Roman" w:hAnsi="Times New Roman"/>
          <w:sz w:val="20"/>
        </w:rPr>
      </w:pPr>
      <w:r>
        <w:rPr>
          <w:rFonts w:ascii="Times New Roman" w:hAnsi="Times New Roman"/>
          <w:sz w:val="20"/>
        </w:rPr>
        <w:t xml:space="preserve">The Voting Agreement will terminate if the voting power represented by the ICE Shares beneficially owned by ICEH and its affiliates falls below 50% of the total voting power of the Bakkt Pubco Class A Shares and Bakkt Pubco Class V Shares issued and outstanding and entitled to vote at any time. </w:t>
      </w:r>
    </w:p>
    <w:p>
      <w:pPr>
        <w:pStyle w:val="TextBody"/>
        <w:spacing w:before="360" w:after="0"/>
        <w:jc w:val="left"/>
        <w:rPr>
          <w:rFonts w:ascii="Times New Roman" w:hAnsi="Times New Roman"/>
          <w:b/>
          <w:i/>
          <w:sz w:val="20"/>
        </w:rPr>
      </w:pPr>
      <w:r>
        <w:rPr>
          <w:rFonts w:ascii="Times New Roman" w:hAnsi="Times New Roman"/>
          <w:b/>
          <w:i/>
          <w:sz w:val="20"/>
        </w:rPr>
        <w:t xml:space="preserve">Proposed Certificate of Incorporation and Proposed By-Laws </w:t>
      </w:r>
    </w:p>
    <w:p>
      <w:pPr>
        <w:pStyle w:val="TextBody"/>
        <w:spacing w:before="120" w:after="0"/>
        <w:jc w:val="left"/>
        <w:rPr>
          <w:rFonts w:ascii="Times New Roman" w:hAnsi="Times New Roman"/>
          <w:sz w:val="20"/>
        </w:rPr>
      </w:pPr>
      <w:r>
        <w:rPr>
          <w:rFonts w:ascii="Times New Roman" w:hAnsi="Times New Roman"/>
          <w:sz w:val="20"/>
        </w:rPr>
        <w:t>At or prior to the Closing, Bakkt Pubco will (a) subject to receipt of VIH Shareholder Approval, adopt the Proposed Certificate of Incorporation and (b) the Proposed By-Laws, to establish a structure containing Bakkt Pubco Class A Shares, which will carry such economic and voting rights as set forth in the Proposed Certificate of Incorporation and Proposed By-Laws, and Bakkt Pubco Class V Shares, which will carry only such voting rights as set forth in the Proposed Certificate of Incorporation and Proposed By-Laws. See the sections entitled </w:t>
      </w:r>
      <w:r>
        <w:rPr>
          <w:rFonts w:ascii="Times New Roman" w:hAnsi="Times New Roman"/>
          <w:i/>
          <w:sz w:val="20"/>
        </w:rPr>
        <w:t>The Domestication Proposal</w:t>
      </w:r>
      <w:r>
        <w:rPr>
          <w:rFonts w:ascii="Times New Roman" w:hAnsi="Times New Roman"/>
          <w:sz w:val="20"/>
        </w:rPr>
        <w:t> and </w:t>
      </w:r>
      <w:r>
        <w:rPr>
          <w:rFonts w:ascii="Times New Roman" w:hAnsi="Times New Roman"/>
          <w:i/>
          <w:sz w:val="20"/>
        </w:rPr>
        <w:t>The Organizational Documents Proposal</w:t>
      </w:r>
      <w:r>
        <w:rPr>
          <w:rFonts w:ascii="Times New Roman" w:hAnsi="Times New Roman"/>
          <w:sz w:val="20"/>
        </w:rPr>
        <w:t xml:space="preserve"> beginning on pages 162 and 172, of this proxy statement/prospectus, respectively. </w:t>
      </w:r>
    </w:p>
    <w:p>
      <w:pPr>
        <w:pStyle w:val="TextBody"/>
        <w:spacing w:before="360" w:after="0"/>
        <w:jc w:val="left"/>
        <w:rPr>
          <w:rFonts w:ascii="Times New Roman" w:hAnsi="Times New Roman"/>
          <w:b/>
          <w:i/>
          <w:sz w:val="20"/>
        </w:rPr>
      </w:pPr>
      <w:bookmarkStart w:id="53" w:name="5c"/>
      <w:bookmarkEnd w:id="53"/>
      <w:r>
        <w:rPr>
          <w:rFonts w:ascii="Times New Roman" w:hAnsi="Times New Roman"/>
          <w:b/>
          <w:i/>
          <w:sz w:val="20"/>
        </w:rPr>
        <w:t xml:space="preserve">Surviving Company LLC Agreement </w:t>
      </w:r>
    </w:p>
    <w:p>
      <w:pPr>
        <w:pStyle w:val="TextBody"/>
        <w:spacing w:before="120" w:after="0"/>
        <w:jc w:val="left"/>
        <w:rPr>
          <w:rFonts w:ascii="Times New Roman" w:hAnsi="Times New Roman"/>
          <w:sz w:val="20"/>
        </w:rPr>
      </w:pPr>
      <w:r>
        <w:rPr>
          <w:rFonts w:ascii="Times New Roman" w:hAnsi="Times New Roman"/>
          <w:sz w:val="20"/>
        </w:rPr>
        <w:t>Concurrently with the Closing, the existing second amended and restated limited liability company agreement of Bakkt (the </w:t>
      </w:r>
      <w:r>
        <w:rPr>
          <w:rFonts w:ascii="Times New Roman" w:hAnsi="Times New Roman"/>
          <w:b/>
          <w:sz w:val="20"/>
        </w:rPr>
        <w:t>current Bakkt operating agreement</w:t>
      </w:r>
      <w:r>
        <w:rPr>
          <w:rFonts w:ascii="Times New Roman" w:hAnsi="Times New Roman"/>
          <w:sz w:val="20"/>
        </w:rPr>
        <w:t xml:space="preserve">) will be further amended and restated in its entirety in substantially the form attached as </w:t>
      </w:r>
      <w:r>
        <w:rPr>
          <w:rFonts w:ascii="Times New Roman" w:hAnsi="Times New Roman"/>
          <w:i/>
          <w:sz w:val="20"/>
          <w:u w:val="single"/>
        </w:rPr>
        <w:t>Annex I</w:t>
      </w:r>
      <w:r>
        <w:rPr>
          <w:rFonts w:ascii="Times New Roman" w:hAnsi="Times New Roman"/>
          <w:i/>
          <w:sz w:val="20"/>
        </w:rPr>
        <w:t xml:space="preserve"> </w:t>
      </w:r>
      <w:r>
        <w:rPr>
          <w:rFonts w:ascii="Times New Roman" w:hAnsi="Times New Roman"/>
          <w:sz w:val="20"/>
        </w:rPr>
        <w:t xml:space="preserve">(the </w:t>
      </w:r>
      <w:r>
        <w:rPr>
          <w:rFonts w:ascii="Times New Roman" w:hAnsi="Times New Roman"/>
          <w:b/>
          <w:sz w:val="20"/>
        </w:rPr>
        <w:t>Surviving Company LLC Agreement</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Management </w:t>
      </w:r>
    </w:p>
    <w:p>
      <w:pPr>
        <w:pStyle w:val="TextBody"/>
        <w:spacing w:before="120" w:after="0"/>
        <w:jc w:val="left"/>
        <w:rPr>
          <w:rFonts w:ascii="Times New Roman" w:hAnsi="Times New Roman"/>
          <w:sz w:val="20"/>
        </w:rPr>
      </w:pPr>
      <w:r>
        <w:rPr>
          <w:rFonts w:ascii="Times New Roman" w:hAnsi="Times New Roman"/>
          <w:sz w:val="20"/>
        </w:rPr>
        <w:t>Bakkt Pubco, as the managing member of Bakkt Opco, will have the sole vote on most matters that require a vote of members under the Surviving Company LLC Agreement or applicable law. Holders constituting the </w:t>
      </w:r>
      <w:r>
        <w:rPr>
          <w:rFonts w:ascii="Times New Roman" w:hAnsi="Times New Roman"/>
          <w:b/>
          <w:sz w:val="20"/>
        </w:rPr>
        <w:t>Required Interest</w:t>
      </w:r>
      <w:r>
        <w:rPr>
          <w:rFonts w:ascii="Times New Roman" w:hAnsi="Times New Roman"/>
          <w:sz w:val="20"/>
        </w:rPr>
        <w:t xml:space="preserve">, which is defined as one or more members (excluding the managing member) holding a majority of the Bakkt Opco Common Units then owned by all of the members, excluding the Bakkt Opco Common Units held by the managing member or any members controlled by the managing member (unless no person other than the managing member holds Bakkt Opco Common Units, then the Required Interest will be the managing member), will have certain consent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Termination Transaction </w:t>
      </w:r>
    </w:p>
    <w:p>
      <w:pPr>
        <w:pStyle w:val="TextBody"/>
        <w:spacing w:before="240" w:after="0"/>
        <w:jc w:val="left"/>
        <w:rPr>
          <w:rFonts w:ascii="Times New Roman" w:hAnsi="Times New Roman"/>
          <w:sz w:val="20"/>
        </w:rPr>
      </w:pPr>
      <w:r>
        <w:rPr>
          <w:rFonts w:ascii="Times New Roman" w:hAnsi="Times New Roman"/>
          <w:sz w:val="20"/>
        </w:rPr>
        <w:t xml:space="preserve">The managing member may not, without the prior written consent of a Required Interest, engage in a Termination Transaction, which is defined as any direct or indirect transfer of all or any portion of the managing members interest in Bakkt Opco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Bakkt Opco; provided that, Termination Transaction will exclude (i) any direct or indirect transfers of equity securities of Bakkt Pubco by any stockholder or other holder thereof (other than any such transfers pursuant to a combination transaction described in the foregoing clause (a)) and (ii) any exchange in accordance with the terms of the Exchange Agreement. </w:t>
      </w:r>
    </w:p>
    <w:p>
      <w:pPr>
        <w:pStyle w:val="TextBody"/>
        <w:spacing w:before="360" w:after="0"/>
        <w:jc w:val="left"/>
        <w:rPr>
          <w:rFonts w:ascii="Times New Roman" w:hAnsi="Times New Roman"/>
          <w:i/>
          <w:sz w:val="20"/>
        </w:rPr>
      </w:pPr>
      <w:r>
        <w:rPr>
          <w:rFonts w:ascii="Times New Roman" w:hAnsi="Times New Roman"/>
          <w:i/>
          <w:sz w:val="20"/>
        </w:rPr>
        <w:t xml:space="preserve">Distributions </w:t>
      </w:r>
    </w:p>
    <w:p>
      <w:pPr>
        <w:pStyle w:val="TextBody"/>
        <w:spacing w:before="120" w:after="0"/>
        <w:jc w:val="left"/>
        <w:rPr>
          <w:rFonts w:ascii="Times New Roman" w:hAnsi="Times New Roman"/>
          <w:sz w:val="20"/>
        </w:rPr>
      </w:pPr>
      <w:r>
        <w:rPr>
          <w:rFonts w:ascii="Times New Roman" w:hAnsi="Times New Roman"/>
          <w:sz w:val="20"/>
        </w:rPr>
        <w:t xml:space="preserve">Bakkt Pubco, as managing member of Bakkt Opco may, in its sole discretion, authorize distributions to the Bakkt Opco members. All such distributions will be made </w:t>
      </w:r>
      <w:r>
        <w:rPr>
          <w:rFonts w:ascii="Times New Roman" w:hAnsi="Times New Roman"/>
          <w:i/>
          <w:sz w:val="20"/>
        </w:rPr>
        <w:t>pro rata</w:t>
      </w:r>
      <w:r>
        <w:rPr>
          <w:rFonts w:ascii="Times New Roman" w:hAnsi="Times New Roman"/>
          <w:sz w:val="20"/>
        </w:rPr>
        <w:t xml:space="preserve"> in accordance with each members interest in Bakkt Opco, which is based on the number of Bakkt Opco Common Units held by a member bears to the total number of Bakkt Opco Common Units owned by all of the members. </w:t>
      </w:r>
    </w:p>
    <w:p>
      <w:pPr>
        <w:pStyle w:val="TextBody"/>
        <w:spacing w:before="240" w:after="0"/>
        <w:jc w:val="left"/>
        <w:rPr>
          <w:rFonts w:ascii="Times New Roman" w:hAnsi="Times New Roman"/>
          <w:sz w:val="20"/>
        </w:rPr>
      </w:pPr>
      <w:r>
        <w:rPr>
          <w:rFonts w:ascii="Times New Roman" w:hAnsi="Times New Roman"/>
          <w:sz w:val="20"/>
        </w:rPr>
        <w:t xml:space="preserve">The Surviving Company LLC Agreement will provide for cash distributions, which are referred to as tax distributions, to the holders of Bakkt Opco Common Units. Generally, these tax distributions will be the </w:t>
      </w:r>
      <w:r>
        <w:rPr>
          <w:rFonts w:ascii="Times New Roman" w:hAnsi="Times New Roman"/>
          <w:i/>
          <w:sz w:val="20"/>
        </w:rPr>
        <w:t xml:space="preserve">pro rata </w:t>
      </w:r>
      <w:r>
        <w:rPr>
          <w:rFonts w:ascii="Times New Roman" w:hAnsi="Times New Roman"/>
          <w:sz w:val="20"/>
        </w:rPr>
        <w:t xml:space="preserve">distribution amount necessary to permit Bakkt Pubco to receive an aggregate annual tax distribution that is not less than the sum of (a) Bakkt Pubcos U.S. federal, state, local and non-U.S. income tax liabilities plus (b) the amount necessary to satisfy Bakkt Pubcos payment obligations pursuant to the Tax Receivable Agreement. </w:t>
      </w:r>
    </w:p>
    <w:p>
      <w:pPr>
        <w:pStyle w:val="TextBody"/>
        <w:spacing w:before="240" w:after="0"/>
        <w:jc w:val="left"/>
        <w:rPr>
          <w:rFonts w:ascii="Times New Roman" w:hAnsi="Times New Roman"/>
          <w:sz w:val="20"/>
        </w:rPr>
      </w:pPr>
      <w:r>
        <w:rPr>
          <w:rFonts w:ascii="Times New Roman" w:hAnsi="Times New Roman"/>
          <w:sz w:val="20"/>
        </w:rPr>
        <w:t xml:space="preserve">Upon the liquidation or winding up of Bakkt Opco, all net proceeds thereof will be distributed to the holders of Bakkt Opco Common Units, </w:t>
      </w:r>
      <w:r>
        <w:rPr>
          <w:rFonts w:ascii="Times New Roman" w:hAnsi="Times New Roman"/>
          <w:i/>
          <w:sz w:val="20"/>
        </w:rPr>
        <w:t>pro rata</w:t>
      </w:r>
      <w:r>
        <w:rPr>
          <w:rFonts w:ascii="Times New Roman" w:hAnsi="Times New Roman"/>
          <w:sz w:val="20"/>
        </w:rPr>
        <w:t xml:space="preserve"> based on their percentage interests of Bakkt Opco Common Units. </w:t>
      </w:r>
    </w:p>
    <w:p>
      <w:pPr>
        <w:pStyle w:val="TextBody"/>
        <w:spacing w:before="360" w:after="0"/>
        <w:jc w:val="left"/>
        <w:rPr>
          <w:rFonts w:ascii="Times New Roman" w:hAnsi="Times New Roman"/>
          <w:i/>
          <w:sz w:val="20"/>
        </w:rPr>
      </w:pPr>
      <w:r>
        <w:rPr>
          <w:rFonts w:ascii="Times New Roman" w:hAnsi="Times New Roman"/>
          <w:i/>
          <w:sz w:val="20"/>
        </w:rPr>
        <w:t xml:space="preserve">Transfer Restrictions </w:t>
      </w:r>
    </w:p>
    <w:p>
      <w:pPr>
        <w:pStyle w:val="TextBody"/>
        <w:spacing w:before="120" w:after="0"/>
        <w:jc w:val="left"/>
        <w:rPr>
          <w:rFonts w:ascii="Times New Roman" w:hAnsi="Times New Roman"/>
          <w:sz w:val="20"/>
        </w:rPr>
      </w:pPr>
      <w:r>
        <w:rPr>
          <w:rFonts w:ascii="Times New Roman" w:hAnsi="Times New Roman"/>
          <w:sz w:val="20"/>
        </w:rPr>
        <w:t>The Surviving Company LLC Agreement will contain restrictions on transfers of Bakkt Opco Common Units (which are substantially identical to the transfer restricts in the Stockholders Agreement, see </w:t>
      </w:r>
      <w:r>
        <w:rPr>
          <w:rFonts w:ascii="Times New Roman" w:hAnsi="Times New Roman"/>
          <w:i/>
          <w:sz w:val="20"/>
        </w:rPr>
        <w:t>Related AgreementsStockholders AgreementLock-Up</w:t>
      </w:r>
      <w:r>
        <w:rPr>
          <w:rFonts w:ascii="Times New Roman" w:hAnsi="Times New Roman"/>
          <w:sz w:val="20"/>
        </w:rPr>
        <w:t xml:space="preserve"> for additional detail) and will require the prior consent of the managing member for such transfers, except, in each case, for (a) certain transfers to permitted transferees under certain conditions and (b) exchanges of Bakkt Opco Common Units for Bakkt Pubco Class A Shares pursuant to the Exchange Agreement. </w:t>
      </w:r>
    </w:p>
    <w:p>
      <w:pPr>
        <w:pStyle w:val="TextBody"/>
        <w:spacing w:before="360" w:after="0"/>
        <w:jc w:val="left"/>
        <w:rPr>
          <w:rFonts w:ascii="Times New Roman" w:hAnsi="Times New Roman"/>
          <w:b/>
          <w:i/>
          <w:sz w:val="20"/>
        </w:rPr>
      </w:pPr>
      <w:bookmarkStart w:id="54" w:name="2a"/>
      <w:bookmarkEnd w:id="54"/>
      <w:r>
        <w:rPr>
          <w:rFonts w:ascii="Times New Roman" w:hAnsi="Times New Roman"/>
          <w:b/>
          <w:i/>
          <w:sz w:val="20"/>
        </w:rPr>
        <w:t xml:space="preserve">Exchange Agreement </w:t>
      </w:r>
    </w:p>
    <w:p>
      <w:pPr>
        <w:pStyle w:val="TextBody"/>
        <w:spacing w:before="120" w:after="0"/>
        <w:jc w:val="left"/>
        <w:rPr>
          <w:rFonts w:ascii="Times New Roman" w:hAnsi="Times New Roman"/>
          <w:sz w:val="20"/>
        </w:rPr>
      </w:pPr>
      <w:r>
        <w:rPr>
          <w:rFonts w:ascii="Times New Roman" w:hAnsi="Times New Roman"/>
          <w:sz w:val="20"/>
        </w:rPr>
        <w:t xml:space="preserve">Concurrently with the completion of the Merger, Bakkt Pubco, Bakkt Opco and certain exchanging Bakkt Equity Holders will enter into the Exchange Agreement, which will provide for the exchange of Bakkt Opco Common Units into shares of Bakkt Pubco Class A Shares or cash in substantially the form attached as </w:t>
      </w:r>
      <w:r>
        <w:rPr>
          <w:rFonts w:ascii="Times New Roman" w:hAnsi="Times New Roman"/>
          <w:i/>
          <w:sz w:val="20"/>
          <w:u w:val="single"/>
        </w:rPr>
        <w:t>Annex D</w:t>
      </w:r>
      <w:r>
        <w:rPr>
          <w:rFonts w:ascii="Times New Roman" w:hAnsi="Times New Roman"/>
          <w:sz w:val="20"/>
        </w:rPr>
        <w:t xml:space="preserve"> (the </w:t>
      </w:r>
      <w:r>
        <w:rPr>
          <w:rFonts w:ascii="Times New Roman" w:hAnsi="Times New Roman"/>
          <w:b/>
          <w:sz w:val="20"/>
        </w:rPr>
        <w:t>Exchange Agreement</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Exchange Mechanics </w:t>
      </w:r>
    </w:p>
    <w:p>
      <w:pPr>
        <w:pStyle w:val="TextBody"/>
        <w:spacing w:before="120" w:after="0"/>
        <w:jc w:val="left"/>
        <w:rPr>
          <w:rFonts w:ascii="Times New Roman" w:hAnsi="Times New Roman"/>
          <w:sz w:val="20"/>
        </w:rPr>
      </w:pPr>
      <w:r>
        <w:rPr>
          <w:rFonts w:ascii="Times New Roman" w:hAnsi="Times New Roman"/>
          <w:sz w:val="20"/>
        </w:rPr>
        <w:t>Holders of Bakkt Opco Common Units will, after the six-month anniversary of the Closing, at any time and from time to time but no more than once per calendar month without the prior consent of Bakkt Pubco and Bakkt Opco, be able to exchange (an </w:t>
      </w:r>
      <w:r>
        <w:rPr>
          <w:rFonts w:ascii="Times New Roman" w:hAnsi="Times New Roman"/>
          <w:b/>
          <w:sz w:val="20"/>
        </w:rPr>
        <w:t>Exchange</w:t>
      </w:r>
      <w:r>
        <w:rPr>
          <w:rFonts w:ascii="Times New Roman" w:hAnsi="Times New Roman"/>
          <w:sz w:val="20"/>
        </w:rPr>
        <w:t xml:space="preserve">) all or any portion of such vested Bakkt Opco Common Units (along with the cancelation of the paired Bakkt Pubco Class V Shares) for Bakkt Pubco Class A Shares, provided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 holder of Bakkt Opco Common Units may exchange less than 25,000 Bakkt Opco Common Units in any single exchange unless exchanging all of his, her or its Bakkt Opco Common Units. Bakkt Pubco may in lieu of delivering Bakkt Pubco Class A Shares for any Bakkt Opco Common Units surrendered for exchange, subject to certain adjustments of the exchange rate as described below, pay an amount in cash per Bakkt Opco Common Units equal to the volume weighted average price per Bakkt Pubco Class A Share over the five consecutive full trading days ending on and including the last full trading day immediately prior to the date of the receipt of the written notice of the exchange. </w:t>
      </w:r>
    </w:p>
    <w:p>
      <w:pPr>
        <w:pStyle w:val="TextBody"/>
        <w:spacing w:before="360" w:after="0"/>
        <w:jc w:val="left"/>
        <w:rPr>
          <w:rFonts w:ascii="Times New Roman" w:hAnsi="Times New Roman"/>
          <w:i/>
          <w:sz w:val="20"/>
        </w:rPr>
      </w:pPr>
      <w:r>
        <w:rPr>
          <w:rFonts w:ascii="Times New Roman" w:hAnsi="Times New Roman"/>
          <w:i/>
          <w:sz w:val="20"/>
        </w:rPr>
        <w:t xml:space="preserve">Exchange Rate </w:t>
      </w:r>
    </w:p>
    <w:p>
      <w:pPr>
        <w:pStyle w:val="TextBody"/>
        <w:spacing w:before="120" w:after="0"/>
        <w:jc w:val="left"/>
        <w:rPr>
          <w:rFonts w:ascii="Times New Roman" w:hAnsi="Times New Roman"/>
          <w:sz w:val="20"/>
        </w:rPr>
      </w:pPr>
      <w:r>
        <w:rPr>
          <w:rFonts w:ascii="Times New Roman" w:hAnsi="Times New Roman"/>
          <w:sz w:val="20"/>
        </w:rPr>
        <w:t xml:space="preserve">The initial exchange rate will be one Bakkt Opco Common Unit and the cancellation of one Bakkt Pubco Class V Share for one Bakkt Pubco Class A Share. The exchange rate will be adjusted for any subdivision (by unit split, unit distribution, reclassification, reorganization, recapitalization or otherwise) or combination (by reverse unit split, reclassification, reorganization, recapitalization or otherwise) of the Bakkt Opco Common Units or the paired Bakkt Pubco Class V Shares that is not accompanied by an identical subdivision or combination of Bakkt Pubco Class A Shares or, by any such subdivision or combination of the Bakkt Pubco Class A Shares that is not accompanied by an identical subdivision or combination of the Bakkt Opco Common Units and the paired Bakkt Pubco Class V Shares. If the Bakkt Pubco Class A Shares are converted or changed into another security, securities or other property, on any subsequent exchange an exchanging holder of Bakkt Opco Common Units will be entitled to receive such security, securities or other property. </w:t>
      </w:r>
    </w:p>
    <w:p>
      <w:pPr>
        <w:pStyle w:val="TextBody"/>
        <w:spacing w:before="360" w:after="0"/>
        <w:jc w:val="left"/>
        <w:rPr>
          <w:rFonts w:ascii="Times New Roman" w:hAnsi="Times New Roman"/>
          <w:i/>
          <w:sz w:val="20"/>
        </w:rPr>
      </w:pPr>
      <w:r>
        <w:rPr>
          <w:rFonts w:ascii="Times New Roman" w:hAnsi="Times New Roman"/>
          <w:i/>
          <w:sz w:val="20"/>
        </w:rPr>
        <w:t xml:space="preserve">Restrictions on Exchange </w:t>
      </w:r>
    </w:p>
    <w:p>
      <w:pPr>
        <w:pStyle w:val="TextBody"/>
        <w:spacing w:before="120" w:after="0"/>
        <w:jc w:val="left"/>
        <w:rPr>
          <w:rFonts w:ascii="Times New Roman" w:hAnsi="Times New Roman"/>
          <w:sz w:val="20"/>
        </w:rPr>
      </w:pPr>
      <w:r>
        <w:rPr>
          <w:rFonts w:ascii="Times New Roman" w:hAnsi="Times New Roman"/>
          <w:sz w:val="20"/>
        </w:rPr>
        <w:t xml:space="preserve">Bakkt Pubco may refuse to effect an exchange if Bakkt Pubco determines that an exchange would violate applicable law (including securities laws), or not be permitted under other agreements between the exchanging Bakkt Opco Common Units with Bakkt Pubco or its subsidiaries, including the Surviving Company LLC Agreement or any written policies of Bakkt Pubco related to unlawful or inappropriate trading applicable to its directors, officers or other personnel. </w:t>
      </w:r>
    </w:p>
    <w:p>
      <w:pPr>
        <w:pStyle w:val="TextBody"/>
        <w:spacing w:before="360" w:after="0"/>
        <w:jc w:val="left"/>
        <w:rPr>
          <w:rFonts w:ascii="Times New Roman" w:hAnsi="Times New Roman"/>
          <w:i/>
          <w:sz w:val="20"/>
        </w:rPr>
      </w:pPr>
      <w:r>
        <w:rPr>
          <w:rFonts w:ascii="Times New Roman" w:hAnsi="Times New Roman"/>
          <w:i/>
          <w:sz w:val="20"/>
        </w:rPr>
        <w:t xml:space="preserve">Expenses </w:t>
      </w:r>
    </w:p>
    <w:p>
      <w:pPr>
        <w:pStyle w:val="TextBody"/>
        <w:spacing w:before="120" w:after="0"/>
        <w:jc w:val="left"/>
        <w:rPr>
          <w:rFonts w:ascii="Times New Roman" w:hAnsi="Times New Roman"/>
          <w:sz w:val="20"/>
        </w:rPr>
      </w:pPr>
      <w:r>
        <w:rPr>
          <w:rFonts w:ascii="Times New Roman" w:hAnsi="Times New Roman"/>
          <w:sz w:val="20"/>
        </w:rPr>
        <w:t xml:space="preserve">Bakkt Opco and each holder of Bakkt Opco Common Units will bear its own expenses regarding the exchange except that Bakkt Opco will be responsible for any transfer taxes, stamp taxes or duties or other similar taxes (unless the holder has requested the Bakkt Pubco Class A Shares to be issued in the name of another holder). </w:t>
      </w:r>
    </w:p>
    <w:p>
      <w:pPr>
        <w:pStyle w:val="TextBody"/>
        <w:spacing w:before="360" w:after="0"/>
        <w:jc w:val="left"/>
        <w:rPr>
          <w:rFonts w:ascii="Times New Roman" w:hAnsi="Times New Roman"/>
          <w:b/>
          <w:i/>
          <w:sz w:val="20"/>
        </w:rPr>
      </w:pPr>
      <w:bookmarkStart w:id="55" w:name="4b"/>
      <w:bookmarkEnd w:id="55"/>
      <w:r>
        <w:rPr>
          <w:rFonts w:ascii="Times New Roman" w:hAnsi="Times New Roman"/>
          <w:b/>
          <w:i/>
          <w:sz w:val="20"/>
        </w:rPr>
        <w:t xml:space="preserve">Tax Receivable Agreement </w:t>
      </w:r>
    </w:p>
    <w:p>
      <w:pPr>
        <w:pStyle w:val="TextBody"/>
        <w:spacing w:before="120" w:after="0"/>
        <w:jc w:val="left"/>
        <w:rPr>
          <w:rFonts w:ascii="Times New Roman" w:hAnsi="Times New Roman"/>
          <w:sz w:val="20"/>
        </w:rPr>
      </w:pPr>
      <w:r>
        <w:rPr>
          <w:rFonts w:ascii="Times New Roman" w:hAnsi="Times New Roman"/>
          <w:sz w:val="20"/>
        </w:rPr>
        <w:t xml:space="preserve">Concurrently with the Closing, Bakkt Pubco and certain Bakkt Equity Holders will enter into the Tax Receivable Agreement in substantially the form attached as </w:t>
      </w:r>
      <w:r>
        <w:rPr>
          <w:rFonts w:ascii="Times New Roman" w:hAnsi="Times New Roman"/>
          <w:i/>
          <w:sz w:val="20"/>
          <w:u w:val="single"/>
        </w:rPr>
        <w:t>Annex G</w:t>
      </w:r>
      <w:r>
        <w:rPr>
          <w:rFonts w:ascii="Times New Roman" w:hAnsi="Times New Roman"/>
          <w:sz w:val="20"/>
        </w:rPr>
        <w:t xml:space="preserve"> (the </w:t>
      </w:r>
      <w:r>
        <w:rPr>
          <w:rFonts w:ascii="Times New Roman" w:hAnsi="Times New Roman"/>
          <w:b/>
          <w:sz w:val="20"/>
        </w:rPr>
        <w:t>Tax Receivable Agreement</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Payment and Tax Benefits </w:t>
      </w:r>
    </w:p>
    <w:p>
      <w:pPr>
        <w:pStyle w:val="TextBody"/>
        <w:spacing w:before="120" w:after="0"/>
        <w:jc w:val="left"/>
        <w:rPr>
          <w:rFonts w:ascii="Times New Roman" w:hAnsi="Times New Roman"/>
          <w:sz w:val="20"/>
        </w:rPr>
      </w:pPr>
      <w:r>
        <w:rPr>
          <w:rFonts w:ascii="Times New Roman" w:hAnsi="Times New Roman"/>
          <w:sz w:val="20"/>
        </w:rPr>
        <w:t xml:space="preserve">Holders of Bakkt Opco Common Units may, subject to certain conditions, from and after the six-month anniversary of the date of the Closing, exchange such Bakkt Opco Common Units for Bakkt Pubco Class A Shares on a one-for-one basis, subject to the terms of the Exchange Agreement, including Bakkt Pubcos right to elect to deliver cash in lieu of Bakkt Pubco Class A Shares and, in certain cases, adjustments as set forth therein. Bakkt Opco will have in effect an election under Section 754 of the Code for each taxable year in which an exchange of Bakkt Opco Common Units for Bakkt Pubco Class A Shares (or cash) occurs. </w:t>
      </w:r>
    </w:p>
    <w:p>
      <w:pPr>
        <w:pStyle w:val="TextBody"/>
        <w:spacing w:before="240" w:after="0"/>
        <w:jc w:val="left"/>
        <w:rPr>
          <w:rFonts w:ascii="Times New Roman" w:hAnsi="Times New Roman"/>
          <w:sz w:val="20"/>
        </w:rPr>
      </w:pPr>
      <w:r>
        <w:rPr>
          <w:rFonts w:ascii="Times New Roman" w:hAnsi="Times New Roman"/>
          <w:sz w:val="20"/>
        </w:rPr>
        <w:t xml:space="preserve">The exchanges are expected to result in increases in the tax basis of the tangible and intangible assets of Bakkt Opco. These increases in tax basis may reduce the amount of tax that Bakkt Pubco would otherwise be required to pay in the future. These increases in tax basis may also decrease gains (or increase losses) on future dispositions of certain capital assets to the extent tax basis is allocated to those capital assets.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Tax Receivable Agreement provides for the payment by Bakkt Pubco to exchanging holders of Bakkt Opco Common Units of 85% of certain net income tax benefits, if any, that Bakkt Pubco realizes (or in certain cases is deemed to realize) as a result of these increases in tax basis and certain other tax attributes of Bakkt Opco and tax benefits related to entering into the Tax Receivable Agreement, including tax benefits attributable to payments under the Tax Receivable Agreement. This payment obligation is an obligation of Bakkt Pubco and not of Bakkt Opco. For purposes of the Tax Receivable Agreement, the cash tax savings in income tax will be computed by comparing the actual income tax liability of Bakkt Pubco (calculated with certain assumptions) to the amount of such taxes that Bakkt Pubco would have been required to pay had there been no increase (or decrease) to the tax basis of the assets of Bakkt Opco as a result of Bakkt Opco having an election in effect under Section 754 of the Code for each taxable year in which an exchange of Bakkt Opco Common Units for Bakkt Pubco Class A Shares occurs and had Bakkt Pubco not entered into the Tax Receivable Agreement. Such increase or decrease will be calculated under the Tax Receivable Agreement without regard to any transfers of Bakkt Opco Common Units or distributions with respect to such Bakkt Opco Common Units before the exchange under the Exchange Agreement to which Section 743(b) or 734(b) of the Code applies. </w:t>
      </w:r>
    </w:p>
    <w:p>
      <w:pPr>
        <w:pStyle w:val="TextBody"/>
        <w:spacing w:before="360" w:after="0"/>
        <w:jc w:val="left"/>
        <w:rPr>
          <w:rFonts w:ascii="Times New Roman" w:hAnsi="Times New Roman"/>
          <w:i/>
          <w:sz w:val="20"/>
        </w:rPr>
      </w:pPr>
      <w:r>
        <w:rPr>
          <w:rFonts w:ascii="Times New Roman" w:hAnsi="Times New Roman"/>
          <w:i/>
          <w:sz w:val="20"/>
        </w:rPr>
        <w:t xml:space="preserve">Term </w:t>
      </w:r>
    </w:p>
    <w:p>
      <w:pPr>
        <w:pStyle w:val="TextBody"/>
        <w:spacing w:before="120" w:after="0"/>
        <w:jc w:val="left"/>
        <w:rPr>
          <w:rFonts w:ascii="Times New Roman" w:hAnsi="Times New Roman"/>
          <w:sz w:val="20"/>
        </w:rPr>
      </w:pPr>
      <w:r>
        <w:rPr>
          <w:rFonts w:ascii="Times New Roman" w:hAnsi="Times New Roman"/>
          <w:sz w:val="20"/>
        </w:rPr>
        <w:t xml:space="preserve">The term of the Tax Receivable Agreement will continue until all payment obligations have been satisfied unless Bakkt Pubco, with the written approval of the majority of the independent directors, exercises its right to terminate the Tax Receivable Agreement for an amount representing the present value of anticipated future tax benefits or the Tax Receivable Agreement is otherwise terminated early on the terms and conditions set forth in the Tax Receivable Agreement, including, without limitation, due to certain material breaches by Bakkt Pubco of its material obligations under the Tax Receivable Agreement or certain change of control events of Bakkt Pubco. </w:t>
      </w:r>
    </w:p>
    <w:p>
      <w:pPr>
        <w:pStyle w:val="TextBody"/>
        <w:spacing w:before="360" w:after="0"/>
        <w:jc w:val="left"/>
        <w:rPr>
          <w:rFonts w:ascii="Times New Roman" w:hAnsi="Times New Roman"/>
          <w:i/>
          <w:sz w:val="20"/>
        </w:rPr>
      </w:pPr>
      <w:r>
        <w:rPr>
          <w:rFonts w:ascii="Times New Roman" w:hAnsi="Times New Roman"/>
          <w:i/>
          <w:sz w:val="20"/>
        </w:rPr>
        <w:t xml:space="preserve">Payments under the Tax Receivable Agreement </w:t>
      </w:r>
    </w:p>
    <w:p>
      <w:pPr>
        <w:pStyle w:val="TextBody"/>
        <w:spacing w:before="120" w:after="0"/>
        <w:jc w:val="left"/>
        <w:rPr>
          <w:rFonts w:ascii="Times New Roman" w:hAnsi="Times New Roman"/>
          <w:sz w:val="20"/>
        </w:rPr>
      </w:pPr>
      <w:r>
        <w:rPr>
          <w:rFonts w:ascii="Times New Roman" w:hAnsi="Times New Roman"/>
          <w:sz w:val="20"/>
        </w:rPr>
        <w:t xml:space="preserve">Estimating the amount of payments that may be made under the Tax Receivable Agreement is by its nature imprecise, insofar as the calculation of amounts payable depends on a variety of factors. The actual increase in tax basis, as well as the amount and timing of any payments under the Tax Receivable Agreement, will vary depending upon a number of factors,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timing of exchangesfor instance, the increase in any tax deductions will vary depending on the fair market value, which may fluctuate over time, of the depreciable or amortizable assets of Bakkt Opco at the time of each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price of Bakkt Pubco Class A Shares at the time of each exchangethe increase in any tax deductions, as well as the tax basis increase in other assets of Bakkt Opco, is directly proportional to the price of Bakkt Pubco Class A Shares at the time of each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extent to which such exchanges are taxableif an exchange is not taxable for any reason, increased deductions may not be available;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and timing of Bakkt Pubcos incomeBakkt Pubco will be required to pay 85% of certain net income tax benefits as and when realized, under the terms of the Tax Receivable Agreement. Except as discussed above with respect to a material breach of a material obligation under the Tax Receivable Agreement, a change of control, or other circumstances requiring an early termination of the Tax Receivable Agreement, if Bakkt Pubco does not have taxable income, it generally will not be required to make payments under the Tax Receivable Agreement for that taxable year because no tax benefits will have actually been realized. However, any tax benefits that do not result in realized benefits in a given tax year will likely generate tax attributes that may be utilized to generate benefits in previous or future tax years. The utilization of such tax attributes will result in payments under the Tax Receivable Agreement. </w:t>
            </w:r>
          </w:p>
        </w:tc>
      </w:tr>
    </w:tbl>
    <w:p>
      <w:pPr>
        <w:pStyle w:val="TextBody"/>
        <w:spacing w:before="360" w:after="0"/>
        <w:jc w:val="left"/>
        <w:rPr>
          <w:rFonts w:ascii="Times New Roman" w:hAnsi="Times New Roman"/>
          <w:b/>
          <w:i/>
          <w:sz w:val="20"/>
        </w:rPr>
      </w:pPr>
      <w:bookmarkStart w:id="56" w:name="3a"/>
      <w:bookmarkEnd w:id="56"/>
      <w:r>
        <w:rPr>
          <w:rFonts w:ascii="Times New Roman" w:hAnsi="Times New Roman"/>
          <w:b/>
          <w:i/>
          <w:sz w:val="20"/>
        </w:rPr>
        <w:t xml:space="preserve">Subscription Agreement </w:t>
      </w:r>
    </w:p>
    <w:p>
      <w:pPr>
        <w:pStyle w:val="TextBody"/>
        <w:spacing w:before="120" w:after="0"/>
        <w:jc w:val="left"/>
        <w:rPr>
          <w:rFonts w:ascii="Times New Roman" w:hAnsi="Times New Roman"/>
          <w:sz w:val="20"/>
        </w:rPr>
      </w:pPr>
      <w:r>
        <w:rPr>
          <w:rFonts w:ascii="Times New Roman" w:hAnsi="Times New Roman"/>
          <w:sz w:val="20"/>
        </w:rPr>
        <w:t xml:space="preserve">In connection with the execution of the Merger Agreement, VIH entered into Subscription Agreements with the PIPE Investors, pursuant to which the PIPE Investors agreed to purchase Bakkt Pubco Class A Shares at $10.00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 share for an aggregate commitment amount of $325,000,000 (or 32,500,000 Bakkt Pubco Class A Shares). The closings under the Subscription Agreements will occur substantially concurrently with the Closing. </w:t>
      </w:r>
    </w:p>
    <w:p>
      <w:pPr>
        <w:pStyle w:val="TextBody"/>
        <w:spacing w:before="240" w:after="0"/>
        <w:jc w:val="left"/>
        <w:rPr>
          <w:rFonts w:ascii="Times New Roman" w:hAnsi="Times New Roman"/>
          <w:sz w:val="20"/>
        </w:rPr>
      </w:pPr>
      <w:r>
        <w:rPr>
          <w:rFonts w:ascii="Times New Roman" w:hAnsi="Times New Roman"/>
          <w:sz w:val="20"/>
        </w:rPr>
        <w:t>The Subscription Agreements provide that VIH is required to file with the SEC, within 30 days after the Closing (the </w:t>
      </w:r>
      <w:r>
        <w:rPr>
          <w:rFonts w:ascii="Times New Roman" w:hAnsi="Times New Roman"/>
          <w:b/>
          <w:sz w:val="20"/>
        </w:rPr>
        <w:t>Filing Deadline</w:t>
      </w:r>
      <w:r>
        <w:rPr>
          <w:rFonts w:ascii="Times New Roman" w:hAnsi="Times New Roman"/>
          <w:sz w:val="20"/>
        </w:rPr>
        <w:t xml:space="preserve">), a registration statement registering the resale of the Bakkt Pubco Class A Shares to be issued to any PIPE Investor and to use its commercially reasonable efforts to have such registration statement declared effective as soon as practicable after the filing thereof but no later than the earlier of (a) the 60th calendar day (or 90th calendar day if the SEC notifies the VIH that it will review such registration statement) following the Closing and Filing Deadline and (b) the 10th business day after the date VIH is notified by the SEC that such registration statement will not be reviewed or will not be subject to further review. </w:t>
      </w:r>
    </w:p>
    <w:p>
      <w:pPr>
        <w:pStyle w:val="TextBody"/>
        <w:spacing w:before="240" w:after="0"/>
        <w:jc w:val="left"/>
        <w:rPr>
          <w:rFonts w:ascii="Times New Roman" w:hAnsi="Times New Roman"/>
          <w:sz w:val="20"/>
        </w:rPr>
      </w:pPr>
      <w:r>
        <w:rPr>
          <w:rFonts w:ascii="Times New Roman" w:hAnsi="Times New Roman"/>
          <w:sz w:val="20"/>
        </w:rPr>
        <w:t xml:space="preserve">Additionally, pursuant to the Subscription Agreements, the PIPE Investors agreed to waive any claims that they may have at the Closing or in the future as a result of, or arising out of, the Subscription Agreements against VIH with respect to the Trust Account. The Subscription Agreements will terminate, and be of no further force and effect, upon the earlier to occur of (a) such date and time as the Merger Agreement is terminated in accordance with its terms, (b) upon the mutual written agreement of Bakkt, VIH and the applicable PIPE Investor, (c) if any of the conditions to Closing in the Subscription Agreement are not satisfied or waived on or prior to the Closing and, as a result thereof, the transactions contemplated by the Subscription Agreement are not consummated at the Closing, or (d) December 31, 2021. </w:t>
      </w:r>
    </w:p>
    <w:p>
      <w:pPr>
        <w:pStyle w:val="TextBody"/>
        <w:spacing w:before="360" w:after="0"/>
        <w:jc w:val="left"/>
        <w:rPr>
          <w:rFonts w:ascii="Times New Roman" w:hAnsi="Times New Roman"/>
          <w:b/>
          <w:sz w:val="20"/>
        </w:rPr>
      </w:pPr>
      <w:r>
        <w:rPr>
          <w:rFonts w:ascii="Times New Roman" w:hAnsi="Times New Roman"/>
          <w:b/>
          <w:sz w:val="20"/>
        </w:rPr>
        <w:t xml:space="preserve">Background of the Business Combination </w:t>
      </w:r>
    </w:p>
    <w:p>
      <w:pPr>
        <w:pStyle w:val="TextBody"/>
        <w:spacing w:before="120" w:after="0"/>
        <w:jc w:val="left"/>
        <w:rPr>
          <w:rFonts w:ascii="Times New Roman" w:hAnsi="Times New Roman"/>
          <w:sz w:val="20"/>
        </w:rPr>
      </w:pPr>
      <w:r>
        <w:rPr>
          <w:rFonts w:ascii="Times New Roman" w:hAnsi="Times New Roman"/>
          <w:sz w:val="20"/>
        </w:rPr>
        <w:t xml:space="preserve">VIH is a blank check company that was incorporated on July 31, 2020 as a Cayman Islands exempted company for the purpose of effecting a merger, share exchange, asset acquisition, share purchase, reorganization or similar business combination with one or more businesses. The Business Combination was the result of an extensive search for a potential transaction utilizing the global network and investing and operating experience of our management team and the VIH Board. The terms of the Business Combination are the result of negotiations among the representatives of VIH and Bakkt. The following is a description of the background of these negotiations and the resulting Business Combination. </w:t>
      </w:r>
    </w:p>
    <w:p>
      <w:pPr>
        <w:pStyle w:val="TextBody"/>
        <w:spacing w:before="240" w:after="0"/>
        <w:jc w:val="left"/>
        <w:rPr>
          <w:rFonts w:ascii="Times New Roman" w:hAnsi="Times New Roman"/>
          <w:sz w:val="20"/>
        </w:rPr>
      </w:pPr>
      <w:r>
        <w:rPr>
          <w:rFonts w:ascii="Times New Roman" w:hAnsi="Times New Roman"/>
          <w:sz w:val="20"/>
        </w:rPr>
        <w:t xml:space="preserve">Prior to the consummation of the IPO on September 25, 2020, neither VIH, nor anyone on VIHs behalf, selected any specific target business, contacted any prospective target business or had any substantive discussions, formal or otherwise, with respect to a transaction with VIH. </w:t>
      </w:r>
    </w:p>
    <w:p>
      <w:pPr>
        <w:pStyle w:val="TextBody"/>
        <w:spacing w:before="240" w:after="0"/>
        <w:jc w:val="left"/>
        <w:rPr>
          <w:rFonts w:ascii="Times New Roman" w:hAnsi="Times New Roman"/>
          <w:sz w:val="20"/>
        </w:rPr>
      </w:pPr>
      <w:r>
        <w:rPr>
          <w:rFonts w:ascii="Times New Roman" w:hAnsi="Times New Roman"/>
          <w:sz w:val="20"/>
        </w:rPr>
        <w:t xml:space="preserve">The prospectus for the IPO states that VIH intended to use the following general criteria and guidelines to evaluate potential acquisition opportunities: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high-growth financial technology (</w:t>
            </w:r>
            <w:r>
              <w:rPr>
                <w:rFonts w:ascii="Times New Roman" w:hAnsi="Times New Roman"/>
                <w:b/>
                <w:sz w:val="20"/>
              </w:rPr>
              <w:t>fintech</w:t>
            </w:r>
            <w:r>
              <w:rPr>
                <w:rFonts w:ascii="Times New Roman" w:hAnsi="Times New Roman"/>
                <w:sz w:val="20"/>
              </w:rPr>
              <w:t xml:space="preserve">) businesses which operate within large and expanding markets with significant whitespace opportunity;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meaningful scale and whose products and/or services are materially differentiated from competitors creating meaningful barriers to entry for new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operate a superior unit economic model which either currently or over time are expected to generate profitable, stable and predictable cash flow generation for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capital inflection point where significant risk-adjusted shareholder value can be generated through a business combination and resulting access to the broader equity capital markets to drive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possess a best-in-class management team with a track record of success in driving growth and profitability within the fintech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 superior and scalable risk management, underwriting, data analytics, monitoring and reporting processes;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promote financial inclusion and provide significant value to the underlying end consumer or enterprise through a lowering of transaction costs or through providing access to high-quality financial services.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After completion of the IPO, VIHs officers and directors commenced an active search for prospective businesses or assets to acquire in its initial business combination. Representatives of VIH were contacted by, and representatives of VIH contacted, numerous individuals, financial advisors, business owners and other entities who offered to present ideas for business combination opportunities. VIHs officers and directors and their affiliates actively searched for and brought business combination targets to VIHs attention. </w:t>
      </w:r>
    </w:p>
    <w:p>
      <w:pPr>
        <w:pStyle w:val="TextBody"/>
        <w:spacing w:before="240" w:after="0"/>
        <w:jc w:val="left"/>
        <w:rPr>
          <w:rFonts w:ascii="Times New Roman" w:hAnsi="Times New Roman"/>
          <w:sz w:val="20"/>
        </w:rPr>
      </w:pPr>
      <w:r>
        <w:rPr>
          <w:rFonts w:ascii="Times New Roman" w:hAnsi="Times New Roman"/>
          <w:sz w:val="20"/>
        </w:rPr>
        <w:t>On September 29, 2020, the VIH Board met with certain members of senior leadership and the investment team of Victory Park Capital Advisors, LLC (</w:t>
      </w:r>
      <w:r>
        <w:rPr>
          <w:rFonts w:ascii="Times New Roman" w:hAnsi="Times New Roman"/>
          <w:b/>
          <w:sz w:val="20"/>
        </w:rPr>
        <w:t>Victory Park</w:t>
      </w:r>
      <w:r>
        <w:rPr>
          <w:rFonts w:ascii="Times New Roman" w:hAnsi="Times New Roman"/>
          <w:sz w:val="20"/>
        </w:rPr>
        <w:t xml:space="preserve">), including Brendan Carroll (a Senior Partner and Co-Founder of Victory Park), to review and prioritize VIHs pipeline of perspective acquisition opportunities based on, among other criteria, each targets satisfaction of VIHs acquisition criteria. </w:t>
      </w:r>
    </w:p>
    <w:p>
      <w:pPr>
        <w:pStyle w:val="TextBody"/>
        <w:spacing w:before="240" w:after="0"/>
        <w:jc w:val="left"/>
        <w:rPr>
          <w:rFonts w:ascii="Times New Roman" w:hAnsi="Times New Roman"/>
          <w:sz w:val="20"/>
        </w:rPr>
      </w:pPr>
      <w:r>
        <w:rPr>
          <w:rFonts w:ascii="Times New Roman" w:hAnsi="Times New Roman"/>
          <w:sz w:val="20"/>
        </w:rPr>
        <w:t xml:space="preserve">From September 29, 2020 to November 15, 2020, during the search process, VIH reviewed more than 80 acquisition opportunities across the fintech industry. VIH had active discussions with 35 of those potential business targets and delivered initial drafts of letters of intent to two of such companies, including Bakkt. VIH ultimately determined to not proceed with each of the other potential acquisition opportunities, either because: (a) VIH did not prevail or could not pre-empt a competitive process; (b) VIH could not come to an agreement with the counterparty on the economic terms for a potential transaction; (c) the counterparty was not seeking to pursue a business combination at that time; or (d) VIH concluded that the target business or the terms of a potential business combination would not be suitable for VIH. Confidentiality agreements entered into with Bakkt and the other potential target businesses were individually negotiated on customary terms. </w:t>
      </w:r>
    </w:p>
    <w:p>
      <w:pPr>
        <w:pStyle w:val="TextBody"/>
        <w:spacing w:before="240" w:after="0"/>
        <w:jc w:val="left"/>
        <w:rPr>
          <w:rFonts w:ascii="Times New Roman" w:hAnsi="Times New Roman"/>
          <w:sz w:val="20"/>
        </w:rPr>
      </w:pPr>
      <w:r>
        <w:rPr>
          <w:rFonts w:ascii="Times New Roman" w:hAnsi="Times New Roman"/>
          <w:sz w:val="20"/>
        </w:rPr>
        <w:t>On November 15, 2020, Bakkts financial advisor, PJ Solomon L.P. and/or its affiliate PJ Solomon Securities, LLC (collectively, </w:t>
      </w:r>
      <w:r>
        <w:rPr>
          <w:rFonts w:ascii="Times New Roman" w:hAnsi="Times New Roman"/>
          <w:b/>
          <w:sz w:val="20"/>
        </w:rPr>
        <w:t>PJ Solomon</w:t>
      </w:r>
      <w:r>
        <w:rPr>
          <w:rFonts w:ascii="Times New Roman" w:hAnsi="Times New Roman"/>
          <w:sz w:val="20"/>
        </w:rPr>
        <w:t xml:space="preserve">), sent VIH preliminary materials describing, on a confidential basis, the background of Bakkts business, Bakkts growth plans, and various transaction highlights. PJ Solomon approached VIH in part due to VIHs expressed interest in fintech. </w:t>
      </w:r>
    </w:p>
    <w:p>
      <w:pPr>
        <w:pStyle w:val="TextBody"/>
        <w:spacing w:before="240" w:after="0"/>
        <w:jc w:val="left"/>
        <w:rPr>
          <w:rFonts w:ascii="Times New Roman" w:hAnsi="Times New Roman"/>
          <w:sz w:val="20"/>
        </w:rPr>
      </w:pPr>
      <w:r>
        <w:rPr>
          <w:rFonts w:ascii="Times New Roman" w:hAnsi="Times New Roman"/>
          <w:sz w:val="20"/>
        </w:rPr>
        <w:t xml:space="preserve">On November 17, certain members of VIHs management team had a call with Nate Stulman, a Managing Director and Head of FinTech and Financials Group of PJ Solomon, to further discuss the possibility for a transaction between VIH and Bakkt. Thereafter, on November 18, 2020, VIH and Bakkt executed a confidentiality agreement. </w:t>
      </w:r>
    </w:p>
    <w:p>
      <w:pPr>
        <w:pStyle w:val="TextBody"/>
        <w:spacing w:before="240" w:after="0"/>
        <w:jc w:val="left"/>
        <w:rPr>
          <w:rFonts w:ascii="Times New Roman" w:hAnsi="Times New Roman"/>
          <w:sz w:val="20"/>
        </w:rPr>
      </w:pPr>
      <w:r>
        <w:rPr>
          <w:rFonts w:ascii="Times New Roman" w:hAnsi="Times New Roman"/>
          <w:sz w:val="20"/>
        </w:rPr>
        <w:t>Following the execution of the confidentiality agreement, on November 19, 2020, John Martin, VIHs Chairman and Chief Executive Officer, Gordon Watson, VIHs President and Chief Operating Officer and a member of the VIH Board, and a number of members of Victory Parks investment team, had a call with David Clifton, Bakkts then-interim Chief Executive Officer, Nicolas Cabrera, Bakkts Chief Product Officer, and representatives of PJ Solomon, to discuss Bakkts current business and growth plans, as well as a high-level transaction structure and timeline. On the same day, PJ Solomon granted representatives of VIH and Victory Park access to an online data room (the </w:t>
      </w:r>
      <w:r>
        <w:rPr>
          <w:rFonts w:ascii="Times New Roman" w:hAnsi="Times New Roman"/>
          <w:b/>
          <w:sz w:val="20"/>
        </w:rPr>
        <w:t>Data Room</w:t>
      </w:r>
      <w:r>
        <w:rPr>
          <w:rFonts w:ascii="Times New Roman" w:hAnsi="Times New Roman"/>
          <w:sz w:val="20"/>
        </w:rPr>
        <w:t xml:space="preserve">) that contained, among other things, documents covering the current and projected financials of Bakkt. </w:t>
      </w:r>
    </w:p>
    <w:p>
      <w:pPr>
        <w:pStyle w:val="TextBody"/>
        <w:spacing w:before="240" w:after="0"/>
        <w:jc w:val="left"/>
        <w:rPr>
          <w:rFonts w:ascii="Times New Roman" w:hAnsi="Times New Roman"/>
          <w:sz w:val="20"/>
        </w:rPr>
      </w:pPr>
      <w:r>
        <w:rPr>
          <w:rFonts w:ascii="Times New Roman" w:hAnsi="Times New Roman"/>
          <w:sz w:val="20"/>
        </w:rPr>
        <w:t xml:space="preserve">Between November 19, 2020, and November 26, 2020, VIHs management team, in conjunction with Victory Parks investment team, conducted extensive due diligence on Bakkt, including an in-depth review of the financial statements and financial models prepared by Bakkts management and research on the market and competitive companies, and thereafter prepared an initial valuation of Bakkt considering numerous valuation methodologies. </w:t>
      </w:r>
    </w:p>
    <w:p>
      <w:pPr>
        <w:pStyle w:val="TextBody"/>
        <w:spacing w:before="240" w:after="0"/>
        <w:jc w:val="left"/>
        <w:rPr>
          <w:rFonts w:ascii="Times New Roman" w:hAnsi="Times New Roman"/>
          <w:sz w:val="20"/>
        </w:rPr>
      </w:pPr>
      <w:r>
        <w:rPr>
          <w:rFonts w:ascii="Times New Roman" w:hAnsi="Times New Roman"/>
          <w:sz w:val="20"/>
        </w:rPr>
        <w:t xml:space="preserve">On November 25, 2020, members of VIHs management team had a follow-up call with representatives of PJ Solomon to discuss VIHs initial observations and key areas of further due diligence, including the assumptions underlying financial projections and certain other financial and operational considerations. </w:t>
      </w:r>
    </w:p>
    <w:p>
      <w:pPr>
        <w:pStyle w:val="TextBody"/>
        <w:spacing w:before="240" w:after="0"/>
        <w:jc w:val="left"/>
        <w:rPr>
          <w:rFonts w:ascii="Times New Roman" w:hAnsi="Times New Roman"/>
          <w:sz w:val="20"/>
        </w:rPr>
      </w:pPr>
      <w:r>
        <w:rPr>
          <w:rFonts w:ascii="Times New Roman" w:hAnsi="Times New Roman"/>
          <w:sz w:val="20"/>
        </w:rPr>
        <w:t xml:space="preserve">On December 7, 2020, John Martin, Gordon Watson, and several members of Victory Parks investment team, including Richard Levy, Chief Executive Officer and Founder of Victory Park, and Jason Brown, Partner at Victory Park and a member of the firms investment committee, met with Mr. Clifton and Mr. Cabrera to further discuss Bakkts management team, current business and growth plans.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December 7, 2020, PJ Solomon granted representatives of VIH and Victory Park access to additional documents in the Data Room, including detailed legal documentation and additional financial and market information, which VIHs management team, in conjunction with Victory Parks investment team, analyzed and synthesized as part of VIHs proposal presentation to Bakkts management. </w:t>
      </w:r>
    </w:p>
    <w:p>
      <w:pPr>
        <w:pStyle w:val="TextBody"/>
        <w:spacing w:before="240" w:after="0"/>
        <w:jc w:val="left"/>
        <w:rPr>
          <w:rFonts w:ascii="Times New Roman" w:hAnsi="Times New Roman"/>
          <w:sz w:val="20"/>
        </w:rPr>
      </w:pPr>
      <w:r>
        <w:rPr>
          <w:rFonts w:ascii="Times New Roman" w:hAnsi="Times New Roman"/>
          <w:sz w:val="20"/>
        </w:rPr>
        <w:t xml:space="preserve">On December 8, 2020, representatives of VIH and Victory Park met via videoconference with Mr. Clifton and Mr. Cabrera to discuss the financial model referenced in the detailed presentation prepared by VIH and Victory Park. </w:t>
      </w:r>
    </w:p>
    <w:p>
      <w:pPr>
        <w:pStyle w:val="TextBody"/>
        <w:spacing w:before="240" w:after="0"/>
        <w:jc w:val="left"/>
        <w:rPr>
          <w:rFonts w:ascii="Times New Roman" w:hAnsi="Times New Roman"/>
          <w:sz w:val="20"/>
        </w:rPr>
      </w:pPr>
      <w:r>
        <w:rPr>
          <w:rFonts w:ascii="Times New Roman" w:hAnsi="Times New Roman"/>
          <w:sz w:val="20"/>
        </w:rPr>
        <w:t xml:space="preserve">Following such discussion, on December 8, 2020, PJ Solomon circulated to VIH a presentation which further detailed Bakkts projected financials and valuation. </w:t>
      </w:r>
    </w:p>
    <w:p>
      <w:pPr>
        <w:pStyle w:val="TextBody"/>
        <w:spacing w:before="240" w:after="0"/>
        <w:jc w:val="left"/>
        <w:rPr>
          <w:rFonts w:ascii="Times New Roman" w:hAnsi="Times New Roman"/>
          <w:sz w:val="20"/>
        </w:rPr>
      </w:pPr>
      <w:r>
        <w:rPr>
          <w:rFonts w:ascii="Times New Roman" w:hAnsi="Times New Roman"/>
          <w:sz w:val="20"/>
        </w:rPr>
        <w:t>On December 9, 2020, VIH informed its legal counsel, White &amp; Case LLP (</w:t>
      </w:r>
      <w:r>
        <w:rPr>
          <w:rFonts w:ascii="Times New Roman" w:hAnsi="Times New Roman"/>
          <w:b/>
          <w:sz w:val="20"/>
        </w:rPr>
        <w:t>White</w:t>
      </w:r>
      <w:r>
        <w:rPr>
          <w:rFonts w:ascii="Times New Roman" w:hAnsi="Times New Roman"/>
          <w:sz w:val="20"/>
        </w:rPr>
        <w:t> </w:t>
      </w:r>
      <w:r>
        <w:rPr>
          <w:rFonts w:ascii="Times New Roman" w:hAnsi="Times New Roman"/>
          <w:b/>
          <w:sz w:val="20"/>
        </w:rPr>
        <w:t>&amp; Case</w:t>
      </w:r>
      <w:r>
        <w:rPr>
          <w:rFonts w:ascii="Times New Roman" w:hAnsi="Times New Roman"/>
          <w:sz w:val="20"/>
        </w:rPr>
        <w:t xml:space="preserve">), of the potential transaction with Bakkt, and instructed White &amp; Case to initiate its legal due diligence review of the materials provided to the Data Room. </w:t>
      </w:r>
    </w:p>
    <w:p>
      <w:pPr>
        <w:pStyle w:val="TextBody"/>
        <w:spacing w:before="240" w:after="0"/>
        <w:jc w:val="left"/>
        <w:rPr>
          <w:rFonts w:ascii="Times New Roman" w:hAnsi="Times New Roman"/>
          <w:sz w:val="20"/>
        </w:rPr>
      </w:pPr>
      <w:r>
        <w:rPr>
          <w:rFonts w:ascii="Times New Roman" w:hAnsi="Times New Roman"/>
          <w:sz w:val="20"/>
        </w:rPr>
        <w:t xml:space="preserve">On December 9, 2020, VIHs management team and Victory Parks senior partners had a meeting in which they extensively discussed Bakkt and the potential transaction. </w:t>
      </w:r>
    </w:p>
    <w:p>
      <w:pPr>
        <w:pStyle w:val="TextBody"/>
        <w:spacing w:before="240" w:after="0"/>
        <w:jc w:val="left"/>
        <w:rPr>
          <w:rFonts w:ascii="Times New Roman" w:hAnsi="Times New Roman"/>
          <w:sz w:val="20"/>
        </w:rPr>
      </w:pPr>
      <w:r>
        <w:rPr>
          <w:rFonts w:ascii="Times New Roman" w:hAnsi="Times New Roman"/>
          <w:sz w:val="20"/>
        </w:rPr>
        <w:t xml:space="preserve">In parallel, VIHs management team had continued discussions with Mr. Clifton and Mr. Cabrera regarding the potential transaction structure and timeline. </w:t>
      </w:r>
    </w:p>
    <w:p>
      <w:pPr>
        <w:pStyle w:val="TextBody"/>
        <w:spacing w:before="240" w:after="0"/>
        <w:jc w:val="left"/>
        <w:rPr>
          <w:rFonts w:ascii="Times New Roman" w:hAnsi="Times New Roman"/>
          <w:sz w:val="20"/>
        </w:rPr>
      </w:pPr>
      <w:r>
        <w:rPr>
          <w:rFonts w:ascii="Times New Roman" w:hAnsi="Times New Roman"/>
          <w:sz w:val="20"/>
        </w:rPr>
        <w:t>On December 9, 2020, representatives of Bakkt circulated an initial letter of intent (the </w:t>
      </w:r>
      <w:r>
        <w:rPr>
          <w:rFonts w:ascii="Times New Roman" w:hAnsi="Times New Roman"/>
          <w:b/>
          <w:sz w:val="20"/>
        </w:rPr>
        <w:t>LOI</w:t>
      </w:r>
      <w:r>
        <w:rPr>
          <w:rFonts w:ascii="Times New Roman" w:hAnsi="Times New Roman"/>
          <w:sz w:val="20"/>
        </w:rPr>
        <w:t xml:space="preserve">) to VIH. The LOI reflected a fully-diluted post-transaction enterprise value of the combined companies of $2.082 billion in addition to certain other transaction terms, including the proposed size of the PIPE, which would include a $50 million participation by ICE. </w:t>
      </w:r>
    </w:p>
    <w:p>
      <w:pPr>
        <w:pStyle w:val="TextBody"/>
        <w:spacing w:before="240" w:after="0"/>
        <w:jc w:val="left"/>
        <w:rPr>
          <w:rFonts w:ascii="Times New Roman" w:hAnsi="Times New Roman"/>
          <w:sz w:val="20"/>
        </w:rPr>
      </w:pPr>
      <w:r>
        <w:rPr>
          <w:rFonts w:ascii="Times New Roman" w:hAnsi="Times New Roman"/>
          <w:sz w:val="20"/>
        </w:rPr>
        <w:t xml:space="preserve">On December 9, 2020, and December 10, 2020, VIHs management team had calls with White &amp; Case to discuss the terms of the draft LOI circulated by Bakkt. </w:t>
      </w:r>
    </w:p>
    <w:p>
      <w:pPr>
        <w:pStyle w:val="TextBody"/>
        <w:spacing w:before="240" w:after="0"/>
        <w:jc w:val="left"/>
        <w:rPr>
          <w:rFonts w:ascii="Times New Roman" w:hAnsi="Times New Roman"/>
          <w:sz w:val="20"/>
        </w:rPr>
      </w:pPr>
      <w:r>
        <w:rPr>
          <w:rFonts w:ascii="Times New Roman" w:hAnsi="Times New Roman"/>
          <w:sz w:val="20"/>
        </w:rPr>
        <w:t xml:space="preserve">Shortly after such calls, VIH sent Bakkt a revised draft of the LOI reflecting, among other things, a different amount for the minimum available cash condition. </w:t>
      </w:r>
    </w:p>
    <w:p>
      <w:pPr>
        <w:pStyle w:val="TextBody"/>
        <w:spacing w:before="240" w:after="0"/>
        <w:jc w:val="left"/>
        <w:rPr>
          <w:rFonts w:ascii="Times New Roman" w:hAnsi="Times New Roman"/>
          <w:sz w:val="20"/>
        </w:rPr>
      </w:pPr>
      <w:r>
        <w:rPr>
          <w:rFonts w:ascii="Times New Roman" w:hAnsi="Times New Roman"/>
          <w:sz w:val="20"/>
        </w:rPr>
        <w:t>Throughout the weeks of December 9, 2020 through January 11, 2021, VIH and its advisors, including, but not limited to White &amp; Case, reviewed documents in the Data Room opened by Bakkt. During this period, White &amp; Case sent multiple diligence request lists to Bakkt and Bakkts counsel, Shearman &amp; Sterling LLP (</w:t>
      </w:r>
      <w:r>
        <w:rPr>
          <w:rFonts w:ascii="Times New Roman" w:hAnsi="Times New Roman"/>
          <w:b/>
          <w:sz w:val="20"/>
        </w:rPr>
        <w:t>Shearman)</w:t>
      </w:r>
      <w:r>
        <w:rPr>
          <w:rFonts w:ascii="Times New Roman" w:hAnsi="Times New Roman"/>
          <w:sz w:val="20"/>
        </w:rPr>
        <w:t xml:space="preserve">. In addition, White &amp; Case attended several diligence calls with Shearman and other outside counsel to Bakkt to discuss and understand certain aspects of White &amp; Cases diligence findings. </w:t>
      </w:r>
    </w:p>
    <w:p>
      <w:pPr>
        <w:pStyle w:val="TextBody"/>
        <w:spacing w:before="240" w:after="0"/>
        <w:jc w:val="left"/>
        <w:rPr>
          <w:rFonts w:ascii="Times New Roman" w:hAnsi="Times New Roman"/>
          <w:sz w:val="20"/>
        </w:rPr>
      </w:pPr>
      <w:r>
        <w:rPr>
          <w:rFonts w:ascii="Times New Roman" w:hAnsi="Times New Roman"/>
          <w:sz w:val="20"/>
        </w:rPr>
        <w:t>On December 10, 2020, members of VIHs management team had a call with representatives from Citigroup Global Markets Inc. (</w:t>
      </w:r>
      <w:r>
        <w:rPr>
          <w:rFonts w:ascii="Times New Roman" w:hAnsi="Times New Roman"/>
          <w:b/>
          <w:sz w:val="20"/>
        </w:rPr>
        <w:t>Citi</w:t>
      </w:r>
      <w:r>
        <w:rPr>
          <w:rFonts w:ascii="Times New Roman" w:hAnsi="Times New Roman"/>
          <w:sz w:val="20"/>
        </w:rPr>
        <w:t>), to discuss the Bakkt opportunity and Citis interest in serving as a financial and capital markets advisor and PIPE placement agent for VIH. Around the same time, VIHs management team also had a call with representatives from Jefferies LLC (</w:t>
      </w:r>
      <w:r>
        <w:rPr>
          <w:rFonts w:ascii="Times New Roman" w:hAnsi="Times New Roman"/>
          <w:b/>
          <w:sz w:val="20"/>
        </w:rPr>
        <w:t>Jefferies</w:t>
      </w:r>
      <w:r>
        <w:rPr>
          <w:rFonts w:ascii="Times New Roman" w:hAnsi="Times New Roman"/>
          <w:sz w:val="20"/>
        </w:rPr>
        <w:t xml:space="preserve">), who acted as VIHs underwriter in the IPO and served as lead capital markets advisor to VIH, to discuss the Bakkt opportunity and Jefferies interest in serving as a financial and capital markets advisor and PIPE placement agent for VIH. Subsequently, on December 16, 2020, VIH executed an engagement letter with Jefferies to serve as co-placement agent with respect to the PIPE Investment and to serve as capital markets and M&amp;A financial advisor. Thereafter, on January 14, 2021, VIH formally executed an engagement letter with Citi to serve as co-placement agent with respect to the PIPE Investment and to serve as capital markets and M&amp;A financial advisor. </w:t>
      </w:r>
    </w:p>
    <w:p>
      <w:pPr>
        <w:pStyle w:val="TextBody"/>
        <w:spacing w:before="240" w:after="0"/>
        <w:jc w:val="left"/>
        <w:rPr>
          <w:rFonts w:ascii="Times New Roman" w:hAnsi="Times New Roman"/>
          <w:sz w:val="20"/>
        </w:rPr>
      </w:pPr>
      <w:r>
        <w:rPr>
          <w:rFonts w:ascii="Times New Roman" w:hAnsi="Times New Roman"/>
          <w:sz w:val="20"/>
        </w:rPr>
        <w:t xml:space="preserve">On December 10, 2020, White &amp; Case also circulated to Shearman a draft of the form confidentiality agreement to be entered into by potential investors in connection with the PIPE Investment. Shortly thereafter, representatives from VIH, PJ Solomon, White &amp; Case, Jefferies, Bakkt, Shearman, Citi, and Jefferiess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counsel, Kirkland &amp; Ellis LLP (</w:t>
      </w:r>
      <w:r>
        <w:rPr>
          <w:rFonts w:ascii="Times New Roman" w:hAnsi="Times New Roman"/>
          <w:b/>
          <w:sz w:val="20"/>
        </w:rPr>
        <w:t>K&amp;E</w:t>
      </w:r>
      <w:r>
        <w:rPr>
          <w:rFonts w:ascii="Times New Roman" w:hAnsi="Times New Roman"/>
          <w:sz w:val="20"/>
        </w:rPr>
        <w:t xml:space="preserve">), had a call to discuss the potential PIPE process for the proposed transaction. Throughout such day, members of VIHs management team had multiple calls with Mr. Clifton and Mr. Cabrera to discuss the PIPE process and VIHs and Victory Parks relationships with potential PIPE investors. </w:t>
      </w:r>
    </w:p>
    <w:p>
      <w:pPr>
        <w:pStyle w:val="TextBody"/>
        <w:spacing w:before="240" w:after="0"/>
        <w:jc w:val="left"/>
        <w:rPr>
          <w:rFonts w:ascii="Times New Roman" w:hAnsi="Times New Roman"/>
          <w:sz w:val="20"/>
        </w:rPr>
      </w:pPr>
      <w:r>
        <w:rPr>
          <w:rFonts w:ascii="Times New Roman" w:hAnsi="Times New Roman"/>
          <w:sz w:val="20"/>
        </w:rPr>
        <w:t xml:space="preserve">During the day and into the evening of December 10, 2020, VIH and Bakkt, in conjunction with their respective legal counsel, continued negotiating various key points of the transaction, and traded multiple revised drafts of the LOI to reflect the parties positions and/or agreements with respect to such points. </w:t>
      </w:r>
    </w:p>
    <w:p>
      <w:pPr>
        <w:pStyle w:val="TextBody"/>
        <w:spacing w:before="240" w:after="0"/>
        <w:jc w:val="left"/>
        <w:rPr>
          <w:rFonts w:ascii="Times New Roman" w:hAnsi="Times New Roman"/>
          <w:sz w:val="20"/>
        </w:rPr>
      </w:pPr>
      <w:r>
        <w:rPr>
          <w:rFonts w:ascii="Times New Roman" w:hAnsi="Times New Roman"/>
          <w:sz w:val="20"/>
        </w:rPr>
        <w:t xml:space="preserve">On the evening of December 10, 2020, VIH had a board meeting by telephone and videoconference to discuss and deliberate regarding the proposed transaction with Bakkt. Prior to the board meeting, the VIH Board was provided copies of, among other things, (i) the current LOI; (ii) the presentation prepared by Bakkt providing an overview of its business and market, as well as product roadmaps and product demos prepared by Bakkt; (iii) transaction projections and valuation overviews, prepared by VIHs management; (iv) financial models prepared by VIHs management team based on VIHs due diligence efforts detailed above; (v) the current capitalization table of Bakkt and the pro forma capitalization of the combined company; (vi) biographies of the existing management team of Bakkt and the anticipated new Chief Executive Officer of Bakkt, Gavin Michael; and (vii) a list of potential PIPE investors identified by VIHs management team and Victory Parks investment professionals (including $50 million allocated to ICE). Mr. Martin presided over the meeting, with members of VIHs management and Victory Parks investment team, including Mr. Watson and Mr. Kinan Hayani (a Vice President of Victory Park), providing the VIH Board with a summary of the history of the proposed transaction, including a brief discussion on how VIH arrived at the enterprise value and the size of the PIPE and Available Cash Condition given (a) consideration of the valuations of other companies in the digital currency market and related markets, (b) VIHs established relationships with potential PIPE investors, and (c) the go-forward liquidity needs of the combined company for purposes of furthering product development and market reach. Mr. Watson and Mr. Hayani highlighted for the VIH Board that the proposed transaction with Bakkt included an obligation to raise the PIPE Investment, which would be announced simultaneously with the execution of the Merger Agreement and related Transaction Documents between VIH and Bakkt. Mr. Watson and Mr. Hayani noted that the majority investor in Bakkt, ICE, agreed to invest (or cause its affiliates to invest) at least $50 million of the total PIPE Investment, as a means of indicating its support for the future success of the combined company. The VIH Board asked questions and engaged in discussion and deliberation regarding the anticipated potential risks and hurdles to a successful closing of the transaction associated therewith. Following such discussions, the VIH Board approved VIHs execution and delivery of the LOI as proposed. </w:t>
      </w:r>
    </w:p>
    <w:p>
      <w:pPr>
        <w:pStyle w:val="TextBody"/>
        <w:spacing w:before="240" w:after="0"/>
        <w:jc w:val="left"/>
        <w:rPr>
          <w:rFonts w:ascii="Times New Roman" w:hAnsi="Times New Roman"/>
          <w:sz w:val="20"/>
        </w:rPr>
      </w:pPr>
      <w:r>
        <w:rPr>
          <w:rFonts w:ascii="Times New Roman" w:hAnsi="Times New Roman"/>
          <w:sz w:val="20"/>
        </w:rPr>
        <w:t xml:space="preserve">On the afternoon of December 11, 2020, following a final revision to certain of the legal provisions of the LOI, VIH and Bakkt executed the LOI. Later that day, White &amp; Case and Shearman held a kick-off call to discuss the transaction documents that would need to be prepared in connection with the potential transaction. </w:t>
      </w:r>
    </w:p>
    <w:p>
      <w:pPr>
        <w:pStyle w:val="TextBody"/>
        <w:spacing w:before="240" w:after="0"/>
        <w:jc w:val="left"/>
        <w:rPr>
          <w:rFonts w:ascii="Times New Roman" w:hAnsi="Times New Roman"/>
          <w:sz w:val="20"/>
        </w:rPr>
      </w:pPr>
      <w:r>
        <w:rPr>
          <w:rFonts w:ascii="Times New Roman" w:hAnsi="Times New Roman"/>
          <w:sz w:val="20"/>
        </w:rPr>
        <w:t xml:space="preserve">Between December 10, 2020, and December 13, 2020, members of VIHs and Bakkts management teams and representatives of Jefferies, Citi, White &amp; Case, Shearman and K&amp;E had extensive calls to discuss the contents of the investor presentation for the PIPE Investment and the appropriate positioning of Bakkt in the marketplace, and traded multiple revised drafts of the investor presentation. </w:t>
      </w:r>
    </w:p>
    <w:p>
      <w:pPr>
        <w:pStyle w:val="TextBody"/>
        <w:spacing w:before="240" w:after="0"/>
        <w:jc w:val="left"/>
        <w:rPr>
          <w:rFonts w:ascii="Times New Roman" w:hAnsi="Times New Roman"/>
          <w:sz w:val="20"/>
        </w:rPr>
      </w:pPr>
      <w:r>
        <w:rPr>
          <w:rFonts w:ascii="Times New Roman" w:hAnsi="Times New Roman"/>
          <w:sz w:val="20"/>
        </w:rPr>
        <w:t xml:space="preserve">On December 12, 2020, members of VIHs management team were introduced via videoconference to Gavin Michael, and members of VIHs management team and Mr. Michael had a call to discuss Mr. Michaels proposed role as the Chief Executive Officer of Bakkt following the signing of definitive transaction documents. </w:t>
      </w:r>
    </w:p>
    <w:p>
      <w:pPr>
        <w:pStyle w:val="TextBody"/>
        <w:spacing w:before="240" w:after="0"/>
        <w:jc w:val="left"/>
        <w:rPr>
          <w:rFonts w:ascii="Times New Roman" w:hAnsi="Times New Roman"/>
          <w:sz w:val="20"/>
        </w:rPr>
      </w:pPr>
      <w:r>
        <w:rPr>
          <w:rFonts w:ascii="Times New Roman" w:hAnsi="Times New Roman"/>
          <w:sz w:val="20"/>
        </w:rPr>
        <w:t xml:space="preserve">On December 13, 2020, VIH, Bakkt, Citi and Jefferies met virtually multiple times to discuss the PIPE process and to finalize confirmatory financial due diligence and the financial models and projections prepared by VIHs management team. </w:t>
      </w:r>
    </w:p>
    <w:p>
      <w:pPr>
        <w:pStyle w:val="TextBody"/>
        <w:spacing w:before="240" w:after="0"/>
        <w:jc w:val="left"/>
        <w:rPr>
          <w:rFonts w:ascii="Times New Roman" w:hAnsi="Times New Roman"/>
          <w:sz w:val="20"/>
        </w:rPr>
      </w:pPr>
      <w:r>
        <w:rPr>
          <w:rFonts w:ascii="Times New Roman" w:hAnsi="Times New Roman"/>
          <w:sz w:val="20"/>
        </w:rPr>
        <w:t xml:space="preserve">On December 14, 2020, representatives of White &amp; Case sent initial drafts of the form of Subscription Agreement for the PIPE Investment to representatives of Shearman.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From December 15, 2020, through January 5, 2021, representatives of VIH, Bakkt, Jefferies and Citi held meetings with approximately 50 prospective PIPE Investors, resulting in demand for the PIPE Investment by prospective PIPE Investors. On January 5, 2021, and January 6, 2021, VIH and Bakkt decided, in consultation with Jefferies and Citi, to limit the size of the aggregate PIPE Investment to $325 million, considering, among other things, (a) the cash currently held and expected to be maintained by VIH; (b) the projected capital needs of Bakkt in order to effectuate the further development of its product offering; and (c) the reduction in the dilutive effect of the PIPE Investment on the Bakkt Equity Holders and the Public Shareholders pro forma ownership of the combined company following the closing of the Business Combination resulting from a lower aggregate PIPE Investment. </w:t>
      </w:r>
    </w:p>
    <w:p>
      <w:pPr>
        <w:pStyle w:val="TextBody"/>
        <w:spacing w:before="240" w:after="0"/>
        <w:jc w:val="left"/>
        <w:rPr>
          <w:rFonts w:ascii="Times New Roman" w:hAnsi="Times New Roman"/>
          <w:sz w:val="20"/>
        </w:rPr>
      </w:pPr>
      <w:r>
        <w:rPr>
          <w:rFonts w:ascii="Times New Roman" w:hAnsi="Times New Roman"/>
          <w:sz w:val="20"/>
        </w:rPr>
        <w:t xml:space="preserve">On December 16, 2020, VIH executed an engagement letter with Jefferies to serve as co-placement agent with respect to the PIPE Investment and to serve as capital markets and M&amp;A financial advisor. On January 14, 2021, VIH formally executed an engagement letter with Citi to serve as co-placement agent with respect to the PIPE Investment and to serve as capital markets and M&amp;A financial advisor. </w:t>
      </w:r>
    </w:p>
    <w:p>
      <w:pPr>
        <w:pStyle w:val="TextBody"/>
        <w:spacing w:before="240" w:after="0"/>
        <w:jc w:val="left"/>
        <w:rPr>
          <w:rFonts w:ascii="Times New Roman" w:hAnsi="Times New Roman"/>
          <w:sz w:val="20"/>
        </w:rPr>
      </w:pPr>
      <w:r>
        <w:rPr>
          <w:rFonts w:ascii="Times New Roman" w:hAnsi="Times New Roman"/>
          <w:sz w:val="20"/>
        </w:rPr>
        <w:t xml:space="preserve">On December 16, 2020, Shearman circulated an initial draft of the Merger Agreement to White &amp; Case. </w:t>
      </w:r>
    </w:p>
    <w:p>
      <w:pPr>
        <w:pStyle w:val="TextBody"/>
        <w:spacing w:before="240" w:after="0"/>
        <w:jc w:val="left"/>
        <w:rPr>
          <w:rFonts w:ascii="Times New Roman" w:hAnsi="Times New Roman"/>
          <w:sz w:val="20"/>
        </w:rPr>
      </w:pPr>
      <w:r>
        <w:rPr>
          <w:rFonts w:ascii="Times New Roman" w:hAnsi="Times New Roman"/>
          <w:sz w:val="20"/>
        </w:rPr>
        <w:t xml:space="preserve">From December 16, 2020, through December 19, 2020, White &amp; Case circulated to Shearman initial drafts of various other Transaction Documents. </w:t>
      </w:r>
    </w:p>
    <w:p>
      <w:pPr>
        <w:pStyle w:val="TextBody"/>
        <w:spacing w:before="240" w:after="0"/>
        <w:jc w:val="left"/>
        <w:rPr>
          <w:rFonts w:ascii="Times New Roman" w:hAnsi="Times New Roman"/>
          <w:sz w:val="20"/>
        </w:rPr>
      </w:pPr>
      <w:r>
        <w:rPr>
          <w:rFonts w:ascii="Times New Roman" w:hAnsi="Times New Roman"/>
          <w:sz w:val="20"/>
        </w:rPr>
        <w:t xml:space="preserve">On December 20, 2020, representatives of White &amp; Case and VIH had a call to discuss the Merger Agreement, with a substantial portion of the discussion surrounding issues relating to (a) the calculation of Available Cash for purposes of the Available Cash Condition and (b) the timing of delivery of the Bakkt Equity Holders Support Agreement. Following such call, on December 22, 2020, White &amp; Case circulated a revised draft of the Merger Agreement to Shearman. </w:t>
      </w:r>
    </w:p>
    <w:p>
      <w:pPr>
        <w:pStyle w:val="TextBody"/>
        <w:spacing w:before="240" w:after="0"/>
        <w:jc w:val="left"/>
        <w:rPr>
          <w:rFonts w:ascii="Times New Roman" w:hAnsi="Times New Roman"/>
          <w:sz w:val="20"/>
        </w:rPr>
      </w:pPr>
      <w:r>
        <w:rPr>
          <w:rFonts w:ascii="Times New Roman" w:hAnsi="Times New Roman"/>
          <w:sz w:val="20"/>
        </w:rPr>
        <w:t xml:space="preserve">Between December 22, 2020, and December 29, 2020, White &amp; Case and Shearman exchanged drafts of the form of the Subscription Agreement. </w:t>
      </w:r>
    </w:p>
    <w:p>
      <w:pPr>
        <w:pStyle w:val="TextBody"/>
        <w:spacing w:before="240" w:after="0"/>
        <w:jc w:val="left"/>
        <w:rPr>
          <w:rFonts w:ascii="Times New Roman" w:hAnsi="Times New Roman"/>
          <w:sz w:val="20"/>
        </w:rPr>
      </w:pPr>
      <w:r>
        <w:rPr>
          <w:rFonts w:ascii="Times New Roman" w:hAnsi="Times New Roman"/>
          <w:sz w:val="20"/>
        </w:rPr>
        <w:t xml:space="preserve">On December 29, 2020, Shearman circulated to White &amp; Case a revised draft of the Merger Agreement along with new and revised drafts of various other Transaction Documents. </w:t>
      </w:r>
    </w:p>
    <w:p>
      <w:pPr>
        <w:pStyle w:val="TextBody"/>
        <w:spacing w:before="240" w:after="0"/>
        <w:jc w:val="left"/>
        <w:rPr>
          <w:rFonts w:ascii="Times New Roman" w:hAnsi="Times New Roman"/>
          <w:sz w:val="20"/>
        </w:rPr>
      </w:pPr>
      <w:r>
        <w:rPr>
          <w:rFonts w:ascii="Times New Roman" w:hAnsi="Times New Roman"/>
          <w:sz w:val="20"/>
        </w:rPr>
        <w:t xml:space="preserve">On December 30, 2020, White &amp; Case sent a draft of the form Subscription Agreement for the PIPE Investment to Jefferies, Citi and K&amp;E. That same day, VIH, Bakkt, White &amp; Case, Shearman, Jefferies, Citi and K&amp;E had a call to discuss the progress of the PIPE Investment process and open points in the form Subscription Agreement. Throughout the day, VIH, Bakkt, White &amp; Case, Shearman, Jefferies, Citi and K&amp;E exchanged drafts of the form Subscription Agreement, which was finalized later that day and made available for review by potential PIPE Investors. </w:t>
      </w:r>
    </w:p>
    <w:p>
      <w:pPr>
        <w:pStyle w:val="TextBody"/>
        <w:spacing w:before="240" w:after="0"/>
        <w:jc w:val="left"/>
        <w:rPr>
          <w:rFonts w:ascii="Times New Roman" w:hAnsi="Times New Roman"/>
          <w:sz w:val="20"/>
        </w:rPr>
      </w:pPr>
      <w:r>
        <w:rPr>
          <w:rFonts w:ascii="Times New Roman" w:hAnsi="Times New Roman"/>
          <w:sz w:val="20"/>
        </w:rPr>
        <w:t xml:space="preserve">Between December 30, 2020, and January 10, 2021, representatives of White &amp; Case and Shearman, with input from members of the management teams of VIH and Bakkt, respectively, traded multiple drafts of the Merger Agreement and the related Transaction Documents and negotiated key terms in the documents, including (a) the calculation of Available Cash for purposes of the Available Cash Condition, (b) the inclusion of various consent rights of Bakkt in regards to amendments of the Subscription Agreements following signing and (c) the timing for the delivery of the Bakkt Equity Holders Support Agreement. </w:t>
      </w:r>
    </w:p>
    <w:p>
      <w:pPr>
        <w:pStyle w:val="TextBody"/>
        <w:spacing w:before="240" w:after="0"/>
        <w:jc w:val="left"/>
        <w:rPr>
          <w:rFonts w:ascii="Times New Roman" w:hAnsi="Times New Roman"/>
          <w:sz w:val="20"/>
        </w:rPr>
      </w:pPr>
      <w:r>
        <w:rPr>
          <w:rFonts w:ascii="Times New Roman" w:hAnsi="Times New Roman"/>
          <w:sz w:val="20"/>
        </w:rPr>
        <w:t xml:space="preserve">On January 6, 2021 and January 7, 2021, representatives of White &amp; Case and Shearman negotiated the terms of the Subscription Agreement with the various PIPE Investors. Throughout the day on January 7, 2021, an agreement on the final terms of the Subscription Agreement to be executed simultaneously with the execution of the Merger Agreement and the related Transaction Documents, was reached with each of the PIPE Investors. </w:t>
      </w:r>
    </w:p>
    <w:p>
      <w:pPr>
        <w:pStyle w:val="TextBody"/>
        <w:spacing w:before="240" w:after="0"/>
        <w:jc w:val="left"/>
        <w:rPr>
          <w:rFonts w:ascii="Times New Roman" w:hAnsi="Times New Roman"/>
          <w:sz w:val="20"/>
        </w:rPr>
      </w:pPr>
      <w:r>
        <w:rPr>
          <w:rFonts w:ascii="Times New Roman" w:hAnsi="Times New Roman"/>
          <w:sz w:val="20"/>
        </w:rPr>
        <w:t xml:space="preserve">On January 8, 2021, the VIH Board, with representatives of Jefferies and White &amp; Case present, met telephonically to discuss and deliberate on the Business Combination, including a detailed discussion of the process in respect of the PIPE Investment, an overview of the valuation of Bakkt, the legal structure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transactions contemplated by the Merger Agreement and the other Transaction Documents, the forms of Merger Agreement and other Transaction Documents, the legal due diligence findings of White &amp; Case, and an overview of Bakkts business and the investment highlights. The VIH Board, with assistance from VIHs management and counsel, reviewed the proposed terms of the Merger Agreement and the other Transaction Documents that had been negotiated with Bakkt and its representatives, as well as the valuation methodology and due diligence findings. The VIH Board then discussed other factors, including those described below under the caption </w:t>
      </w:r>
      <w:r>
        <w:rPr>
          <w:rFonts w:ascii="Times New Roman" w:hAnsi="Times New Roman"/>
          <w:i/>
          <w:sz w:val="20"/>
        </w:rPr>
        <w:t>The Business Combination ProposalVIHs Board of Directors Reasons for the Approval of the Business Combination.</w:t>
      </w:r>
      <w:r>
        <w:rPr>
          <w:rFonts w:ascii="Times New Roman" w:hAnsi="Times New Roman"/>
          <w:sz w:val="20"/>
        </w:rPr>
        <w:t xml:space="preserve"> At the end of the meeting, the VIH Board unanimously approved the Merger Agreement and the other Transaction Documents, subject to final negotiations and modifications, and determined to recommend the approval of the Merger Agreement and the other Transaction Documents to its shareholders. </w:t>
      </w:r>
    </w:p>
    <w:p>
      <w:pPr>
        <w:pStyle w:val="TextBody"/>
        <w:spacing w:before="240" w:after="0"/>
        <w:jc w:val="left"/>
        <w:rPr>
          <w:rFonts w:ascii="Times New Roman" w:hAnsi="Times New Roman"/>
          <w:sz w:val="20"/>
        </w:rPr>
      </w:pPr>
      <w:r>
        <w:rPr>
          <w:rFonts w:ascii="Times New Roman" w:hAnsi="Times New Roman"/>
          <w:sz w:val="20"/>
        </w:rPr>
        <w:t xml:space="preserve">Between January 8, 2021 and January 10, 2021, the parties continued to finalize the Transaction Documents. </w:t>
      </w:r>
    </w:p>
    <w:p>
      <w:pPr>
        <w:pStyle w:val="TextBody"/>
        <w:spacing w:before="240" w:after="0"/>
        <w:jc w:val="left"/>
        <w:rPr>
          <w:rFonts w:ascii="Times New Roman" w:hAnsi="Times New Roman"/>
          <w:sz w:val="20"/>
        </w:rPr>
      </w:pPr>
      <w:r>
        <w:rPr>
          <w:rFonts w:ascii="Times New Roman" w:hAnsi="Times New Roman"/>
          <w:sz w:val="20"/>
        </w:rPr>
        <w:t xml:space="preserve">Early in the morning on January 11, 2021, the Merger Agreement and certain Transaction Documents were executed. </w:t>
      </w:r>
    </w:p>
    <w:p>
      <w:pPr>
        <w:pStyle w:val="TextBody"/>
        <w:spacing w:before="240" w:after="0"/>
        <w:jc w:val="left"/>
        <w:rPr>
          <w:rFonts w:ascii="Times New Roman" w:hAnsi="Times New Roman"/>
          <w:sz w:val="20"/>
        </w:rPr>
      </w:pPr>
      <w:r>
        <w:rPr>
          <w:rFonts w:ascii="Times New Roman" w:hAnsi="Times New Roman"/>
          <w:sz w:val="20"/>
        </w:rPr>
        <w:t xml:space="preserve">Prior to market open on January 11, 2021, VIH and Bakkt issued a joint press release announcing the execution of the Merger Agreement and certain Transaction Documents. Shortly thereafter, VIH filed with the SEC a Current Report on Form 8-K announcing the execution of the Merger Agreement. </w:t>
      </w:r>
    </w:p>
    <w:p>
      <w:pPr>
        <w:pStyle w:val="TextBody"/>
        <w:spacing w:before="240" w:after="0"/>
        <w:jc w:val="left"/>
        <w:rPr>
          <w:rFonts w:ascii="Times New Roman" w:hAnsi="Times New Roman"/>
          <w:sz w:val="20"/>
        </w:rPr>
      </w:pPr>
      <w:r>
        <w:rPr>
          <w:rFonts w:ascii="Times New Roman" w:hAnsi="Times New Roman"/>
          <w:sz w:val="20"/>
        </w:rPr>
        <w:t xml:space="preserve">Following the execution of the Merger Agreement on January 11, 2021, the parties executed the Amendment to Agreement and Plan of Merger, dated as of March 30, 2021 to provide that the board of directors of Bakkt Pubco will consist of five to nine (5 to 9) members. </w:t>
      </w:r>
    </w:p>
    <w:p>
      <w:pPr>
        <w:pStyle w:val="TextBody"/>
        <w:spacing w:before="360" w:after="0"/>
        <w:jc w:val="left"/>
        <w:rPr>
          <w:rFonts w:ascii="Times New Roman" w:hAnsi="Times New Roman"/>
          <w:b/>
          <w:sz w:val="20"/>
        </w:rPr>
      </w:pPr>
      <w:bookmarkStart w:id="57" w:name="tx108105_1b"/>
      <w:bookmarkEnd w:id="57"/>
      <w:r>
        <w:rPr>
          <w:rFonts w:ascii="Times New Roman" w:hAnsi="Times New Roman"/>
          <w:b/>
          <w:sz w:val="20"/>
        </w:rPr>
        <w:t xml:space="preserve">The VIH Boards Reasons for the Approval of the Business Combination </w:t>
      </w:r>
    </w:p>
    <w:p>
      <w:pPr>
        <w:pStyle w:val="TextBody"/>
        <w:spacing w:before="120" w:after="0"/>
        <w:jc w:val="left"/>
        <w:rPr>
          <w:rFonts w:ascii="Times New Roman" w:hAnsi="Times New Roman"/>
          <w:sz w:val="20"/>
        </w:rPr>
      </w:pPr>
      <w:r>
        <w:rPr>
          <w:rFonts w:ascii="Times New Roman" w:hAnsi="Times New Roman"/>
          <w:sz w:val="20"/>
        </w:rPr>
        <w:t xml:space="preserve">Before reaching its decision on January 8, 2021, the VIH Board consulted with its management team, legal counsel and other advisors. The VIH Board considered a variety of factors in connection with its evaluation of the Business Combination in approving and recommending the transaction to the VIH shareholders. In light of the complexity of those factors, the VIH Board did not consider it practicable to, nor did it attempt to, quantify or otherwise assign relative weights to the specific factors it took into account in reaching its decision. Different individual members of the VIH Board may have given different weight to different factors in their evaluation of the Business Combination. Among those factors, the VIH Board reviewed the results of due diligence conducted by VIHs management and legal advisors, which included: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Public research on the digital assets industry and related industries, its prospects, a review of Bakkts historical financial performance and forecasts including revenues, sale projections and merchant onboarding pipeline, capital expenditures, cash flow and other relevant financial and operating metrics;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Extensive conference call meetings with Bakkts management team and representatives regarding operations, company products and services, intellectual property, key merchant partners, end market industries, total available market for each industry and growth prospects, among other customary due diligence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of Bakkts material business contracts, corporate books and records, government regulations and filings, intellectual property and information technology and certain other legal due diligence;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and accounting due diligence;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prospective financial information of Bakkt set forth in the Projections. </w:t>
            </w:r>
          </w:p>
        </w:tc>
      </w:tr>
    </w:tbl>
    <w:p>
      <w:pPr>
        <w:pStyle w:val="TextBody"/>
        <w:spacing w:before="240" w:after="0"/>
        <w:jc w:val="left"/>
        <w:rPr>
          <w:rFonts w:ascii="Times New Roman" w:hAnsi="Times New Roman"/>
          <w:sz w:val="20"/>
        </w:rPr>
      </w:pPr>
      <w:r>
        <w:rPr>
          <w:rFonts w:ascii="Times New Roman" w:hAnsi="Times New Roman"/>
          <w:sz w:val="20"/>
        </w:rPr>
        <w:t xml:space="preserve">As detailed above, the prospectus for the IPO identified the general criteria and guidelines that VIH believed would be important in evaluating prospective target businesses, although VIH also indicated it may enter into a business combination with a target business that does not meet these criteria and guidelines. The VIH Board considered these factors in its evaluation of Bakkt.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Bakkts Business and Market Share</w:t>
      </w:r>
      <w:r>
        <w:rPr>
          <w:rFonts w:ascii="Times New Roman" w:hAnsi="Times New Roman"/>
          <w:sz w:val="20"/>
        </w:rPr>
        <w:t xml:space="preserve">. VIH sought to acquire a business that it believes has a high-growth fintech business which operates within large and expanding markets with significant white space opportunity. </w:t>
      </w:r>
    </w:p>
    <w:p>
      <w:pPr>
        <w:pStyle w:val="TextBody"/>
        <w:spacing w:before="240" w:after="0"/>
        <w:jc w:val="left"/>
        <w:rPr>
          <w:rFonts w:ascii="Times New Roman" w:hAnsi="Times New Roman"/>
          <w:sz w:val="20"/>
        </w:rPr>
      </w:pPr>
      <w:r>
        <w:rPr>
          <w:rFonts w:ascii="Times New Roman" w:hAnsi="Times New Roman"/>
          <w:sz w:val="20"/>
        </w:rPr>
        <w:t xml:space="preserve">VIH believes that Bakkts digital asset marketplace is a high-growth fintech business. Bakkts consumer application is planning a near-term widespread rollout and Bakkt projects significant active user adoption. Increasing adoption rates for digital assets and alternative finance is exemplified by the rise in popularity of companies such as Venmo, afterpay, coinbase, Cash App, Robinhood and others. As further discussed below, VIH believes the differentiation of Bakkts business compared to other digital asset companies in such market provides Bakkt with a competitive edge within the disruptive ecosystem. </w:t>
      </w:r>
    </w:p>
    <w:p>
      <w:pPr>
        <w:pStyle w:val="TextBody"/>
        <w:spacing w:before="240" w:after="0"/>
        <w:jc w:val="left"/>
        <w:rPr>
          <w:rFonts w:ascii="Times New Roman" w:hAnsi="Times New Roman"/>
          <w:sz w:val="20"/>
        </w:rPr>
      </w:pPr>
      <w:r>
        <w:rPr>
          <w:rFonts w:ascii="Times New Roman" w:hAnsi="Times New Roman"/>
          <w:b/>
          <w:i/>
          <w:sz w:val="20"/>
        </w:rPr>
        <w:t>Scale and Differentiation</w:t>
      </w:r>
      <w:r>
        <w:rPr>
          <w:rFonts w:ascii="Times New Roman" w:hAnsi="Times New Roman"/>
          <w:sz w:val="20"/>
        </w:rPr>
        <w:t xml:space="preserve">. VIH intended to pursue companies that are of meaningful scale and whose products and/or services differentiate it from others and create meaningful competitive advantages. </w:t>
      </w:r>
    </w:p>
    <w:p>
      <w:pPr>
        <w:pStyle w:val="TextBody"/>
        <w:spacing w:before="240" w:after="0"/>
        <w:jc w:val="left"/>
        <w:rPr>
          <w:rFonts w:ascii="Times New Roman" w:hAnsi="Times New Roman"/>
          <w:sz w:val="20"/>
        </w:rPr>
      </w:pPr>
      <w:r>
        <w:rPr>
          <w:rFonts w:ascii="Times New Roman" w:hAnsi="Times New Roman"/>
          <w:sz w:val="20"/>
        </w:rPr>
        <w:t xml:space="preserve">VIH believes Bakkt satisfies this criteria as a result of (a) Bakkts regulated platforms across trading, clearing, custody and payments, (b) Bakkt has powerful partnerships and integrations with loyalty sponsors, global financial institutions and leading retail brands, (c) Bakkts relationship with ICE, (d) the structural exchange and payment processing costs advantages of Bakkts platforms, and (e) the significant platform investment to date made by ICE and other shareholders. VIH believes that Bakkts regulated platforms across trading, clearing, custody and payments builds confidence and instills trust across Bakkts ecosystem and will make Bakkts platform the preferred marketplace for a growing number of institutional and retail investors. Additionally, VIH believes that the structural exchange and payment processing cost advantages of Bakkts platforms should lead to a pricing advantage compared against its competitors. VIH further believes that Bakkts powerful partnerships and integrations with loyalty sponsors, global financial institutions and leading retail brands, in conjunction with the market credibility and industry expertise stemming from its formation and relationship with ICE, should create meaningful competitive advantages vis-à-vis new potential entrants into the market. </w:t>
      </w:r>
    </w:p>
    <w:p>
      <w:pPr>
        <w:pStyle w:val="TextBody"/>
        <w:spacing w:before="240" w:after="0"/>
        <w:jc w:val="left"/>
        <w:rPr>
          <w:rFonts w:ascii="Times New Roman" w:hAnsi="Times New Roman"/>
          <w:sz w:val="20"/>
        </w:rPr>
      </w:pPr>
      <w:r>
        <w:rPr>
          <w:rFonts w:ascii="Times New Roman" w:hAnsi="Times New Roman"/>
          <w:b/>
          <w:i/>
          <w:sz w:val="20"/>
        </w:rPr>
        <w:t>Cash Flow Generation</w:t>
      </w:r>
      <w:r>
        <w:rPr>
          <w:rFonts w:ascii="Times New Roman" w:hAnsi="Times New Roman"/>
          <w:sz w:val="20"/>
        </w:rPr>
        <w:t xml:space="preserve">. VIH sought to acquire a business that operates a superior unit economic model which either currently or over time is expected to generate profitable, stable and predictable cash flow generation for the business. </w:t>
      </w:r>
    </w:p>
    <w:p>
      <w:pPr>
        <w:pStyle w:val="TextBody"/>
        <w:spacing w:before="240" w:after="0"/>
        <w:jc w:val="left"/>
        <w:rPr>
          <w:rFonts w:ascii="Times New Roman" w:hAnsi="Times New Roman"/>
          <w:sz w:val="20"/>
        </w:rPr>
      </w:pPr>
      <w:r>
        <w:rPr>
          <w:rFonts w:ascii="Times New Roman" w:hAnsi="Times New Roman"/>
          <w:sz w:val="20"/>
        </w:rPr>
        <w:t xml:space="preserve">VIH believes that Bakkt satisfies this criteria because it has a diverse revenue generation model that can monetize transactions through multiple revenue streams, which VIH believes is expected to generate profitable, stable and predictable cash flow generation. Bakkts customer acquisition cost is expected to be below that of similar companies, and the integration of Bakkts platform with its merchant partners is expected to incentivize such merchant partners to utilize Bakkts services, all of which VIH believes results in strong unit economics. </w:t>
      </w:r>
    </w:p>
    <w:p>
      <w:pPr>
        <w:pStyle w:val="TextBody"/>
        <w:spacing w:before="240" w:after="0"/>
        <w:jc w:val="left"/>
        <w:rPr>
          <w:rFonts w:ascii="Times New Roman" w:hAnsi="Times New Roman"/>
          <w:sz w:val="20"/>
        </w:rPr>
      </w:pPr>
      <w:r>
        <w:rPr>
          <w:rFonts w:ascii="Times New Roman" w:hAnsi="Times New Roman"/>
          <w:b/>
          <w:i/>
          <w:sz w:val="20"/>
        </w:rPr>
        <w:t>Capital Inflection Point</w:t>
      </w:r>
      <w:r>
        <w:rPr>
          <w:rFonts w:ascii="Times New Roman" w:hAnsi="Times New Roman"/>
          <w:sz w:val="20"/>
        </w:rPr>
        <w:t xml:space="preserve">. VIH intended to pursue companies that are at a capital inflection point where significant risk-adjusted shareholder value can be generated through a business combination resulting in access to the broader equity capital markets to drive growth. </w:t>
      </w:r>
    </w:p>
    <w:p>
      <w:pPr>
        <w:pStyle w:val="TextBody"/>
        <w:spacing w:before="240" w:after="0"/>
        <w:jc w:val="left"/>
        <w:rPr>
          <w:rFonts w:ascii="Times New Roman" w:hAnsi="Times New Roman"/>
          <w:sz w:val="20"/>
        </w:rPr>
      </w:pPr>
      <w:r>
        <w:rPr>
          <w:rFonts w:ascii="Times New Roman" w:hAnsi="Times New Roman"/>
          <w:sz w:val="20"/>
        </w:rPr>
        <w:t xml:space="preserve">VIH believes that Bakkt satisfies this criteria. Utilizing the approximately $880 million of capital and assets invested in Bakkt to date, and ICEs anticipated ongoing ownership of a portion of Bakkts equity, Bakkts platform has been substantially built and has been in beta phase so far, with a mass rollout of Bakkts platform expected to coincide with the closing of the Business Combination. Bakkt plans to use the cash it will receive in connection with the Business Combination (or at least a substantial portion thereof) to acquire and build additional functionality in its platform and grow its user base to grow its market share. </w:t>
      </w:r>
    </w:p>
    <w:p>
      <w:pPr>
        <w:pStyle w:val="TextBody"/>
        <w:spacing w:before="240" w:after="0"/>
        <w:jc w:val="left"/>
        <w:rPr>
          <w:rFonts w:ascii="Times New Roman" w:hAnsi="Times New Roman"/>
          <w:sz w:val="20"/>
        </w:rPr>
      </w:pPr>
      <w:r>
        <w:rPr>
          <w:rFonts w:ascii="Times New Roman" w:hAnsi="Times New Roman"/>
          <w:b/>
          <w:i/>
          <w:sz w:val="20"/>
        </w:rPr>
        <w:t>Management Team</w:t>
      </w:r>
      <w:r>
        <w:rPr>
          <w:rFonts w:ascii="Times New Roman" w:hAnsi="Times New Roman"/>
          <w:sz w:val="20"/>
        </w:rPr>
        <w:t xml:space="preserve">. VIH sought to acquire a business that possesses a best-in-class management team with a track record of success in driving growth and profitability within the fintech market. </w:t>
      </w:r>
    </w:p>
    <w:p>
      <w:pPr>
        <w:pStyle w:val="TextBody"/>
        <w:spacing w:before="240" w:after="0"/>
        <w:jc w:val="left"/>
        <w:rPr>
          <w:rFonts w:ascii="Times New Roman" w:hAnsi="Times New Roman"/>
          <w:sz w:val="20"/>
        </w:rPr>
      </w:pPr>
      <w:r>
        <w:rPr>
          <w:rFonts w:ascii="Times New Roman" w:hAnsi="Times New Roman"/>
          <w:sz w:val="20"/>
        </w:rPr>
        <w:t xml:space="preserve">VIH believes that Bakkts satisfaction of this criteria is exemplified by the experience of Bakkts management team in building Bakkt and their experience prior to joining Bakkt, which includes (a) Gavin Michaels (the now Chief Executive Officer of Bakkt) experience gained while acting as the Head of Technology at Citibanks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Global Consumer Bank since 2016, the Head of Digital at Chase from 2013 to 2016, the Chief Innovation Officer of Accenture from 2010 to 2013, and the Chief Information Officer of Lloyds Banking Groups Retail Bank and a member of the Retail Bank Executive Committee from 2009 to 2010, (b) Nicolas Cabreras (Bakkts Chief Product Officer) experience gained while acting as the co-Founder and Senior Vice President of Product at OneMarket (previously Westfield Labs), the Senior Vice President of Product at Westfield Retail Tech Solutions, and while leading Product and Digital for eBay and PayPal in Australia and New Zealand, (c) Adam Whites (Bakkts President) experience gained while acting as the Vice President and General Manager of Coinbase, (d) Christopher Petersens (Bakkts Head of Business Development) experience gained while working in Product Strategy for Google, running Operations for FIS and starting 1080Payments, (e) Matthew Johnsons (Bakkts Chief Technology Officer) experience gained while acting as a board member for Digital Asset Research and Co-Founder and Chief Product Officer at Digital Asset Custody Company and (f) Doug Hadaways (Bakkts Chief Financial Officer) experience gained while acting as the Chief Financial Officer and member of the board of Bridge2 Solutions (now a subsidiary of Bakkt), and as an executive officer of MFG.com (Chief Financial Officer and Chief Operating Officer), Multicast Media Technologies (Chief Financial Officer and Vice President of Operations), Marketworks (Chief Executive Officer and Chief Financial Officer), Synchrologic (Chief Financial Officer) and Netzip (Chief Financial Officer). </w:t>
      </w:r>
    </w:p>
    <w:p>
      <w:pPr>
        <w:pStyle w:val="TextBody"/>
        <w:spacing w:before="240" w:after="0"/>
        <w:jc w:val="left"/>
        <w:rPr>
          <w:rFonts w:ascii="Times New Roman" w:hAnsi="Times New Roman"/>
          <w:sz w:val="20"/>
        </w:rPr>
      </w:pPr>
      <w:r>
        <w:rPr>
          <w:rFonts w:ascii="Times New Roman" w:hAnsi="Times New Roman"/>
          <w:sz w:val="20"/>
        </w:rPr>
        <w:t>VIH believes that this experience, as well as the related track record of each member of Bakkts management team and the continued investment of ICE, shows that Bakkt possesses a best-in-class management team with a track record of success in driving growth and profitability. See the section entitled </w:t>
      </w:r>
      <w:r>
        <w:rPr>
          <w:rFonts w:ascii="Times New Roman" w:hAnsi="Times New Roman"/>
          <w:i/>
          <w:sz w:val="20"/>
        </w:rPr>
        <w:t>Management of Bakkt</w:t>
      </w:r>
      <w:r>
        <w:rPr>
          <w:rFonts w:ascii="Times New Roman" w:hAnsi="Times New Roman"/>
          <w:sz w:val="20"/>
        </w:rPr>
        <w:t xml:space="preserve"> beginning on page 293 of this proxy statement/prospectus for a more detailed description of Bakkts current management team. </w:t>
      </w:r>
    </w:p>
    <w:p>
      <w:pPr>
        <w:pStyle w:val="TextBody"/>
        <w:spacing w:before="240" w:after="0"/>
        <w:jc w:val="left"/>
        <w:rPr>
          <w:rFonts w:ascii="Times New Roman" w:hAnsi="Times New Roman"/>
          <w:sz w:val="20"/>
        </w:rPr>
      </w:pPr>
      <w:r>
        <w:rPr>
          <w:rFonts w:ascii="Times New Roman" w:hAnsi="Times New Roman"/>
          <w:b/>
          <w:i/>
          <w:sz w:val="20"/>
        </w:rPr>
        <w:t>Risk Management, Underwriting, Data Analytics, Monitoring and Reporting Processes</w:t>
      </w:r>
      <w:r>
        <w:rPr>
          <w:rFonts w:ascii="Times New Roman" w:hAnsi="Times New Roman"/>
          <w:sz w:val="20"/>
        </w:rPr>
        <w:t xml:space="preserve">. VIH intended to pursue companies that maintain superior and scalable risk management, underwriting, data analytics, monitoring and reporting processes. </w:t>
      </w:r>
    </w:p>
    <w:p>
      <w:pPr>
        <w:pStyle w:val="TextBody"/>
        <w:spacing w:before="240" w:after="0"/>
        <w:jc w:val="left"/>
        <w:rPr>
          <w:rFonts w:ascii="Times New Roman" w:hAnsi="Times New Roman"/>
          <w:sz w:val="20"/>
        </w:rPr>
      </w:pPr>
      <w:r>
        <w:rPr>
          <w:rFonts w:ascii="Times New Roman" w:hAnsi="Times New Roman"/>
          <w:sz w:val="20"/>
        </w:rPr>
        <w:t xml:space="preserve">VIH believes that Bakkt satisfies this criteria because it maintains (a) a sophisticated cybersecurity program with deep integration with law enforcement and national coordination centers and proactive threat hunting and red teaming, (b) disaster resiliency through geographically distributed bank-grade vaults and data centers, dedicated fiber connectivity utilizing ICEs global network and secondary facilities capable of supporting all production workloads, (c) multi-zone physical security through operational facilities owned by ICE and regular penetration tests and security audits, and (d) operational security through the separation of duties with different reporting structures, obfuscated identities for critical roles and insider threat and anti-collusion controls. Further, by being a New York State Department of Financial Services regulated custodian, and by providing a $125 million insurance policy covering both warm wallets (i.e., online systems) and cold wallets (i.e., offline systems), bank-style anti-money laundering and know-your-customer policies, paired with extensive blockchain surveillance, and by conducting regular financial, security and operational control audits (including SOC certifications), Bakkt has offered institutional-grade custody solutions to customers. </w:t>
      </w:r>
    </w:p>
    <w:p>
      <w:pPr>
        <w:pStyle w:val="TextBody"/>
        <w:spacing w:before="240" w:after="0"/>
        <w:jc w:val="left"/>
        <w:rPr>
          <w:rFonts w:ascii="Times New Roman" w:hAnsi="Times New Roman"/>
          <w:sz w:val="20"/>
        </w:rPr>
      </w:pPr>
      <w:r>
        <w:rPr>
          <w:rFonts w:ascii="Times New Roman" w:hAnsi="Times New Roman"/>
          <w:b/>
          <w:i/>
          <w:sz w:val="20"/>
        </w:rPr>
        <w:t>Financial Inclusion and Value Creation</w:t>
      </w:r>
      <w:r>
        <w:rPr>
          <w:rFonts w:ascii="Times New Roman" w:hAnsi="Times New Roman"/>
          <w:sz w:val="20"/>
        </w:rPr>
        <w:t xml:space="preserve">. VIH sought to acquire a business that it believes can promote financial inclusion and provide significant value to the underlying end consumer or enterprise through a lowering of transaction costs or through providing access to high-quality financial services. </w:t>
      </w:r>
    </w:p>
    <w:p>
      <w:pPr>
        <w:pStyle w:val="TextBody"/>
        <w:spacing w:before="240" w:after="0"/>
        <w:jc w:val="left"/>
        <w:rPr>
          <w:rFonts w:ascii="Times New Roman" w:hAnsi="Times New Roman"/>
          <w:sz w:val="20"/>
        </w:rPr>
      </w:pPr>
      <w:r>
        <w:rPr>
          <w:rFonts w:ascii="Times New Roman" w:hAnsi="Times New Roman"/>
          <w:sz w:val="20"/>
        </w:rPr>
        <w:t xml:space="preserve">VIH believes that Bakkt satisfies this criteria as its business unlocks digital assets of its end consumer by providing a platform in which such end consumers can aggregate, convert and monetize such digital assets for everyday use. </w:t>
      </w:r>
    </w:p>
    <w:p>
      <w:pPr>
        <w:pStyle w:val="TextBody"/>
        <w:spacing w:before="240" w:after="0"/>
        <w:jc w:val="left"/>
        <w:rPr>
          <w:rFonts w:ascii="Times New Roman" w:hAnsi="Times New Roman"/>
          <w:sz w:val="20"/>
        </w:rPr>
      </w:pPr>
      <w:r>
        <w:rPr>
          <w:rFonts w:ascii="Times New Roman" w:hAnsi="Times New Roman"/>
          <w:b/>
          <w:i/>
          <w:sz w:val="20"/>
        </w:rPr>
        <w:t xml:space="preserve">Superior Technology Compared to Alternatives. </w:t>
      </w:r>
      <w:r>
        <w:rPr>
          <w:rFonts w:ascii="Times New Roman" w:hAnsi="Times New Roman"/>
          <w:sz w:val="20"/>
        </w:rPr>
        <w:t xml:space="preserve">The VIH Board believes that Bakkts digital asset aggregation and monetization platform is superior to existing products on the market, with a lower cost as compared to other digital trading solutions and reducing merchant payment acceptance costs and merchant and loyalty sponsor rewards liabilities that expand the growth opportunities of Bakkts technology. The VIH Board believes that these factors will enable Bakkt to increase its market share and introduce its products into a variety of different markets.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Other Alternatives</w:t>
      </w:r>
      <w:r>
        <w:rPr>
          <w:rFonts w:ascii="Times New Roman" w:hAnsi="Times New Roman"/>
          <w:sz w:val="20"/>
        </w:rPr>
        <w:t xml:space="preserve">. The VIH Board believes, after a thorough review of other business combination opportunities reasonably available to VIH, that the proposed Business Combination represents the best potential initial business combination for VIH based upon the process utilized to evaluate and assess other potential acquisition targets. </w:t>
      </w:r>
    </w:p>
    <w:p>
      <w:pPr>
        <w:pStyle w:val="TextBody"/>
        <w:spacing w:before="240" w:after="0"/>
        <w:jc w:val="left"/>
        <w:rPr>
          <w:rFonts w:ascii="Times New Roman" w:hAnsi="Times New Roman"/>
          <w:sz w:val="20"/>
        </w:rPr>
      </w:pPr>
      <w:r>
        <w:rPr>
          <w:rFonts w:ascii="Times New Roman" w:hAnsi="Times New Roman"/>
          <w:b/>
          <w:i/>
          <w:sz w:val="20"/>
        </w:rPr>
        <w:t>PIPE Commitment</w:t>
      </w:r>
      <w:r>
        <w:rPr>
          <w:rFonts w:ascii="Times New Roman" w:hAnsi="Times New Roman"/>
          <w:sz w:val="20"/>
        </w:rPr>
        <w:t xml:space="preserve">. The PIPE Investors have committed to purchase $325 million in Bakkt Pubco Class A Shares at $10.00 per share, $50 million of which ICE has committed to purchase (up to $5 million of which may be allocated to other Bakkt Equity Holders) and $5 million of which another Bakkt Equity Holder has committed to purchase. The oversubscription for the PIPE Investment in Bakkt Pubco Class A Shares shows market support for the Business Combination, and the $325 million in aggregate commitments reduces the minimum required cash from the Trust Account. </w:t>
      </w:r>
    </w:p>
    <w:p>
      <w:pPr>
        <w:pStyle w:val="TextBody"/>
        <w:spacing w:before="240" w:after="0"/>
        <w:jc w:val="left"/>
        <w:rPr>
          <w:rFonts w:ascii="Times New Roman" w:hAnsi="Times New Roman"/>
          <w:sz w:val="20"/>
        </w:rPr>
      </w:pPr>
      <w:r>
        <w:rPr>
          <w:rFonts w:ascii="Times New Roman" w:hAnsi="Times New Roman"/>
          <w:b/>
          <w:i/>
          <w:sz w:val="20"/>
        </w:rPr>
        <w:t>Bakkt Equity Holders Retained Interest</w:t>
      </w:r>
      <w:r>
        <w:rPr>
          <w:rFonts w:ascii="Times New Roman" w:hAnsi="Times New Roman"/>
          <w:sz w:val="20"/>
        </w:rPr>
        <w:t>. Bakkt Equity Holders are rolling 100% of their equity and will own approximately a 78% stake in the combined company (calculated based upon certain assumptions as described in the section entitled </w:t>
      </w:r>
      <w:r>
        <w:rPr>
          <w:rFonts w:ascii="Times New Roman" w:hAnsi="Times New Roman"/>
          <w:i/>
          <w:sz w:val="20"/>
        </w:rPr>
        <w:t>Frequently Used TermsShare Calculations and Ownership Percentages</w:t>
      </w:r>
      <w:r>
        <w:rPr>
          <w:rFonts w:ascii="Times New Roman" w:hAnsi="Times New Roman"/>
          <w:sz w:val="20"/>
        </w:rPr>
        <w:t xml:space="preserve"> beginning on page 7 of this proxy statement/prospectus), which shows an ongoing equity commitment, which is further exemplified by the participation in the PIPE Investment by some of the other Bakkt Equity Holders (including ICE). </w:t>
      </w:r>
    </w:p>
    <w:p>
      <w:pPr>
        <w:pStyle w:val="TextBody"/>
        <w:spacing w:before="240" w:after="0"/>
        <w:jc w:val="left"/>
        <w:rPr>
          <w:rFonts w:ascii="Times New Roman" w:hAnsi="Times New Roman"/>
          <w:sz w:val="20"/>
        </w:rPr>
      </w:pPr>
      <w:r>
        <w:rPr>
          <w:rFonts w:ascii="Times New Roman" w:hAnsi="Times New Roman"/>
          <w:sz w:val="20"/>
        </w:rPr>
        <w:t xml:space="preserve">Although the VIH Board did not seek a third-party valuation, and did not receive a valuation opinion from any third party in connection with the Business Combination, the VIH Board relied on VIHs management teams collective experience in public market transactions in constructing and evaluating financial models and projections and conducting valuations of businesses. Based on these various factors, the VIH Board concluded that a fully diluted post-Closing enterprise value of the combined companies of $2.082 billion is a fair and reasonable valuation given (a) the implied valuation of Bakkts peer group and (b) Bakkts growth prospects, business strategy, market-leading digital asset aggregation and monetization technology and other compelling aspects of the Business Combination. </w:t>
      </w:r>
    </w:p>
    <w:p>
      <w:pPr>
        <w:pStyle w:val="TextBody"/>
        <w:spacing w:before="240" w:after="0"/>
        <w:jc w:val="left"/>
        <w:rPr>
          <w:rFonts w:ascii="Times New Roman" w:hAnsi="Times New Roman"/>
          <w:sz w:val="20"/>
        </w:rPr>
      </w:pPr>
      <w:r>
        <w:rPr>
          <w:rFonts w:ascii="Times New Roman" w:hAnsi="Times New Roman"/>
          <w:sz w:val="20"/>
        </w:rPr>
        <w:t>The VIH Board also gave consideration to certain negative factors (which are more fully described in the section entitled </w:t>
      </w:r>
      <w:r>
        <w:rPr>
          <w:rFonts w:ascii="Times New Roman" w:hAnsi="Times New Roman"/>
          <w:i/>
          <w:sz w:val="20"/>
        </w:rPr>
        <w:t>Risk Factors</w:t>
      </w:r>
      <w:r>
        <w:rPr>
          <w:rFonts w:ascii="Times New Roman" w:hAnsi="Times New Roman"/>
          <w:sz w:val="20"/>
        </w:rPr>
        <w:t xml:space="preserve"> beginning on page 52 of this proxy statement/prospectus, although not weighted or in any order of significance). </w:t>
      </w:r>
    </w:p>
    <w:p>
      <w:pPr>
        <w:pStyle w:val="TextBody"/>
        <w:spacing w:before="360" w:after="0"/>
        <w:jc w:val="left"/>
        <w:rPr>
          <w:rFonts w:ascii="Times New Roman" w:hAnsi="Times New Roman"/>
          <w:b/>
          <w:i/>
          <w:sz w:val="20"/>
        </w:rPr>
      </w:pPr>
      <w:r>
        <w:rPr>
          <w:rFonts w:ascii="Times New Roman" w:hAnsi="Times New Roman"/>
          <w:b/>
          <w:i/>
          <w:sz w:val="20"/>
        </w:rPr>
        <w:t xml:space="preserve">The risk that VIHs public shareholders would vote against the Business Combination Proposal or exercise their Redemption Rights </w:t>
      </w:r>
    </w:p>
    <w:p>
      <w:pPr>
        <w:pStyle w:val="TextBody"/>
        <w:spacing w:before="120" w:after="0"/>
        <w:jc w:val="left"/>
        <w:rPr>
          <w:rFonts w:ascii="Times New Roman" w:hAnsi="Times New Roman"/>
          <w:sz w:val="20"/>
        </w:rPr>
      </w:pPr>
      <w:r>
        <w:rPr>
          <w:rFonts w:ascii="Times New Roman" w:hAnsi="Times New Roman"/>
          <w:sz w:val="20"/>
        </w:rPr>
        <w:t xml:space="preserve">The VIH Board considered the risk that some of the current Public Shareholders would vote against the Business Combination Proposal or decide to exercise their Redemption Rights, thereby reducing the amount of cash available in the Trust Account to an amount below the minimum amount required to consummate the Business Combination. The VIH Board concluded, however, that the risk was mitigated because of the market confidence shown by the PIPE Investors, which the VIH Board considered a strong endorsement of the quality of the Business Combination. Further, the fact that Public Shareholders may vote for the Business Combination Proposal while also exercising their Redemption Rights mitigates incentive for a Public Shareholders to vote against the Business Combination Proposal, especially to the extent that they hold Public Warrants which would be worthless if the Business Combination is not completed. </w:t>
      </w:r>
    </w:p>
    <w:p>
      <w:pPr>
        <w:pStyle w:val="TextBody"/>
        <w:spacing w:before="360" w:after="0"/>
        <w:jc w:val="left"/>
        <w:rPr>
          <w:rFonts w:ascii="Times New Roman" w:hAnsi="Times New Roman"/>
          <w:b/>
          <w:i/>
          <w:sz w:val="20"/>
        </w:rPr>
      </w:pPr>
      <w:r>
        <w:rPr>
          <w:rFonts w:ascii="Times New Roman" w:hAnsi="Times New Roman"/>
          <w:b/>
          <w:i/>
          <w:sz w:val="20"/>
        </w:rPr>
        <w:t xml:space="preserve">VIHs management and the VIH Board may have different interests in the Business Combination than the Public Shareholders </w:t>
      </w:r>
    </w:p>
    <w:p>
      <w:pPr>
        <w:pStyle w:val="TextBody"/>
        <w:spacing w:before="120" w:after="0"/>
        <w:jc w:val="left"/>
        <w:rPr>
          <w:rFonts w:ascii="Times New Roman" w:hAnsi="Times New Roman"/>
          <w:sz w:val="20"/>
        </w:rPr>
      </w:pPr>
      <w:r>
        <w:rPr>
          <w:rFonts w:ascii="Times New Roman" w:hAnsi="Times New Roman"/>
          <w:sz w:val="20"/>
        </w:rPr>
        <w:t xml:space="preserve">The VIH Board considered the fact that members of VIHs management and the VIH Board may have interests that are different from, or are in addition to, the interests of VIHs shareholders generally, including the matters described under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151 of this proxy statement/prospectus. However, the VIH Board concluded that the potentially disparate interests would be mitigated because (a) these interests were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disclosed in the IPO prospectus and (b) these disparate interests would exist or may be even greater with respect to a business combination with any other target company, depending on the substantive terms and timing of any such alternative business combination. </w:t>
      </w:r>
    </w:p>
    <w:p>
      <w:pPr>
        <w:pStyle w:val="TextBody"/>
        <w:spacing w:before="240" w:after="0"/>
        <w:jc w:val="left"/>
        <w:rPr>
          <w:rFonts w:ascii="Times New Roman" w:hAnsi="Times New Roman"/>
          <w:sz w:val="20"/>
        </w:rPr>
      </w:pPr>
      <w:r>
        <w:rPr>
          <w:rFonts w:ascii="Times New Roman" w:hAnsi="Times New Roman"/>
          <w:sz w:val="20"/>
        </w:rPr>
        <w:t xml:space="preserve">The VIH Board also considered a variety of additional uncertainties and risks and other potentially negative factors concerning the Business Combination, including, but not limited to, the following: </w:t>
      </w:r>
    </w:p>
    <w:p>
      <w:pPr>
        <w:pStyle w:val="TextBody"/>
        <w:spacing w:before="240" w:after="0"/>
        <w:jc w:val="left"/>
        <w:rPr>
          <w:rFonts w:ascii="Times New Roman" w:hAnsi="Times New Roman"/>
          <w:sz w:val="20"/>
        </w:rPr>
      </w:pPr>
      <w:r>
        <w:rPr>
          <w:rFonts w:ascii="Times New Roman" w:hAnsi="Times New Roman"/>
          <w:b/>
          <w:i/>
          <w:sz w:val="20"/>
        </w:rPr>
        <w:t>Liquidation of VIH</w:t>
      </w:r>
      <w:r>
        <w:rPr>
          <w:rFonts w:ascii="Times New Roman" w:hAnsi="Times New Roman"/>
          <w:sz w:val="20"/>
        </w:rPr>
        <w:t xml:space="preserve">. The risks and costs to VIH if the Business Combination is not completed, including the risk of diverting management focus and resources from other initial business combination opportunities, which could result in VIH being unable to effect an initial business combination by September 25, 2022 and force the Company to liquidate and the warrants to expire worthless. </w:t>
      </w:r>
    </w:p>
    <w:p>
      <w:pPr>
        <w:pStyle w:val="TextBody"/>
        <w:spacing w:before="240" w:after="0"/>
        <w:jc w:val="left"/>
        <w:rPr>
          <w:rFonts w:ascii="Times New Roman" w:hAnsi="Times New Roman"/>
          <w:sz w:val="20"/>
        </w:rPr>
      </w:pPr>
      <w:r>
        <w:rPr>
          <w:rFonts w:ascii="Times New Roman" w:hAnsi="Times New Roman"/>
          <w:b/>
          <w:i/>
          <w:sz w:val="20"/>
        </w:rPr>
        <w:t>Competition</w:t>
      </w:r>
      <w:r>
        <w:rPr>
          <w:rFonts w:ascii="Times New Roman" w:hAnsi="Times New Roman"/>
          <w:sz w:val="20"/>
        </w:rPr>
        <w:t xml:space="preserve">. The fact that there are a number of companies competing in the digital asset trading industry and the possibility that Bakkt may be unable to attract and retain additional users or merchant partners, or the possibility that one of its competitors may be able to develop new technology or business strategies that may negatively impact Bakkts operations and growth prospects. </w:t>
      </w:r>
    </w:p>
    <w:p>
      <w:pPr>
        <w:pStyle w:val="TextBody"/>
        <w:spacing w:before="240" w:after="0"/>
        <w:jc w:val="left"/>
        <w:rPr>
          <w:rFonts w:ascii="Times New Roman" w:hAnsi="Times New Roman"/>
          <w:sz w:val="20"/>
        </w:rPr>
      </w:pPr>
      <w:r>
        <w:rPr>
          <w:rFonts w:ascii="Times New Roman" w:hAnsi="Times New Roman"/>
          <w:b/>
          <w:i/>
          <w:sz w:val="20"/>
        </w:rPr>
        <w:t>Revenue Status</w:t>
      </w:r>
      <w:r>
        <w:rPr>
          <w:rFonts w:ascii="Times New Roman" w:hAnsi="Times New Roman"/>
          <w:sz w:val="20"/>
        </w:rPr>
        <w:t xml:space="preserve">. The risks related to Bakkts status as a company that has not begun selling its services and the possibility that the Bakkt management team may be unable to execute its business plan or achieve and sustain profitability. </w:t>
      </w:r>
    </w:p>
    <w:p>
      <w:pPr>
        <w:pStyle w:val="TextBody"/>
        <w:spacing w:before="240" w:after="0"/>
        <w:jc w:val="left"/>
        <w:rPr>
          <w:rFonts w:ascii="Times New Roman" w:hAnsi="Times New Roman"/>
          <w:sz w:val="20"/>
        </w:rPr>
      </w:pPr>
      <w:r>
        <w:rPr>
          <w:rFonts w:ascii="Times New Roman" w:hAnsi="Times New Roman"/>
          <w:b/>
          <w:i/>
          <w:sz w:val="20"/>
        </w:rPr>
        <w:t>Closing Conditions</w:t>
      </w:r>
      <w:r>
        <w:rPr>
          <w:rFonts w:ascii="Times New Roman" w:hAnsi="Times New Roman"/>
          <w:sz w:val="20"/>
        </w:rPr>
        <w:t xml:space="preserve">. The fact that completion of the Business Combination is conditioned on the satisfaction of certain closing conditions that are not within VIHs control. </w:t>
      </w:r>
    </w:p>
    <w:p>
      <w:pPr>
        <w:pStyle w:val="TextBody"/>
        <w:spacing w:before="240" w:after="0"/>
        <w:jc w:val="left"/>
        <w:rPr>
          <w:rFonts w:ascii="Times New Roman" w:hAnsi="Times New Roman"/>
          <w:sz w:val="20"/>
        </w:rPr>
      </w:pPr>
      <w:r>
        <w:rPr>
          <w:rFonts w:ascii="Times New Roman" w:hAnsi="Times New Roman"/>
          <w:b/>
          <w:i/>
          <w:sz w:val="20"/>
        </w:rPr>
        <w:t>Litigation</w:t>
      </w:r>
      <w:r>
        <w:rPr>
          <w:rFonts w:ascii="Times New Roman" w:hAnsi="Times New Roman"/>
          <w:sz w:val="20"/>
        </w:rPr>
        <w:t xml:space="preserve">. The possibility of litigation challenging the Business Combination or that an adverse judgment granting permanent injunctive relief could indefinitely enjoin consummation of the Business Combination. </w:t>
      </w:r>
    </w:p>
    <w:p>
      <w:pPr>
        <w:pStyle w:val="TextBody"/>
        <w:spacing w:before="240" w:after="0"/>
        <w:jc w:val="left"/>
        <w:rPr>
          <w:rFonts w:ascii="Times New Roman" w:hAnsi="Times New Roman"/>
          <w:sz w:val="20"/>
        </w:rPr>
      </w:pPr>
      <w:r>
        <w:rPr>
          <w:rFonts w:ascii="Times New Roman" w:hAnsi="Times New Roman"/>
          <w:b/>
          <w:i/>
          <w:sz w:val="20"/>
        </w:rPr>
        <w:t>Fees and Expenses</w:t>
      </w:r>
      <w:r>
        <w:rPr>
          <w:rFonts w:ascii="Times New Roman" w:hAnsi="Times New Roman"/>
          <w:sz w:val="20"/>
        </w:rPr>
        <w:t xml:space="preserve">. The fees and expenses associated with completing the Business Combination. </w:t>
      </w:r>
    </w:p>
    <w:p>
      <w:pPr>
        <w:pStyle w:val="TextBody"/>
        <w:spacing w:before="240" w:after="0"/>
        <w:jc w:val="left"/>
        <w:rPr>
          <w:rFonts w:ascii="Times New Roman" w:hAnsi="Times New Roman"/>
          <w:sz w:val="20"/>
        </w:rPr>
      </w:pPr>
      <w:r>
        <w:rPr>
          <w:rFonts w:ascii="Times New Roman" w:hAnsi="Times New Roman"/>
          <w:b/>
          <w:i/>
          <w:sz w:val="20"/>
        </w:rPr>
        <w:t>Public Company Status</w:t>
      </w:r>
      <w:r>
        <w:rPr>
          <w:rFonts w:ascii="Times New Roman" w:hAnsi="Times New Roman"/>
          <w:sz w:val="20"/>
        </w:rPr>
        <w:t xml:space="preserve">. The requirements of being a public company, including compliance with the SECs requirements regarding internal control over financial reporting, may strain Bakkt Pubcos resources and divert managements attention, and the increases in legal, accounting and compliance expenses that will result from the Business Combination may be greater than Bakkt Pubco anticipates. </w:t>
      </w:r>
    </w:p>
    <w:p>
      <w:pPr>
        <w:pStyle w:val="TextBody"/>
        <w:spacing w:before="360" w:after="0"/>
        <w:jc w:val="left"/>
        <w:rPr>
          <w:rFonts w:ascii="Times New Roman" w:hAnsi="Times New Roman"/>
          <w:b/>
          <w:sz w:val="20"/>
        </w:rPr>
      </w:pPr>
      <w:bookmarkStart w:id="58" w:name="9b"/>
      <w:bookmarkEnd w:id="58"/>
      <w:r>
        <w:rPr>
          <w:rFonts w:ascii="Times New Roman" w:hAnsi="Times New Roman"/>
          <w:b/>
          <w:sz w:val="20"/>
        </w:rPr>
        <w:t xml:space="preserve">Certain Benefits of VIHs Directors and Officers and Others in the Business Combination </w:t>
      </w:r>
    </w:p>
    <w:p>
      <w:pPr>
        <w:pStyle w:val="TextBody"/>
        <w:spacing w:before="120" w:after="0"/>
        <w:jc w:val="left"/>
        <w:rPr>
          <w:rFonts w:ascii="Times New Roman" w:hAnsi="Times New Roman"/>
          <w:sz w:val="20"/>
        </w:rPr>
      </w:pPr>
      <w:r>
        <w:rPr>
          <w:rFonts w:ascii="Times New Roman" w:hAnsi="Times New Roman"/>
          <w:sz w:val="20"/>
        </w:rPr>
        <w:t xml:space="preserve">In considering the recommendation of the VIH Board in favor of approval of the Business Combination, it should be noted that VIHs directors and officers have interests in the Business Combination that are different from, or in addition to, your interests as a shareholder. These interests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the IPO, the Sponsor purchased 5,750,000 VIH Class B Ordinary Shares (565,700 of which were forfeited in connection with the exercise of the over-allotment option granted to the underwriters in the IPO) for an aggregate purchase price of $25,000, or approximately $0.004 per share, and the Sponsor transferred 20,000 of its VIH Class B Ordinary Shares to each of Adrienne Harris, Kai Schmitz and Kurt Summers, who are all independent directors on the VIH Board, at the same price per share as paid by the Sponsor. As a result of the significantly lower investment per share of our Sponsor and such independent directors as compared with the investment per share of the Public Shareholders, a transaction which results in an increase in the value of the investment of the Sponsor and such independent directors may result in a decrease in the value of the investment of the Public Shareholders. In addition, if VIH does not consummate a business combination by September 25, 2022 (or if such date is extended at a duly called extraordinary general meeting, such later date), it would cease all operations except for the purpose of winding up, redeeming all of the outstanding Public Shares for cash and, subject to the approval of its remaining shareholders and the VIH Board,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liquidating and dissolving, subject in each case to its obligations under Cayman Islands law to provide for claims of creditors and the requirements of other applicable law. In such event, the 5,124,300 VIH Class B Ordinary Shares owned by the Sponsor (this is the amount of shares owned by the Sponsor following the forfeiture of 565,700 VIH Class B Ordinary Shares and the transfer of 20,000 VIH Class B Ordinary Shares to each of Adrienne Harris, Kai Schmitz and Kurt Summers), and the 20,000 VIH Class B Ordinary Shares owned by each of Adrienne Harris, Kai Schmitz and Kurt Summers, would be worthless because following the redemption of the Public Shares, VIH would likely have few, if any, net assets and because the Sponsor and VIHs directors and officers (including the independent directors) have agreed to waive their respective rights to liquidating distributions from the Trust Account in respect of any VIH Class A Ordinary Shares and VIH Class B Ordinary Shares held by it or them, as applicable, if VIH fails to complete a business combination within the required period. Additionally, in such event, the 6,147,440 Private Placement Warrants purchased by the Sponsor simultaneously with the consummation of the IPO and the exercise of the over-allotment option by the underwriters for an aggregate purchase price of $6,147,440 will also expire worthless. VIHs directors and executive officers, John Martin, Gordon Watson, and Olibia Stamatoglou, also may have a direct or indirect economic interest in such Private Placement Warrants and in the 5,124,300 VIH Class B Ordinary Shares owned by the Sponsor. The 5,184,300 of Bakkt Pubco Class A Shares into which the 5,184,300 VIH Class B Ordinary Shares held by the Sponsor, Adrienne Harris, Kai Schmitz and Kurt Summers will automatically convert in connection with the Merger (including after giving effect to the Domestication), if unrestricted and freely tradable, would have had an aggregate market value of approximately $61,796,856 based upon the closing price of $11.92 per VIH Class A Ordinary Share on the Nasdaq on March 29, 2021, the most recent practicable date prior to the date of this proxy statement/prospectus. However, given that such Bakkt Pubco Class A Shares will be subject to certain restrictions, including those described elsewhere in this proxy statement/prospectus, VIH believes such shares have less value. The 6,147,440 Bakkt Pubco Warrants into which the 6,147,440 Private Placement Warrants held by the Sponsor will automatically convert in connection with the Merger (including after giving effect to the Domestication), if unrestricted and freely tradable, would have had an aggregate market value of approximately $15,061,228 based upon the closing price of $2.45 per Public Warrant on the Nasdaq on March 29, 2021, the most recent practicable date prior to the date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Gordon Watson, a current director of VIH, is expected to be a director of Bakkt Pubco after the Closing. As such, in the future, Mr. Watson may receive fees for his service as a director, which may consist of cash or stock-based awards, and any other remuneration that the Company Board determines to pay to its non-employee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VIHs existing directors and officers will be eligible for continued indemnification and continued coverage under VIHs directors and officers liability insurance policy after the Closing and pursuant to the Merger Agreement and indemnification agreements entered into with such directors and officers in connection with the IPO.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VIH if and to the extent any claims by a third party (other than VIHs independent registered public accounting firm) for services rendered or products sold to VIH, or a prospective target business with which VIH has discussed entering into a transaction agreement, reduce the amount of funds in the Trust Account to below the lesser of (a) $10.00 per Public Share and (b) the actual amount per Public Share held in the Trust Account as of the date of the liquidation of the Trust Account, if less than $10.00 per Public Share, due to reductions in value of the trust assets, in each case net of the interest that may be withdrawn to pay taxes. This liability will not apply to any claims by a third party who executed a waiver of any and all rights to seek access to the Trust Account and as to any claims under the indemnity of the underwriters of the IPO against certain liabilities, including liabilities under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VIHs officers and directors and their affiliates are entitled to reimbursement of out-of-pocket expenses incurred by them related to identifying, investigating, negotiating and completing an initial business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combination. However, if VIH fails to consummate a business combination by September 25, 2022, they will not have any claim against the Trust Account for reimbursement. Accordingly, VIH may not be able to reimburse these expenses if the Business Combination or another business combination is not completed by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VIHs officers and directors and their affiliates are entitled to reimbursement of out-of-pocket expenses incurred by them related to identifying, investigating, negotiating and completing an initial business combination. However, if VIH fails to consummate a business combination by September 25, 2022, they will not have any claim against the Trust Account for reimbursement. Accordingly, VIH may not be able to reimburse these expenses if the Business Combination or another business combination is not completed by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Registration Rights Agreement, the Sponsor and certain members of the Sponsor will have customary registration rights, including demand and piggy-back rights, subject to cooperation and cut-back provisions with respect to the Bakkt Pubco Common Stock and Bakkt Pubco Warrants held by such parties following the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Proposed Certificate of Incorporation will contain a provision expressly electing that Bakkt Pubco will not to be governed by Section 203 (Delawares interested stockholder statute) of the DGCL, although it will provide other restrictions regarding takeovers by interested stockholders. See the section entitled </w:t>
            </w:r>
            <w:r>
              <w:rPr>
                <w:rFonts w:ascii="Times New Roman" w:hAnsi="Times New Roman"/>
                <w:i/>
                <w:sz w:val="20"/>
              </w:rPr>
              <w:t>The Organizational Documents Proposal</w:t>
            </w:r>
            <w:r>
              <w:rPr>
                <w:rFonts w:ascii="Times New Roman" w:hAnsi="Times New Roman"/>
                <w:sz w:val="20"/>
              </w:rPr>
              <w:t> and </w:t>
            </w:r>
            <w:r>
              <w:rPr>
                <w:rFonts w:ascii="Times New Roman" w:hAnsi="Times New Roman"/>
                <w:i/>
                <w:sz w:val="20"/>
              </w:rPr>
              <w:t>The Advisory Organizational Documents Proposals</w:t>
            </w:r>
            <w:r>
              <w:rPr>
                <w:rFonts w:ascii="Times New Roman" w:hAnsi="Times New Roman"/>
                <w:sz w:val="20"/>
              </w:rPr>
              <w:t xml:space="preserve"> beginning on pages 172 and 174, respectively, for additional details. </w:t>
            </w:r>
          </w:p>
        </w:tc>
      </w:tr>
    </w:tbl>
    <w:p>
      <w:pPr>
        <w:pStyle w:val="TextBody"/>
        <w:spacing w:before="360" w:after="0"/>
        <w:jc w:val="left"/>
        <w:rPr>
          <w:rFonts w:ascii="Times New Roman" w:hAnsi="Times New Roman"/>
          <w:b/>
          <w:sz w:val="20"/>
        </w:rPr>
      </w:pPr>
      <w:r>
        <w:rPr>
          <w:rFonts w:ascii="Times New Roman" w:hAnsi="Times New Roman"/>
          <w:b/>
          <w:sz w:val="20"/>
        </w:rPr>
        <w:t xml:space="preserve">Projected Financial Information </w:t>
      </w:r>
    </w:p>
    <w:p>
      <w:pPr>
        <w:pStyle w:val="TextBody"/>
        <w:spacing w:before="120" w:after="0"/>
        <w:jc w:val="left"/>
        <w:rPr>
          <w:rFonts w:ascii="Times New Roman" w:hAnsi="Times New Roman"/>
          <w:sz w:val="20"/>
        </w:rPr>
      </w:pPr>
      <w:r>
        <w:rPr>
          <w:rFonts w:ascii="Times New Roman" w:hAnsi="Times New Roman"/>
          <w:sz w:val="20"/>
        </w:rPr>
        <w:t>In connection with its consideration of the potential business combination, the VIH Board was provided with prospective financial information prepared by Bakkts management team (the </w:t>
      </w:r>
      <w:r>
        <w:rPr>
          <w:rFonts w:ascii="Times New Roman" w:hAnsi="Times New Roman"/>
          <w:b/>
          <w:sz w:val="20"/>
        </w:rPr>
        <w:t>Projections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Projections are included in this proxy statement/prospectus solely to provide VIHs shareholders access to information made available in connection with the VIH Boards consideration of the proposed Business Combination. The Projections should not be viewed as public guidance. Furthermore, the Projections do not take into account any circumstances or events occurring after the date on which the Projections were prepared, which was January 10, 2021. </w:t>
      </w:r>
    </w:p>
    <w:p>
      <w:pPr>
        <w:pStyle w:val="TextBody"/>
        <w:spacing w:before="240" w:after="0"/>
        <w:jc w:val="left"/>
        <w:rPr>
          <w:rFonts w:ascii="Times New Roman" w:hAnsi="Times New Roman"/>
          <w:sz w:val="20"/>
        </w:rPr>
      </w:pPr>
      <w:r>
        <w:rPr>
          <w:rFonts w:ascii="Times New Roman" w:hAnsi="Times New Roman"/>
          <w:sz w:val="20"/>
        </w:rPr>
        <w:t xml:space="preserve">The Projections were prepared in good faith by Bakkts management team with input from VIHs management team, as well as Jefferies, Citi and PJ Solomon, and are based on Bakkts managements reasonable estimates and assumptions with respect to the expected future financial performance of Bakkt at the time the Projections were prepared and speak only as of that time. </w:t>
      </w:r>
    </w:p>
    <w:p>
      <w:pPr>
        <w:pStyle w:val="TextBody"/>
        <w:spacing w:before="240" w:after="0"/>
        <w:jc w:val="left"/>
        <w:rPr>
          <w:rFonts w:ascii="Times New Roman" w:hAnsi="Times New Roman"/>
          <w:sz w:val="20"/>
        </w:rPr>
      </w:pPr>
      <w:r>
        <w:rPr>
          <w:rFonts w:ascii="Times New Roman" w:hAnsi="Times New Roman"/>
          <w:sz w:val="20"/>
        </w:rPr>
        <w:t xml:space="preserve">The Projections reflect numerous estimates and assumptions with respect to industry performance, general business, economic, regulatory, market and financial conditions and other future events, as well as matters specific to Bakkts business, all of which are difficult to predict and many of which are beyond Bakkts and VIHs control. As a result, there can be no assurance that the Projections will be realized or that actual results will not be significantly higher or lower than the Projections. Since the Projections cover multiple years, such information by its nature becomes less reliable with each successive year. These Projections are subjective in many respects and thus are susceptible to multiple interpretations and periodic revisions based on actual </w:t>
      </w:r>
    </w:p>
    <w:p>
      <w:pPr>
        <w:pStyle w:val="TextBody"/>
        <w:spacing w:before="0" w:after="0"/>
        <w:jc w:val="left"/>
        <w:rPr>
          <w:rFonts w:ascii="Times New Roman" w:hAnsi="Times New Roman"/>
          <w:sz w:val="20"/>
        </w:rPr>
      </w:pPr>
      <w:r>
        <w:rPr>
          <w:rFonts w:ascii="Times New Roman" w:hAnsi="Times New Roman"/>
          <w:sz w:val="20"/>
        </w:rPr>
        <w:t>experience and business developments. The Projections are forward-looking statements that are inherently subject to significant uncertainties and contingencies, many of which are beyond Bakkts control. The various risks and uncertainties include those set forth in the </w:t>
      </w:r>
      <w:r>
        <w:rPr>
          <w:rFonts w:ascii="Times New Roman" w:hAnsi="Times New Roman"/>
          <w:i/>
          <w:sz w:val="20"/>
        </w:rPr>
        <w:t>Risk Factors</w:t>
      </w:r>
      <w:r>
        <w:rPr>
          <w:rFonts w:ascii="Times New Roman" w:hAnsi="Times New Roman"/>
          <w:sz w:val="20"/>
        </w:rPr>
        <w:t>, </w:t>
      </w:r>
      <w:r>
        <w:rPr>
          <w:rFonts w:ascii="Times New Roman" w:hAnsi="Times New Roman"/>
          <w:i/>
          <w:sz w:val="20"/>
        </w:rPr>
        <w:t>Managements Discussion and Analysis of</w:t>
      </w:r>
      <w:r>
        <w:rPr>
          <w:rFonts w:ascii="Times New Roman" w:hAnsi="Times New Roman"/>
          <w:sz w:val="20"/>
        </w:rPr>
        <w:t xml:space="preserve"> </w:t>
      </w:r>
      <w:r>
        <w:rPr>
          <w:rFonts w:ascii="Times New Roman" w:hAnsi="Times New Roman"/>
          <w:i/>
          <w:sz w:val="20"/>
        </w:rPr>
        <w:t>Financial Condition and Results of Operations of Bakkt</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sections beginning on pages 52, 274 and 10 of this proxy statement/prospectus, respectively. </w:t>
      </w:r>
    </w:p>
    <w:p>
      <w:pPr>
        <w:pStyle w:val="TextBody"/>
        <w:spacing w:before="240" w:after="0"/>
        <w:jc w:val="left"/>
        <w:rPr>
          <w:rFonts w:ascii="Times New Roman" w:hAnsi="Times New Roman"/>
          <w:sz w:val="20"/>
        </w:rPr>
      </w:pPr>
      <w:r>
        <w:rPr>
          <w:rFonts w:ascii="Times New Roman" w:hAnsi="Times New Roman"/>
          <w:sz w:val="20"/>
        </w:rPr>
        <w:t xml:space="preserve">In arriving at the Projections, the material assumptions considered, included, but were not limited to,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closing date of the Business Combination of January 1, 2021 and related funding for execution of Bakkts growth strategy;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consumer launch of the Bakkt Platform in Q1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continued acquisition of partnerships with digital asset content providers;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of the number and type of digital assets offered on the Bakkt Platform including, but not limited to additional cryptoassets, in-game assets, equity securities and additional loyalty and rewards points/miles. </w:t>
            </w:r>
          </w:p>
        </w:tc>
      </w:tr>
    </w:tbl>
    <w:p>
      <w:pPr>
        <w:pStyle w:val="TextBody"/>
        <w:spacing w:before="240" w:after="0"/>
        <w:jc w:val="left"/>
        <w:rPr>
          <w:rFonts w:ascii="Times New Roman" w:hAnsi="Times New Roman"/>
          <w:sz w:val="20"/>
        </w:rPr>
      </w:pPr>
      <w:r>
        <w:rPr>
          <w:rFonts w:ascii="Times New Roman" w:hAnsi="Times New Roman"/>
          <w:sz w:val="20"/>
        </w:rPr>
        <w:t xml:space="preserve">The Projections were prepared solely for internal use and not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Bakkts management. Neither the independent registered public accounting firms of Bakkt or VIH nor any other registered public accounting firms, have compiled, examined or performed any procedures with respect to the Projections contained herein, nor have they expressed any opinion or any other form of assurance on such information their achievability, and the independent registered public accounting firms of Bakkt and VIH assume no responsibility for, and disclaim any association with, the Projections. The report of the independent registered public accounting firm included in this document relates to the historical financial information of Bakkt. It does not extend to the Projections and should not be read to do so. Furthermore, the Projections do not take into account any circumstances or events occurring after the date they were prepared. Nonetheless, a summary of the Projections is provided in this proxy statement/prospectus because the Projections were made available to VIH. The inclusion of the Projections in this proxy statement/prospectus should not be regarded as an indication that VIH, the VIH Board, or their respective affiliates, advisors or other representatives considered, or now considers, such Projections necessarily to be predictive of actual future results or to support or fail to support your decision whether to vote for or against the Business Combination Proposal. No person has made or makes any representation or warranty to any VIH shareholder regarding the information included in these Projections. The Projections are not fact and should not be relied upon as being necessarily indicative of future results, and readers of this proxy statement/prospectus are cautioned not to place undue reliance on this information. The Projections should not be viewed as public guidance. </w:t>
      </w:r>
    </w:p>
    <w:p>
      <w:pPr>
        <w:pStyle w:val="TextBody"/>
        <w:spacing w:before="240" w:after="0"/>
        <w:jc w:val="left"/>
        <w:rPr>
          <w:rFonts w:ascii="Times New Roman" w:hAnsi="Times New Roman"/>
          <w:sz w:val="20"/>
        </w:rPr>
      </w:pPr>
      <w:r>
        <w:rPr>
          <w:rFonts w:ascii="Times New Roman" w:hAnsi="Times New Roman"/>
          <w:sz w:val="20"/>
        </w:rPr>
        <w:t xml:space="preserve">The Projections are not included in this proxy statement/prospectus in order to induce any VIH shareholders to vote in favor of any of the proposals at the extraordinary general meeting. </w:t>
      </w:r>
    </w:p>
    <w:p>
      <w:pPr>
        <w:pStyle w:val="TextBody"/>
        <w:spacing w:before="240" w:after="0"/>
        <w:jc w:val="left"/>
        <w:rPr>
          <w:rFonts w:ascii="Times New Roman" w:hAnsi="Times New Roman"/>
          <w:sz w:val="20"/>
        </w:rPr>
      </w:pPr>
      <w:r>
        <w:rPr>
          <w:rFonts w:ascii="Times New Roman" w:hAnsi="Times New Roman"/>
          <w:sz w:val="20"/>
        </w:rPr>
        <w:t>VIH encourages you to review the financial statements of Bakkt included in this proxy statement/prospectus, as well as the financial information in the sections entitled </w:t>
      </w:r>
      <w:r>
        <w:rPr>
          <w:rFonts w:ascii="Times New Roman" w:hAnsi="Times New Roman"/>
          <w:i/>
          <w:sz w:val="20"/>
        </w:rPr>
        <w:t>Selected Unaudited Pro Forma Condensed Combined Financial Information</w:t>
      </w:r>
      <w:r>
        <w:rPr>
          <w:rFonts w:ascii="Times New Roman" w:hAnsi="Times New Roman"/>
          <w:sz w:val="20"/>
        </w:rPr>
        <w:t xml:space="preserve"> beginning on page 47 of this proxy statement/prospectus and to not rely on any single financial measure. </w:t>
      </w:r>
    </w:p>
    <w:p>
      <w:pPr>
        <w:pStyle w:val="TextBody"/>
        <w:spacing w:before="240" w:after="0"/>
        <w:jc w:val="left"/>
        <w:rPr>
          <w:rFonts w:ascii="Times New Roman" w:hAnsi="Times New Roman"/>
          <w:sz w:val="20"/>
        </w:rPr>
      </w:pPr>
      <w:r>
        <w:rPr>
          <w:rFonts w:ascii="Times New Roman" w:hAnsi="Times New Roman"/>
          <w:sz w:val="20"/>
        </w:rPr>
        <w:t xml:space="preserve">Bakkt uses certain financial measures in the Projections that are not prepared in accordance with GAAP as supplemental measures to evaluate operational performance. While Bakkt believes that non-GAAP financial measures provide useful supplemental information, there are limitations associated with the use of non-GAAP financial measures. Non-GAAP financial measures are not prepared in accordance with GAAP, are not reported by all of Bakkts competitors and may not be directly comparable to similarly titled measures of Bakkts competitors. Non-GAAP financial measures should not be considered in isolation from, or as a substitute for, financial information presented in accordance with GAAP. Financial measures included in the Projections provided to a board of directors or financial advisor in connection with a business combination transaction are excluded from the definition of non-GAAP financial measures under the rules of the SEC, and therefore the Projections are not subject to SEC rules regarding disclosures of non-GAAP financial measures, which would otherwise require a reconciliation of a non-GAAP financial measure to a GAAP financial measure. Accordingly, no reconciliation of the financial measures included in the Projections were prepared, and therefore none have been provided in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Below is a summary of the key Projections.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05"/>
        <w:gridCol w:w="258"/>
        <w:gridCol w:w="181"/>
        <w:gridCol w:w="724"/>
        <w:gridCol w:w="60"/>
        <w:gridCol w:w="258"/>
        <w:gridCol w:w="380"/>
        <w:gridCol w:w="1049"/>
        <w:gridCol w:w="60"/>
        <w:gridCol w:w="258"/>
        <w:gridCol w:w="244"/>
        <w:gridCol w:w="818"/>
        <w:gridCol w:w="154"/>
        <w:gridCol w:w="200"/>
        <w:gridCol w:w="492"/>
        <w:gridCol w:w="919"/>
        <w:gridCol w:w="60"/>
        <w:gridCol w:w="258"/>
        <w:gridCol w:w="244"/>
        <w:gridCol w:w="818"/>
        <w:gridCol w:w="165"/>
      </w:tblGrid>
      <w:tr>
        <w:trPr/>
        <w:tc>
          <w:tcPr>
            <w:tcW w:w="260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60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 in millions) Year</w:t>
            </w:r>
          </w:p>
        </w:tc>
        <w:tc>
          <w:tcPr>
            <w:tcW w:w="258" w:type="dxa"/>
            <w:tcBorders/>
            <w:shd w:fill="auto" w:val="clear"/>
            <w:vAlign w:val="bottom"/>
          </w:tcPr>
          <w:p>
            <w:pPr>
              <w:pStyle w:val="TableContents"/>
              <w:spacing w:before="0" w:after="283"/>
              <w:rPr/>
            </w:pPr>
            <w:r>
              <w:rPr/>
              <w:t>  </w:t>
            </w:r>
          </w:p>
        </w:tc>
        <w:tc>
          <w:tcPr>
            <w:tcW w:w="9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Revenue</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Revenue Less</w:t>
              <w:br/>
              <w:t>Transaction-</w:t>
              <w:br/>
              <w:t>Based</w:t>
              <w:br/>
              <w:t>Expenses(1)</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EBITDA(2)</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Adjustments(3)</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EBITDA(4)</w:t>
            </w:r>
          </w:p>
        </w:tc>
        <w:tc>
          <w:tcPr>
            <w:tcW w:w="165" w:type="dxa"/>
            <w:tcBorders/>
            <w:shd w:fill="auto" w:val="clear"/>
            <w:vAlign w:val="bottom"/>
          </w:tcPr>
          <w:p>
            <w:pPr>
              <w:pStyle w:val="TableContents"/>
              <w:spacing w:before="0" w:after="283"/>
              <w:rPr/>
            </w:pPr>
            <w:r>
              <w:rPr/>
              <w:t> </w:t>
            </w:r>
          </w:p>
        </w:tc>
      </w:tr>
      <w:tr>
        <w:trPr/>
        <w:tc>
          <w:tcPr>
            <w:tcW w:w="2605" w:type="dxa"/>
            <w:tcBorders/>
            <w:shd w:fill="CCEEFF" w:val="clear"/>
          </w:tcPr>
          <w:p>
            <w:pPr>
              <w:pStyle w:val="TableContents"/>
              <w:spacing w:before="0" w:after="0"/>
              <w:rPr>
                <w:rFonts w:ascii="Times New Roman" w:hAnsi="Times New Roman"/>
                <w:sz w:val="20"/>
              </w:rPr>
            </w:pPr>
            <w:r>
              <w:rPr>
                <w:rFonts w:ascii="Times New Roman" w:hAnsi="Times New Roman"/>
                <w:sz w:val="20"/>
              </w:rPr>
              <w:t>2021E</w:t>
            </w:r>
          </w:p>
        </w:tc>
        <w:tc>
          <w:tcPr>
            <w:tcW w:w="25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24" w:type="dxa"/>
            <w:tcBorders/>
            <w:shd w:fill="CCEEFF" w:val="clear"/>
            <w:vAlign w:val="bottom"/>
          </w:tcPr>
          <w:p>
            <w:pPr>
              <w:pStyle w:val="TableContents"/>
              <w:spacing w:before="0" w:after="283"/>
              <w:jc w:val="right"/>
              <w:rPr/>
            </w:pPr>
            <w:r>
              <w:rPr/>
              <w:t>889</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49" w:type="dxa"/>
            <w:tcBorders/>
            <w:shd w:fill="CCEEFF" w:val="clear"/>
            <w:vAlign w:val="bottom"/>
          </w:tcPr>
          <w:p>
            <w:pPr>
              <w:pStyle w:val="TableContents"/>
              <w:spacing w:before="0" w:after="283"/>
              <w:jc w:val="right"/>
              <w:rPr/>
            </w:pPr>
            <w:r>
              <w:rPr/>
              <w:t>55</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(184</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w:t>
            </w:r>
          </w:p>
        </w:tc>
        <w:tc>
          <w:tcPr>
            <w:tcW w:w="919" w:type="dxa"/>
            <w:tcBorders/>
            <w:shd w:fill="CCEEFF" w:val="clear"/>
            <w:vAlign w:val="bottom"/>
          </w:tcPr>
          <w:p>
            <w:pPr>
              <w:pStyle w:val="TableContents"/>
              <w:spacing w:before="0" w:after="283"/>
              <w:jc w:val="right"/>
              <w:rPr/>
            </w:pPr>
            <w:r>
              <w:rPr/>
              <w:t>15</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(169</w:t>
            </w:r>
          </w:p>
        </w:tc>
        <w:tc>
          <w:tcPr>
            <w:tcW w:w="165" w:type="dxa"/>
            <w:tcBorders/>
            <w:shd w:fill="CCEEFF" w:val="clear"/>
            <w:vAlign w:val="bottom"/>
          </w:tcPr>
          <w:p>
            <w:pPr>
              <w:pStyle w:val="TableContents"/>
              <w:spacing w:before="0" w:after="283"/>
              <w:rPr/>
            </w:pPr>
            <w:r>
              <w:rPr/>
              <w:t>) </w:t>
            </w:r>
          </w:p>
        </w:tc>
      </w:tr>
      <w:tr>
        <w:trPr/>
        <w:tc>
          <w:tcPr>
            <w:tcW w:w="2605" w:type="dxa"/>
            <w:tcBorders/>
            <w:shd w:fill="auto" w:val="clear"/>
          </w:tcPr>
          <w:p>
            <w:pPr>
              <w:pStyle w:val="TableContents"/>
              <w:spacing w:before="0" w:after="0"/>
              <w:rPr>
                <w:rFonts w:ascii="Times New Roman" w:hAnsi="Times New Roman"/>
                <w:sz w:val="20"/>
              </w:rPr>
            </w:pPr>
            <w:r>
              <w:rPr>
                <w:rFonts w:ascii="Times New Roman" w:hAnsi="Times New Roman"/>
                <w:sz w:val="20"/>
              </w:rPr>
              <w:t>2022E</w:t>
            </w:r>
          </w:p>
        </w:tc>
        <w:tc>
          <w:tcPr>
            <w:tcW w:w="25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724" w:type="dxa"/>
            <w:tcBorders/>
            <w:shd w:fill="auto" w:val="clear"/>
            <w:vAlign w:val="bottom"/>
          </w:tcPr>
          <w:p>
            <w:pPr>
              <w:pStyle w:val="TableContents"/>
              <w:spacing w:before="0" w:after="283"/>
              <w:jc w:val="right"/>
              <w:rPr/>
            </w:pPr>
            <w:r>
              <w:rPr/>
              <w:t>3,030</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49" w:type="dxa"/>
            <w:tcBorders/>
            <w:shd w:fill="auto" w:val="clear"/>
            <w:vAlign w:val="bottom"/>
          </w:tcPr>
          <w:p>
            <w:pPr>
              <w:pStyle w:val="TableContents"/>
              <w:spacing w:before="0" w:after="283"/>
              <w:jc w:val="right"/>
              <w:rPr/>
            </w:pPr>
            <w:r>
              <w:rPr/>
              <w:t>224</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818" w:type="dxa"/>
            <w:tcBorders/>
            <w:shd w:fill="auto" w:val="clear"/>
            <w:vAlign w:val="bottom"/>
          </w:tcPr>
          <w:p>
            <w:pPr>
              <w:pStyle w:val="TableContents"/>
              <w:spacing w:before="0" w:after="283"/>
              <w:jc w:val="right"/>
              <w:rPr/>
            </w:pPr>
            <w:r>
              <w:rPr/>
              <w:t>(46</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w:t>
            </w:r>
          </w:p>
        </w:tc>
        <w:tc>
          <w:tcPr>
            <w:tcW w:w="919" w:type="dxa"/>
            <w:tcBorders/>
            <w:shd w:fill="auto" w:val="clear"/>
            <w:vAlign w:val="bottom"/>
          </w:tcPr>
          <w:p>
            <w:pPr>
              <w:pStyle w:val="TableContents"/>
              <w:spacing w:before="0" w:after="283"/>
              <w:jc w:val="right"/>
              <w:rPr/>
            </w:pPr>
            <w:r>
              <w:rPr/>
              <w:t>23</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818" w:type="dxa"/>
            <w:tcBorders/>
            <w:shd w:fill="auto" w:val="clear"/>
            <w:vAlign w:val="bottom"/>
          </w:tcPr>
          <w:p>
            <w:pPr>
              <w:pStyle w:val="TableContents"/>
              <w:spacing w:before="0" w:after="283"/>
              <w:jc w:val="right"/>
              <w:rPr/>
            </w:pPr>
            <w:r>
              <w:rPr/>
              <w:t>(23</w:t>
            </w:r>
          </w:p>
        </w:tc>
        <w:tc>
          <w:tcPr>
            <w:tcW w:w="165" w:type="dxa"/>
            <w:tcBorders/>
            <w:shd w:fill="auto" w:val="clear"/>
            <w:vAlign w:val="bottom"/>
          </w:tcPr>
          <w:p>
            <w:pPr>
              <w:pStyle w:val="TableContents"/>
              <w:spacing w:before="0" w:after="283"/>
              <w:rPr/>
            </w:pPr>
            <w:r>
              <w:rPr/>
              <w:t>) </w:t>
            </w:r>
          </w:p>
        </w:tc>
      </w:tr>
      <w:tr>
        <w:trPr/>
        <w:tc>
          <w:tcPr>
            <w:tcW w:w="2605" w:type="dxa"/>
            <w:tcBorders/>
            <w:shd w:fill="CCEEFF" w:val="clear"/>
          </w:tcPr>
          <w:p>
            <w:pPr>
              <w:pStyle w:val="TableContents"/>
              <w:spacing w:before="0" w:after="0"/>
              <w:rPr>
                <w:rFonts w:ascii="Times New Roman" w:hAnsi="Times New Roman"/>
                <w:sz w:val="20"/>
              </w:rPr>
            </w:pPr>
            <w:r>
              <w:rPr>
                <w:rFonts w:ascii="Times New Roman" w:hAnsi="Times New Roman"/>
                <w:sz w:val="20"/>
              </w:rPr>
              <w:t>2023E</w:t>
            </w:r>
          </w:p>
        </w:tc>
        <w:tc>
          <w:tcPr>
            <w:tcW w:w="25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24" w:type="dxa"/>
            <w:tcBorders/>
            <w:shd w:fill="CCEEFF" w:val="clear"/>
            <w:vAlign w:val="bottom"/>
          </w:tcPr>
          <w:p>
            <w:pPr>
              <w:pStyle w:val="TableContents"/>
              <w:spacing w:before="0" w:after="283"/>
              <w:jc w:val="right"/>
              <w:rPr/>
            </w:pPr>
            <w:r>
              <w:rPr/>
              <w:t>4,681</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49" w:type="dxa"/>
            <w:tcBorders/>
            <w:shd w:fill="CCEEFF" w:val="clear"/>
            <w:vAlign w:val="bottom"/>
          </w:tcPr>
          <w:p>
            <w:pPr>
              <w:pStyle w:val="TableContents"/>
              <w:spacing w:before="0" w:after="283"/>
              <w:jc w:val="right"/>
              <w:rPr/>
            </w:pPr>
            <w:r>
              <w:rPr/>
              <w:t>357</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79</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w:t>
            </w:r>
          </w:p>
        </w:tc>
        <w:tc>
          <w:tcPr>
            <w:tcW w:w="919" w:type="dxa"/>
            <w:tcBorders/>
            <w:shd w:fill="CCEEFF" w:val="clear"/>
            <w:vAlign w:val="bottom"/>
          </w:tcPr>
          <w:p>
            <w:pPr>
              <w:pStyle w:val="TableContents"/>
              <w:spacing w:before="0" w:after="283"/>
              <w:jc w:val="right"/>
              <w:rPr/>
            </w:pPr>
            <w:r>
              <w:rPr/>
              <w:t>32</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111</w:t>
            </w:r>
          </w:p>
        </w:tc>
        <w:tc>
          <w:tcPr>
            <w:tcW w:w="165" w:type="dxa"/>
            <w:tcBorders/>
            <w:shd w:fill="CCEEFF" w:val="clear"/>
            <w:vAlign w:val="bottom"/>
          </w:tcPr>
          <w:p>
            <w:pPr>
              <w:pStyle w:val="TableContents"/>
              <w:spacing w:before="0" w:after="283"/>
              <w:rPr/>
            </w:pPr>
            <w:r>
              <w:rPr/>
              <w:t> </w:t>
            </w:r>
          </w:p>
        </w:tc>
      </w:tr>
      <w:tr>
        <w:trPr/>
        <w:tc>
          <w:tcPr>
            <w:tcW w:w="2605" w:type="dxa"/>
            <w:tcBorders/>
            <w:shd w:fill="auto" w:val="clear"/>
          </w:tcPr>
          <w:p>
            <w:pPr>
              <w:pStyle w:val="TableContents"/>
              <w:spacing w:before="0" w:after="0"/>
              <w:rPr>
                <w:rFonts w:ascii="Times New Roman" w:hAnsi="Times New Roman"/>
                <w:sz w:val="20"/>
              </w:rPr>
            </w:pPr>
            <w:r>
              <w:rPr>
                <w:rFonts w:ascii="Times New Roman" w:hAnsi="Times New Roman"/>
                <w:sz w:val="20"/>
              </w:rPr>
              <w:t>2024E</w:t>
            </w:r>
          </w:p>
        </w:tc>
        <w:tc>
          <w:tcPr>
            <w:tcW w:w="25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724" w:type="dxa"/>
            <w:tcBorders/>
            <w:shd w:fill="auto" w:val="clear"/>
            <w:vAlign w:val="bottom"/>
          </w:tcPr>
          <w:p>
            <w:pPr>
              <w:pStyle w:val="TableContents"/>
              <w:spacing w:before="0" w:after="283"/>
              <w:jc w:val="right"/>
              <w:rPr/>
            </w:pPr>
            <w:r>
              <w:rPr/>
              <w:t>5,741</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49" w:type="dxa"/>
            <w:tcBorders/>
            <w:shd w:fill="auto" w:val="clear"/>
            <w:vAlign w:val="bottom"/>
          </w:tcPr>
          <w:p>
            <w:pPr>
              <w:pStyle w:val="TableContents"/>
              <w:spacing w:before="0" w:after="283"/>
              <w:jc w:val="right"/>
              <w:rPr/>
            </w:pPr>
            <w:r>
              <w:rPr/>
              <w:t>439</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818" w:type="dxa"/>
            <w:tcBorders/>
            <w:shd w:fill="auto" w:val="clear"/>
            <w:vAlign w:val="bottom"/>
          </w:tcPr>
          <w:p>
            <w:pPr>
              <w:pStyle w:val="TableContents"/>
              <w:spacing w:before="0" w:after="283"/>
              <w:jc w:val="right"/>
              <w:rPr/>
            </w:pPr>
            <w:r>
              <w:rPr/>
              <w:t>181</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w:t>
            </w:r>
          </w:p>
        </w:tc>
        <w:tc>
          <w:tcPr>
            <w:tcW w:w="919" w:type="dxa"/>
            <w:tcBorders/>
            <w:shd w:fill="auto" w:val="clear"/>
            <w:vAlign w:val="bottom"/>
          </w:tcPr>
          <w:p>
            <w:pPr>
              <w:pStyle w:val="TableContents"/>
              <w:spacing w:before="0" w:after="283"/>
              <w:jc w:val="right"/>
              <w:rPr/>
            </w:pPr>
            <w:r>
              <w:rPr/>
              <w:t>39</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818" w:type="dxa"/>
            <w:tcBorders/>
            <w:shd w:fill="auto" w:val="clear"/>
            <w:vAlign w:val="bottom"/>
          </w:tcPr>
          <w:p>
            <w:pPr>
              <w:pStyle w:val="TableContents"/>
              <w:spacing w:before="0" w:after="283"/>
              <w:jc w:val="right"/>
              <w:rPr/>
            </w:pPr>
            <w:r>
              <w:rPr/>
              <w:t>221</w:t>
            </w:r>
          </w:p>
        </w:tc>
        <w:tc>
          <w:tcPr>
            <w:tcW w:w="165" w:type="dxa"/>
            <w:tcBorders/>
            <w:shd w:fill="auto" w:val="clear"/>
            <w:vAlign w:val="bottom"/>
          </w:tcPr>
          <w:p>
            <w:pPr>
              <w:pStyle w:val="TableContents"/>
              <w:spacing w:before="0" w:after="283"/>
              <w:rPr/>
            </w:pPr>
            <w:r>
              <w:rPr/>
              <w:t> </w:t>
            </w:r>
          </w:p>
        </w:tc>
      </w:tr>
      <w:tr>
        <w:trPr/>
        <w:tc>
          <w:tcPr>
            <w:tcW w:w="2605" w:type="dxa"/>
            <w:tcBorders/>
            <w:shd w:fill="CCEEFF" w:val="clear"/>
          </w:tcPr>
          <w:p>
            <w:pPr>
              <w:pStyle w:val="TableContents"/>
              <w:spacing w:before="0" w:after="0"/>
              <w:rPr>
                <w:rFonts w:ascii="Times New Roman" w:hAnsi="Times New Roman"/>
                <w:sz w:val="20"/>
              </w:rPr>
            </w:pPr>
            <w:r>
              <w:rPr>
                <w:rFonts w:ascii="Times New Roman" w:hAnsi="Times New Roman"/>
                <w:sz w:val="20"/>
              </w:rPr>
              <w:t>2025E</w:t>
            </w:r>
          </w:p>
        </w:tc>
        <w:tc>
          <w:tcPr>
            <w:tcW w:w="25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24" w:type="dxa"/>
            <w:tcBorders/>
            <w:shd w:fill="CCEEFF" w:val="clear"/>
            <w:vAlign w:val="bottom"/>
          </w:tcPr>
          <w:p>
            <w:pPr>
              <w:pStyle w:val="TableContents"/>
              <w:spacing w:before="0" w:after="283"/>
              <w:jc w:val="right"/>
              <w:rPr/>
            </w:pPr>
            <w:r>
              <w:rPr/>
              <w:t>6,597</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49" w:type="dxa"/>
            <w:tcBorders/>
            <w:shd w:fill="CCEEFF" w:val="clear"/>
            <w:vAlign w:val="bottom"/>
          </w:tcPr>
          <w:p>
            <w:pPr>
              <w:pStyle w:val="TableContents"/>
              <w:spacing w:before="0" w:after="283"/>
              <w:jc w:val="right"/>
              <w:rPr/>
            </w:pPr>
            <w:r>
              <w:rPr/>
              <w:t>515</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242</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w:t>
            </w:r>
          </w:p>
        </w:tc>
        <w:tc>
          <w:tcPr>
            <w:tcW w:w="919" w:type="dxa"/>
            <w:tcBorders/>
            <w:shd w:fill="CCEEFF" w:val="clear"/>
            <w:vAlign w:val="bottom"/>
          </w:tcPr>
          <w:p>
            <w:pPr>
              <w:pStyle w:val="TableContents"/>
              <w:spacing w:before="0" w:after="283"/>
              <w:jc w:val="right"/>
              <w:rPr/>
            </w:pPr>
            <w:r>
              <w:rPr/>
              <w:t>43</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285</w:t>
            </w:r>
          </w:p>
        </w:tc>
        <w:tc>
          <w:tcPr>
            <w:tcW w:w="16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less Transaction-Based Expenses is defined as revenue </w:t>
            </w:r>
            <w:r>
              <w:rPr>
                <w:rFonts w:ascii="Times New Roman" w:hAnsi="Times New Roman"/>
                <w:i/>
                <w:sz w:val="20"/>
              </w:rPr>
              <w:t>less</w:t>
            </w:r>
            <w:r>
              <w:rPr>
                <w:rFonts w:ascii="Times New Roman" w:hAnsi="Times New Roman"/>
                <w:sz w:val="20"/>
              </w:rPr>
              <w:t xml:space="preserve"> the asset value of cryptocurrency.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EBITDA is a non-GAAP financial measure and is defined as earnings before interest, income taxes, depreciation and amortization.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Adjustments reflect certain non-cash and/or non-recurring items that are added to EBITDA to calculate Adjusted EBITDA, including non-cash compensation (which does not reflect the anticipated non-cash compensation granted to the then-incoming chief executive officer) and parent equity contribution amortization (which is a contra-revenue item).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is a non-GAAP financial measure and is defined as earnings before interest, income taxes, depreciation, amortization and certain non-cash and/or non-recurring items that do not contribute directly to Bakkts evaluation of its operating results. These items include, among others, acquisition costs, restructuring and certain severance costs, strategic initiative and other charges, unit-based compensation, parent equity contribution (a contra-revenue item), and the impact of certain other period specific non-recurring transactions. </w:t>
            </w:r>
          </w:p>
        </w:tc>
      </w:tr>
    </w:tbl>
    <w:p>
      <w:pPr>
        <w:pStyle w:val="TextBody"/>
        <w:spacing w:before="240" w:after="0"/>
        <w:jc w:val="left"/>
        <w:rPr>
          <w:rFonts w:ascii="Times New Roman" w:hAnsi="Times New Roman"/>
          <w:sz w:val="20"/>
        </w:rPr>
      </w:pPr>
      <w:r>
        <w:rPr>
          <w:rFonts w:ascii="Times New Roman" w:hAnsi="Times New Roman"/>
          <w:sz w:val="20"/>
        </w:rPr>
        <w:t xml:space="preserve">EXCEPT TO THE EXTENT REQUIRED BY APPLICABLE FEDERAL SECURITIES LAWS, BY INCLUDING IN THIS PROXY STATEMENT/PROSPECTUS A SUMMARY OF INTERNAL FINANCIAL PROJECTIONS, NONE OF VIH, BAKKT OR ANY OF THEIR RESPECTIVE REPRESENTATIVES OR AFFILIATES UNDERTAKES ANY OBLIGATION TO, AND EACH EXPRESSLY DISCLAIMS ANY RESPONSIBILITY TO, UPDATE OR REVISE, OR PUBLICLY DISCLOSE ANY UPDATE OR REVISION TO, THESE FINANCIAL PROJECTIONS TO REFLECT CIRCUMSTANCES OR EVENTS, INCLUDING UNANTICIPATED EVENTS, THAT MAY HAVE OCCURRED OR THAT MAY OCCUR AFTER THE PREPARATION OF THESE FINANCIAL PROJECTIONS AND THEIR PRESENTATION TO THE VIH BOARD, EVEN IN THE EVENT THAT ANY OR ALL OF THE ASSUMPTIONS UNDERLYING THE FINANCIAL PROJECTIONS ARE SHOWN TO BE IN ERROR OR CHANGE. </w:t>
      </w:r>
    </w:p>
    <w:p>
      <w:pPr>
        <w:pStyle w:val="TextBody"/>
        <w:spacing w:before="360" w:after="0"/>
        <w:jc w:val="left"/>
        <w:rPr>
          <w:rFonts w:ascii="Times New Roman" w:hAnsi="Times New Roman"/>
          <w:b/>
          <w:sz w:val="20"/>
        </w:rPr>
      </w:pPr>
      <w:r>
        <w:rPr>
          <w:rFonts w:ascii="Times New Roman" w:hAnsi="Times New Roman"/>
          <w:b/>
          <w:sz w:val="20"/>
        </w:rPr>
        <w:t xml:space="preserve">Satisfaction of 80% Test </w:t>
      </w:r>
    </w:p>
    <w:p>
      <w:pPr>
        <w:pStyle w:val="TextBody"/>
        <w:spacing w:before="120" w:after="0"/>
        <w:jc w:val="left"/>
        <w:rPr>
          <w:rFonts w:ascii="Times New Roman" w:hAnsi="Times New Roman"/>
          <w:sz w:val="20"/>
        </w:rPr>
      </w:pPr>
      <w:r>
        <w:rPr>
          <w:rFonts w:ascii="Times New Roman" w:hAnsi="Times New Roman"/>
          <w:sz w:val="20"/>
        </w:rPr>
        <w:t xml:space="preserve">Nasdaq rules require that VIHs initial business combination must be with one or more target businesses that together have an aggregate fair market value equal to at least 80% of the value of the funds in the Trust Account (excluding the deferred underwriting commissions and taxes payable on the income earned on the funds held in the Trust Account) at the time of the execution of a definitive agreement for VIHs initial business combination. As of January 11, 2021, the date of the execution of the Merger Agreement, the fair value of the funds held in the Trust Account was approximately $200 million (excluding the deferred underwriting commissions and taxes payable on the income earned on the funds held in the Trust Account), and 80% thereof represents approximately $40 million. Based on the enterprise value of Bakkt of approximately $2.082 billion compared to the approximately $200 million in the Trust Account (excluding the deferred underwriting commissions and taxes </w:t>
      </w:r>
    </w:p>
    <w:p>
      <w:pPr>
        <w:pStyle w:val="TextBody"/>
        <w:spacing w:before="0" w:after="0"/>
        <w:jc w:val="left"/>
        <w:rPr>
          <w:rFonts w:ascii="Times New Roman" w:hAnsi="Times New Roman"/>
          <w:sz w:val="20"/>
        </w:rPr>
      </w:pPr>
      <w:r>
        <w:rPr>
          <w:rFonts w:ascii="Times New Roman" w:hAnsi="Times New Roman"/>
          <w:sz w:val="20"/>
        </w:rPr>
        <w:t>payable on the income earned on the funds held in the Trust Account), the fact that the purchase price for Bakkt was the result of an arms length negotiation and all of the factors described in this section and the section entitled </w:t>
      </w:r>
      <w:r>
        <w:rPr>
          <w:rFonts w:ascii="Times New Roman" w:hAnsi="Times New Roman"/>
          <w:i/>
          <w:sz w:val="20"/>
        </w:rPr>
        <w:t>The Business Combination ProposalMerger Agreement</w:t>
      </w:r>
      <w:r>
        <w:rPr>
          <w:rFonts w:ascii="Times New Roman" w:hAnsi="Times New Roman"/>
          <w:sz w:val="20"/>
        </w:rPr>
        <w:t xml:space="preserve"> beginning on page 118 of this proxy statement/prospectus, the VIH Board determined that this requirement was met.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Expected Accounting Treatment of the Business Combination Proposal </w:t>
      </w:r>
    </w:p>
    <w:p>
      <w:pPr>
        <w:pStyle w:val="TextBody"/>
        <w:spacing w:before="120" w:after="0"/>
        <w:jc w:val="left"/>
        <w:rPr>
          <w:rFonts w:ascii="Times New Roman" w:hAnsi="Times New Roman"/>
          <w:b/>
          <w:i/>
          <w:sz w:val="20"/>
        </w:rPr>
      </w:pPr>
      <w:r>
        <w:rPr>
          <w:rFonts w:ascii="Times New Roman" w:hAnsi="Times New Roman"/>
          <w:b/>
          <w:i/>
          <w:sz w:val="20"/>
        </w:rPr>
        <w:t xml:space="preserve">The Domestication </w:t>
      </w:r>
    </w:p>
    <w:p>
      <w:pPr>
        <w:pStyle w:val="TextBody"/>
        <w:spacing w:before="120" w:after="0"/>
        <w:jc w:val="left"/>
        <w:rPr>
          <w:rFonts w:ascii="Times New Roman" w:hAnsi="Times New Roman"/>
          <w:sz w:val="20"/>
        </w:rPr>
      </w:pPr>
      <w:r>
        <w:rPr>
          <w:rFonts w:ascii="Times New Roman" w:hAnsi="Times New Roman"/>
          <w:sz w:val="20"/>
        </w:rPr>
        <w:t xml:space="preserve">There will be no accounting effect or change in the carrying amount of the assets and liabilities of VIH as a result of the Domestication. The business, capitalization, assets and liabilities and financial statements of VIH immediately following the Domestication will be the same as those immediately prior to the Domestication. </w:t>
      </w:r>
    </w:p>
    <w:p>
      <w:pPr>
        <w:pStyle w:val="TextBody"/>
        <w:spacing w:before="360" w:after="0"/>
        <w:jc w:val="left"/>
        <w:rPr>
          <w:rFonts w:ascii="Times New Roman" w:hAnsi="Times New Roman"/>
          <w:b/>
          <w:i/>
          <w:sz w:val="20"/>
        </w:rPr>
      </w:pPr>
      <w:r>
        <w:rPr>
          <w:rFonts w:ascii="Times New Roman" w:hAnsi="Times New Roman"/>
          <w:b/>
          <w:i/>
          <w:sz w:val="20"/>
        </w:rPr>
        <w:t xml:space="preserve">The Business Combination </w:t>
      </w:r>
    </w:p>
    <w:p>
      <w:pPr>
        <w:pStyle w:val="TextBody"/>
        <w:spacing w:before="120" w:after="0"/>
        <w:jc w:val="left"/>
        <w:rPr>
          <w:rFonts w:ascii="Times New Roman" w:hAnsi="Times New Roman"/>
          <w:sz w:val="20"/>
        </w:rPr>
      </w:pPr>
      <w:r>
        <w:rPr>
          <w:rFonts w:ascii="Times New Roman" w:hAnsi="Times New Roman"/>
          <w:sz w:val="20"/>
        </w:rPr>
        <w:t xml:space="preserve">The Business Combination will be accounted for in accordance with ASC 805, </w:t>
      </w:r>
      <w:r>
        <w:rPr>
          <w:rFonts w:ascii="Times New Roman" w:hAnsi="Times New Roman"/>
          <w:i/>
          <w:sz w:val="20"/>
        </w:rPr>
        <w:t xml:space="preserve">Business Combinations, </w:t>
      </w:r>
      <w:r>
        <w:rPr>
          <w:rFonts w:ascii="Times New Roman" w:hAnsi="Times New Roman"/>
          <w:sz w:val="20"/>
        </w:rPr>
        <w:t xml:space="preserve">using the acquisition method, with Bakkt Pubco considered the acquiror and Bakkt Opco considered the acquiree. For accounting purposes, the acquiror is the entity that obtains control of the other entity. The determination of whether control has been obtained starts with an evaluation of whether the entities involved are variable interest entities or voting interest entities in accordance with ASC 810, </w:t>
      </w:r>
      <w:r>
        <w:rPr>
          <w:rFonts w:ascii="Times New Roman" w:hAnsi="Times New Roman"/>
          <w:i/>
          <w:sz w:val="20"/>
        </w:rPr>
        <w:t>Consolidations</w:t>
      </w:r>
      <w:r>
        <w:rPr>
          <w:rFonts w:ascii="Times New Roman" w:hAnsi="Times New Roman"/>
          <w:sz w:val="20"/>
        </w:rPr>
        <w:t xml:space="preserve">. As defined by GAAP, if the acquiree is a variable interest entity, the primary beneficiary is the accounting acquiror. Bakkt Opco meets the definition of a variable interest entity and Bakkt Pubco has been determined to be the primary beneficiary as a result of the Proposed Transaction. Upon the consummation of the Business Combination, the assets and liabilities of Bakkt Opco will be recognized at fair value, and any consideration in excess of the fair value of the net assets acquired (including identifiable intangible assets) will be recognized as goodwill. </w:t>
      </w:r>
    </w:p>
    <w:p>
      <w:pPr>
        <w:pStyle w:val="TextBody"/>
        <w:spacing w:before="360" w:after="0"/>
        <w:jc w:val="left"/>
        <w:rPr>
          <w:rFonts w:ascii="Times New Roman" w:hAnsi="Times New Roman"/>
          <w:b/>
          <w:i/>
          <w:sz w:val="20"/>
        </w:rPr>
      </w:pPr>
      <w:r>
        <w:rPr>
          <w:rFonts w:ascii="Times New Roman" w:hAnsi="Times New Roman"/>
          <w:b/>
          <w:i/>
          <w:sz w:val="20"/>
        </w:rPr>
        <w:t xml:space="preserve">Regulatory Matters </w:t>
      </w:r>
    </w:p>
    <w:p>
      <w:pPr>
        <w:pStyle w:val="TextBody"/>
        <w:spacing w:before="120" w:after="0"/>
        <w:jc w:val="left"/>
        <w:rPr>
          <w:rFonts w:ascii="Times New Roman" w:hAnsi="Times New Roman"/>
          <w:sz w:val="20"/>
        </w:rPr>
      </w:pPr>
      <w:r>
        <w:rPr>
          <w:rFonts w:ascii="Times New Roman" w:hAnsi="Times New Roman"/>
          <w:sz w:val="20"/>
        </w:rPr>
        <w:t>Bakkt has provided notice of the Proposed Transaction to all states in which it holds money transmitter licenses and its limited purpose trust charter. Neither VIH nor Bakkt are aware of any material regulatory approvals or actions that are required for completion of the Business Combination, other than the regulatory notices and approvals discussed in </w:t>
      </w:r>
      <w:r>
        <w:rPr>
          <w:rFonts w:ascii="Times New Roman" w:hAnsi="Times New Roman"/>
          <w:i/>
          <w:sz w:val="20"/>
        </w:rPr>
        <w:t>The Business Combination ProposalMerger AgreementClosing ConditionsConditions to the Obligations of Each</w:t>
      </w:r>
      <w:r>
        <w:rPr>
          <w:rFonts w:ascii="Times New Roman" w:hAnsi="Times New Roman"/>
          <w:sz w:val="20"/>
        </w:rPr>
        <w:t xml:space="preserve"> </w:t>
      </w:r>
      <w:r>
        <w:rPr>
          <w:rFonts w:ascii="Times New Roman" w:hAnsi="Times New Roman"/>
          <w:i/>
          <w:sz w:val="20"/>
        </w:rPr>
        <w:t>Party</w:t>
      </w:r>
      <w:r>
        <w:rPr>
          <w:rFonts w:ascii="Times New Roman" w:hAnsi="Times New Roman"/>
          <w:sz w:val="20"/>
        </w:rPr>
        <w:t xml:space="preserve"> beginning on page 133 of this proxy statement/prospectus. It is presently contemplated that if any such additional regulatory approvals or actions are required, those approvals or actions will be sought. There can be no assurance, however, that any additional approvals or actions will be obtained.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Business Combination Proposal requires an ordinary resolution under the Companies Act, being the affirmative vote of the holders of a majority of the VIH Shares, who, being present in person or by proxy and entitled to vote at the extraordinary general meeting, vote in favour of the Business Combination Proposal at the extraordinary general meeting. Abstentions and broker non-votes, while considered present for the purposes of establishing a quorum, will not count as votes cast at the extraordinary general meeting and otherwise will have no effect on a particular proposal. </w:t>
      </w:r>
    </w:p>
    <w:p>
      <w:pPr>
        <w:pStyle w:val="TextBody"/>
        <w:spacing w:before="240" w:after="0"/>
        <w:jc w:val="left"/>
        <w:rPr>
          <w:rFonts w:ascii="Times New Roman" w:hAnsi="Times New Roman"/>
          <w:sz w:val="20"/>
        </w:rPr>
      </w:pPr>
      <w:r>
        <w:rPr>
          <w:rFonts w:ascii="Times New Roman" w:hAnsi="Times New Roman"/>
          <w:sz w:val="20"/>
        </w:rPr>
        <w:t xml:space="preserve">The Business Combination Proposal is conditioned on the approval of each of the Condition Precedent Proposals. Therefore, if each of the Condition Precedent Proposals is not approved, the Business Combination Proposal will have no effect, even if approved by holders of VIH Shares.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as an ordinary resolution, that the Companys entry into the Merger Agreement, dated as of January 11, 2021, by and among the Company, Pylon Merger Company LLC, a Delaware limited liability company and a direct wholly-owned subsidiary of the Company (</w:t>
      </w:r>
      <w:r>
        <w:rPr>
          <w:rFonts w:ascii="Times New Roman" w:hAnsi="Times New Roman"/>
          <w:b/>
          <w:sz w:val="20"/>
        </w:rPr>
        <w:t>Merger Sub</w:t>
      </w:r>
      <w:r>
        <w:rPr>
          <w:rFonts w:ascii="Times New Roman" w:hAnsi="Times New Roman"/>
          <w:sz w:val="20"/>
        </w:rPr>
        <w:t>), and Bakkt Holdings, LLC, a Delaware limited liability company (</w:t>
      </w:r>
      <w:r>
        <w:rPr>
          <w:rFonts w:ascii="Times New Roman" w:hAnsi="Times New Roman"/>
          <w:b/>
          <w:sz w:val="20"/>
        </w:rPr>
        <w:t>Bakkt</w:t>
      </w:r>
      <w:r>
        <w:rPr>
          <w:rFonts w:ascii="Times New Roman" w:hAnsi="Times New Roman"/>
          <w:sz w:val="20"/>
        </w:rPr>
        <w:t>), as amended by that Amendment to Agreement and Plan of Merger, dated as of March 30, 2021 (as it may be further amended from time to time the, </w:t>
      </w:r>
      <w:r>
        <w:rPr>
          <w:rFonts w:ascii="Times New Roman" w:hAnsi="Times New Roman"/>
          <w:b/>
          <w:sz w:val="20"/>
        </w:rPr>
        <w:t>Merger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Agreement</w:t>
      </w:r>
      <w:r>
        <w:rPr>
          <w:rFonts w:ascii="Times New Roman" w:hAnsi="Times New Roman"/>
          <w:sz w:val="20"/>
        </w:rPr>
        <w:t xml:space="preserve">) (a copy of which is attached to the proxy statement/prospectus as </w:t>
      </w:r>
      <w:r>
        <w:rPr>
          <w:rFonts w:ascii="Times New Roman" w:hAnsi="Times New Roman"/>
          <w:i/>
          <w:sz w:val="20"/>
        </w:rPr>
        <w:t xml:space="preserve">Annex A-1 </w:t>
      </w:r>
      <w:r>
        <w:rPr>
          <w:rFonts w:ascii="Times New Roman" w:hAnsi="Times New Roman"/>
          <w:sz w:val="20"/>
        </w:rPr>
        <w:t xml:space="preserve">and </w:t>
      </w:r>
      <w:r>
        <w:rPr>
          <w:rFonts w:ascii="Times New Roman" w:hAnsi="Times New Roman"/>
          <w:i/>
          <w:sz w:val="20"/>
        </w:rPr>
        <w:t>Annex A-2</w:t>
      </w:r>
      <w:r>
        <w:rPr>
          <w:rFonts w:ascii="Times New Roman" w:hAnsi="Times New Roman"/>
          <w:sz w:val="20"/>
        </w:rPr>
        <w:t xml:space="preserve"> pursuant to which, among other things, following the Domestication of the Company to Delaware as described below, the merger of Merger Sub with and into Bakkt (the </w:t>
      </w:r>
      <w:r>
        <w:rPr>
          <w:rFonts w:ascii="Times New Roman" w:hAnsi="Times New Roman"/>
          <w:b/>
          <w:sz w:val="20"/>
        </w:rPr>
        <w:t>Merger</w:t>
      </w:r>
      <w:r>
        <w:rPr>
          <w:rFonts w:ascii="Times New Roman" w:hAnsi="Times New Roman"/>
          <w:sz w:val="20"/>
        </w:rPr>
        <w:t>), with Bakkt (to be renamed Bakkt Opco Holdings, LLC (</w:t>
      </w:r>
      <w:r>
        <w:rPr>
          <w:rFonts w:ascii="Times New Roman" w:hAnsi="Times New Roman"/>
          <w:b/>
          <w:sz w:val="20"/>
        </w:rPr>
        <w:t>Bakkt Opco</w:t>
      </w:r>
      <w:r>
        <w:rPr>
          <w:rFonts w:ascii="Times New Roman" w:hAnsi="Times New Roman"/>
          <w:sz w:val="20"/>
        </w:rPr>
        <w:t xml:space="preserve">)) surviving the Merger, in accordance with the terms and subject to the conditions of the Merger Agreement, be approved, ratified and confirmed in all respects.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sz w:val="20"/>
        </w:rPr>
      </w:pPr>
      <w:r>
        <w:rPr>
          <w:rFonts w:ascii="Times New Roman" w:hAnsi="Times New Roman"/>
          <w:b/>
          <w:sz w:val="20"/>
        </w:rPr>
        <w:t xml:space="preserve">THE VIH BOARD UNANIMOUSLY RECOMMENDS THAT VIH SHAREHOLDERS VOTE FOR THE APPROVAL OF THE BUSINESS COMBINATION PROPOSAL. </w:t>
      </w:r>
    </w:p>
    <w:p>
      <w:pPr>
        <w:pStyle w:val="TextBody"/>
        <w:spacing w:before="240" w:after="0"/>
        <w:jc w:val="left"/>
        <w:rPr>
          <w:rFonts w:ascii="Times New Roman" w:hAnsi="Times New Roman"/>
          <w:sz w:val="20"/>
        </w:rPr>
      </w:pPr>
      <w:r>
        <w:rPr>
          <w:rFonts w:ascii="Times New Roman" w:hAnsi="Times New Roman"/>
          <w:sz w:val="20"/>
        </w:rPr>
        <w:t xml:space="preserve">The VIH Board believes that the Business Combination Proposal to be presented at the extraordinary general meeting is in the best interests of VIHs shareholders and unanimously recommends that its shareholders vote FOR the approval of the Business Combination Proposal. </w:t>
      </w:r>
    </w:p>
    <w:p>
      <w:pPr>
        <w:pStyle w:val="TextBody"/>
        <w:spacing w:before="24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Business Combination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9" w:name="toc108105_12"/>
      <w:bookmarkEnd w:id="59"/>
      <w:r>
        <w:rPr>
          <w:rFonts w:ascii="Times New Roman" w:hAnsi="Times New Roman"/>
          <w:b/>
          <w:sz w:val="20"/>
        </w:rPr>
        <w:t xml:space="preserve">THE DOMESTICATION PROPOSAL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As discussed in this proxy statement/prospectus, if the Business Combination Proposal is approved, then VIH is asking its shareholders to approve the Domestication Proposal. Under the Merger Agreement, the approval of the Domestication Proposal is also a condition to the consummation of the Merger. If, however, the Domestication Proposal is approved, but the Business Combination Proposal is not approved, then neither the Domestication nor the Merger will be consummated. </w:t>
      </w:r>
    </w:p>
    <w:p>
      <w:pPr>
        <w:pStyle w:val="TextBody"/>
        <w:spacing w:before="240" w:after="0"/>
        <w:jc w:val="left"/>
        <w:rPr>
          <w:rFonts w:ascii="Times New Roman" w:hAnsi="Times New Roman"/>
          <w:sz w:val="20"/>
        </w:rPr>
      </w:pPr>
      <w:r>
        <w:rPr>
          <w:rFonts w:ascii="Times New Roman" w:hAnsi="Times New Roman"/>
          <w:sz w:val="20"/>
        </w:rPr>
        <w:t xml:space="preserve">As a condition to Closing the Merger, the VIH Board has unanimously approved a change of VIHs jurisdiction of incorporation by deregistering as an exempted company in the Cayman Islands and continuing and domesticating as a corporation incorporated under the laws of the State of Delaware. To effect the Domestication, VIH will file a notice of deregistration with the Cayman Islands Registrar of Companies, together with the necessary accompanying documents, and file the Proposed Certificate of Incorporation and a certificate of corporate domestication with the Secretary of State of the State of Delaware, under which VIH will be domesticated and continue as a Delaware corporation. In connection with the Domestication and simultaneously with the Proposed Transaction, the corporate name of VIH will change to Bakkt Holdings, Inc. </w:t>
      </w:r>
    </w:p>
    <w:p>
      <w:pPr>
        <w:pStyle w:val="TextBody"/>
        <w:spacing w:before="240" w:after="0"/>
        <w:jc w:val="left"/>
        <w:rPr>
          <w:rFonts w:ascii="Times New Roman" w:hAnsi="Times New Roman"/>
          <w:sz w:val="20"/>
        </w:rPr>
      </w:pPr>
      <w:r>
        <w:rPr>
          <w:rFonts w:ascii="Times New Roman" w:hAnsi="Times New Roman"/>
          <w:sz w:val="20"/>
        </w:rPr>
        <w:t xml:space="preserve">As a result of and upon the effective time of the Domestication, (a) each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not be so converted and will entitle the holder thereof to receive only cash in an amount equal to the Redemption Price), (c) each VIH Class B Ordinary Share, par value $0.0001 per share, of VIH issued and outstanding immediately prior to the Domestication will be automatically converted into one Bakkt Pubco Class A Share, and (d) each VIH Warrant will be automatically converted into a Bakkt Pubco Warrant on the same terms as the VIH Warrants. </w:t>
      </w:r>
    </w:p>
    <w:p>
      <w:pPr>
        <w:pStyle w:val="TextBody"/>
        <w:spacing w:before="240" w:after="0"/>
        <w:jc w:val="left"/>
        <w:rPr>
          <w:rFonts w:ascii="Times New Roman" w:hAnsi="Times New Roman"/>
          <w:sz w:val="20"/>
        </w:rPr>
      </w:pPr>
      <w:r>
        <w:rPr>
          <w:rFonts w:ascii="Times New Roman" w:hAnsi="Times New Roman"/>
          <w:sz w:val="20"/>
        </w:rPr>
        <w:t>The Domestication Proposal, if approved, will approve a change of VIHs jurisdiction of incorporation from the Cayman Islands to the State of Delaware. Accordingly, while VIH is currently governed by the Companies Act, upon the Domestication, Bakkt Pubco will be governed by the DGCL. VIH encourages shareholders to carefully consult the information set out below under The Domestication Proposal</w:t>
      </w:r>
      <w:r>
        <w:rPr>
          <w:rFonts w:ascii="Times New Roman" w:hAnsi="Times New Roman"/>
          <w:i/>
          <w:sz w:val="20"/>
        </w:rPr>
        <w:t>Comparison of Shareholder Rights under Applicable Corporate Law Before and After Domestication</w:t>
      </w:r>
      <w:r>
        <w:rPr>
          <w:rFonts w:ascii="Times New Roman" w:hAnsi="Times New Roman"/>
          <w:sz w:val="20"/>
        </w:rPr>
        <w:t xml:space="preserve"> beginning on page 164 of this proxy statement. </w:t>
      </w:r>
    </w:p>
    <w:p>
      <w:pPr>
        <w:pStyle w:val="TextBody"/>
        <w:spacing w:before="360" w:after="0"/>
        <w:jc w:val="left"/>
        <w:rPr>
          <w:rFonts w:ascii="Times New Roman" w:hAnsi="Times New Roman"/>
          <w:b/>
          <w:sz w:val="20"/>
        </w:rPr>
      </w:pPr>
      <w:bookmarkStart w:id="60" w:name="5a"/>
      <w:bookmarkEnd w:id="60"/>
      <w:r>
        <w:rPr>
          <w:rFonts w:ascii="Times New Roman" w:hAnsi="Times New Roman"/>
          <w:b/>
          <w:sz w:val="20"/>
        </w:rPr>
        <w:t xml:space="preserve">Reasons for the Domestication </w:t>
      </w:r>
    </w:p>
    <w:p>
      <w:pPr>
        <w:pStyle w:val="TextBody"/>
        <w:spacing w:before="120" w:after="0"/>
        <w:jc w:val="left"/>
        <w:rPr>
          <w:rFonts w:ascii="Times New Roman" w:hAnsi="Times New Roman"/>
          <w:sz w:val="20"/>
        </w:rPr>
      </w:pPr>
      <w:r>
        <w:rPr>
          <w:rFonts w:ascii="Times New Roman" w:hAnsi="Times New Roman"/>
          <w:sz w:val="20"/>
        </w:rPr>
        <w:t xml:space="preserve">The VIH Board believes that it would be in the best interests of VIH, simultaneously with the completion of the Proposed Transaction, to effect the Domestication. Further, the VIH Board believes that any direct benefit that the DGCL provides to a corporation also indirectly benefits its stockholders, who are the owners of the corporation. The primary reason for the Domestication is to enable the Company to avoid certain taxes that would be imposed on the Company if the Company were to conduct an operating business in the United States as a foreign corporation following the Proposed Transaction. In addition, because the Company will operate within the United States following the Proposed Transaction, it was the view of the VIH Board that the Company should be structured as a corporation organized in the United States. </w:t>
      </w:r>
    </w:p>
    <w:p>
      <w:pPr>
        <w:pStyle w:val="TextBody"/>
        <w:spacing w:before="240" w:after="0"/>
        <w:jc w:val="left"/>
        <w:rPr>
          <w:rFonts w:ascii="Times New Roman" w:hAnsi="Times New Roman"/>
          <w:sz w:val="20"/>
        </w:rPr>
      </w:pPr>
      <w:r>
        <w:rPr>
          <w:rFonts w:ascii="Times New Roman" w:hAnsi="Times New Roman"/>
          <w:sz w:val="20"/>
        </w:rPr>
        <w:t xml:space="preserve">The VIH Board believes that there are several reasons why a reincorporation in Delaware is in the best interests of VIH and its shareholders. These additional reasons can be summarized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Prominence, Predictability and Flexibility of Delaware Law</w:t>
            </w:r>
            <w:r>
              <w:rPr>
                <w:rFonts w:ascii="Times New Roman" w:hAnsi="Times New Roman"/>
                <w:sz w:val="20"/>
              </w:rPr>
              <w:t xml:space="preserve">. For many years, Delaware has followed a policy of encouraging incorporation in its state and, in furtherance of that policy, has been a leader in adopting, construing, and implementing comprehensive, flexible corporate laws responsive to the legal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vAlign w:val="center"/>
          </w:tcPr>
          <w:p>
            <w:pPr>
              <w:pStyle w:val="TableContents"/>
              <w:spacing w:before="0" w:after="283"/>
              <w:rPr/>
            </w:pPr>
            <w:r>
              <w:rPr/>
              <w:t> </w:t>
            </w:r>
          </w:p>
        </w:tc>
        <w:tc>
          <w:tcPr>
            <w:tcW w:w="9289"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Well-Established Principles of Corporate Governance</w:t>
            </w:r>
            <w:r>
              <w:rPr>
                <w:rFonts w:ascii="Times New Roman" w:hAnsi="Times New Roman"/>
                <w:sz w:val="20"/>
              </w:rPr>
              <w:t xml:space="preserve">. 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the Company, the Company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the Companys stockholders from possible abuses by directors and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Increased Ability to Attract and Retain Qualified Directors</w:t>
            </w:r>
            <w:r>
              <w:rPr>
                <w:rFonts w:ascii="Times New Roman" w:hAnsi="Times New Roman"/>
                <w:sz w:val="20"/>
              </w:rPr>
              <w:t xml:space="preserve">. Reincorporation from the Cayman Islands to Delaware is attractive to directors, officers, and stockholders alike. The Companys incorporation in Delaware may make the Company more attractive to future candidates for the Company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The VIH Board therefore believes that providing the benefits afforded directors by Delaware law will enable the Company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 </w:t>
            </w:r>
          </w:p>
        </w:tc>
      </w:tr>
    </w:tbl>
    <w:p>
      <w:pPr>
        <w:pStyle w:val="TextBody"/>
        <w:spacing w:before="240" w:after="0"/>
        <w:jc w:val="left"/>
        <w:rPr>
          <w:rFonts w:ascii="Times New Roman" w:hAnsi="Times New Roman"/>
          <w:sz w:val="20"/>
        </w:rPr>
      </w:pPr>
      <w:r>
        <w:rPr>
          <w:rFonts w:ascii="Times New Roman" w:hAnsi="Times New Roman"/>
          <w:sz w:val="20"/>
        </w:rPr>
        <w:t xml:space="preserve">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law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the Company to compete more effectively with other public companies in attracting and retaining new directors. </w:t>
      </w:r>
    </w:p>
    <w:p>
      <w:pPr>
        <w:pStyle w:val="TextBody"/>
        <w:spacing w:before="360" w:after="0"/>
        <w:jc w:val="left"/>
        <w:rPr>
          <w:rFonts w:ascii="Times New Roman" w:hAnsi="Times New Roman"/>
          <w:b/>
          <w:sz w:val="20"/>
        </w:rPr>
      </w:pPr>
      <w:r>
        <w:rPr>
          <w:rFonts w:ascii="Times New Roman" w:hAnsi="Times New Roman"/>
          <w:b/>
          <w:sz w:val="20"/>
        </w:rPr>
        <w:t xml:space="preserve">Reasons for the Name Change </w:t>
      </w:r>
    </w:p>
    <w:p>
      <w:pPr>
        <w:pStyle w:val="TextBody"/>
        <w:spacing w:before="120" w:after="0"/>
        <w:jc w:val="left"/>
        <w:rPr>
          <w:rFonts w:ascii="Times New Roman" w:hAnsi="Times New Roman"/>
          <w:sz w:val="20"/>
        </w:rPr>
      </w:pPr>
      <w:r>
        <w:rPr>
          <w:rFonts w:ascii="Times New Roman" w:hAnsi="Times New Roman"/>
          <w:sz w:val="20"/>
        </w:rPr>
        <w:t xml:space="preserve">The VIH Board believes that it would be in the best interests of VIH to, in connection with the Domestication and simultaneously with the Business Combination, change the corporate name to Bakkt Holdings, Inc. in order to more accurately reflect the business purpose and activities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Regulatory Approvals; Third-Party Consents </w:t>
      </w:r>
    </w:p>
    <w:p>
      <w:pPr>
        <w:pStyle w:val="TextBody"/>
        <w:spacing w:before="120" w:after="0"/>
        <w:jc w:val="left"/>
        <w:rPr>
          <w:rFonts w:ascii="Times New Roman" w:hAnsi="Times New Roman"/>
          <w:sz w:val="20"/>
        </w:rPr>
      </w:pPr>
      <w:r>
        <w:rPr>
          <w:rFonts w:ascii="Times New Roman" w:hAnsi="Times New Roman"/>
          <w:sz w:val="20"/>
        </w:rPr>
        <w:t>VIH is not required to make any filings or to obtain any approvals or clearances from any antitrust regulatory authorities in the United States or other countries in order to complete the Domestication. However, because the Domestication must occur simultaneously with the Merger, it will not occur unless the Merger can be completed, which will require the approvals as described under the section entitled </w:t>
      </w:r>
      <w:r>
        <w:rPr>
          <w:rFonts w:ascii="Times New Roman" w:hAnsi="Times New Roman"/>
          <w:i/>
          <w:sz w:val="20"/>
        </w:rPr>
        <w:t>The Business Combination Proposal</w:t>
      </w:r>
      <w:r>
        <w:rPr>
          <w:rFonts w:ascii="Times New Roman" w:hAnsi="Times New Roman"/>
          <w:sz w:val="20"/>
        </w:rPr>
        <w:t xml:space="preserve"> beginning on page 118 of this proxy statement/prospectus. VIH must comply with applicable United States federal and state securities laws in connection with the Domestication, including the filing with Nasdaq of a press release disclosing the Domestication, among other things. </w:t>
      </w:r>
    </w:p>
    <w:p>
      <w:pPr>
        <w:pStyle w:val="TextBody"/>
        <w:spacing w:before="240" w:after="0"/>
        <w:jc w:val="left"/>
        <w:rPr>
          <w:rFonts w:ascii="Times New Roman" w:hAnsi="Times New Roman"/>
          <w:sz w:val="20"/>
        </w:rPr>
      </w:pPr>
      <w:r>
        <w:rPr>
          <w:rFonts w:ascii="Times New Roman" w:hAnsi="Times New Roman"/>
          <w:sz w:val="20"/>
        </w:rPr>
        <w:t xml:space="preserve">The Domestication will not breach any covenants or agreements binding upon VIH and will not be subject to any additional federal or state regulatory requirements, except compliance with the laws of the Cayman Islands and Delaware necessary to effect the Domestication. </w:t>
      </w:r>
    </w:p>
    <w:p>
      <w:pPr>
        <w:pStyle w:val="TextBody"/>
        <w:spacing w:before="360" w:after="0"/>
        <w:jc w:val="left"/>
        <w:rPr>
          <w:rFonts w:ascii="Times New Roman" w:hAnsi="Times New Roman"/>
          <w:b/>
          <w:sz w:val="20"/>
        </w:rPr>
      </w:pPr>
      <w:r>
        <w:rPr>
          <w:rFonts w:ascii="Times New Roman" w:hAnsi="Times New Roman"/>
          <w:b/>
          <w:sz w:val="20"/>
        </w:rPr>
        <w:t xml:space="preserve">Proposed Certificate of Incorporation and Proposed By-Laws </w:t>
      </w:r>
    </w:p>
    <w:p>
      <w:pPr>
        <w:pStyle w:val="TextBody"/>
        <w:spacing w:before="120" w:after="0"/>
        <w:jc w:val="left"/>
        <w:rPr>
          <w:rFonts w:ascii="Times New Roman" w:hAnsi="Times New Roman"/>
          <w:sz w:val="20"/>
        </w:rPr>
      </w:pPr>
      <w:r>
        <w:rPr>
          <w:rFonts w:ascii="Times New Roman" w:hAnsi="Times New Roman"/>
          <w:sz w:val="20"/>
        </w:rPr>
        <w:t xml:space="preserve">Commencing with the effective time of the Domestication, which will be the effective time of the Business Combination, the Proposed Certificate of Incorporation and the Proposed By-Laws will govern the rights of stockholders in the Company. </w:t>
      </w:r>
    </w:p>
    <w:p>
      <w:pPr>
        <w:pStyle w:val="TextBody"/>
        <w:spacing w:before="240" w:after="0"/>
        <w:jc w:val="left"/>
        <w:rPr>
          <w:rFonts w:ascii="Times New Roman" w:hAnsi="Times New Roman"/>
          <w:sz w:val="20"/>
        </w:rPr>
      </w:pPr>
      <w:r>
        <w:rPr>
          <w:rFonts w:ascii="Times New Roman" w:hAnsi="Times New Roman"/>
          <w:sz w:val="20"/>
        </w:rPr>
        <w:t>A chart comparing your rights as a holder of VIH Shares as a Cayman Islands exempted company with your rights as a holder of the Bakkt Pubco Class A Shares can be found in the section entitled </w:t>
      </w:r>
      <w:r>
        <w:rPr>
          <w:rFonts w:ascii="Times New Roman" w:hAnsi="Times New Roman"/>
          <w:i/>
          <w:sz w:val="20"/>
        </w:rPr>
        <w:t>The Domestication ProposalComparison of Shareholder Rights under Applicable Corporate Law Before and After the Domestication</w:t>
      </w:r>
      <w:r>
        <w:rPr>
          <w:rFonts w:ascii="Times New Roman" w:hAnsi="Times New Roman"/>
          <w:sz w:val="20"/>
        </w:rPr>
        <w:t xml:space="preserve"> beginning on page 164 of this proxy statement/prospectus. </w:t>
      </w:r>
    </w:p>
    <w:p>
      <w:pPr>
        <w:pStyle w:val="TextBody"/>
        <w:spacing w:before="360" w:after="0"/>
        <w:jc w:val="left"/>
        <w:rPr>
          <w:rFonts w:ascii="Times New Roman" w:hAnsi="Times New Roman"/>
          <w:b/>
          <w:sz w:val="20"/>
        </w:rPr>
      </w:pPr>
      <w:bookmarkStart w:id="61" w:name="10b"/>
      <w:bookmarkEnd w:id="61"/>
      <w:r>
        <w:rPr>
          <w:rFonts w:ascii="Times New Roman" w:hAnsi="Times New Roman"/>
          <w:b/>
          <w:sz w:val="20"/>
        </w:rPr>
        <w:t xml:space="preserve">Comparison of Shareholder Rights under Applicable Corporate Law Before and After Domestication </w:t>
      </w:r>
    </w:p>
    <w:p>
      <w:pPr>
        <w:pStyle w:val="TextBody"/>
        <w:spacing w:before="120" w:after="0"/>
        <w:jc w:val="left"/>
        <w:rPr>
          <w:rFonts w:ascii="Times New Roman" w:hAnsi="Times New Roman"/>
          <w:sz w:val="20"/>
        </w:rPr>
      </w:pPr>
      <w:r>
        <w:rPr>
          <w:rFonts w:ascii="Times New Roman" w:hAnsi="Times New Roman"/>
          <w:sz w:val="20"/>
        </w:rPr>
        <w:t xml:space="preserve">When the Domestication is completed, the rights of stockholders of the Company will be governed by Delaware law, including the DGCL, rather than by the laws of the Cayman Islands. Certain differences exist between the DGCL and the Companies Act that will alter certain of the rights of shareholders of VIH and affect the powers of the Company Board and management following the Domestication. </w:t>
      </w:r>
    </w:p>
    <w:p>
      <w:pPr>
        <w:pStyle w:val="TextBody"/>
        <w:spacing w:before="240" w:after="0"/>
        <w:jc w:val="left"/>
        <w:rPr>
          <w:rFonts w:ascii="Times New Roman" w:hAnsi="Times New Roman"/>
          <w:sz w:val="20"/>
        </w:rPr>
      </w:pPr>
      <w:r>
        <w:rPr>
          <w:rFonts w:ascii="Times New Roman" w:hAnsi="Times New Roman"/>
          <w:sz w:val="20"/>
        </w:rPr>
        <w:t xml:space="preserve">Shareholders should consider the following summary comparison of the laws of the Cayman Islands, on the one hand, and the DGCL, on the other. This comparison is not intended to be complete and is qualified in its entirety by reference to the DGCL and the Companies Act. </w:t>
      </w:r>
    </w:p>
    <w:p>
      <w:pPr>
        <w:pStyle w:val="TextBody"/>
        <w:spacing w:before="240" w:after="0"/>
        <w:jc w:val="left"/>
        <w:rPr>
          <w:rFonts w:ascii="Times New Roman" w:hAnsi="Times New Roman"/>
          <w:sz w:val="20"/>
        </w:rPr>
      </w:pPr>
      <w:r>
        <w:rPr>
          <w:rFonts w:ascii="Times New Roman" w:hAnsi="Times New Roman"/>
          <w:sz w:val="20"/>
        </w:rPr>
        <w:t xml:space="preserve">The owners of a Delaware corporations shares are referred to as stockholders. For purposes of language consistency, in certain sections of this proxy statement/prospectus, we may continue to refer to the share owners of the Company as shareholders.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0"/>
        <w:gridCol w:w="120"/>
        <w:gridCol w:w="3255"/>
        <w:gridCol w:w="120"/>
        <w:gridCol w:w="3140"/>
      </w:tblGrid>
      <w:tr>
        <w:trPr/>
        <w:tc>
          <w:tcPr>
            <w:tcW w:w="3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0" w:type="dxa"/>
            <w:tcBorders/>
            <w:shd w:fill="auto" w:val="clear"/>
            <w:vAlign w:val="center"/>
          </w:tcPr>
          <w:p>
            <w:pPr>
              <w:pStyle w:val="TableContents"/>
              <w:spacing w:before="0" w:after="283"/>
              <w:rPr>
                <w:sz w:val="4"/>
                <w:szCs w:val="4"/>
              </w:rPr>
            </w:pPr>
            <w:r>
              <w:rPr>
                <w:sz w:val="4"/>
                <w:szCs w:val="4"/>
              </w:rPr>
            </w:r>
          </w:p>
        </w:tc>
      </w:tr>
      <w:tr>
        <w:trPr/>
        <w:tc>
          <w:tcPr>
            <w:tcW w:w="35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Provision</w:t>
            </w:r>
          </w:p>
        </w:tc>
        <w:tc>
          <w:tcPr>
            <w:tcW w:w="120" w:type="dxa"/>
            <w:tcBorders/>
            <w:shd w:fill="auto" w:val="clear"/>
            <w:vAlign w:val="bottom"/>
          </w:tcPr>
          <w:p>
            <w:pPr>
              <w:pStyle w:val="TableContents"/>
              <w:spacing w:before="0" w:after="283"/>
              <w:rPr/>
            </w:pPr>
            <w:r>
              <w:rPr/>
              <w:t>  </w:t>
            </w:r>
          </w:p>
        </w:tc>
        <w:tc>
          <w:tcPr>
            <w:tcW w:w="32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c>
          <w:tcPr>
            <w:tcW w:w="120" w:type="dxa"/>
            <w:tcBorders/>
            <w:shd w:fill="auto" w:val="clear"/>
            <w:vAlign w:val="bottom"/>
          </w:tcPr>
          <w:p>
            <w:pPr>
              <w:pStyle w:val="TableContents"/>
              <w:spacing w:before="0" w:after="283"/>
              <w:rPr/>
            </w:pPr>
            <w:r>
              <w:rPr/>
              <w:t>  </w:t>
            </w:r>
          </w:p>
        </w:tc>
        <w:tc>
          <w:tcPr>
            <w:tcW w:w="314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Islands</w:t>
            </w:r>
          </w:p>
        </w:tc>
      </w:tr>
      <w:tr>
        <w:trPr/>
        <w:tc>
          <w:tcPr>
            <w:tcW w:w="3570" w:type="dxa"/>
            <w:tcBorders/>
            <w:shd w:fill="auto" w:val="clear"/>
          </w:tcPr>
          <w:p>
            <w:pPr>
              <w:pStyle w:val="TableContents"/>
              <w:spacing w:before="0" w:after="283"/>
              <w:rPr>
                <w:i/>
              </w:rPr>
            </w:pPr>
            <w:r>
              <w:rPr>
                <w:i/>
              </w:rPr>
              <w:t>Applicable legislation</w:t>
            </w:r>
          </w:p>
        </w:tc>
        <w:tc>
          <w:tcPr>
            <w:tcW w:w="120" w:type="dxa"/>
            <w:tcBorders/>
            <w:shd w:fill="auto" w:val="clear"/>
            <w:vAlign w:val="bottom"/>
          </w:tcPr>
          <w:p>
            <w:pPr>
              <w:pStyle w:val="TableContents"/>
              <w:spacing w:before="0" w:after="283"/>
              <w:rPr/>
            </w:pPr>
            <w:r>
              <w:rPr/>
              <w:t>  </w:t>
            </w:r>
          </w:p>
        </w:tc>
        <w:tc>
          <w:tcPr>
            <w:tcW w:w="3255" w:type="dxa"/>
            <w:tcBorders/>
            <w:shd w:fill="auto" w:val="clear"/>
          </w:tcPr>
          <w:p>
            <w:pPr>
              <w:pStyle w:val="TableContents"/>
              <w:spacing w:before="0" w:after="283"/>
              <w:rPr/>
            </w:pPr>
            <w:r>
              <w:rPr/>
              <w:t>General Corporation Law of the State of Delaware</w:t>
            </w:r>
          </w:p>
        </w:tc>
        <w:tc>
          <w:tcPr>
            <w:tcW w:w="120" w:type="dxa"/>
            <w:tcBorders/>
            <w:shd w:fill="auto" w:val="clear"/>
            <w:vAlign w:val="bottom"/>
          </w:tcPr>
          <w:p>
            <w:pPr>
              <w:pStyle w:val="TableContents"/>
              <w:spacing w:before="0" w:after="283"/>
              <w:rPr/>
            </w:pPr>
            <w:r>
              <w:rPr/>
              <w:t>  </w:t>
            </w:r>
          </w:p>
        </w:tc>
        <w:tc>
          <w:tcPr>
            <w:tcW w:w="3140" w:type="dxa"/>
            <w:tcBorders/>
            <w:shd w:fill="auto" w:val="clear"/>
          </w:tcPr>
          <w:p>
            <w:pPr>
              <w:pStyle w:val="TableContents"/>
              <w:spacing w:before="0" w:after="283"/>
              <w:rPr/>
            </w:pPr>
            <w:r>
              <w:rPr/>
              <w:t>The Companies Act (As Revised) of the Cayman Islands</w:t>
            </w:r>
          </w:p>
        </w:tc>
      </w:tr>
      <w:tr>
        <w:trPr>
          <w:trHeight w:val="120" w:hRule="atLeast"/>
        </w:trPr>
        <w:tc>
          <w:tcPr>
            <w:tcW w:w="3570" w:type="dxa"/>
            <w:tcBorders/>
            <w:shd w:fill="auto" w:val="clear"/>
            <w:vAlign w:val="center"/>
          </w:tcPr>
          <w:p>
            <w:pPr>
              <w:pStyle w:val="TableContents"/>
              <w:spacing w:before="0" w:after="283"/>
              <w:rPr>
                <w:sz w:val="4"/>
                <w:szCs w:val="4"/>
              </w:rPr>
            </w:pPr>
            <w:r>
              <w:rPr>
                <w:sz w:val="4"/>
                <w:szCs w:val="4"/>
              </w:rPr>
            </w:r>
          </w:p>
        </w:tc>
        <w:tc>
          <w:tcPr>
            <w:tcW w:w="3375" w:type="dxa"/>
            <w:gridSpan w:val="2"/>
            <w:tcBorders/>
            <w:shd w:fill="auto" w:val="clear"/>
            <w:vAlign w:val="center"/>
          </w:tcPr>
          <w:p>
            <w:pPr>
              <w:pStyle w:val="TableContents"/>
              <w:spacing w:before="0" w:after="283"/>
              <w:rPr>
                <w:sz w:val="4"/>
                <w:szCs w:val="4"/>
              </w:rPr>
            </w:pPr>
            <w:r>
              <w:rPr>
                <w:sz w:val="4"/>
                <w:szCs w:val="4"/>
              </w:rPr>
            </w:r>
          </w:p>
        </w:tc>
        <w:tc>
          <w:tcPr>
            <w:tcW w:w="3260" w:type="dxa"/>
            <w:gridSpan w:val="2"/>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tcPr>
          <w:p>
            <w:pPr>
              <w:pStyle w:val="TableContents"/>
              <w:spacing w:before="0" w:after="283"/>
              <w:rPr>
                <w:i/>
              </w:rPr>
            </w:pPr>
            <w:r>
              <w:rPr>
                <w:i/>
              </w:rPr>
              <w:t>General Vote Required for Combinations with Interested Stockholders/Shareholders</w:t>
            </w:r>
          </w:p>
        </w:tc>
        <w:tc>
          <w:tcPr>
            <w:tcW w:w="120" w:type="dxa"/>
            <w:tcBorders/>
            <w:shd w:fill="auto" w:val="clear"/>
            <w:vAlign w:val="bottom"/>
          </w:tcPr>
          <w:p>
            <w:pPr>
              <w:pStyle w:val="TableContents"/>
              <w:spacing w:before="0" w:after="283"/>
              <w:rPr/>
            </w:pPr>
            <w:r>
              <w:rPr/>
              <w:t>  </w:t>
            </w:r>
          </w:p>
        </w:tc>
        <w:tc>
          <w:tcPr>
            <w:tcW w:w="3255" w:type="dxa"/>
            <w:tcBorders/>
            <w:shd w:fill="auto" w:val="clear"/>
          </w:tcPr>
          <w:p>
            <w:pPr>
              <w:pStyle w:val="TableContents"/>
              <w:spacing w:before="0" w:after="283"/>
              <w:rPr/>
            </w:pPr>
            <w:r>
              <w:rPr/>
              <w:t>Generally, a corporation may not engage in a business combination with an interested stockholder for a period of three years after the time of the transaction in which the person became an interested stockholder, unless the corporation opts out of the statutory provision.</w:t>
            </w:r>
          </w:p>
        </w:tc>
        <w:tc>
          <w:tcPr>
            <w:tcW w:w="120" w:type="dxa"/>
            <w:tcBorders/>
            <w:shd w:fill="auto" w:val="clear"/>
            <w:vAlign w:val="bottom"/>
          </w:tcPr>
          <w:p>
            <w:pPr>
              <w:pStyle w:val="TableContents"/>
              <w:spacing w:before="0" w:after="283"/>
              <w:rPr/>
            </w:pPr>
            <w:r>
              <w:rPr/>
              <w:t>  </w:t>
            </w:r>
          </w:p>
        </w:tc>
        <w:tc>
          <w:tcPr>
            <w:tcW w:w="3140" w:type="dxa"/>
            <w:tcBorders/>
            <w:shd w:fill="auto" w:val="clear"/>
          </w:tcPr>
          <w:p>
            <w:pPr>
              <w:pStyle w:val="TableContents"/>
              <w:spacing w:before="0" w:after="283"/>
              <w:rPr/>
            </w:pPr>
            <w:r>
              <w:rPr/>
              <w:t>No similar provision</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537"/>
        <w:gridCol w:w="120"/>
        <w:gridCol w:w="3264"/>
        <w:gridCol w:w="120"/>
        <w:gridCol w:w="3164"/>
      </w:tblGrid>
      <w:tr>
        <w:trPr/>
        <w:tc>
          <w:tcPr>
            <w:tcW w:w="35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64" w:type="dxa"/>
            <w:tcBorders/>
            <w:shd w:fill="auto" w:val="clear"/>
            <w:vAlign w:val="center"/>
          </w:tcPr>
          <w:p>
            <w:pPr>
              <w:pStyle w:val="TableContents"/>
              <w:spacing w:before="0" w:after="283"/>
              <w:rPr>
                <w:sz w:val="4"/>
                <w:szCs w:val="4"/>
              </w:rPr>
            </w:pPr>
            <w:r>
              <w:rPr>
                <w:sz w:val="4"/>
                <w:szCs w:val="4"/>
              </w:rPr>
            </w:r>
          </w:p>
        </w:tc>
      </w:tr>
      <w:tr>
        <w:trPr/>
        <w:tc>
          <w:tcPr>
            <w:tcW w:w="353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Provision</w:t>
            </w:r>
          </w:p>
        </w:tc>
        <w:tc>
          <w:tcPr>
            <w:tcW w:w="120" w:type="dxa"/>
            <w:tcBorders/>
            <w:shd w:fill="auto" w:val="clear"/>
            <w:vAlign w:val="bottom"/>
          </w:tcPr>
          <w:p>
            <w:pPr>
              <w:pStyle w:val="TableContents"/>
              <w:spacing w:before="0" w:after="283"/>
              <w:rPr/>
            </w:pPr>
            <w:r>
              <w:rPr/>
              <w:t>  </w:t>
            </w:r>
          </w:p>
        </w:tc>
        <w:tc>
          <w:tcPr>
            <w:tcW w:w="326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c>
          <w:tcPr>
            <w:tcW w:w="120" w:type="dxa"/>
            <w:tcBorders/>
            <w:shd w:fill="auto" w:val="clear"/>
            <w:vAlign w:val="bottom"/>
          </w:tcPr>
          <w:p>
            <w:pPr>
              <w:pStyle w:val="TableContents"/>
              <w:spacing w:before="0" w:after="283"/>
              <w:rPr/>
            </w:pPr>
            <w:r>
              <w:rPr/>
              <w:t>  </w:t>
            </w:r>
          </w:p>
        </w:tc>
        <w:tc>
          <w:tcPr>
            <w:tcW w:w="316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Islands</w:t>
            </w:r>
          </w:p>
        </w:tc>
      </w:tr>
      <w:tr>
        <w:trPr>
          <w:trHeight w:val="120" w:hRule="atLeast"/>
        </w:trPr>
        <w:tc>
          <w:tcPr>
            <w:tcW w:w="3537" w:type="dxa"/>
            <w:tcBorders/>
            <w:shd w:fill="auto" w:val="clear"/>
            <w:vAlign w:val="center"/>
          </w:tcPr>
          <w:p>
            <w:pPr>
              <w:pStyle w:val="TableContents"/>
              <w:spacing w:before="0" w:after="283"/>
              <w:rPr>
                <w:sz w:val="4"/>
                <w:szCs w:val="4"/>
              </w:rPr>
            </w:pPr>
            <w:r>
              <w:rPr>
                <w:sz w:val="4"/>
                <w:szCs w:val="4"/>
              </w:rPr>
            </w:r>
          </w:p>
        </w:tc>
        <w:tc>
          <w:tcPr>
            <w:tcW w:w="3384" w:type="dxa"/>
            <w:gridSpan w:val="2"/>
            <w:tcBorders/>
            <w:shd w:fill="auto" w:val="clear"/>
            <w:vAlign w:val="center"/>
          </w:tcPr>
          <w:p>
            <w:pPr>
              <w:pStyle w:val="TableContents"/>
              <w:spacing w:before="0" w:after="283"/>
              <w:rPr>
                <w:sz w:val="4"/>
                <w:szCs w:val="4"/>
              </w:rPr>
            </w:pPr>
            <w:r>
              <w:rPr>
                <w:sz w:val="4"/>
                <w:szCs w:val="4"/>
              </w:rPr>
            </w:r>
          </w:p>
        </w:tc>
        <w:tc>
          <w:tcPr>
            <w:tcW w:w="3284" w:type="dxa"/>
            <w:gridSpan w:val="2"/>
            <w:tcBorders/>
            <w:shd w:fill="auto" w:val="clear"/>
            <w:vAlign w:val="center"/>
          </w:tcPr>
          <w:p>
            <w:pPr>
              <w:pStyle w:val="TableContents"/>
              <w:spacing w:before="0" w:after="283"/>
              <w:rPr>
                <w:sz w:val="4"/>
                <w:szCs w:val="4"/>
              </w:rPr>
            </w:pPr>
            <w:r>
              <w:rPr>
                <w:sz w:val="4"/>
                <w:szCs w:val="4"/>
              </w:rPr>
            </w:r>
          </w:p>
        </w:tc>
      </w:tr>
      <w:tr>
        <w:trPr/>
        <w:tc>
          <w:tcPr>
            <w:tcW w:w="3537" w:type="dxa"/>
            <w:tcBorders/>
            <w:shd w:fill="auto" w:val="clear"/>
          </w:tcPr>
          <w:p>
            <w:pPr>
              <w:pStyle w:val="TableContents"/>
              <w:spacing w:before="0" w:after="283"/>
              <w:rPr>
                <w:i/>
              </w:rPr>
            </w:pPr>
            <w:r>
              <w:rPr>
                <w:i/>
              </w:rPr>
              <w:t>Appraisal Rights</w:t>
            </w:r>
          </w:p>
        </w:tc>
        <w:tc>
          <w:tcPr>
            <w:tcW w:w="120" w:type="dxa"/>
            <w:tcBorders/>
            <w:shd w:fill="auto" w:val="clear"/>
            <w:vAlign w:val="bottom"/>
          </w:tcPr>
          <w:p>
            <w:pPr>
              <w:pStyle w:val="TableContents"/>
              <w:spacing w:before="0" w:after="283"/>
              <w:rPr/>
            </w:pPr>
            <w:r>
              <w:rPr/>
              <w:t>  </w:t>
            </w:r>
          </w:p>
        </w:tc>
        <w:tc>
          <w:tcPr>
            <w:tcW w:w="3264" w:type="dxa"/>
            <w:tcBorders/>
            <w:shd w:fill="auto" w:val="clear"/>
          </w:tcPr>
          <w:p>
            <w:pPr>
              <w:pStyle w:val="TableContents"/>
              <w:spacing w:before="0" w:after="283"/>
              <w:rPr/>
            </w:pPr>
            <w:r>
              <w:rPr/>
              <w:t>Generally, a stockholder of a publicly traded corporation does not have appraisal rights in connection with a merger. Stockholders of a publicly traded corporation do, however, generally have appraisal rights in connection with a merger if they are required by the terms of a merger agreement to accept for their shares anything except: (a) shares or depository receipts of the corporation surviving or resulting from such merger; (b) shares of stock or depository receipts that will be either listed on a national securities exchange or held of record by more than 2,000 holders; (c) cash in lieu of fractional shares or fractional depository receipts described in (a) and (b) above; or (d) any combination of the shares of stock, depository receipts and cash in lieu of fractional shares or fractional depository receipts described in (a), (b) and (c) above.</w:t>
            </w:r>
          </w:p>
        </w:tc>
        <w:tc>
          <w:tcPr>
            <w:tcW w:w="120" w:type="dxa"/>
            <w:tcBorders/>
            <w:shd w:fill="auto" w:val="clear"/>
            <w:vAlign w:val="bottom"/>
          </w:tcPr>
          <w:p>
            <w:pPr>
              <w:pStyle w:val="TableContents"/>
              <w:spacing w:before="0" w:after="283"/>
              <w:rPr/>
            </w:pPr>
            <w:r>
              <w:rPr/>
              <w:t>  </w:t>
            </w:r>
          </w:p>
        </w:tc>
        <w:tc>
          <w:tcPr>
            <w:tcW w:w="3164" w:type="dxa"/>
            <w:tcBorders/>
            <w:shd w:fill="auto" w:val="clear"/>
          </w:tcPr>
          <w:p>
            <w:pPr>
              <w:pStyle w:val="TableContents"/>
              <w:spacing w:before="0" w:after="283"/>
              <w:rPr/>
            </w:pPr>
            <w:r>
              <w:rPr/>
              <w:t>Under the Companies Act, minority shareholders that dissent to a merger are entitled to be paid the fair market value of their shares, which, if necessary, may ultimately be determined by the courts of the Cayman Islands.</w:t>
            </w:r>
          </w:p>
        </w:tc>
      </w:tr>
      <w:tr>
        <w:trPr>
          <w:trHeight w:val="120" w:hRule="atLeast"/>
        </w:trPr>
        <w:tc>
          <w:tcPr>
            <w:tcW w:w="3537" w:type="dxa"/>
            <w:tcBorders/>
            <w:shd w:fill="auto" w:val="clear"/>
            <w:vAlign w:val="center"/>
          </w:tcPr>
          <w:p>
            <w:pPr>
              <w:pStyle w:val="TableContents"/>
              <w:spacing w:before="0" w:after="283"/>
              <w:rPr>
                <w:sz w:val="4"/>
                <w:szCs w:val="4"/>
              </w:rPr>
            </w:pPr>
            <w:r>
              <w:rPr>
                <w:sz w:val="4"/>
                <w:szCs w:val="4"/>
              </w:rPr>
            </w:r>
          </w:p>
        </w:tc>
        <w:tc>
          <w:tcPr>
            <w:tcW w:w="3384" w:type="dxa"/>
            <w:gridSpan w:val="2"/>
            <w:tcBorders/>
            <w:shd w:fill="auto" w:val="clear"/>
            <w:vAlign w:val="center"/>
          </w:tcPr>
          <w:p>
            <w:pPr>
              <w:pStyle w:val="TableContents"/>
              <w:spacing w:before="0" w:after="283"/>
              <w:rPr>
                <w:sz w:val="4"/>
                <w:szCs w:val="4"/>
              </w:rPr>
            </w:pPr>
            <w:r>
              <w:rPr>
                <w:sz w:val="4"/>
                <w:szCs w:val="4"/>
              </w:rPr>
            </w:r>
          </w:p>
        </w:tc>
        <w:tc>
          <w:tcPr>
            <w:tcW w:w="3284" w:type="dxa"/>
            <w:gridSpan w:val="2"/>
            <w:tcBorders/>
            <w:shd w:fill="auto" w:val="clear"/>
            <w:vAlign w:val="center"/>
          </w:tcPr>
          <w:p>
            <w:pPr>
              <w:pStyle w:val="TableContents"/>
              <w:spacing w:before="0" w:after="283"/>
              <w:rPr>
                <w:sz w:val="4"/>
                <w:szCs w:val="4"/>
              </w:rPr>
            </w:pPr>
            <w:r>
              <w:rPr>
                <w:sz w:val="4"/>
                <w:szCs w:val="4"/>
              </w:rPr>
            </w:r>
          </w:p>
        </w:tc>
      </w:tr>
      <w:tr>
        <w:trPr/>
        <w:tc>
          <w:tcPr>
            <w:tcW w:w="3537" w:type="dxa"/>
            <w:tcBorders/>
            <w:shd w:fill="auto" w:val="clear"/>
          </w:tcPr>
          <w:p>
            <w:pPr>
              <w:pStyle w:val="TableContents"/>
              <w:spacing w:before="0" w:after="283"/>
              <w:rPr/>
            </w:pPr>
            <w:r>
              <w:rPr>
                <w:i/>
              </w:rPr>
              <w:t>Requirements for Stockholder/Shareholder</w:t>
            </w:r>
            <w:r>
              <w:rPr/>
              <w:t xml:space="preserve"> </w:t>
            </w:r>
            <w:r>
              <w:rPr>
                <w:i/>
              </w:rPr>
              <w:t>Approval</w:t>
            </w:r>
          </w:p>
        </w:tc>
        <w:tc>
          <w:tcPr>
            <w:tcW w:w="120" w:type="dxa"/>
            <w:tcBorders/>
            <w:shd w:fill="auto" w:val="clear"/>
            <w:vAlign w:val="bottom"/>
          </w:tcPr>
          <w:p>
            <w:pPr>
              <w:pStyle w:val="TableContents"/>
              <w:spacing w:before="0" w:after="283"/>
              <w:rPr/>
            </w:pPr>
            <w:r>
              <w:rPr/>
              <w:t>  </w:t>
            </w:r>
          </w:p>
        </w:tc>
        <w:tc>
          <w:tcPr>
            <w:tcW w:w="3264" w:type="dxa"/>
            <w:tcBorders/>
            <w:shd w:fill="auto" w:val="clear"/>
          </w:tcPr>
          <w:p>
            <w:pPr>
              <w:pStyle w:val="TableContents"/>
              <w:spacing w:before="0" w:after="283"/>
              <w:rPr/>
            </w:pPr>
            <w:r>
              <w:rPr/>
              <w:t>Subject to the certificate of incorporation, stockholder approval of mergers, a sale of all or substantially all the assets of the corporation, dissolution and amendments of constitutional documents require a majority of outstanding shares; most other stockholder approvals require a majority of those present and voting, provided a quorum is present.</w:t>
            </w:r>
          </w:p>
        </w:tc>
        <w:tc>
          <w:tcPr>
            <w:tcW w:w="120" w:type="dxa"/>
            <w:tcBorders/>
            <w:shd w:fill="auto" w:val="clear"/>
            <w:vAlign w:val="bottom"/>
          </w:tcPr>
          <w:p>
            <w:pPr>
              <w:pStyle w:val="TableContents"/>
              <w:spacing w:before="0" w:after="283"/>
              <w:rPr/>
            </w:pPr>
            <w:r>
              <w:rPr/>
              <w:t>  </w:t>
            </w:r>
          </w:p>
        </w:tc>
        <w:tc>
          <w:tcPr>
            <w:tcW w:w="3164" w:type="dxa"/>
            <w:tcBorders/>
            <w:shd w:fill="auto" w:val="clear"/>
          </w:tcPr>
          <w:p>
            <w:pPr>
              <w:pStyle w:val="TableContents"/>
              <w:spacing w:before="0" w:after="283"/>
              <w:rPr/>
            </w:pPr>
            <w:r>
              <w:rPr/>
              <w:t>Subject to the articles of association, matters which require shareholder approval, whether under Cayman Islands statute or the companys articles of association, are determined (subject to quorum requirements, the Companies Act, applicable law and the relevant articles of association) by ordinary resolution, being the approval of the holders of a majority of the shares, who, being present in person or proxy and entitled to vote, vote at the meeting of shareholders or by special resolution (such as the amendment of the companys constitutional documents), being the approval of the holders of a majority of not less than two-thirds of the shares, who, being present in person or by proxy and entitled to vote, vote at the meeting of shareholders.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502"/>
        <w:gridCol w:w="121"/>
        <w:gridCol w:w="3276"/>
        <w:gridCol w:w="121"/>
        <w:gridCol w:w="3185"/>
      </w:tblGrid>
      <w:tr>
        <w:trPr/>
        <w:tc>
          <w:tcPr>
            <w:tcW w:w="350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7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185" w:type="dxa"/>
            <w:tcBorders/>
            <w:shd w:fill="auto" w:val="clear"/>
            <w:vAlign w:val="center"/>
          </w:tcPr>
          <w:p>
            <w:pPr>
              <w:pStyle w:val="TableContents"/>
              <w:spacing w:before="0" w:after="283"/>
              <w:rPr>
                <w:sz w:val="4"/>
                <w:szCs w:val="4"/>
              </w:rPr>
            </w:pPr>
            <w:r>
              <w:rPr>
                <w:sz w:val="4"/>
                <w:szCs w:val="4"/>
              </w:rPr>
            </w:r>
          </w:p>
        </w:tc>
      </w:tr>
      <w:tr>
        <w:trPr/>
        <w:tc>
          <w:tcPr>
            <w:tcW w:w="350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Provision</w:t>
            </w:r>
          </w:p>
        </w:tc>
        <w:tc>
          <w:tcPr>
            <w:tcW w:w="121" w:type="dxa"/>
            <w:tcBorders/>
            <w:shd w:fill="auto" w:val="clear"/>
            <w:vAlign w:val="bottom"/>
          </w:tcPr>
          <w:p>
            <w:pPr>
              <w:pStyle w:val="TableContents"/>
              <w:spacing w:before="0" w:after="283"/>
              <w:rPr/>
            </w:pPr>
            <w:r>
              <w:rPr/>
              <w:t>  </w:t>
            </w:r>
          </w:p>
        </w:tc>
        <w:tc>
          <w:tcPr>
            <w:tcW w:w="327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c>
          <w:tcPr>
            <w:tcW w:w="121" w:type="dxa"/>
            <w:tcBorders/>
            <w:shd w:fill="auto" w:val="clear"/>
            <w:vAlign w:val="bottom"/>
          </w:tcPr>
          <w:p>
            <w:pPr>
              <w:pStyle w:val="TableContents"/>
              <w:spacing w:before="0" w:after="283"/>
              <w:rPr/>
            </w:pPr>
            <w:r>
              <w:rPr/>
              <w:t>  </w:t>
            </w:r>
          </w:p>
        </w:tc>
        <w:tc>
          <w:tcPr>
            <w:tcW w:w="318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Islands</w:t>
            </w:r>
          </w:p>
        </w:tc>
      </w:tr>
      <w:tr>
        <w:trPr>
          <w:trHeight w:val="120" w:hRule="atLeast"/>
        </w:trPr>
        <w:tc>
          <w:tcPr>
            <w:tcW w:w="3502" w:type="dxa"/>
            <w:tcBorders/>
            <w:shd w:fill="auto" w:val="clear"/>
            <w:vAlign w:val="center"/>
          </w:tcPr>
          <w:p>
            <w:pPr>
              <w:pStyle w:val="TableContents"/>
              <w:spacing w:before="0" w:after="283"/>
              <w:rPr>
                <w:sz w:val="4"/>
                <w:szCs w:val="4"/>
              </w:rPr>
            </w:pPr>
            <w:r>
              <w:rPr>
                <w:sz w:val="4"/>
                <w:szCs w:val="4"/>
              </w:rPr>
            </w:r>
          </w:p>
        </w:tc>
        <w:tc>
          <w:tcPr>
            <w:tcW w:w="3397" w:type="dxa"/>
            <w:gridSpan w:val="2"/>
            <w:tcBorders/>
            <w:shd w:fill="auto" w:val="clear"/>
            <w:vAlign w:val="center"/>
          </w:tcPr>
          <w:p>
            <w:pPr>
              <w:pStyle w:val="TableContents"/>
              <w:spacing w:before="0" w:after="283"/>
              <w:rPr>
                <w:sz w:val="4"/>
                <w:szCs w:val="4"/>
              </w:rPr>
            </w:pPr>
            <w:r>
              <w:rPr>
                <w:sz w:val="4"/>
                <w:szCs w:val="4"/>
              </w:rPr>
            </w:r>
          </w:p>
        </w:tc>
        <w:tc>
          <w:tcPr>
            <w:tcW w:w="3306" w:type="dxa"/>
            <w:gridSpan w:val="2"/>
            <w:tcBorders/>
            <w:shd w:fill="auto" w:val="clear"/>
            <w:vAlign w:val="center"/>
          </w:tcPr>
          <w:p>
            <w:pPr>
              <w:pStyle w:val="TableContents"/>
              <w:spacing w:before="0" w:after="283"/>
              <w:rPr>
                <w:sz w:val="4"/>
                <w:szCs w:val="4"/>
              </w:rPr>
            </w:pPr>
            <w:r>
              <w:rPr>
                <w:sz w:val="4"/>
                <w:szCs w:val="4"/>
              </w:rPr>
            </w:r>
          </w:p>
        </w:tc>
      </w:tr>
      <w:tr>
        <w:trPr/>
        <w:tc>
          <w:tcPr>
            <w:tcW w:w="3502" w:type="dxa"/>
            <w:tcBorders/>
            <w:shd w:fill="auto" w:val="clear"/>
          </w:tcPr>
          <w:p>
            <w:pPr>
              <w:pStyle w:val="TableContents"/>
              <w:spacing w:before="0" w:after="283"/>
              <w:rPr>
                <w:i/>
              </w:rPr>
            </w:pPr>
            <w:r>
              <w:rPr>
                <w:i/>
              </w:rPr>
              <w:t>Requirement for Quorum</w:t>
            </w:r>
          </w:p>
        </w:tc>
        <w:tc>
          <w:tcPr>
            <w:tcW w:w="121" w:type="dxa"/>
            <w:tcBorders/>
            <w:shd w:fill="auto" w:val="clear"/>
            <w:vAlign w:val="bottom"/>
          </w:tcPr>
          <w:p>
            <w:pPr>
              <w:pStyle w:val="TableContents"/>
              <w:spacing w:before="0" w:after="283"/>
              <w:rPr/>
            </w:pPr>
            <w:r>
              <w:rPr/>
              <w:t>  </w:t>
            </w:r>
          </w:p>
        </w:tc>
        <w:tc>
          <w:tcPr>
            <w:tcW w:w="3276" w:type="dxa"/>
            <w:tcBorders/>
            <w:shd w:fill="auto" w:val="clear"/>
          </w:tcPr>
          <w:p>
            <w:pPr>
              <w:pStyle w:val="TableContents"/>
              <w:spacing w:before="0" w:after="283"/>
              <w:rPr/>
            </w:pPr>
            <w:r>
              <w:rPr/>
              <w:t>Quorum is a majority of shares entitled to vote at the meeting unless otherwise set in the constitutional documents, but cannot be less than one-third of shares entitled to vote at the meeting.</w:t>
            </w:r>
          </w:p>
        </w:tc>
        <w:tc>
          <w:tcPr>
            <w:tcW w:w="121" w:type="dxa"/>
            <w:tcBorders/>
            <w:shd w:fill="auto" w:val="clear"/>
            <w:vAlign w:val="bottom"/>
          </w:tcPr>
          <w:p>
            <w:pPr>
              <w:pStyle w:val="TableContents"/>
              <w:spacing w:before="0" w:after="283"/>
              <w:rPr/>
            </w:pPr>
            <w:r>
              <w:rPr/>
              <w:t>  </w:t>
            </w:r>
          </w:p>
        </w:tc>
        <w:tc>
          <w:tcPr>
            <w:tcW w:w="3185" w:type="dxa"/>
            <w:tcBorders/>
            <w:shd w:fill="auto" w:val="clear"/>
          </w:tcPr>
          <w:p>
            <w:pPr>
              <w:pStyle w:val="TableContents"/>
              <w:spacing w:before="0" w:after="283"/>
              <w:rPr/>
            </w:pPr>
            <w:r>
              <w:rPr/>
              <w:t>Quorum is set in the companys memorandum and articles of association.</w:t>
            </w:r>
          </w:p>
        </w:tc>
      </w:tr>
      <w:tr>
        <w:trPr>
          <w:trHeight w:val="120" w:hRule="atLeast"/>
        </w:trPr>
        <w:tc>
          <w:tcPr>
            <w:tcW w:w="3502" w:type="dxa"/>
            <w:tcBorders/>
            <w:shd w:fill="auto" w:val="clear"/>
            <w:vAlign w:val="center"/>
          </w:tcPr>
          <w:p>
            <w:pPr>
              <w:pStyle w:val="TableContents"/>
              <w:spacing w:before="0" w:after="283"/>
              <w:rPr>
                <w:sz w:val="4"/>
                <w:szCs w:val="4"/>
              </w:rPr>
            </w:pPr>
            <w:r>
              <w:rPr>
                <w:sz w:val="4"/>
                <w:szCs w:val="4"/>
              </w:rPr>
            </w:r>
          </w:p>
        </w:tc>
        <w:tc>
          <w:tcPr>
            <w:tcW w:w="3397" w:type="dxa"/>
            <w:gridSpan w:val="2"/>
            <w:tcBorders/>
            <w:shd w:fill="auto" w:val="clear"/>
            <w:vAlign w:val="center"/>
          </w:tcPr>
          <w:p>
            <w:pPr>
              <w:pStyle w:val="TableContents"/>
              <w:spacing w:before="0" w:after="283"/>
              <w:rPr>
                <w:sz w:val="4"/>
                <w:szCs w:val="4"/>
              </w:rPr>
            </w:pPr>
            <w:r>
              <w:rPr>
                <w:sz w:val="4"/>
                <w:szCs w:val="4"/>
              </w:rPr>
            </w:r>
          </w:p>
        </w:tc>
        <w:tc>
          <w:tcPr>
            <w:tcW w:w="3306" w:type="dxa"/>
            <w:gridSpan w:val="2"/>
            <w:tcBorders/>
            <w:shd w:fill="auto" w:val="clear"/>
            <w:vAlign w:val="center"/>
          </w:tcPr>
          <w:p>
            <w:pPr>
              <w:pStyle w:val="TableContents"/>
              <w:spacing w:before="0" w:after="283"/>
              <w:rPr>
                <w:sz w:val="4"/>
                <w:szCs w:val="4"/>
              </w:rPr>
            </w:pPr>
            <w:r>
              <w:rPr>
                <w:sz w:val="4"/>
                <w:szCs w:val="4"/>
              </w:rPr>
            </w:r>
          </w:p>
        </w:tc>
      </w:tr>
      <w:tr>
        <w:trPr/>
        <w:tc>
          <w:tcPr>
            <w:tcW w:w="3502" w:type="dxa"/>
            <w:tcBorders/>
            <w:shd w:fill="auto" w:val="clear"/>
          </w:tcPr>
          <w:p>
            <w:pPr>
              <w:pStyle w:val="TableContents"/>
              <w:spacing w:before="0" w:after="283"/>
              <w:rPr>
                <w:i/>
              </w:rPr>
            </w:pPr>
            <w:r>
              <w:rPr>
                <w:i/>
              </w:rPr>
              <w:t>Stockholder/Shareholder Consent to Action Without Meeting</w:t>
            </w:r>
          </w:p>
        </w:tc>
        <w:tc>
          <w:tcPr>
            <w:tcW w:w="121" w:type="dxa"/>
            <w:tcBorders/>
            <w:shd w:fill="auto" w:val="clear"/>
            <w:vAlign w:val="bottom"/>
          </w:tcPr>
          <w:p>
            <w:pPr>
              <w:pStyle w:val="TableContents"/>
              <w:spacing w:before="0" w:after="283"/>
              <w:rPr/>
            </w:pPr>
            <w:r>
              <w:rPr/>
              <w:t>  </w:t>
            </w:r>
          </w:p>
        </w:tc>
        <w:tc>
          <w:tcPr>
            <w:tcW w:w="3276" w:type="dxa"/>
            <w:tcBorders/>
            <w:shd w:fill="auto" w:val="clear"/>
          </w:tcPr>
          <w:p>
            <w:pPr>
              <w:pStyle w:val="TableContents"/>
              <w:spacing w:before="0" w:after="283"/>
              <w:rPr/>
            </w:pPr>
            <w:r>
              <w:rPr/>
              <w:t>Unless otherwise provided in the certificate of incorporation, stockholders may act by written consent.</w:t>
            </w:r>
          </w:p>
        </w:tc>
        <w:tc>
          <w:tcPr>
            <w:tcW w:w="121" w:type="dxa"/>
            <w:tcBorders/>
            <w:shd w:fill="auto" w:val="clear"/>
            <w:vAlign w:val="bottom"/>
          </w:tcPr>
          <w:p>
            <w:pPr>
              <w:pStyle w:val="TableContents"/>
              <w:spacing w:before="0" w:after="283"/>
              <w:rPr/>
            </w:pPr>
            <w:r>
              <w:rPr/>
              <w:t>  </w:t>
            </w:r>
          </w:p>
        </w:tc>
        <w:tc>
          <w:tcPr>
            <w:tcW w:w="3185" w:type="dxa"/>
            <w:tcBorders/>
            <w:shd w:fill="auto" w:val="clear"/>
          </w:tcPr>
          <w:p>
            <w:pPr>
              <w:pStyle w:val="TableContents"/>
              <w:spacing w:before="0" w:after="283"/>
              <w:rPr/>
            </w:pPr>
            <w:r>
              <w:rPr/>
              <w:t>Shareholder action by written resolutions (whether unanimous or otherwise) may be permitted by the articles of association. The articles of association may provide that shareholders may not act by written resolutions.</w:t>
            </w:r>
          </w:p>
        </w:tc>
      </w:tr>
      <w:tr>
        <w:trPr>
          <w:trHeight w:val="120" w:hRule="atLeast"/>
        </w:trPr>
        <w:tc>
          <w:tcPr>
            <w:tcW w:w="3502" w:type="dxa"/>
            <w:tcBorders/>
            <w:shd w:fill="auto" w:val="clear"/>
            <w:vAlign w:val="center"/>
          </w:tcPr>
          <w:p>
            <w:pPr>
              <w:pStyle w:val="TableContents"/>
              <w:spacing w:before="0" w:after="283"/>
              <w:rPr>
                <w:sz w:val="4"/>
                <w:szCs w:val="4"/>
              </w:rPr>
            </w:pPr>
            <w:r>
              <w:rPr>
                <w:sz w:val="4"/>
                <w:szCs w:val="4"/>
              </w:rPr>
            </w:r>
          </w:p>
        </w:tc>
        <w:tc>
          <w:tcPr>
            <w:tcW w:w="3397" w:type="dxa"/>
            <w:gridSpan w:val="2"/>
            <w:tcBorders/>
            <w:shd w:fill="auto" w:val="clear"/>
            <w:vAlign w:val="center"/>
          </w:tcPr>
          <w:p>
            <w:pPr>
              <w:pStyle w:val="TableContents"/>
              <w:spacing w:before="0" w:after="283"/>
              <w:rPr>
                <w:sz w:val="4"/>
                <w:szCs w:val="4"/>
              </w:rPr>
            </w:pPr>
            <w:r>
              <w:rPr>
                <w:sz w:val="4"/>
                <w:szCs w:val="4"/>
              </w:rPr>
            </w:r>
          </w:p>
        </w:tc>
        <w:tc>
          <w:tcPr>
            <w:tcW w:w="3306" w:type="dxa"/>
            <w:gridSpan w:val="2"/>
            <w:tcBorders/>
            <w:shd w:fill="auto" w:val="clear"/>
            <w:vAlign w:val="center"/>
          </w:tcPr>
          <w:p>
            <w:pPr>
              <w:pStyle w:val="TableContents"/>
              <w:spacing w:before="0" w:after="283"/>
              <w:rPr>
                <w:sz w:val="4"/>
                <w:szCs w:val="4"/>
              </w:rPr>
            </w:pPr>
            <w:r>
              <w:rPr>
                <w:sz w:val="4"/>
                <w:szCs w:val="4"/>
              </w:rPr>
            </w:r>
          </w:p>
        </w:tc>
      </w:tr>
      <w:tr>
        <w:trPr/>
        <w:tc>
          <w:tcPr>
            <w:tcW w:w="3502" w:type="dxa"/>
            <w:tcBorders/>
            <w:shd w:fill="auto" w:val="clear"/>
          </w:tcPr>
          <w:p>
            <w:pPr>
              <w:pStyle w:val="TableContents"/>
              <w:spacing w:before="0" w:after="283"/>
              <w:rPr>
                <w:i/>
              </w:rPr>
            </w:pPr>
            <w:r>
              <w:rPr>
                <w:i/>
              </w:rPr>
              <w:t>Inspection of Books and Records</w:t>
            </w:r>
          </w:p>
        </w:tc>
        <w:tc>
          <w:tcPr>
            <w:tcW w:w="121" w:type="dxa"/>
            <w:tcBorders/>
            <w:shd w:fill="auto" w:val="clear"/>
            <w:vAlign w:val="bottom"/>
          </w:tcPr>
          <w:p>
            <w:pPr>
              <w:pStyle w:val="TableContents"/>
              <w:spacing w:before="0" w:after="283"/>
              <w:rPr/>
            </w:pPr>
            <w:r>
              <w:rPr/>
              <w:t>  </w:t>
            </w:r>
          </w:p>
        </w:tc>
        <w:tc>
          <w:tcPr>
            <w:tcW w:w="3276" w:type="dxa"/>
            <w:tcBorders/>
            <w:shd w:fill="auto" w:val="clear"/>
          </w:tcPr>
          <w:p>
            <w:pPr>
              <w:pStyle w:val="TableContents"/>
              <w:spacing w:before="0" w:after="283"/>
              <w:rPr/>
            </w:pPr>
            <w:r>
              <w:rPr/>
              <w:t>Any stockholder may inspect the corporations books and records for a proper purpose during the usual hours for business.</w:t>
            </w:r>
          </w:p>
        </w:tc>
        <w:tc>
          <w:tcPr>
            <w:tcW w:w="121" w:type="dxa"/>
            <w:tcBorders/>
            <w:shd w:fill="auto" w:val="clear"/>
            <w:vAlign w:val="bottom"/>
          </w:tcPr>
          <w:p>
            <w:pPr>
              <w:pStyle w:val="TableContents"/>
              <w:spacing w:before="0" w:after="283"/>
              <w:rPr/>
            </w:pPr>
            <w:r>
              <w:rPr/>
              <w:t>  </w:t>
            </w:r>
          </w:p>
        </w:tc>
        <w:tc>
          <w:tcPr>
            <w:tcW w:w="3185" w:type="dxa"/>
            <w:tcBorders/>
            <w:shd w:fill="auto" w:val="clear"/>
          </w:tcPr>
          <w:p>
            <w:pPr>
              <w:pStyle w:val="TableContents"/>
              <w:spacing w:before="0" w:after="283"/>
              <w:rPr/>
            </w:pPr>
            <w:r>
              <w:rPr/>
              <w:t>Shareholders generally do not have any rights to inspect or obtain copies of the register of members or other corporate records of a company.</w:t>
            </w:r>
          </w:p>
        </w:tc>
      </w:tr>
      <w:tr>
        <w:trPr>
          <w:trHeight w:val="120" w:hRule="atLeast"/>
        </w:trPr>
        <w:tc>
          <w:tcPr>
            <w:tcW w:w="3502" w:type="dxa"/>
            <w:tcBorders/>
            <w:shd w:fill="auto" w:val="clear"/>
            <w:vAlign w:val="center"/>
          </w:tcPr>
          <w:p>
            <w:pPr>
              <w:pStyle w:val="TableContents"/>
              <w:spacing w:before="0" w:after="283"/>
              <w:rPr>
                <w:sz w:val="4"/>
                <w:szCs w:val="4"/>
              </w:rPr>
            </w:pPr>
            <w:r>
              <w:rPr>
                <w:sz w:val="4"/>
                <w:szCs w:val="4"/>
              </w:rPr>
            </w:r>
          </w:p>
        </w:tc>
        <w:tc>
          <w:tcPr>
            <w:tcW w:w="3397" w:type="dxa"/>
            <w:gridSpan w:val="2"/>
            <w:tcBorders/>
            <w:shd w:fill="auto" w:val="clear"/>
            <w:vAlign w:val="center"/>
          </w:tcPr>
          <w:p>
            <w:pPr>
              <w:pStyle w:val="TableContents"/>
              <w:spacing w:before="0" w:after="283"/>
              <w:rPr>
                <w:sz w:val="4"/>
                <w:szCs w:val="4"/>
              </w:rPr>
            </w:pPr>
            <w:r>
              <w:rPr>
                <w:sz w:val="4"/>
                <w:szCs w:val="4"/>
              </w:rPr>
            </w:r>
          </w:p>
        </w:tc>
        <w:tc>
          <w:tcPr>
            <w:tcW w:w="3306" w:type="dxa"/>
            <w:gridSpan w:val="2"/>
            <w:tcBorders/>
            <w:shd w:fill="auto" w:val="clear"/>
            <w:vAlign w:val="center"/>
          </w:tcPr>
          <w:p>
            <w:pPr>
              <w:pStyle w:val="TableContents"/>
              <w:spacing w:before="0" w:after="283"/>
              <w:rPr>
                <w:sz w:val="4"/>
                <w:szCs w:val="4"/>
              </w:rPr>
            </w:pPr>
            <w:r>
              <w:rPr>
                <w:sz w:val="4"/>
                <w:szCs w:val="4"/>
              </w:rPr>
            </w:r>
          </w:p>
        </w:tc>
      </w:tr>
      <w:tr>
        <w:trPr/>
        <w:tc>
          <w:tcPr>
            <w:tcW w:w="3502" w:type="dxa"/>
            <w:tcBorders/>
            <w:shd w:fill="auto" w:val="clear"/>
          </w:tcPr>
          <w:p>
            <w:pPr>
              <w:pStyle w:val="TableContents"/>
              <w:spacing w:before="0" w:after="283"/>
              <w:rPr>
                <w:i/>
              </w:rPr>
            </w:pPr>
            <w:r>
              <w:rPr>
                <w:i/>
              </w:rPr>
              <w:t>Stockholder/Shareholder Lawsuits</w:t>
            </w:r>
          </w:p>
        </w:tc>
        <w:tc>
          <w:tcPr>
            <w:tcW w:w="121" w:type="dxa"/>
            <w:tcBorders/>
            <w:shd w:fill="auto" w:val="clear"/>
            <w:vAlign w:val="bottom"/>
          </w:tcPr>
          <w:p>
            <w:pPr>
              <w:pStyle w:val="TableContents"/>
              <w:spacing w:before="0" w:after="283"/>
              <w:rPr/>
            </w:pPr>
            <w:r>
              <w:rPr/>
              <w:t>  </w:t>
            </w:r>
          </w:p>
        </w:tc>
        <w:tc>
          <w:tcPr>
            <w:tcW w:w="3276" w:type="dxa"/>
            <w:tcBorders/>
            <w:shd w:fill="auto" w:val="clear"/>
          </w:tcPr>
          <w:p>
            <w:pPr>
              <w:pStyle w:val="TableContents"/>
              <w:spacing w:before="0" w:after="283"/>
              <w:rPr/>
            </w:pPr>
            <w:r>
              <w:rPr/>
              <w:t>A stockholder may bring a derivative suit subject to procedural requirements (including adopting Delaware as the exclusive forum as per the Advisory Organizational Documents Proposal 5B).</w:t>
            </w:r>
          </w:p>
        </w:tc>
        <w:tc>
          <w:tcPr>
            <w:tcW w:w="121" w:type="dxa"/>
            <w:tcBorders/>
            <w:shd w:fill="auto" w:val="clear"/>
            <w:vAlign w:val="bottom"/>
          </w:tcPr>
          <w:p>
            <w:pPr>
              <w:pStyle w:val="TableContents"/>
              <w:spacing w:before="0" w:after="283"/>
              <w:rPr/>
            </w:pPr>
            <w:r>
              <w:rPr/>
              <w:t>  </w:t>
            </w:r>
          </w:p>
        </w:tc>
        <w:tc>
          <w:tcPr>
            <w:tcW w:w="3185" w:type="dxa"/>
            <w:tcBorders/>
            <w:shd w:fill="auto" w:val="clear"/>
          </w:tcPr>
          <w:p>
            <w:pPr>
              <w:pStyle w:val="TableContents"/>
              <w:spacing w:before="0" w:after="283"/>
              <w:rPr/>
            </w:pPr>
            <w:r>
              <w:rPr/>
              <w:t>In the Cayman Islands, the decision to institute proceedings on behalf of a company is generally taken by the companys board of directors. A shareholder may be entitled to bring a derivative action on behalf of the company only in certain limited circumstances.</w:t>
            </w:r>
          </w:p>
        </w:tc>
      </w:tr>
      <w:tr>
        <w:trPr>
          <w:trHeight w:val="120" w:hRule="atLeast"/>
        </w:trPr>
        <w:tc>
          <w:tcPr>
            <w:tcW w:w="3502" w:type="dxa"/>
            <w:tcBorders/>
            <w:shd w:fill="auto" w:val="clear"/>
            <w:vAlign w:val="center"/>
          </w:tcPr>
          <w:p>
            <w:pPr>
              <w:pStyle w:val="TableContents"/>
              <w:spacing w:before="0" w:after="283"/>
              <w:rPr>
                <w:sz w:val="4"/>
                <w:szCs w:val="4"/>
              </w:rPr>
            </w:pPr>
            <w:r>
              <w:rPr>
                <w:sz w:val="4"/>
                <w:szCs w:val="4"/>
              </w:rPr>
            </w:r>
          </w:p>
        </w:tc>
        <w:tc>
          <w:tcPr>
            <w:tcW w:w="3397" w:type="dxa"/>
            <w:gridSpan w:val="2"/>
            <w:tcBorders/>
            <w:shd w:fill="auto" w:val="clear"/>
            <w:vAlign w:val="center"/>
          </w:tcPr>
          <w:p>
            <w:pPr>
              <w:pStyle w:val="TableContents"/>
              <w:spacing w:before="0" w:after="283"/>
              <w:rPr>
                <w:sz w:val="4"/>
                <w:szCs w:val="4"/>
              </w:rPr>
            </w:pPr>
            <w:r>
              <w:rPr>
                <w:sz w:val="4"/>
                <w:szCs w:val="4"/>
              </w:rPr>
            </w:r>
          </w:p>
        </w:tc>
        <w:tc>
          <w:tcPr>
            <w:tcW w:w="3306" w:type="dxa"/>
            <w:gridSpan w:val="2"/>
            <w:tcBorders/>
            <w:shd w:fill="auto" w:val="clear"/>
            <w:vAlign w:val="center"/>
          </w:tcPr>
          <w:p>
            <w:pPr>
              <w:pStyle w:val="TableContents"/>
              <w:spacing w:before="0" w:after="283"/>
              <w:rPr>
                <w:sz w:val="4"/>
                <w:szCs w:val="4"/>
              </w:rPr>
            </w:pPr>
            <w:r>
              <w:rPr>
                <w:sz w:val="4"/>
                <w:szCs w:val="4"/>
              </w:rPr>
            </w:r>
          </w:p>
        </w:tc>
      </w:tr>
      <w:tr>
        <w:trPr/>
        <w:tc>
          <w:tcPr>
            <w:tcW w:w="3502" w:type="dxa"/>
            <w:tcBorders/>
            <w:shd w:fill="auto" w:val="clear"/>
          </w:tcPr>
          <w:p>
            <w:pPr>
              <w:pStyle w:val="TableContents"/>
              <w:spacing w:before="0" w:after="283"/>
              <w:rPr/>
            </w:pPr>
            <w:r>
              <w:rPr>
                <w:i/>
              </w:rPr>
              <w:t>Removal of Directors</w:t>
            </w:r>
            <w:r>
              <w:rPr/>
              <w:t>;</w:t>
            </w:r>
          </w:p>
        </w:tc>
        <w:tc>
          <w:tcPr>
            <w:tcW w:w="121" w:type="dxa"/>
            <w:tcBorders/>
            <w:shd w:fill="auto" w:val="clear"/>
            <w:vAlign w:val="bottom"/>
          </w:tcPr>
          <w:p>
            <w:pPr>
              <w:pStyle w:val="TableContents"/>
              <w:spacing w:before="0" w:after="283"/>
              <w:rPr/>
            </w:pPr>
            <w:r>
              <w:rPr/>
              <w:t>  </w:t>
            </w:r>
          </w:p>
        </w:tc>
        <w:tc>
          <w:tcPr>
            <w:tcW w:w="3276" w:type="dxa"/>
            <w:tcBorders/>
            <w:shd w:fill="auto" w:val="clear"/>
          </w:tcPr>
          <w:p>
            <w:pPr>
              <w:pStyle w:val="TableContents"/>
              <w:spacing w:before="0" w:after="283"/>
              <w:rPr/>
            </w:pPr>
            <w:r>
              <w:rPr/>
              <w:t>Any director or the entire board may be removed, with or without cause, by the holders of a majority of the shares then entitled to vote at an election of directors, except as follows: (a) unless the certificate of incorporation otherwise provides, in the case of a corporation with a classified board, stockholders may effect such removal only for cause; or (b)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However, because the Company Board will be classified after the Closing, pursuant to the Proposed</w:t>
            </w:r>
          </w:p>
        </w:tc>
        <w:tc>
          <w:tcPr>
            <w:tcW w:w="121" w:type="dxa"/>
            <w:tcBorders/>
            <w:shd w:fill="auto" w:val="clear"/>
            <w:vAlign w:val="bottom"/>
          </w:tcPr>
          <w:p>
            <w:pPr>
              <w:pStyle w:val="TableContents"/>
              <w:spacing w:before="0" w:after="283"/>
              <w:rPr/>
            </w:pPr>
            <w:r>
              <w:rPr/>
              <w:t>  </w:t>
            </w:r>
          </w:p>
        </w:tc>
        <w:tc>
          <w:tcPr>
            <w:tcW w:w="3185" w:type="dxa"/>
            <w:tcBorders/>
            <w:shd w:fill="auto" w:val="clear"/>
          </w:tcPr>
          <w:p>
            <w:pPr>
              <w:pStyle w:val="TableContents"/>
              <w:spacing w:before="0" w:after="283"/>
              <w:rPr/>
            </w:pPr>
            <w:r>
              <w:rPr/>
              <w:t>A companys memorandum and articles of association may provide that a director may be removed for any or no reason and that, in addition to shareholders, boards may be granted the power to remove a 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553"/>
        <w:gridCol w:w="120"/>
        <w:gridCol w:w="3244"/>
        <w:gridCol w:w="120"/>
        <w:gridCol w:w="3168"/>
      </w:tblGrid>
      <w:tr>
        <w:trPr/>
        <w:tc>
          <w:tcPr>
            <w:tcW w:w="35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68" w:type="dxa"/>
            <w:tcBorders/>
            <w:shd w:fill="auto" w:val="clear"/>
            <w:vAlign w:val="center"/>
          </w:tcPr>
          <w:p>
            <w:pPr>
              <w:pStyle w:val="TableContents"/>
              <w:spacing w:before="0" w:after="283"/>
              <w:rPr>
                <w:sz w:val="4"/>
                <w:szCs w:val="4"/>
              </w:rPr>
            </w:pPr>
            <w:r>
              <w:rPr>
                <w:sz w:val="4"/>
                <w:szCs w:val="4"/>
              </w:rPr>
            </w:r>
          </w:p>
        </w:tc>
      </w:tr>
      <w:tr>
        <w:trPr/>
        <w:tc>
          <w:tcPr>
            <w:tcW w:w="355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Provision</w:t>
            </w:r>
          </w:p>
        </w:tc>
        <w:tc>
          <w:tcPr>
            <w:tcW w:w="120" w:type="dxa"/>
            <w:tcBorders/>
            <w:shd w:fill="auto" w:val="clear"/>
            <w:vAlign w:val="bottom"/>
          </w:tcPr>
          <w:p>
            <w:pPr>
              <w:pStyle w:val="TableContents"/>
              <w:spacing w:before="0" w:after="283"/>
              <w:rPr/>
            </w:pPr>
            <w:r>
              <w:rPr/>
              <w:t>  </w:t>
            </w:r>
          </w:p>
        </w:tc>
        <w:tc>
          <w:tcPr>
            <w:tcW w:w="324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c>
          <w:tcPr>
            <w:tcW w:w="120" w:type="dxa"/>
            <w:tcBorders/>
            <w:shd w:fill="auto" w:val="clear"/>
            <w:vAlign w:val="bottom"/>
          </w:tcPr>
          <w:p>
            <w:pPr>
              <w:pStyle w:val="TableContents"/>
              <w:spacing w:before="0" w:after="283"/>
              <w:rPr/>
            </w:pPr>
            <w:r>
              <w:rPr/>
              <w:t>  </w:t>
            </w:r>
          </w:p>
        </w:tc>
        <w:tc>
          <w:tcPr>
            <w:tcW w:w="316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Islands</w:t>
            </w:r>
          </w:p>
        </w:tc>
      </w:tr>
      <w:tr>
        <w:trPr/>
        <w:tc>
          <w:tcPr>
            <w:tcW w:w="355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Certificate of Incorporation, a director may be removed from office only for cause and only by the affirmative vote of at least 66 2/3% of the total voting power of the outstanding shares of capital stock of the corporation entitled to vote in any annual election of directors or class of directors, voting together as a single class.</w:t>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sz w:val="4"/>
                <w:szCs w:val="4"/>
              </w:rPr>
            </w:pPr>
            <w:r>
              <w:rPr>
                <w:sz w:val="4"/>
                <w:szCs w:val="4"/>
              </w:rPr>
            </w:r>
          </w:p>
        </w:tc>
      </w:tr>
      <w:tr>
        <w:trPr>
          <w:trHeight w:val="120" w:hRule="atLeast"/>
        </w:trPr>
        <w:tc>
          <w:tcPr>
            <w:tcW w:w="3553"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88" w:type="dxa"/>
            <w:gridSpan w:val="2"/>
            <w:tcBorders/>
            <w:shd w:fill="auto" w:val="clear"/>
            <w:vAlign w:val="center"/>
          </w:tcPr>
          <w:p>
            <w:pPr>
              <w:pStyle w:val="TableContents"/>
              <w:spacing w:before="0" w:after="283"/>
              <w:rPr>
                <w:sz w:val="4"/>
                <w:szCs w:val="4"/>
              </w:rPr>
            </w:pPr>
            <w:r>
              <w:rPr>
                <w:sz w:val="4"/>
                <w:szCs w:val="4"/>
              </w:rPr>
            </w:r>
          </w:p>
        </w:tc>
      </w:tr>
      <w:tr>
        <w:trPr/>
        <w:tc>
          <w:tcPr>
            <w:tcW w:w="3553" w:type="dxa"/>
            <w:tcBorders/>
            <w:shd w:fill="auto" w:val="clear"/>
          </w:tcPr>
          <w:p>
            <w:pPr>
              <w:pStyle w:val="TableContents"/>
              <w:spacing w:before="0" w:after="283"/>
              <w:rPr>
                <w:i/>
              </w:rPr>
            </w:pPr>
            <w:r>
              <w:rPr>
                <w:i/>
              </w:rPr>
              <w:t>Number of Directors</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The number of directors is fixed by the by-laws, unless the certificate of incorporation fixes the number of directors, in which case a change in the number of directors will be made only by amendment of the certificate of incorporation. The by-laws may provide that the board may increase the size of the board and fill any vacancies.</w:t>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pPr>
            <w:r>
              <w:rPr/>
              <w:t>Subject to the memorandum and articles of association, the board may increase the size of the board and fill any vacancies.</w:t>
            </w:r>
          </w:p>
        </w:tc>
      </w:tr>
      <w:tr>
        <w:trPr>
          <w:trHeight w:val="120" w:hRule="atLeast"/>
        </w:trPr>
        <w:tc>
          <w:tcPr>
            <w:tcW w:w="3553"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88" w:type="dxa"/>
            <w:gridSpan w:val="2"/>
            <w:tcBorders/>
            <w:shd w:fill="auto" w:val="clear"/>
            <w:vAlign w:val="center"/>
          </w:tcPr>
          <w:p>
            <w:pPr>
              <w:pStyle w:val="TableContents"/>
              <w:spacing w:before="0" w:after="283"/>
              <w:rPr>
                <w:sz w:val="4"/>
                <w:szCs w:val="4"/>
              </w:rPr>
            </w:pPr>
            <w:r>
              <w:rPr>
                <w:sz w:val="4"/>
                <w:szCs w:val="4"/>
              </w:rPr>
            </w:r>
          </w:p>
        </w:tc>
      </w:tr>
      <w:tr>
        <w:trPr/>
        <w:tc>
          <w:tcPr>
            <w:tcW w:w="3553" w:type="dxa"/>
            <w:tcBorders/>
            <w:shd w:fill="auto" w:val="clear"/>
          </w:tcPr>
          <w:p>
            <w:pPr>
              <w:pStyle w:val="TableContents"/>
              <w:spacing w:before="0" w:after="283"/>
              <w:rPr>
                <w:i/>
              </w:rPr>
            </w:pPr>
            <w:r>
              <w:rPr>
                <w:i/>
              </w:rPr>
              <w:t>Classified or Staggered Boards</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Classified boards are permitted.</w:t>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pPr>
            <w:r>
              <w:rPr/>
              <w:t>Classified boards are permitted.</w:t>
            </w:r>
          </w:p>
        </w:tc>
      </w:tr>
      <w:tr>
        <w:trPr>
          <w:trHeight w:val="120" w:hRule="atLeast"/>
        </w:trPr>
        <w:tc>
          <w:tcPr>
            <w:tcW w:w="3553"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88" w:type="dxa"/>
            <w:gridSpan w:val="2"/>
            <w:tcBorders/>
            <w:shd w:fill="auto" w:val="clear"/>
            <w:vAlign w:val="center"/>
          </w:tcPr>
          <w:p>
            <w:pPr>
              <w:pStyle w:val="TableContents"/>
              <w:spacing w:before="0" w:after="283"/>
              <w:rPr>
                <w:sz w:val="4"/>
                <w:szCs w:val="4"/>
              </w:rPr>
            </w:pPr>
            <w:r>
              <w:rPr>
                <w:sz w:val="4"/>
                <w:szCs w:val="4"/>
              </w:rPr>
            </w:r>
          </w:p>
        </w:tc>
      </w:tr>
      <w:tr>
        <w:trPr/>
        <w:tc>
          <w:tcPr>
            <w:tcW w:w="3553" w:type="dxa"/>
            <w:tcBorders/>
            <w:shd w:fill="auto" w:val="clear"/>
          </w:tcPr>
          <w:p>
            <w:pPr>
              <w:pStyle w:val="TableContents"/>
              <w:spacing w:before="0" w:after="283"/>
              <w:rPr>
                <w:i/>
              </w:rPr>
            </w:pPr>
            <w:r>
              <w:rPr>
                <w:i/>
              </w:rPr>
              <w:t>Fiduciary Duties of Directors</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Directors must exercise a duty of care and duty of loyalty and good faith to the company and its stockholders.</w:t>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pPr>
            <w:r>
              <w:rPr/>
              <w:t>A director owes fiduciary duties to a company, including to exercise loyalty, honesty and good faith to the company as a whole.</w:t>
            </w:r>
          </w:p>
        </w:tc>
      </w:tr>
      <w:tr>
        <w:trPr>
          <w:trHeight w:val="120" w:hRule="atLeast"/>
        </w:trPr>
        <w:tc>
          <w:tcPr>
            <w:tcW w:w="3553"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88" w:type="dxa"/>
            <w:gridSpan w:val="2"/>
            <w:tcBorders/>
            <w:shd w:fill="auto" w:val="clear"/>
            <w:vAlign w:val="center"/>
          </w:tcPr>
          <w:p>
            <w:pPr>
              <w:pStyle w:val="TableContents"/>
              <w:spacing w:before="0" w:after="283"/>
              <w:rPr>
                <w:sz w:val="4"/>
                <w:szCs w:val="4"/>
              </w:rPr>
            </w:pPr>
            <w:r>
              <w:rPr>
                <w:sz w:val="4"/>
                <w:szCs w:val="4"/>
              </w:rPr>
            </w:r>
          </w:p>
        </w:tc>
      </w:tr>
      <w:tr>
        <w:trPr/>
        <w:tc>
          <w:tcPr>
            <w:tcW w:w="355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pPr>
            <w:r>
              <w:rPr/>
              <w:t>In addition to fiduciary duties, directors owe a duty of care, diligence and skill.</w:t>
            </w:r>
          </w:p>
        </w:tc>
      </w:tr>
      <w:tr>
        <w:trPr>
          <w:trHeight w:val="120" w:hRule="atLeast"/>
        </w:trPr>
        <w:tc>
          <w:tcPr>
            <w:tcW w:w="3553"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88" w:type="dxa"/>
            <w:gridSpan w:val="2"/>
            <w:tcBorders/>
            <w:shd w:fill="auto" w:val="clear"/>
            <w:vAlign w:val="center"/>
          </w:tcPr>
          <w:p>
            <w:pPr>
              <w:pStyle w:val="TableContents"/>
              <w:spacing w:before="0" w:after="283"/>
              <w:rPr>
                <w:sz w:val="4"/>
                <w:szCs w:val="4"/>
              </w:rPr>
            </w:pPr>
            <w:r>
              <w:rPr>
                <w:sz w:val="4"/>
                <w:szCs w:val="4"/>
              </w:rPr>
            </w:r>
          </w:p>
        </w:tc>
      </w:tr>
      <w:tr>
        <w:trPr/>
        <w:tc>
          <w:tcPr>
            <w:tcW w:w="355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pPr>
            <w:r>
              <w:rPr/>
              <w:t>Such duties are owed to the company, but may be owed directly to creditors or shareholders in certain limited circumstances.</w:t>
            </w:r>
          </w:p>
        </w:tc>
      </w:tr>
      <w:tr>
        <w:trPr>
          <w:trHeight w:val="120" w:hRule="atLeast"/>
        </w:trPr>
        <w:tc>
          <w:tcPr>
            <w:tcW w:w="3553"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88" w:type="dxa"/>
            <w:gridSpan w:val="2"/>
            <w:tcBorders/>
            <w:shd w:fill="auto" w:val="clear"/>
            <w:vAlign w:val="center"/>
          </w:tcPr>
          <w:p>
            <w:pPr>
              <w:pStyle w:val="TableContents"/>
              <w:spacing w:before="0" w:after="283"/>
              <w:rPr>
                <w:sz w:val="4"/>
                <w:szCs w:val="4"/>
              </w:rPr>
            </w:pPr>
            <w:r>
              <w:rPr>
                <w:sz w:val="4"/>
                <w:szCs w:val="4"/>
              </w:rPr>
            </w:r>
          </w:p>
        </w:tc>
      </w:tr>
      <w:tr>
        <w:trPr/>
        <w:tc>
          <w:tcPr>
            <w:tcW w:w="3553" w:type="dxa"/>
            <w:tcBorders/>
            <w:shd w:fill="auto" w:val="clear"/>
          </w:tcPr>
          <w:p>
            <w:pPr>
              <w:pStyle w:val="TableContents"/>
              <w:spacing w:before="0" w:after="283"/>
              <w:rPr>
                <w:i/>
              </w:rPr>
            </w:pPr>
            <w:r>
              <w:rPr>
                <w:i/>
              </w:rPr>
              <w:t>Indemnification of Directors and Officers</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A corporation is generally permitted to indemnify any person who was or is a party to any proceeding because such person is or was a director, officer, employee or agent of the corporation, or is or was serving at the request of the corporation as a director, officer, employee or agent of another entity against expenses, judgments, fines and amounts paid in settlement actually and reasonably incurred if the person acted in good faith and in a manner reasonably believed to be in or not opposed to the best interests of the corporation, and, with respect to any criminal</w:t>
            </w:r>
          </w:p>
        </w:tc>
        <w:tc>
          <w:tcPr>
            <w:tcW w:w="120"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283"/>
              <w:rPr/>
            </w:pPr>
            <w:r>
              <w:rPr/>
              <w:t>A Cayman Islands exempted company generally may indemnify its directors or officers, except with regard to fraud or willful default.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507"/>
        <w:gridCol w:w="120"/>
        <w:gridCol w:w="3344"/>
        <w:gridCol w:w="120"/>
        <w:gridCol w:w="3114"/>
      </w:tblGrid>
      <w:tr>
        <w:trPr/>
        <w:tc>
          <w:tcPr>
            <w:tcW w:w="35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14" w:type="dxa"/>
            <w:tcBorders/>
            <w:shd w:fill="auto" w:val="clear"/>
            <w:vAlign w:val="center"/>
          </w:tcPr>
          <w:p>
            <w:pPr>
              <w:pStyle w:val="TableContents"/>
              <w:spacing w:before="0" w:after="283"/>
              <w:rPr>
                <w:sz w:val="4"/>
                <w:szCs w:val="4"/>
              </w:rPr>
            </w:pPr>
            <w:r>
              <w:rPr>
                <w:sz w:val="4"/>
                <w:szCs w:val="4"/>
              </w:rPr>
            </w:r>
          </w:p>
        </w:tc>
      </w:tr>
      <w:tr>
        <w:trPr/>
        <w:tc>
          <w:tcPr>
            <w:tcW w:w="350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Provision</w:t>
            </w:r>
          </w:p>
        </w:tc>
        <w:tc>
          <w:tcPr>
            <w:tcW w:w="120" w:type="dxa"/>
            <w:tcBorders/>
            <w:shd w:fill="auto" w:val="clear"/>
            <w:vAlign w:val="bottom"/>
          </w:tcPr>
          <w:p>
            <w:pPr>
              <w:pStyle w:val="TableContents"/>
              <w:spacing w:before="0" w:after="283"/>
              <w:rPr/>
            </w:pPr>
            <w:r>
              <w:rPr/>
              <w:t>  </w:t>
            </w:r>
          </w:p>
        </w:tc>
        <w:tc>
          <w:tcPr>
            <w:tcW w:w="334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c>
          <w:tcPr>
            <w:tcW w:w="120" w:type="dxa"/>
            <w:tcBorders/>
            <w:shd w:fill="auto" w:val="clear"/>
            <w:vAlign w:val="bottom"/>
          </w:tcPr>
          <w:p>
            <w:pPr>
              <w:pStyle w:val="TableContents"/>
              <w:spacing w:before="0" w:after="283"/>
              <w:rPr/>
            </w:pPr>
            <w:r>
              <w:rPr/>
              <w:t>  </w:t>
            </w:r>
          </w:p>
        </w:tc>
        <w:tc>
          <w:tcPr>
            <w:tcW w:w="311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Islands</w:t>
            </w:r>
          </w:p>
        </w:tc>
      </w:tr>
      <w:tr>
        <w:trPr/>
        <w:tc>
          <w:tcPr>
            <w:tcW w:w="350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44" w:type="dxa"/>
            <w:tcBorders/>
            <w:shd w:fill="auto" w:val="clear"/>
          </w:tcPr>
          <w:p>
            <w:pPr>
              <w:pStyle w:val="TableContents"/>
              <w:spacing w:before="0" w:after="283"/>
              <w:rPr/>
            </w:pPr>
            <w:r>
              <w:rPr/>
              <w:t>proceeding, had no reasonable cause to believe their conduct was unlawful. If the action was brought by or on behalf of the corporation, no indemnification is made when a person is adjudged liable to the corporation unless a court determines such person is fairly and reasonably entitled to indemnity for expenses the court deems proper.</w:t>
            </w:r>
          </w:p>
        </w:tc>
        <w:tc>
          <w:tcPr>
            <w:tcW w:w="120" w:type="dxa"/>
            <w:tcBorders/>
            <w:shd w:fill="auto" w:val="clear"/>
            <w:vAlign w:val="bottom"/>
          </w:tcPr>
          <w:p>
            <w:pPr>
              <w:pStyle w:val="TableContents"/>
              <w:spacing w:before="0" w:after="283"/>
              <w:rPr/>
            </w:pPr>
            <w:r>
              <w:rPr/>
              <w:t>  </w:t>
            </w:r>
          </w:p>
        </w:tc>
        <w:tc>
          <w:tcPr>
            <w:tcW w:w="3114" w:type="dxa"/>
            <w:tcBorders/>
            <w:shd w:fill="auto" w:val="clear"/>
          </w:tcPr>
          <w:p>
            <w:pPr>
              <w:pStyle w:val="TableContents"/>
              <w:spacing w:before="0" w:after="283"/>
              <w:rPr>
                <w:sz w:val="4"/>
                <w:szCs w:val="4"/>
              </w:rPr>
            </w:pPr>
            <w:r>
              <w:rPr>
                <w:sz w:val="4"/>
                <w:szCs w:val="4"/>
              </w:rPr>
            </w:r>
          </w:p>
        </w:tc>
      </w:tr>
      <w:tr>
        <w:trPr>
          <w:trHeight w:val="120" w:hRule="atLeast"/>
        </w:trPr>
        <w:tc>
          <w:tcPr>
            <w:tcW w:w="3507" w:type="dxa"/>
            <w:tcBorders/>
            <w:shd w:fill="auto" w:val="clear"/>
            <w:vAlign w:val="center"/>
          </w:tcPr>
          <w:p>
            <w:pPr>
              <w:pStyle w:val="TableContents"/>
              <w:spacing w:before="0" w:after="283"/>
              <w:rPr>
                <w:sz w:val="4"/>
                <w:szCs w:val="4"/>
              </w:rPr>
            </w:pPr>
            <w:r>
              <w:rPr>
                <w:sz w:val="4"/>
                <w:szCs w:val="4"/>
              </w:rPr>
            </w:r>
          </w:p>
        </w:tc>
        <w:tc>
          <w:tcPr>
            <w:tcW w:w="3464" w:type="dxa"/>
            <w:gridSpan w:val="2"/>
            <w:tcBorders/>
            <w:shd w:fill="auto" w:val="clear"/>
            <w:vAlign w:val="center"/>
          </w:tcPr>
          <w:p>
            <w:pPr>
              <w:pStyle w:val="TableContents"/>
              <w:spacing w:before="0" w:after="283"/>
              <w:rPr>
                <w:sz w:val="4"/>
                <w:szCs w:val="4"/>
              </w:rPr>
            </w:pPr>
            <w:r>
              <w:rPr>
                <w:sz w:val="4"/>
                <w:szCs w:val="4"/>
              </w:rPr>
            </w:r>
          </w:p>
        </w:tc>
        <w:tc>
          <w:tcPr>
            <w:tcW w:w="3234" w:type="dxa"/>
            <w:gridSpan w:val="2"/>
            <w:tcBorders/>
            <w:shd w:fill="auto" w:val="clear"/>
            <w:vAlign w:val="center"/>
          </w:tcPr>
          <w:p>
            <w:pPr>
              <w:pStyle w:val="TableContents"/>
              <w:spacing w:before="0" w:after="283"/>
              <w:rPr>
                <w:sz w:val="4"/>
                <w:szCs w:val="4"/>
              </w:rPr>
            </w:pPr>
            <w:r>
              <w:rPr>
                <w:sz w:val="4"/>
                <w:szCs w:val="4"/>
              </w:rPr>
            </w:r>
          </w:p>
        </w:tc>
      </w:tr>
      <w:tr>
        <w:trPr/>
        <w:tc>
          <w:tcPr>
            <w:tcW w:w="3507" w:type="dxa"/>
            <w:tcBorders/>
            <w:shd w:fill="auto" w:val="clear"/>
          </w:tcPr>
          <w:p>
            <w:pPr>
              <w:pStyle w:val="TableContents"/>
              <w:spacing w:before="0" w:after="283"/>
              <w:rPr>
                <w:i/>
              </w:rPr>
            </w:pPr>
            <w:r>
              <w:rPr>
                <w:i/>
              </w:rPr>
              <w:t>Limited Liability of Directors</w:t>
            </w:r>
          </w:p>
        </w:tc>
        <w:tc>
          <w:tcPr>
            <w:tcW w:w="120" w:type="dxa"/>
            <w:tcBorders/>
            <w:shd w:fill="auto" w:val="clear"/>
            <w:vAlign w:val="bottom"/>
          </w:tcPr>
          <w:p>
            <w:pPr>
              <w:pStyle w:val="TableContents"/>
              <w:spacing w:before="0" w:after="283"/>
              <w:rPr/>
            </w:pPr>
            <w:r>
              <w:rPr/>
              <w:t>  </w:t>
            </w:r>
          </w:p>
        </w:tc>
        <w:tc>
          <w:tcPr>
            <w:tcW w:w="3344" w:type="dxa"/>
            <w:tcBorders/>
            <w:shd w:fill="auto" w:val="clear"/>
          </w:tcPr>
          <w:p>
            <w:pPr>
              <w:pStyle w:val="TableContents"/>
              <w:spacing w:before="0" w:after="283"/>
              <w:rPr/>
            </w:pPr>
            <w:r>
              <w:rPr/>
              <w:t>Permits the limiting or eliminating of the monetary liability of a director to a corporation or its stockholders, except with regard to breaches of duty of loyalty, intentional misconduct, unlawful stock repurchases or dividends, or improper personal benefit.</w:t>
            </w:r>
          </w:p>
        </w:tc>
        <w:tc>
          <w:tcPr>
            <w:tcW w:w="120" w:type="dxa"/>
            <w:tcBorders/>
            <w:shd w:fill="auto" w:val="clear"/>
            <w:vAlign w:val="bottom"/>
          </w:tcPr>
          <w:p>
            <w:pPr>
              <w:pStyle w:val="TableContents"/>
              <w:spacing w:before="0" w:after="283"/>
              <w:rPr/>
            </w:pPr>
            <w:r>
              <w:rPr/>
              <w:t>  </w:t>
            </w:r>
          </w:p>
        </w:tc>
        <w:tc>
          <w:tcPr>
            <w:tcW w:w="3114" w:type="dxa"/>
            <w:tcBorders/>
            <w:shd w:fill="auto" w:val="clear"/>
          </w:tcPr>
          <w:p>
            <w:pPr>
              <w:pStyle w:val="TableContents"/>
              <w:spacing w:before="0" w:after="283"/>
              <w:rPr/>
            </w:pPr>
            <w:r>
              <w:rPr/>
              <w:t>Liability of directors may be limited, except with regard to their own fraud or willful default.</w:t>
            </w:r>
          </w:p>
        </w:tc>
      </w:tr>
    </w:tbl>
    <w:p>
      <w:pPr>
        <w:pStyle w:val="TextBody"/>
        <w:spacing w:before="360" w:after="0"/>
        <w:jc w:val="left"/>
        <w:rPr>
          <w:rFonts w:ascii="Times New Roman" w:hAnsi="Times New Roman"/>
          <w:b/>
          <w:sz w:val="20"/>
        </w:rPr>
      </w:pPr>
      <w:r>
        <w:rPr>
          <w:rFonts w:ascii="Times New Roman" w:hAnsi="Times New Roman"/>
          <w:b/>
          <w:sz w:val="20"/>
        </w:rPr>
        <w:t xml:space="preserve">Accounting Treatment of the Domestication </w:t>
      </w:r>
    </w:p>
    <w:p>
      <w:pPr>
        <w:pStyle w:val="TextBody"/>
        <w:spacing w:before="120" w:after="0"/>
        <w:jc w:val="left"/>
        <w:rPr>
          <w:rFonts w:ascii="Times New Roman" w:hAnsi="Times New Roman"/>
          <w:sz w:val="20"/>
        </w:rPr>
      </w:pPr>
      <w:r>
        <w:rPr>
          <w:rFonts w:ascii="Times New Roman" w:hAnsi="Times New Roman"/>
          <w:sz w:val="20"/>
        </w:rPr>
        <w:t xml:space="preserve">The Domestication is being proposed solely for the purpose of changing the legal domicile of VIH. There will be no accounting effect or change in the carrying amount of the assets and liabilities of VIH as a result of the Domestication. The business, capitalization, assets and liabilities and financial statements of VIH immediately following the Domestication will be the same as those immediately prior to the Domestication.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Domestication Proposal requires a special resolution under the Companies Act, being the affirmative vote of holders of a majority of at least two-thirds of the VIH Shares who, being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 Abstentions and broker non-votes, while considered present for the purposes of establishing a quorum, will not count as votes cast at the extraordinary general meeting and otherwise will have no effect on a particular proposal. </w:t>
      </w:r>
    </w:p>
    <w:p>
      <w:pPr>
        <w:pStyle w:val="TextBody"/>
        <w:spacing w:before="240" w:after="0"/>
        <w:jc w:val="left"/>
        <w:rPr>
          <w:rFonts w:ascii="Times New Roman" w:hAnsi="Times New Roman"/>
          <w:sz w:val="20"/>
        </w:rPr>
      </w:pPr>
      <w:r>
        <w:rPr>
          <w:rFonts w:ascii="Times New Roman" w:hAnsi="Times New Roman"/>
          <w:sz w:val="20"/>
        </w:rPr>
        <w:t xml:space="preserve">The Domestication Proposal is conditioned on the approval of each of the Condition Precedent Proposals. Therefore, if each of the Condition Precedent Proposals is not approved, the Domestication Proposal will have no effect, even if approved by holders of VIH Shares.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that the Company be de-registered in the Cayman Islands pursuant to Article 49 of the Amended and Restated Articles of Association of the Company (as amended) and be registered by way of continuation as a corporation in the State of Delaware and conditional upon, and with effect from, the registration of the Company in the State of Delaware as a corporation with the laws of the State of Delaware, the name of the Company be changed to Bakkt Holdings, Inc.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sz w:val="20"/>
        </w:rPr>
      </w:pPr>
      <w:r>
        <w:rPr>
          <w:rFonts w:ascii="Times New Roman" w:hAnsi="Times New Roman"/>
          <w:b/>
          <w:sz w:val="20"/>
        </w:rPr>
        <w:t xml:space="preserve">THE VIH BOARD UNANIMOUSLY RECOMMENDS THAT VIH SHAREHOLDERS VOTE FOR THE APPROVAL OF THE DOMESTICATION PROPOSAL. </w:t>
      </w:r>
    </w:p>
    <w:p>
      <w:pPr>
        <w:pStyle w:val="TextBody"/>
        <w:spacing w:before="12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of these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2" w:name="toc108105_13"/>
      <w:bookmarkEnd w:id="62"/>
      <w:r>
        <w:rPr>
          <w:rFonts w:ascii="Times New Roman" w:hAnsi="Times New Roman"/>
          <w:b/>
          <w:sz w:val="20"/>
        </w:rPr>
        <w:t xml:space="preserve">THE STOCK ISSUANCE PROPOSAL </w:t>
      </w:r>
    </w:p>
    <w:p>
      <w:pPr>
        <w:pStyle w:val="TextBody"/>
        <w:spacing w:before="12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Assuming the Business Combination Proposal, the Domestication Proposal, the Bakkt Pubco Equity Incentive Plan Proposal are approved, VIHs shareholders are also being asked to approve, by ordinary resolution, the Stock Issuance Proposal. </w:t>
      </w:r>
    </w:p>
    <w:p>
      <w:pPr>
        <w:pStyle w:val="TextBody"/>
        <w:spacing w:before="360" w:after="0"/>
        <w:jc w:val="left"/>
        <w:rPr>
          <w:rFonts w:ascii="Times New Roman" w:hAnsi="Times New Roman"/>
          <w:b/>
          <w:sz w:val="20"/>
        </w:rPr>
      </w:pPr>
      <w:r>
        <w:rPr>
          <w:rFonts w:ascii="Times New Roman" w:hAnsi="Times New Roman"/>
          <w:b/>
          <w:sz w:val="20"/>
        </w:rPr>
        <w:t xml:space="preserve">Why VIH Needs Shareholder Approval </w:t>
      </w:r>
    </w:p>
    <w:p>
      <w:pPr>
        <w:pStyle w:val="TextBody"/>
        <w:spacing w:before="120" w:after="0"/>
        <w:jc w:val="left"/>
        <w:rPr>
          <w:rFonts w:ascii="Times New Roman" w:hAnsi="Times New Roman"/>
          <w:sz w:val="20"/>
        </w:rPr>
      </w:pPr>
      <w:r>
        <w:rPr>
          <w:rFonts w:ascii="Times New Roman" w:hAnsi="Times New Roman"/>
          <w:sz w:val="20"/>
        </w:rPr>
        <w:t xml:space="preserve">We are seeking shareholder approval of the issuance of VIH Class A Ordinary Shares in the PIPE Investment in order to comply with Nasdaq Listing Rule 5635(d). </w:t>
      </w:r>
    </w:p>
    <w:p>
      <w:pPr>
        <w:pStyle w:val="TextBody"/>
        <w:spacing w:before="240" w:after="0"/>
        <w:jc w:val="left"/>
        <w:rPr>
          <w:rFonts w:ascii="Times New Roman" w:hAnsi="Times New Roman"/>
          <w:sz w:val="20"/>
        </w:rPr>
      </w:pPr>
      <w:r>
        <w:rPr>
          <w:rFonts w:ascii="Times New Roman" w:hAnsi="Times New Roman"/>
          <w:sz w:val="20"/>
        </w:rPr>
        <w:t xml:space="preserve">Under Nasdaq Listing Rule 5635(d), shareholder approval is required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 </w:t>
      </w:r>
    </w:p>
    <w:p>
      <w:pPr>
        <w:pStyle w:val="TextBody"/>
        <w:spacing w:before="240" w:after="0"/>
        <w:jc w:val="left"/>
        <w:rPr>
          <w:rFonts w:ascii="Times New Roman" w:hAnsi="Times New Roman"/>
          <w:sz w:val="20"/>
        </w:rPr>
      </w:pPr>
      <w:r>
        <w:rPr>
          <w:rFonts w:ascii="Times New Roman" w:hAnsi="Times New Roman"/>
          <w:sz w:val="20"/>
        </w:rPr>
        <w:t xml:space="preserve">Accordingly, the aggregate number of Bakkt Pubco Class A Shares that the Company will issue in connection with the Proposed Transaction and the PIPE Investment will exceed 20% of both the voting power and the shares of Bakkt Pubco Common Stock outstanding before such issuance and may result in a change of control of the registrant under Nasdaq Listing Rule 5635(d), and for these reasons, VIH is seeking the approval of VIH shareholders for the issuance of shares of Bakkt Pubco Common Stock in connection with the Proposed Transaction and the PIPE Investment.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Stock Issuance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w:t>
      </w:r>
    </w:p>
    <w:p>
      <w:pPr>
        <w:pStyle w:val="TextBody"/>
        <w:spacing w:before="240" w:after="0"/>
        <w:jc w:val="left"/>
        <w:rPr>
          <w:rFonts w:ascii="Times New Roman" w:hAnsi="Times New Roman"/>
          <w:sz w:val="20"/>
        </w:rPr>
      </w:pPr>
      <w:r>
        <w:rPr>
          <w:rFonts w:ascii="Times New Roman" w:hAnsi="Times New Roman"/>
          <w:sz w:val="20"/>
        </w:rPr>
        <w:t xml:space="preserve">The Stock Issuance Proposal is conditioned on the approval of each of the Condition Precedent Proposals. Therefore, if each of the Condition Precedent Proposals is not approved, the Stock Issuance Proposal will have no effect, even if approved by holders of VIH Shares.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for the purposes of complying with the applicable provisions of Nasdaq Listing Rule 5635(d), the issuance of shares of Bakkt Pubco Common Stock pursuant to the Merger Agreement and the PIPE Investment, including to Bakkt Equity Holders and the PIPE Investors, be approved in all respects.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sz w:val="20"/>
        </w:rPr>
      </w:pPr>
      <w:r>
        <w:rPr>
          <w:rFonts w:ascii="Times New Roman" w:hAnsi="Times New Roman"/>
          <w:b/>
          <w:sz w:val="20"/>
        </w:rPr>
        <w:t xml:space="preserve">THE VIH BOARD UNANIMOUSLY RECOMMENDS THAT VIH SHAREHOLDERS VOTE FOR THE APPROVAL OF THE STOCK ISSUANCE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of these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3" w:name="toc108105_14"/>
      <w:bookmarkEnd w:id="63"/>
      <w:r>
        <w:rPr>
          <w:rFonts w:ascii="Times New Roman" w:hAnsi="Times New Roman"/>
          <w:b/>
          <w:sz w:val="20"/>
        </w:rPr>
        <w:t xml:space="preserve">THE ORGANIZATIONAL DOCUMENTS PROPOSAL </w:t>
      </w:r>
    </w:p>
    <w:p>
      <w:pPr>
        <w:pStyle w:val="TextBody"/>
        <w:spacing w:before="12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If the Domestication Proposal is approved and the Business Combination is consummated, VIH will replace the current amended and restated memorandum of association of VIH (as may be amended from time to time) under the Companies Act (the </w:t>
      </w:r>
      <w:r>
        <w:rPr>
          <w:rFonts w:ascii="Times New Roman" w:hAnsi="Times New Roman"/>
          <w:b/>
          <w:sz w:val="20"/>
        </w:rPr>
        <w:t>Existing Memorandum</w:t>
      </w:r>
      <w:r>
        <w:rPr>
          <w:rFonts w:ascii="Times New Roman" w:hAnsi="Times New Roman"/>
          <w:sz w:val="20"/>
        </w:rPr>
        <w:t>) and the current amended and restated articles of association of VIH (as may be amended from time to time) (the </w:t>
      </w:r>
      <w:r>
        <w:rPr>
          <w:rFonts w:ascii="Times New Roman" w:hAnsi="Times New Roman"/>
          <w:b/>
          <w:sz w:val="20"/>
        </w:rPr>
        <w:t>Existing Articles</w:t>
      </w:r>
      <w:r>
        <w:rPr>
          <w:rFonts w:ascii="Times New Roman" w:hAnsi="Times New Roman"/>
          <w:sz w:val="20"/>
        </w:rPr>
        <w:t> and, together with the Existing Memorandum, the </w:t>
      </w:r>
      <w:r>
        <w:rPr>
          <w:rFonts w:ascii="Times New Roman" w:hAnsi="Times New Roman"/>
          <w:b/>
          <w:sz w:val="20"/>
        </w:rPr>
        <w:t>Cayman Constitutional Documents</w:t>
      </w:r>
      <w:r>
        <w:rPr>
          <w:rFonts w:ascii="Times New Roman" w:hAnsi="Times New Roman"/>
          <w:sz w:val="20"/>
        </w:rPr>
        <w:t>), in each case, under the Companies Act, with a proposed new certificate of incorporation (the </w:t>
      </w:r>
      <w:r>
        <w:rPr>
          <w:rFonts w:ascii="Times New Roman" w:hAnsi="Times New Roman"/>
          <w:b/>
          <w:sz w:val="20"/>
        </w:rPr>
        <w:t>Proposed Certificate of Incorporation</w:t>
      </w:r>
      <w:r>
        <w:rPr>
          <w:rFonts w:ascii="Times New Roman" w:hAnsi="Times New Roman"/>
          <w:sz w:val="20"/>
        </w:rPr>
        <w:t>) and proposed new by-laws (the </w:t>
      </w:r>
      <w:r>
        <w:rPr>
          <w:rFonts w:ascii="Times New Roman" w:hAnsi="Times New Roman"/>
          <w:b/>
          <w:sz w:val="20"/>
        </w:rPr>
        <w:t>Proposed By-Laws</w:t>
      </w:r>
      <w:r>
        <w:rPr>
          <w:rFonts w:ascii="Times New Roman" w:hAnsi="Times New Roman"/>
          <w:sz w:val="20"/>
        </w:rPr>
        <w:t> and, together with the Proposed Certificate of Incorporation, the </w:t>
      </w:r>
      <w:r>
        <w:rPr>
          <w:rFonts w:ascii="Times New Roman" w:hAnsi="Times New Roman"/>
          <w:b/>
          <w:sz w:val="20"/>
        </w:rPr>
        <w:t>Proposed Organizational Documents</w:t>
      </w:r>
      <w:r>
        <w:rPr>
          <w:rFonts w:ascii="Times New Roman" w:hAnsi="Times New Roman"/>
          <w:sz w:val="20"/>
        </w:rPr>
        <w:t xml:space="preserve">) of Bakkt Pubco in each case, pursuant to the DGCL. </w:t>
      </w:r>
    </w:p>
    <w:p>
      <w:pPr>
        <w:pStyle w:val="TextBody"/>
        <w:spacing w:before="240" w:after="0"/>
        <w:jc w:val="left"/>
        <w:rPr>
          <w:rFonts w:ascii="Times New Roman" w:hAnsi="Times New Roman"/>
          <w:sz w:val="20"/>
        </w:rPr>
      </w:pPr>
      <w:r>
        <w:rPr>
          <w:rFonts w:ascii="Times New Roman" w:hAnsi="Times New Roman"/>
          <w:sz w:val="20"/>
        </w:rPr>
        <w:t>VIHs shareholders are asked to consider and vote upon and to adopt the Proposed Organizational Documents (collectively, the </w:t>
      </w:r>
      <w:r>
        <w:rPr>
          <w:rFonts w:ascii="Times New Roman" w:hAnsi="Times New Roman"/>
          <w:b/>
          <w:sz w:val="20"/>
        </w:rPr>
        <w:t>Organizational Documents Proposal</w:t>
      </w:r>
      <w:r>
        <w:rPr>
          <w:rFonts w:ascii="Times New Roman" w:hAnsi="Times New Roman"/>
          <w:sz w:val="20"/>
        </w:rPr>
        <w:t xml:space="preserve">) in connection with the replacement of the Cayman Constitutional Documents. The Organizational Documents Proposal is conditioned on the approval of the Domestication Proposal, and, therefore, also conditioned on approval of the Business Combination Proposal. Therefore, if the Business Combination Proposal and the Domestication Proposal are not approved, the Organizational Documents Proposal will have no effect, even if approved by holders of VIH Shares. </w:t>
      </w:r>
    </w:p>
    <w:p>
      <w:pPr>
        <w:pStyle w:val="TextBody"/>
        <w:spacing w:before="360" w:after="0"/>
        <w:jc w:val="left"/>
        <w:rPr>
          <w:rFonts w:ascii="Times New Roman" w:hAnsi="Times New Roman"/>
          <w:b/>
          <w:sz w:val="20"/>
        </w:rPr>
      </w:pPr>
      <w:r>
        <w:rPr>
          <w:rFonts w:ascii="Times New Roman" w:hAnsi="Times New Roman"/>
          <w:b/>
          <w:sz w:val="20"/>
        </w:rPr>
        <w:t xml:space="preserve">Reasons for the Amendments </w:t>
      </w:r>
    </w:p>
    <w:p>
      <w:pPr>
        <w:pStyle w:val="TextBody"/>
        <w:spacing w:before="120" w:after="0"/>
        <w:jc w:val="left"/>
        <w:rPr>
          <w:rFonts w:ascii="Times New Roman" w:hAnsi="Times New Roman"/>
          <w:sz w:val="20"/>
        </w:rPr>
      </w:pPr>
      <w:r>
        <w:rPr>
          <w:rFonts w:ascii="Times New Roman" w:hAnsi="Times New Roman"/>
          <w:sz w:val="20"/>
        </w:rPr>
        <w:t xml:space="preserve">The VIH Boards reasons for proposing the Proposed Organizational Documents are set forth below. The following is a summary of the key changes effected by the Proposed Organizational Documents, but this summary is qualified in its entirety by reference to the full text of the Proposed Certificate of Incorporation, a copy of which is included as </w:t>
      </w:r>
      <w:r>
        <w:rPr>
          <w:rFonts w:ascii="Times New Roman" w:hAnsi="Times New Roman"/>
          <w:i/>
          <w:sz w:val="20"/>
          <w:u w:val="single"/>
        </w:rPr>
        <w:t>Annex B-1</w:t>
      </w:r>
      <w:r>
        <w:rPr>
          <w:rFonts w:ascii="Times New Roman" w:hAnsi="Times New Roman"/>
          <w:sz w:val="20"/>
        </w:rPr>
        <w:t xml:space="preserve">, and by reference to the full text of the Proposed By-Laws, a copy of which is included as </w:t>
      </w:r>
      <w:r>
        <w:rPr>
          <w:rFonts w:ascii="Times New Roman" w:hAnsi="Times New Roman"/>
          <w:i/>
          <w:sz w:val="20"/>
          <w:u w:val="single"/>
        </w:rPr>
        <w:t>Annex B-2</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change the corporate name from VPC Impact Acquisition Holdings to Bakkt Holdings,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increase the total number of shares of our capital stock from (a) 200,000,000 VIH Class A Ordinary Shares, 20,000,000 VIH Class B Ordinary Shares and 1,000,000 preference shares, par value $0.0001 per share, of VIH to (b) 1,000,000,000 shares of Bakkt Pubco Common Stock, which consists of (A) 750,000,000 Bakkt Pubco Class A Shares, and (B) 250,000,000 Bakkt Pubco Class V Shares, and 1,000,000 shares of Bakkt Pubco Preferred Stock;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authorize all other changes in connection with the replacement of the Cayman Constitutional Documents with the Proposed Certificate of Incorporation and Proposed By-Laws in connection with the consummation of the Business Combination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respectively). </w:t>
            </w:r>
          </w:p>
        </w:tc>
      </w:tr>
    </w:tbl>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resolutions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that the Cayman Constitutional Documents currently in effect be amended and restated by the deletion in their entirety and the substitution in their place of the Proposed Certificate of Incorporation and Proposed By-Laws (copies of which are attached to the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respectively), with such principal changes as described in the Advisory Organizational Documents Proposals A through G.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Organizational Documents Proposal requires a special resolution under the Companies Act, being the affirmative vote of the holders of a majority of at least two-thirds of the VIH Shares who, being present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entitled to vote at the extraordinary general meeting, vote at the extraordinary general meeting. Abstentions and broker non-votes, while considered present for the purposes of establishing a quorum, will not count as a vote cast at the extraordinary general meeting and otherwise will have no effect on a particular proposal. </w:t>
      </w:r>
    </w:p>
    <w:p>
      <w:pPr>
        <w:pStyle w:val="TextBody"/>
        <w:spacing w:before="240" w:after="0"/>
        <w:jc w:val="left"/>
        <w:rPr>
          <w:rFonts w:ascii="Times New Roman" w:hAnsi="Times New Roman"/>
          <w:sz w:val="20"/>
        </w:rPr>
      </w:pPr>
      <w:r>
        <w:rPr>
          <w:rFonts w:ascii="Times New Roman" w:hAnsi="Times New Roman"/>
          <w:sz w:val="20"/>
        </w:rPr>
        <w:t xml:space="preserve">The Organizational Documents Proposal is conditioned on the approval of each of the Condition Precedent Proposals. Therefore, if each of the Condition Precedent Proposals is not approved, the Organizational Documents Proposal will have no effect, even if approved by holders of VIH Shares.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sz w:val="20"/>
        </w:rPr>
      </w:pPr>
      <w:r>
        <w:rPr>
          <w:rFonts w:ascii="Times New Roman" w:hAnsi="Times New Roman"/>
          <w:sz w:val="20"/>
        </w:rPr>
        <w:t xml:space="preserve">THE VIH BOARD UNANIMOUSLY RECOMMENDS THAT VIH SHAREHOLDERS VOTE FOR THE APPROVAL OF THE ORGANIZATIONAL DOCUMENTS PROPOSAL. </w:t>
      </w:r>
    </w:p>
    <w:p>
      <w:pPr>
        <w:pStyle w:val="TextBody"/>
        <w:spacing w:before="24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4" w:name="toc108105_15"/>
      <w:bookmarkEnd w:id="64"/>
      <w:r>
        <w:rPr>
          <w:rFonts w:ascii="Times New Roman" w:hAnsi="Times New Roman"/>
          <w:b/>
          <w:sz w:val="20"/>
        </w:rPr>
        <w:t xml:space="preserve">THE ADVISORY ORGANIZATIONAL DOCUMENTS PROPOSALS </w:t>
      </w:r>
    </w:p>
    <w:p>
      <w:pPr>
        <w:pStyle w:val="TextBody"/>
        <w:spacing w:before="240" w:after="0"/>
        <w:jc w:val="left"/>
        <w:rPr>
          <w:rFonts w:ascii="Times New Roman" w:hAnsi="Times New Roman"/>
          <w:sz w:val="20"/>
        </w:rPr>
      </w:pPr>
      <w:r>
        <w:rPr>
          <w:rFonts w:ascii="Times New Roman" w:hAnsi="Times New Roman"/>
          <w:sz w:val="20"/>
        </w:rPr>
        <w:t xml:space="preserve">If the Domestication Proposal is approved and the Business Combination is consummated, VIH will replace the Cayman Constitutional Documents, under the Companies Act, with the Proposed Organizational Documents of Bakkt Pubco, under the DGCL. </w:t>
      </w:r>
    </w:p>
    <w:p>
      <w:pPr>
        <w:pStyle w:val="TextBody"/>
        <w:spacing w:before="240" w:after="0"/>
        <w:jc w:val="left"/>
        <w:rPr>
          <w:rFonts w:ascii="Times New Roman" w:hAnsi="Times New Roman"/>
          <w:sz w:val="20"/>
        </w:rPr>
      </w:pPr>
      <w:r>
        <w:rPr>
          <w:rFonts w:ascii="Times New Roman" w:hAnsi="Times New Roman"/>
          <w:sz w:val="20"/>
        </w:rPr>
        <w:t>VIHs shareholders are asked to consider and vote upon and to approve on a non-binding advisory basis by special resolution seven separate proposals (collectively, the </w:t>
      </w:r>
      <w:r>
        <w:rPr>
          <w:rFonts w:ascii="Times New Roman" w:hAnsi="Times New Roman"/>
          <w:b/>
          <w:sz w:val="20"/>
        </w:rPr>
        <w:t>Advisory Organizational Documents Proposals</w:t>
      </w:r>
      <w:r>
        <w:rPr>
          <w:rFonts w:ascii="Times New Roman" w:hAnsi="Times New Roman"/>
          <w:sz w:val="20"/>
        </w:rPr>
        <w:t xml:space="preserve">) in connection with the replacement of the Cayman Constitutional Documents with the Proposed Organizational Documents. These seven proposals are being presented separately to give shareholders the opportunity to present their separate views on important corporate governance provisions and will be voted upon on a non-binding advisory basis. </w:t>
      </w:r>
    </w:p>
    <w:p>
      <w:pPr>
        <w:pStyle w:val="TextBody"/>
        <w:spacing w:before="240" w:after="0"/>
        <w:jc w:val="left"/>
        <w:rPr>
          <w:rFonts w:ascii="Times New Roman" w:hAnsi="Times New Roman"/>
          <w:sz w:val="20"/>
        </w:rPr>
      </w:pPr>
      <w:r>
        <w:rPr>
          <w:rFonts w:ascii="Times New Roman" w:hAnsi="Times New Roman"/>
          <w:sz w:val="20"/>
        </w:rPr>
        <w:t xml:space="preserve">The Proposed Organizational Documents differ materially from the Cayman Constitutional Documents. The following table sets forth a summary of the principal changes proposed between the Cayman Constitutional Documents and the Proposed Organizational Documents. This summary is qualified by reference to the complete text of the Cayman Constitutional Documents of VIH, the complete text of the Proposed Certificate of Incorporation, a copy of which is attached to this proxy statement/prospectus as </w:t>
      </w:r>
      <w:r>
        <w:rPr>
          <w:rFonts w:ascii="Times New Roman" w:hAnsi="Times New Roman"/>
          <w:i/>
          <w:sz w:val="20"/>
          <w:u w:val="single"/>
        </w:rPr>
        <w:t>Annex B-1</w:t>
      </w:r>
      <w:r>
        <w:rPr>
          <w:rFonts w:ascii="Times New Roman" w:hAnsi="Times New Roman"/>
          <w:sz w:val="20"/>
        </w:rPr>
        <w:t xml:space="preserve"> and the complete text of the Proposed By-Laws, a copy of which is attached to this proxy statement/prospectus as </w:t>
      </w:r>
      <w:r>
        <w:rPr>
          <w:rFonts w:ascii="Times New Roman" w:hAnsi="Times New Roman"/>
          <w:i/>
          <w:sz w:val="20"/>
          <w:u w:val="single"/>
        </w:rPr>
        <w:t>Annex B-2</w:t>
      </w:r>
      <w:r>
        <w:rPr>
          <w:rFonts w:ascii="Times New Roman" w:hAnsi="Times New Roman"/>
          <w:sz w:val="20"/>
        </w:rPr>
        <w:t>. All shareholders are encouraged to read the Proposed Organizational Documents in their entirety for a more complete description of their terms. Additionally, as the Cayman Constitutional Documents are governed by the Companies Act and the Proposed Organizational Documents will be governed by the DGCL, VIH encourages shareholders to carefully consult the information set out under the section entitled </w:t>
      </w:r>
      <w:r>
        <w:rPr>
          <w:rFonts w:ascii="Times New Roman" w:hAnsi="Times New Roman"/>
          <w:i/>
          <w:sz w:val="20"/>
        </w:rPr>
        <w:t>The Business Combination Proposal  Comparison of Shareholder Rights Under Applicable Corporate Law Before and After Domestication</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37"/>
        <w:gridCol w:w="203"/>
        <w:gridCol w:w="3981"/>
        <w:gridCol w:w="203"/>
        <w:gridCol w:w="3981"/>
      </w:tblGrid>
      <w:tr>
        <w:trPr/>
        <w:tc>
          <w:tcPr>
            <w:tcW w:w="18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98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981"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98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Constitutional Documents</w:t>
            </w:r>
          </w:p>
        </w:tc>
        <w:tc>
          <w:tcPr>
            <w:tcW w:w="203" w:type="dxa"/>
            <w:tcBorders/>
            <w:shd w:fill="auto" w:val="clear"/>
            <w:vAlign w:val="bottom"/>
          </w:tcPr>
          <w:p>
            <w:pPr>
              <w:pStyle w:val="TableContents"/>
              <w:spacing w:before="0" w:after="283"/>
              <w:rPr/>
            </w:pPr>
            <w:r>
              <w:rPr/>
              <w:t>  </w:t>
            </w:r>
          </w:p>
        </w:tc>
        <w:tc>
          <w:tcPr>
            <w:tcW w:w="398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Proposed Organizational Documents</w:t>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Authorized Shares</w:t>
            </w:r>
          </w:p>
          <w:p>
            <w:pPr>
              <w:pStyle w:val="TableContents"/>
              <w:spacing w:before="0" w:after="20"/>
              <w:rPr>
                <w:rFonts w:ascii="Times New Roman" w:hAnsi="Times New Roman"/>
                <w:i/>
                <w:sz w:val="20"/>
              </w:rPr>
            </w:pPr>
            <w:r>
              <w:rPr>
                <w:rFonts w:ascii="Times New Roman" w:hAnsi="Times New Roman"/>
                <w:i/>
                <w:sz w:val="20"/>
              </w:rPr>
              <w:t>(Advisory Organizational Documents Proposal 5A)</w:t>
            </w:r>
          </w:p>
        </w:tc>
        <w:tc>
          <w:tcPr>
            <w:tcW w:w="203" w:type="dxa"/>
            <w:tcBorders/>
            <w:shd w:fill="auto" w:val="clear"/>
            <w:vAlign w:val="bottom"/>
          </w:tcPr>
          <w:p>
            <w:pPr>
              <w:pStyle w:val="TableContents"/>
              <w:spacing w:before="0" w:after="283"/>
              <w:rPr/>
            </w:pPr>
            <w:r>
              <w:rPr/>
              <w:t>  </w:t>
            </w:r>
          </w:p>
        </w:tc>
        <w:tc>
          <w:tcPr>
            <w:tcW w:w="3981" w:type="dxa"/>
            <w:tcBorders/>
            <w:shd w:fill="auto" w:val="clear"/>
          </w:tcPr>
          <w:p>
            <w:pPr>
              <w:pStyle w:val="TableContents"/>
              <w:spacing w:before="0" w:after="0"/>
              <w:rPr>
                <w:rFonts w:ascii="Times New Roman" w:hAnsi="Times New Roman"/>
                <w:sz w:val="20"/>
              </w:rPr>
            </w:pPr>
            <w:r>
              <w:rPr>
                <w:rFonts w:ascii="Times New Roman" w:hAnsi="Times New Roman"/>
                <w:sz w:val="20"/>
              </w:rPr>
              <w:t>The Cayman Constitutional Documents authorize 221,000,000 VIH shares, consisting of 200,000,000 VIH Class A Ordinary Shares, 20,000,000 Class B Ordinary Shares and 1,000,000 VIH preference shares.</w:t>
            </w:r>
          </w:p>
          <w:p>
            <w:pPr>
              <w:pStyle w:val="TableContents"/>
              <w:spacing w:before="0" w:after="20"/>
              <w:rPr>
                <w:rFonts w:ascii="Times New Roman" w:hAnsi="Times New Roman"/>
                <w:i/>
                <w:sz w:val="20"/>
              </w:rPr>
            </w:pPr>
            <w:r>
              <w:rPr>
                <w:rFonts w:ascii="Times New Roman" w:hAnsi="Times New Roman"/>
                <w:i/>
                <w:sz w:val="20"/>
              </w:rPr>
              <w:t>See paragraph 5 of the Existing Memorandum.</w:t>
            </w:r>
          </w:p>
        </w:tc>
        <w:tc>
          <w:tcPr>
            <w:tcW w:w="203" w:type="dxa"/>
            <w:tcBorders/>
            <w:shd w:fill="auto" w:val="clear"/>
            <w:vAlign w:val="bottom"/>
          </w:tcPr>
          <w:p>
            <w:pPr>
              <w:pStyle w:val="TableContents"/>
              <w:spacing w:before="0" w:after="283"/>
              <w:rPr/>
            </w:pPr>
            <w:r>
              <w:rPr/>
              <w:t>  </w:t>
            </w:r>
          </w:p>
        </w:tc>
        <w:tc>
          <w:tcPr>
            <w:tcW w:w="398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The Proposed Organizational Documents authorize 1,001,000,000 shares, consisting of 1,000,000,000 shares of Bakkt Pubco Common Stock (consisting further of (a) 750,000,000 Bakkt Pubco Class A Shares, and (b) 250,000,000 Bakkt Pubco Class V Shares) and 1,000,000 shares of Bakkt Pubco Preferred Stock.</w:t>
            </w:r>
          </w:p>
          <w:p>
            <w:pPr>
              <w:pStyle w:val="TableContents"/>
              <w:spacing w:before="0" w:after="20"/>
              <w:rPr>
                <w:rFonts w:ascii="Times New Roman" w:hAnsi="Times New Roman"/>
                <w:i/>
                <w:sz w:val="20"/>
              </w:rPr>
            </w:pPr>
            <w:r>
              <w:rPr>
                <w:rFonts w:ascii="Times New Roman" w:hAnsi="Times New Roman"/>
                <w:i/>
                <w:sz w:val="20"/>
              </w:rPr>
              <w:t>See Article IV of the Proposed Certificate of Incorporation.</w:t>
            </w:r>
          </w:p>
        </w:tc>
      </w:tr>
      <w:tr>
        <w:trPr>
          <w:trHeight w:val="120" w:hRule="atLeast"/>
        </w:trPr>
        <w:tc>
          <w:tcPr>
            <w:tcW w:w="1837" w:type="dxa"/>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Exclusive Forum Provision</w:t>
            </w:r>
          </w:p>
          <w:p>
            <w:pPr>
              <w:pStyle w:val="TableContents"/>
              <w:spacing w:before="0" w:after="20"/>
              <w:rPr>
                <w:rFonts w:ascii="Times New Roman" w:hAnsi="Times New Roman"/>
                <w:i/>
                <w:sz w:val="20"/>
              </w:rPr>
            </w:pPr>
            <w:r>
              <w:rPr>
                <w:rFonts w:ascii="Times New Roman" w:hAnsi="Times New Roman"/>
                <w:i/>
                <w:sz w:val="20"/>
              </w:rPr>
              <w:t>(Advisory Organizational Documents Proposal 5B)</w:t>
            </w:r>
          </w:p>
        </w:tc>
        <w:tc>
          <w:tcPr>
            <w:tcW w:w="203" w:type="dxa"/>
            <w:tcBorders/>
            <w:shd w:fill="auto" w:val="clear"/>
            <w:vAlign w:val="bottom"/>
          </w:tcPr>
          <w:p>
            <w:pPr>
              <w:pStyle w:val="TableContents"/>
              <w:spacing w:before="0" w:after="283"/>
              <w:rPr/>
            </w:pPr>
            <w:r>
              <w:rPr/>
              <w:t>  </w:t>
            </w:r>
          </w:p>
        </w:tc>
        <w:tc>
          <w:tcPr>
            <w:tcW w:w="3981" w:type="dxa"/>
            <w:tcBorders/>
            <w:shd w:fill="auto" w:val="clear"/>
          </w:tcPr>
          <w:p>
            <w:pPr>
              <w:pStyle w:val="TableContents"/>
              <w:spacing w:before="0" w:after="283"/>
              <w:rPr/>
            </w:pPr>
            <w:r>
              <w:rPr/>
              <w:t>The Cayman Constitutional Documents do not contain a provision adopting an exclusive forum for certain shareholder litigation.</w:t>
            </w:r>
          </w:p>
        </w:tc>
        <w:tc>
          <w:tcPr>
            <w:tcW w:w="203" w:type="dxa"/>
            <w:tcBorders/>
            <w:shd w:fill="auto" w:val="clear"/>
            <w:vAlign w:val="bottom"/>
          </w:tcPr>
          <w:p>
            <w:pPr>
              <w:pStyle w:val="TableContents"/>
              <w:spacing w:before="0" w:after="283"/>
              <w:rPr/>
            </w:pPr>
            <w:r>
              <w:rPr/>
              <w:t>  </w:t>
            </w:r>
          </w:p>
        </w:tc>
        <w:tc>
          <w:tcPr>
            <w:tcW w:w="398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The Proposed Organizational Documents adopt (a) Delaware as the exclusive forum for certain stockholder litigation and (b) the federal district courts of the United States of America as the exclusive forum for the resolution of any complaint asserting a cause of action arising under the Securities Act.</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These provisions will not address or apply to claims that arise under the Exchange Act; however, Section 27 of the Exchange Act creates exclusive federal jurisdiction over all suits brought to enforce any duty or liability created by the Exchange Act or the rules and regulations thereunder.</w:t>
            </w:r>
          </w:p>
          <w:p>
            <w:pPr>
              <w:pStyle w:val="TableContents"/>
              <w:spacing w:before="0" w:after="20"/>
              <w:rPr>
                <w:rFonts w:ascii="Times New Roman" w:hAnsi="Times New Roman"/>
                <w:i/>
                <w:sz w:val="20"/>
              </w:rPr>
            </w:pPr>
            <w:r>
              <w:rPr>
                <w:rFonts w:ascii="Times New Roman" w:hAnsi="Times New Roman"/>
                <w:i/>
                <w:sz w:val="20"/>
              </w:rPr>
              <w:t>See Article XII of the Proposed Certificate of Incorporation</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837"/>
        <w:gridCol w:w="202"/>
        <w:gridCol w:w="3982"/>
        <w:gridCol w:w="202"/>
        <w:gridCol w:w="3982"/>
      </w:tblGrid>
      <w:tr>
        <w:trPr/>
        <w:tc>
          <w:tcPr>
            <w:tcW w:w="183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398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3982"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9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Constitutional Documents</w:t>
            </w:r>
          </w:p>
        </w:tc>
        <w:tc>
          <w:tcPr>
            <w:tcW w:w="202" w:type="dxa"/>
            <w:tcBorders/>
            <w:shd w:fill="auto" w:val="clear"/>
            <w:vAlign w:val="bottom"/>
          </w:tcPr>
          <w:p>
            <w:pPr>
              <w:pStyle w:val="TableContents"/>
              <w:spacing w:before="0" w:after="283"/>
              <w:rPr/>
            </w:pPr>
            <w:r>
              <w:rPr/>
              <w:t>  </w:t>
            </w:r>
          </w:p>
        </w:tc>
        <w:tc>
          <w:tcPr>
            <w:tcW w:w="39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Proposed Organizational Documents</w:t>
            </w:r>
          </w:p>
        </w:tc>
      </w:tr>
      <w:tr>
        <w:trPr>
          <w:trHeight w:val="120" w:hRule="atLeast"/>
        </w:trPr>
        <w:tc>
          <w:tcPr>
            <w:tcW w:w="1837" w:type="dxa"/>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Takeovers by Interested Stockholders</w:t>
            </w:r>
          </w:p>
          <w:p>
            <w:pPr>
              <w:pStyle w:val="TableContents"/>
              <w:spacing w:before="0" w:after="20"/>
              <w:rPr>
                <w:rFonts w:ascii="Times New Roman" w:hAnsi="Times New Roman"/>
                <w:i/>
                <w:sz w:val="20"/>
              </w:rPr>
            </w:pPr>
            <w:r>
              <w:rPr>
                <w:rFonts w:ascii="Times New Roman" w:hAnsi="Times New Roman"/>
                <w:i/>
                <w:sz w:val="20"/>
              </w:rPr>
              <w:t>(Advisory Organizational Documents Proposal 5C)</w:t>
            </w:r>
          </w:p>
        </w:tc>
        <w:tc>
          <w:tcPr>
            <w:tcW w:w="202"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283"/>
              <w:rPr/>
            </w:pPr>
            <w:r>
              <w:rPr/>
              <w:t>The Cayman Constitutional Documents do not provide restrictions on takeovers of VIH by a related shareholder following a business combination.</w:t>
            </w:r>
          </w:p>
        </w:tc>
        <w:tc>
          <w:tcPr>
            <w:tcW w:w="202"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The Proposed Organizational Documents will have Bakkt Pubco elect not to be governed by Section 203 of the DGCL relating to takeovers by interested stockholders, but will provide other similar restrictions regarding takeovers by interested stockholders.</w:t>
            </w:r>
          </w:p>
          <w:p>
            <w:pPr>
              <w:pStyle w:val="TableContents"/>
              <w:spacing w:before="0" w:after="20"/>
              <w:rPr>
                <w:rFonts w:ascii="Times New Roman" w:hAnsi="Times New Roman"/>
                <w:i/>
                <w:sz w:val="20"/>
              </w:rPr>
            </w:pPr>
            <w:r>
              <w:rPr>
                <w:rFonts w:ascii="Times New Roman" w:hAnsi="Times New Roman"/>
                <w:i/>
                <w:sz w:val="20"/>
              </w:rPr>
              <w:t>See Article IX of the Proposed Certificate of Incorporation.</w:t>
            </w:r>
          </w:p>
        </w:tc>
      </w:tr>
      <w:tr>
        <w:trPr>
          <w:trHeight w:val="120" w:hRule="atLeast"/>
        </w:trPr>
        <w:tc>
          <w:tcPr>
            <w:tcW w:w="1837" w:type="dxa"/>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Adoption of Supermajority Vote Requirement to Amend the Proposed Organizational Documents</w:t>
            </w:r>
          </w:p>
          <w:p>
            <w:pPr>
              <w:pStyle w:val="TableContents"/>
              <w:spacing w:before="0" w:after="20"/>
              <w:rPr>
                <w:rFonts w:ascii="Times New Roman" w:hAnsi="Times New Roman"/>
                <w:i/>
                <w:sz w:val="20"/>
              </w:rPr>
            </w:pPr>
            <w:r>
              <w:rPr>
                <w:rFonts w:ascii="Times New Roman" w:hAnsi="Times New Roman"/>
                <w:i/>
                <w:sz w:val="20"/>
              </w:rPr>
              <w:t>(Advisory Organizational Documents Proposal 5D)</w:t>
            </w:r>
          </w:p>
        </w:tc>
        <w:tc>
          <w:tcPr>
            <w:tcW w:w="202"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rPr>
                <w:rFonts w:ascii="Times New Roman" w:hAnsi="Times New Roman"/>
                <w:sz w:val="20"/>
              </w:rPr>
            </w:pPr>
            <w:r>
              <w:rPr>
                <w:rFonts w:ascii="Times New Roman" w:hAnsi="Times New Roman"/>
                <w:sz w:val="20"/>
              </w:rPr>
              <w:t>The Cayman Constitutional Documents provide that amendments may be made by a special resolution under Cayman Islands law, being the affirmative vote of holders of a majority of at least two-thirds of the VIH Shares represented in person or by proxy and entitled to vote at a general meeting and who vote at a general meeting.</w:t>
            </w:r>
          </w:p>
          <w:p>
            <w:pPr>
              <w:pStyle w:val="TableContents"/>
              <w:spacing w:before="0" w:after="20"/>
              <w:rPr>
                <w:rFonts w:ascii="Times New Roman" w:hAnsi="Times New Roman"/>
                <w:i/>
                <w:sz w:val="20"/>
              </w:rPr>
            </w:pPr>
            <w:r>
              <w:rPr>
                <w:rFonts w:ascii="Times New Roman" w:hAnsi="Times New Roman"/>
                <w:i/>
                <w:sz w:val="20"/>
              </w:rPr>
              <w:t>See Article 18 of the Cayman Constitutional Documents.</w:t>
            </w:r>
          </w:p>
        </w:tc>
        <w:tc>
          <w:tcPr>
            <w:tcW w:w="202"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The Proposed Certificate of Incorporation requires the affirmative vote of at least 66 2/3 % of the voting power of the outstanding shares to amend, alter, repeal or rescind Article V, Article VI, Article VII, Article VIII, Article IX, Article X, Article XII and Article XIII of the Proposed Certificate of Incorporation. For amendments to other provisions of the Proposed Certificate of Incorporation, the DGCL requires the affirmative vote of a majority of the outstanding shares entitled to vote thereon.</w:t>
            </w:r>
          </w:p>
          <w:p>
            <w:pPr>
              <w:pStyle w:val="TableContents"/>
              <w:spacing w:before="0" w:after="0"/>
              <w:rPr>
                <w:rFonts w:ascii="Times New Roman" w:hAnsi="Times New Roman"/>
                <w:i/>
                <w:sz w:val="20"/>
              </w:rPr>
            </w:pPr>
            <w:r>
              <w:rPr>
                <w:rFonts w:ascii="Times New Roman" w:hAnsi="Times New Roman"/>
                <w:i/>
                <w:sz w:val="20"/>
              </w:rPr>
              <w:t>See Article XIII of the Proposed Certificate of Incorporation.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Proposed Certificate of Incorporation permits the Company Board to amend, alter, repeal or rescind the Proposed By-Laws without the consent or vote of the stockholders of the Company.</w:t>
            </w:r>
          </w:p>
          <w:p>
            <w:pPr>
              <w:pStyle w:val="TableContents"/>
              <w:spacing w:before="0" w:after="20"/>
              <w:rPr>
                <w:rFonts w:ascii="Times New Roman" w:hAnsi="Times New Roman"/>
                <w:i/>
                <w:sz w:val="20"/>
              </w:rPr>
            </w:pPr>
            <w:r>
              <w:rPr>
                <w:rFonts w:ascii="Times New Roman" w:hAnsi="Times New Roman"/>
                <w:i/>
                <w:sz w:val="20"/>
              </w:rPr>
              <w:t>See Article V of the Proposed Certificate of Incorporation.</w:t>
            </w:r>
          </w:p>
        </w:tc>
      </w:tr>
      <w:tr>
        <w:trPr>
          <w:trHeight w:val="120" w:hRule="atLeast"/>
        </w:trPr>
        <w:tc>
          <w:tcPr>
            <w:tcW w:w="1837" w:type="dxa"/>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Removal of Directors</w:t>
            </w:r>
          </w:p>
          <w:p>
            <w:pPr>
              <w:pStyle w:val="TableContents"/>
              <w:spacing w:before="0" w:after="20"/>
              <w:rPr>
                <w:rFonts w:ascii="Times New Roman" w:hAnsi="Times New Roman"/>
                <w:i/>
                <w:sz w:val="20"/>
              </w:rPr>
            </w:pPr>
            <w:r>
              <w:rPr>
                <w:rFonts w:ascii="Times New Roman" w:hAnsi="Times New Roman"/>
                <w:i/>
                <w:sz w:val="20"/>
              </w:rPr>
              <w:t>(Advisory Organizational Documents Proposal 5E)</w:t>
            </w:r>
          </w:p>
        </w:tc>
        <w:tc>
          <w:tcPr>
            <w:tcW w:w="202"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rPr>
                <w:rFonts w:ascii="Times New Roman" w:hAnsi="Times New Roman"/>
                <w:sz w:val="20"/>
              </w:rPr>
            </w:pPr>
            <w:r>
              <w:rPr>
                <w:rFonts w:ascii="Times New Roman" w:hAnsi="Times New Roman"/>
                <w:sz w:val="20"/>
              </w:rPr>
              <w:t>The Cayman Constitutional Documents provide that prior to the closing of an initial business combination, holders of VIH Class B Ordinary Shares may remove any director, and that after the closing of an initial business combination, shareholders may by an ordinary resolution remove any director.</w:t>
            </w:r>
          </w:p>
          <w:p>
            <w:pPr>
              <w:pStyle w:val="TableContents"/>
              <w:spacing w:before="0" w:after="20"/>
              <w:rPr>
                <w:rFonts w:ascii="Times New Roman" w:hAnsi="Times New Roman"/>
                <w:i/>
                <w:sz w:val="20"/>
              </w:rPr>
            </w:pPr>
            <w:r>
              <w:rPr>
                <w:rFonts w:ascii="Times New Roman" w:hAnsi="Times New Roman"/>
                <w:i/>
                <w:sz w:val="20"/>
              </w:rPr>
              <w:t>See Article 31 of the Cayman Constitutional Documents.</w:t>
            </w:r>
          </w:p>
        </w:tc>
        <w:tc>
          <w:tcPr>
            <w:tcW w:w="202"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rPr>
                <w:rFonts w:ascii="Times New Roman" w:hAnsi="Times New Roman"/>
                <w:sz w:val="20"/>
              </w:rPr>
            </w:pPr>
            <w:r>
              <w:rPr>
                <w:rFonts w:ascii="Times New Roman" w:hAnsi="Times New Roman"/>
                <w:sz w:val="20"/>
              </w:rPr>
              <w:t>The Proposed Organizational Documents permit the removal of a director only for cause and only by the affirmative vote of the holders of at least 66 2/3% of the total voting power of all then-outstanding shares of the Company.</w:t>
            </w:r>
          </w:p>
          <w:p>
            <w:pPr>
              <w:pStyle w:val="TableContents"/>
              <w:spacing w:before="0" w:after="20"/>
              <w:rPr>
                <w:rFonts w:ascii="Times New Roman" w:hAnsi="Times New Roman"/>
                <w:i/>
                <w:sz w:val="20"/>
              </w:rPr>
            </w:pPr>
            <w:r>
              <w:rPr>
                <w:rFonts w:ascii="Times New Roman" w:hAnsi="Times New Roman"/>
                <w:i/>
                <w:sz w:val="20"/>
              </w:rPr>
              <w:t>See Article VI, subsection (C) of the Proposed Certificate of Incorporation.</w:t>
            </w:r>
          </w:p>
        </w:tc>
      </w:tr>
      <w:tr>
        <w:trPr>
          <w:trHeight w:val="120" w:hRule="atLeast"/>
        </w:trPr>
        <w:tc>
          <w:tcPr>
            <w:tcW w:w="1837" w:type="dxa"/>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Action by Written Consent of Stockholders</w:t>
            </w:r>
          </w:p>
          <w:p>
            <w:pPr>
              <w:pStyle w:val="TableContents"/>
              <w:spacing w:before="0" w:after="20"/>
              <w:rPr>
                <w:rFonts w:ascii="Times New Roman" w:hAnsi="Times New Roman"/>
                <w:i/>
                <w:sz w:val="20"/>
              </w:rPr>
            </w:pPr>
            <w:r>
              <w:rPr>
                <w:rFonts w:ascii="Times New Roman" w:hAnsi="Times New Roman"/>
                <w:i/>
                <w:sz w:val="20"/>
              </w:rPr>
              <w:t>(Advisory Organizational Documents Proposal 5F)</w:t>
            </w:r>
          </w:p>
        </w:tc>
        <w:tc>
          <w:tcPr>
            <w:tcW w:w="202"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rPr>
                <w:rFonts w:ascii="Times New Roman" w:hAnsi="Times New Roman"/>
                <w:sz w:val="20"/>
              </w:rPr>
            </w:pPr>
            <w:r>
              <w:rPr>
                <w:rFonts w:ascii="Times New Roman" w:hAnsi="Times New Roman"/>
                <w:sz w:val="20"/>
              </w:rPr>
              <w:t>The Cayman Constitutional Documents permit shareholders to approve matters by unanimous written resolution of all of the shareholders entitled to receive notice of and to attend and vote at general meetings.</w:t>
            </w:r>
          </w:p>
          <w:p>
            <w:pPr>
              <w:pStyle w:val="TableContents"/>
              <w:spacing w:before="0" w:after="20"/>
              <w:rPr>
                <w:rFonts w:ascii="Times New Roman" w:hAnsi="Times New Roman"/>
                <w:i/>
                <w:sz w:val="20"/>
              </w:rPr>
            </w:pPr>
            <w:r>
              <w:rPr>
                <w:rFonts w:ascii="Times New Roman" w:hAnsi="Times New Roman"/>
                <w:i/>
                <w:sz w:val="20"/>
              </w:rPr>
              <w:t>See Article 23.3 of the Cayman Constitutional Documents.</w:t>
            </w:r>
          </w:p>
        </w:tc>
        <w:tc>
          <w:tcPr>
            <w:tcW w:w="202"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283"/>
              <w:rPr/>
            </w:pPr>
            <w:r>
              <w:rPr/>
              <w:t>The Proposed Organizational Documents require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837"/>
        <w:gridCol w:w="203"/>
        <w:gridCol w:w="3981"/>
        <w:gridCol w:w="203"/>
        <w:gridCol w:w="3981"/>
      </w:tblGrid>
      <w:tr>
        <w:trPr/>
        <w:tc>
          <w:tcPr>
            <w:tcW w:w="18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98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981"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98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Cayman Constitutional Documents</w:t>
            </w:r>
          </w:p>
        </w:tc>
        <w:tc>
          <w:tcPr>
            <w:tcW w:w="203" w:type="dxa"/>
            <w:tcBorders/>
            <w:shd w:fill="auto" w:val="clear"/>
            <w:vAlign w:val="bottom"/>
          </w:tcPr>
          <w:p>
            <w:pPr>
              <w:pStyle w:val="TableContents"/>
              <w:spacing w:before="0" w:after="283"/>
              <w:rPr/>
            </w:pPr>
            <w:r>
              <w:rPr/>
              <w:t>  </w:t>
            </w:r>
          </w:p>
        </w:tc>
        <w:tc>
          <w:tcPr>
            <w:tcW w:w="398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Proposed Organizational Documents</w:t>
            </w:r>
          </w:p>
        </w:tc>
      </w:tr>
      <w:tr>
        <w:trPr/>
        <w:tc>
          <w:tcPr>
            <w:tcW w:w="183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398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3981" w:type="dxa"/>
            <w:tcBorders/>
            <w:shd w:fill="auto" w:val="clear"/>
          </w:tcPr>
          <w:p>
            <w:pPr>
              <w:pStyle w:val="TableContents"/>
              <w:spacing w:before="0" w:after="0"/>
              <w:rPr>
                <w:rFonts w:ascii="Times New Roman" w:hAnsi="Times New Roman"/>
                <w:sz w:val="20"/>
              </w:rPr>
            </w:pPr>
            <w:r>
              <w:rPr>
                <w:rFonts w:ascii="Times New Roman" w:hAnsi="Times New Roman"/>
                <w:sz w:val="20"/>
              </w:rPr>
              <w:t>all shares entitled to vote thereon were present and voted in compliance with the DGCL.</w:t>
            </w:r>
          </w:p>
          <w:p>
            <w:pPr>
              <w:pStyle w:val="TableContents"/>
              <w:spacing w:before="0" w:after="20"/>
              <w:rPr>
                <w:rFonts w:ascii="Times New Roman" w:hAnsi="Times New Roman"/>
                <w:i/>
                <w:sz w:val="20"/>
              </w:rPr>
            </w:pPr>
            <w:r>
              <w:rPr>
                <w:rFonts w:ascii="Times New Roman" w:hAnsi="Times New Roman"/>
                <w:i/>
                <w:sz w:val="20"/>
              </w:rPr>
              <w:t>See Section 7.1 of the Proposed Certificate of Incorporation and Section 2.9 of the Proposed By-Laws.</w:t>
            </w:r>
          </w:p>
        </w:tc>
      </w:tr>
      <w:tr>
        <w:trPr>
          <w:trHeight w:val="120" w:hRule="atLeast"/>
        </w:trPr>
        <w:tc>
          <w:tcPr>
            <w:tcW w:w="1837" w:type="dxa"/>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c>
          <w:tcPr>
            <w:tcW w:w="4184"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Changes In Connection With Adoption of the Proposed Organizational Documents</w:t>
            </w:r>
          </w:p>
          <w:p>
            <w:pPr>
              <w:pStyle w:val="TableContents"/>
              <w:spacing w:before="0" w:after="20"/>
              <w:rPr>
                <w:rFonts w:ascii="Times New Roman" w:hAnsi="Times New Roman"/>
                <w:i/>
                <w:sz w:val="20"/>
              </w:rPr>
            </w:pPr>
            <w:r>
              <w:rPr>
                <w:rFonts w:ascii="Times New Roman" w:hAnsi="Times New Roman"/>
                <w:i/>
                <w:sz w:val="20"/>
              </w:rPr>
              <w:t>(Advisory Organizational Documents Proposal 5G)</w:t>
            </w:r>
          </w:p>
        </w:tc>
        <w:tc>
          <w:tcPr>
            <w:tcW w:w="203" w:type="dxa"/>
            <w:tcBorders/>
            <w:shd w:fill="auto" w:val="clear"/>
            <w:vAlign w:val="bottom"/>
          </w:tcPr>
          <w:p>
            <w:pPr>
              <w:pStyle w:val="TableContents"/>
              <w:spacing w:before="0" w:after="283"/>
              <w:rPr/>
            </w:pPr>
            <w:r>
              <w:rPr/>
              <w:t>  </w:t>
            </w:r>
          </w:p>
        </w:tc>
        <w:tc>
          <w:tcPr>
            <w:tcW w:w="3981" w:type="dxa"/>
            <w:tcBorders/>
            <w:shd w:fill="auto" w:val="clear"/>
          </w:tcPr>
          <w:p>
            <w:pPr>
              <w:pStyle w:val="TableContents"/>
              <w:spacing w:before="0" w:after="0"/>
              <w:rPr>
                <w:rFonts w:ascii="Times New Roman" w:hAnsi="Times New Roman"/>
                <w:sz w:val="20"/>
              </w:rPr>
            </w:pPr>
            <w:r>
              <w:rPr>
                <w:rFonts w:ascii="Times New Roman" w:hAnsi="Times New Roman"/>
                <w:sz w:val="20"/>
              </w:rPr>
              <w:t>The Cayman Constitutional Documents include provisions related to VIHs status as a blank check company prior to the consummation of an initial business combination.</w:t>
            </w:r>
          </w:p>
          <w:p>
            <w:pPr>
              <w:pStyle w:val="TableContents"/>
              <w:spacing w:before="0" w:after="20"/>
              <w:rPr>
                <w:rFonts w:ascii="Times New Roman" w:hAnsi="Times New Roman"/>
                <w:i/>
                <w:sz w:val="20"/>
              </w:rPr>
            </w:pPr>
            <w:r>
              <w:rPr>
                <w:rFonts w:ascii="Times New Roman" w:hAnsi="Times New Roman"/>
                <w:i/>
                <w:sz w:val="20"/>
              </w:rPr>
              <w:t>See Article 51 of the Cayman Constitutional Documents.</w:t>
            </w:r>
          </w:p>
        </w:tc>
        <w:tc>
          <w:tcPr>
            <w:tcW w:w="203" w:type="dxa"/>
            <w:tcBorders/>
            <w:shd w:fill="auto" w:val="clear"/>
            <w:vAlign w:val="bottom"/>
          </w:tcPr>
          <w:p>
            <w:pPr>
              <w:pStyle w:val="TableContents"/>
              <w:spacing w:before="0" w:after="283"/>
              <w:rPr/>
            </w:pPr>
            <w:r>
              <w:rPr/>
              <w:t>  </w:t>
            </w:r>
          </w:p>
        </w:tc>
        <w:tc>
          <w:tcPr>
            <w:tcW w:w="3981" w:type="dxa"/>
            <w:tcBorders/>
            <w:shd w:fill="auto" w:val="clear"/>
          </w:tcPr>
          <w:p>
            <w:pPr>
              <w:pStyle w:val="TableContents"/>
              <w:spacing w:before="0" w:after="283"/>
              <w:rPr/>
            </w:pPr>
            <w:r>
              <w:rPr/>
              <w:t>The Proposed Organizational Documents do not include such provisions related to VIHs status as a blank check company, which will no longer apply upon consummation of the Merger, as VIH will cease to be a blank check company at such time.</w:t>
            </w:r>
          </w:p>
        </w:tc>
      </w:tr>
    </w:tbl>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b/>
          <w:i/>
          <w:sz w:val="20"/>
        </w:rPr>
      </w:pPr>
      <w:r>
        <w:rPr>
          <w:rFonts w:ascii="Times New Roman" w:hAnsi="Times New Roman"/>
          <w:b/>
          <w:i/>
          <w:sz w:val="20"/>
        </w:rPr>
        <w:t xml:space="preserve">Advisory Organizational Documents Proposal 5AAuthorized Shares </w:t>
      </w:r>
    </w:p>
    <w:p>
      <w:pPr>
        <w:pStyle w:val="TextBody"/>
        <w:spacing w:before="120" w:after="0"/>
        <w:jc w:val="left"/>
        <w:rPr>
          <w:rFonts w:ascii="Times New Roman" w:hAnsi="Times New Roman"/>
          <w:sz w:val="20"/>
        </w:rPr>
      </w:pPr>
      <w:r>
        <w:rPr>
          <w:rFonts w:ascii="Times New Roman" w:hAnsi="Times New Roman"/>
          <w:sz w:val="20"/>
        </w:rPr>
        <w:t>VIHs shareholders are being asked to approve and adopt an amendment to the Cayman Constitutional Documents to authorize the change in the authorized capital stock of VIH from (a) 200,000,000 VIH Class A Ordinary Shares, 20,000,000 VIH Class B Ordinary Shares and 1,000,000 preference shares, par value $0.0001 per share, of VIH (the </w:t>
      </w:r>
      <w:r>
        <w:rPr>
          <w:rFonts w:ascii="Times New Roman" w:hAnsi="Times New Roman"/>
          <w:b/>
          <w:sz w:val="20"/>
        </w:rPr>
        <w:t>VIH Preference Shares</w:t>
      </w:r>
      <w:r>
        <w:rPr>
          <w:rFonts w:ascii="Times New Roman" w:hAnsi="Times New Roman"/>
          <w:sz w:val="20"/>
        </w:rPr>
        <w:t xml:space="preserve">) to (b) 1,000,000,000 shares of Bakkt Pubco Common Stock (consisting of (A) 750,000,000 Bakkt Pubco Class A Shares and (B) 250,000,000 Bakkt Pubco Class V Shares) and 1,000,000 shares of Bakkt Pubco Preferred Stock. </w:t>
      </w:r>
    </w:p>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statement/prospectus, there are (a) 20,737,202 VIH Class A Ordinary Shares issued and outstanding, (b) 5,184,300 VIH Class B Ordinary Shares issued and outstanding and (c) no VIH Preference Shares issued and outstanding. In addition, as of the date of this proxy statement/prospectus, there is an aggregate of (i) 10,368,601 VIH Warrants and (ii) 6,147,440 Private Placement Warrants, in each case, issued and outstanding. Subject to the terms and conditions of the Warrant Agreement, the VIH Warrants will be exercisable after giving effect to the Merger for one share of Bakkt Pubco Class A Common Stock at an exercise price of $11.50 per share. No VIH Warrants are exercisable until the later of (x) 12 months from the closing of the IPO and (y) 30 days after the Closing. </w:t>
      </w:r>
    </w:p>
    <w:p>
      <w:pPr>
        <w:pStyle w:val="TextBody"/>
        <w:spacing w:before="240" w:after="0"/>
        <w:jc w:val="left"/>
        <w:rPr>
          <w:rFonts w:ascii="Times New Roman" w:hAnsi="Times New Roman"/>
          <w:sz w:val="20"/>
        </w:rPr>
      </w:pPr>
      <w:r>
        <w:rPr>
          <w:rFonts w:ascii="Times New Roman" w:hAnsi="Times New Roman"/>
          <w:sz w:val="20"/>
        </w:rPr>
        <w:t xml:space="preserve">Pursuant to the Merger Agreement, Bakkt Pubco will issue or, as applicable, reserve for issuance in respect of awards under the Bakkt Pubco Equity Incentive Plan outstanding as of immediately prior to the Closing that will be converted into awards based on Bakkt Pubco Common Stock, an aggregate of [●] shares of Bakkt Pubco Common Stock to Bakkt Pubco stockholders, and pursuant to the PIPE Investment, Bakkt Pubco will issue 32,500,000 shares of Bakkt Pubco Common Stock to the PIPE Investors. </w:t>
      </w:r>
    </w:p>
    <w:p>
      <w:pPr>
        <w:pStyle w:val="TextBody"/>
        <w:spacing w:before="240" w:after="0"/>
        <w:jc w:val="left"/>
        <w:rPr>
          <w:rFonts w:ascii="Times New Roman" w:hAnsi="Times New Roman"/>
          <w:sz w:val="20"/>
        </w:rPr>
      </w:pPr>
      <w:r>
        <w:rPr>
          <w:rFonts w:ascii="Times New Roman" w:hAnsi="Times New Roman"/>
          <w:sz w:val="20"/>
        </w:rPr>
        <w:t xml:space="preserve">In order to ensure that Bakkt Pubco has sufficient authorized capital for future issuances, the VIH Board has approved, subject to shareholder approval, that the Proposed Organizational Documents of Bakkt Pubco change the authorized capital stock of VIH from (a) 200,000,000 VIH Class A Ordinary Shares, 20,000,000 VIH Class B Ordinary Shares and 1,000,000 VIH Preference Shares to (b) 1,000,000,000 shares of Bakkt Pubco Common Stock (consisting of (A) 750,000,000 Bakkt Pubco Class A Shares and (B) 250,000,000 Bakkt Pubco Class V Shares) and 1,000,000 shares of Bakkt Pubco Preferred Stock. </w:t>
      </w:r>
    </w:p>
    <w:p>
      <w:pPr>
        <w:pStyle w:val="TextBody"/>
        <w:spacing w:before="24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shareholders are encouraged to read the Proposed Organizational Documents in their entirety for a more complete description of their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the authorized capital stock of VIH be changed from 200,000,000 VIH Class A Ordinary Shares, par value $0.0001 per share, 20,000,000 VIH Class B Ordinary Shares, par value $0.0001 per share, and 1,000,000 Preference Shares, par value $0.0001 per share, to 750,000,000 shares of Bakkt Pubco Class A Common Stock, par value $0.0001 per share of Bakkt Pubco, and 250,000,000 shares of Bakkt Pubco Class V Common Stock, par value $0.0001 per share, of Bakkt Pubco, and 1,000,000 shares of Bakkt Pubco Preferred Stock, par value $0.0001 per share, as described in Advisory Organizational Documents Proposal 5A. </w:t>
      </w:r>
    </w:p>
    <w:p>
      <w:pPr>
        <w:pStyle w:val="TextBody"/>
        <w:spacing w:before="360" w:after="0"/>
        <w:jc w:val="left"/>
        <w:rPr>
          <w:rFonts w:ascii="Times New Roman" w:hAnsi="Times New Roman"/>
          <w:b/>
          <w:sz w:val="20"/>
        </w:rPr>
      </w:pPr>
      <w:r>
        <w:rPr>
          <w:rFonts w:ascii="Times New Roman" w:hAnsi="Times New Roman"/>
          <w:b/>
          <w:sz w:val="20"/>
        </w:rPr>
        <w:t xml:space="preserve">Advisory Organizational Documents Proposal 5BExclusive Forum Provision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are being asked to approve and adopt an amendment to the Cayman Constitutional Documents to authorize adopting Delaware as the exclusive forum for certain stockholder litigation. </w:t>
      </w:r>
    </w:p>
    <w:p>
      <w:pPr>
        <w:pStyle w:val="TextBody"/>
        <w:spacing w:before="120" w:after="0"/>
        <w:jc w:val="left"/>
        <w:rPr>
          <w:rFonts w:ascii="Times New Roman" w:hAnsi="Times New Roman"/>
          <w:sz w:val="20"/>
        </w:rPr>
      </w:pPr>
      <w:r>
        <w:rPr>
          <w:rFonts w:ascii="Times New Roman" w:hAnsi="Times New Roman"/>
          <w:sz w:val="20"/>
        </w:rPr>
        <w:t>The Proposed Organizational Documents stipulate that the Court of Chancery for the State of Delaware (the </w:t>
      </w:r>
      <w:r>
        <w:rPr>
          <w:rFonts w:ascii="Times New Roman" w:hAnsi="Times New Roman"/>
          <w:b/>
          <w:sz w:val="20"/>
        </w:rPr>
        <w:t>Court of Chancery</w:t>
      </w:r>
      <w:r>
        <w:rPr>
          <w:rFonts w:ascii="Times New Roman" w:hAnsi="Times New Roman"/>
          <w:sz w:val="20"/>
        </w:rPr>
        <w:t xml:space="preserve">) be the sole and exclusive forum (or, in the event that the Court of Chancery does not have jurisdiction, the federal district court for the District of Delaware or other state courts of the State of Delaware) for any stockholder (including a beneficial owner) for (a) any derivative action or proceeding brought on Bakkt Pubcos behalf, (b) any action asserting a claim of breach of a fiduciary duty owed by any current or former director, officer, other employee or stockholder of Bakkt Pubco to Bakkt Pubco or Bakkt Pubcos stockholders, (c) any action asserting a claim against the Company or any director or officer of the Company (i) arising pursuant to any provision of the DGCL or the Proposed Certificate of Incorporation or the Proposed By-Laws or (ii) as to which the DGCL confers jurisdiction on the Court of Chancery of the State of Delaware (d) any action to interpret, apply, enforce or determine the validity of the Proposed Certificate of Incorporation or the Proposed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The Proposed Certificate of Incorporation further provides that unless Bakkt Pubco consents in writing to the selection of an alternative forum, to the fullest extent permitted by law, the federal district courts of the United States will be the exclusive forum for the resolutions of any complaint asserting a cause of action arising under the Securities Act. This provision in the Proposed Certificate of Incorporation will not address or apply to claims that arise under the Exchange Act; however, Section 27 of the Exchange Act creates exclusive federal jurisdiction over all suits brought to enforce any duty or liability created by the Exchange Act or the rules and regulations thereunder. </w:t>
      </w:r>
    </w:p>
    <w:p>
      <w:pPr>
        <w:pStyle w:val="TextBody"/>
        <w:spacing w:before="24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shareholders are encouraged to read the Proposed Organizational Documents in their entirety for a more complete description of their terms. </w:t>
      </w:r>
    </w:p>
    <w:p>
      <w:pPr>
        <w:pStyle w:val="TextBody"/>
        <w:spacing w:before="36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Delaware be adopted as the exclusive forum for certain stockholder litigation, as described in Advisory Organizational Documents Proposal 5B.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Advisory Organizational Documents Proposal 5CTakeovers by Interested Stockholders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are being asked to approve and adopt an amendment to the Cayman Constitutional Documents to authorize electing not to be governed by Section 203 of the DGCL relating to takeovers by interested stockholders and, instead, be governed by a provision substantially similar to Section 203 of the DGCL. </w:t>
      </w:r>
    </w:p>
    <w:p>
      <w:pPr>
        <w:pStyle w:val="TextBody"/>
        <w:spacing w:before="120" w:after="0"/>
        <w:jc w:val="left"/>
        <w:rPr>
          <w:rFonts w:ascii="Times New Roman" w:hAnsi="Times New Roman"/>
          <w:sz w:val="20"/>
        </w:rPr>
      </w:pPr>
      <w:r>
        <w:rPr>
          <w:rFonts w:ascii="Times New Roman" w:hAnsi="Times New Roman"/>
          <w:sz w:val="20"/>
        </w:rPr>
        <w:t xml:space="preserve">The Proposed Organizational Documents will cause Bakkt Pubco to not to be governed by Section 203 of the DGCL and, instead, include a provision in the Proposed Certificate of Incorporation that is substantially similar to Section 203 of the DGCL. </w:t>
      </w:r>
    </w:p>
    <w:p>
      <w:pPr>
        <w:pStyle w:val="TextBody"/>
        <w:spacing w:before="24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shareholders are encouraged to read the Proposed Organizational Documents in their entirety for a more complete description of their terms. </w:t>
      </w:r>
    </w:p>
    <w:p>
      <w:pPr>
        <w:pStyle w:val="TextBody"/>
        <w:spacing w:before="36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electing not be governed by Section 203 of the DGCL relating to takeovers by interested stockholders and, instead, be governed by a provision similar to Section 203 of the DGCL, as described in Advisory Organizational Documents Proposal 5C, be approved. </w:t>
      </w:r>
    </w:p>
    <w:p>
      <w:pPr>
        <w:pStyle w:val="TextBody"/>
        <w:spacing w:before="360" w:after="0"/>
        <w:jc w:val="left"/>
        <w:rPr>
          <w:rFonts w:ascii="Times New Roman" w:hAnsi="Times New Roman"/>
          <w:b/>
          <w:sz w:val="20"/>
        </w:rPr>
      </w:pPr>
      <w:r>
        <w:rPr>
          <w:rFonts w:ascii="Times New Roman" w:hAnsi="Times New Roman"/>
          <w:b/>
          <w:sz w:val="20"/>
        </w:rPr>
        <w:t xml:space="preserve">Advisory Organizational Documents Proposal 5DAdoption of Supermajority Vote Requirement to Amend the Proposed Organizational Documents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are being asked to approve provisions providing that (a) the affirmative vote of at least 66 2/3% of the voting power of all the then outstanding shares of capital stock entitled to vote generally in the election of directors will be required for stockholders to amend, alter, repeal or rescind Article V, Article VI, Article VII, Article VIII, Article IX, Article X, Article XII and Article XIII of the Proposed Certificate of Incorporation, and (b) the Company Board will have the power and authority to amend, alter, repeal or rescind the Proposed By-Laws without the consent or vote of the stockholders. </w:t>
      </w:r>
    </w:p>
    <w:p>
      <w:pPr>
        <w:pStyle w:val="TextBody"/>
        <w:spacing w:before="12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shareholders are encouraged to read the Proposed Organizational Documents in their entirety for a more complete description of their terms. </w:t>
      </w:r>
    </w:p>
    <w:p>
      <w:pPr>
        <w:pStyle w:val="TextBody"/>
        <w:spacing w:before="36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the provisions providing that the affirmative vote of at least 66 2/3% of the 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as described in Advisory Organizational Documents Proposal 5D, be approved.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Advisory Organizational Documents Proposal 5ERemoval of Directors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are being asked to approve provisions permitting the removal of a director only for cause and only by the affirmative vote of the holders of at least 66 2/3% of the voting power of all the then outstanding shares of capital stock entitled to vote generally in the election of directors. </w:t>
      </w:r>
    </w:p>
    <w:p>
      <w:pPr>
        <w:pStyle w:val="TextBody"/>
        <w:spacing w:before="12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stockholders are encouraged to read the Proposed Organizational Documents in their entirety for a more complete description of their terms. </w:t>
      </w:r>
    </w:p>
    <w:p>
      <w:pPr>
        <w:pStyle w:val="TextBody"/>
        <w:spacing w:before="36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the provisions permitting the removal of a director only for cause and only by the affirmative vote of the holders of at least 66 2/3% of the outstanding shares entitled to vote at an election of directors, voting together as a single class, as described in Advisory Organizational Documents Proposal 5E, be approved. </w:t>
      </w:r>
    </w:p>
    <w:p>
      <w:pPr>
        <w:pStyle w:val="TextBody"/>
        <w:spacing w:before="360" w:after="0"/>
        <w:jc w:val="left"/>
        <w:rPr>
          <w:rFonts w:ascii="Times New Roman" w:hAnsi="Times New Roman"/>
          <w:b/>
          <w:sz w:val="20"/>
        </w:rPr>
      </w:pPr>
      <w:r>
        <w:rPr>
          <w:rFonts w:ascii="Times New Roman" w:hAnsi="Times New Roman"/>
          <w:b/>
          <w:sz w:val="20"/>
        </w:rPr>
        <w:t xml:space="preserve">Advisory Organizational Documents Proposal 5FAction by Written Consent of Stockholders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are being asked to approve and adopt an amendment to the Cayman Constitutional Documents to approve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w:t>
      </w:r>
    </w:p>
    <w:p>
      <w:pPr>
        <w:pStyle w:val="TextBody"/>
        <w:spacing w:before="12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shareholders are encouraged to read the Proposed Organizational Documents in their entirety for a more complete description of their terms. </w:t>
      </w:r>
    </w:p>
    <w:p>
      <w:pPr>
        <w:pStyle w:val="TextBody"/>
        <w:spacing w:before="36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the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as described in Advisory Organizational Documents Proposal 5F, be approved.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Advisory Organizational Documents Proposal 5GOther Changes In Connection With Adoption of the Proposed Organizational Documents </w:t>
      </w:r>
    </w:p>
    <w:p>
      <w:pPr>
        <w:pStyle w:val="TextBody"/>
        <w:spacing w:before="120" w:after="0"/>
        <w:jc w:val="left"/>
        <w:rPr>
          <w:rFonts w:ascii="Times New Roman" w:hAnsi="Times New Roman"/>
          <w:b/>
          <w:i/>
          <w:sz w:val="20"/>
        </w:rPr>
      </w:pPr>
      <w:r>
        <w:rPr>
          <w:rFonts w:ascii="Times New Roman" w:hAnsi="Times New Roman"/>
          <w:b/>
          <w:i/>
          <w:sz w:val="20"/>
        </w:rPr>
        <w:t xml:space="preserve">VIHs shareholders are being asked to approve and adopt an amendment to the Cayman Constitutional Documents to authorize (a) making Bakkt Pubcos corporate existence perpetual, and (b) removing certain provisions related to VIHs status as a blank check company that will no longer be applicable upon Closing. </w:t>
      </w:r>
    </w:p>
    <w:p>
      <w:pPr>
        <w:pStyle w:val="TextBody"/>
        <w:spacing w:before="120" w:after="0"/>
        <w:jc w:val="left"/>
        <w:rPr>
          <w:rFonts w:ascii="Times New Roman" w:hAnsi="Times New Roman"/>
          <w:sz w:val="20"/>
        </w:rPr>
      </w:pPr>
      <w:r>
        <w:rPr>
          <w:rFonts w:ascii="Times New Roman" w:hAnsi="Times New Roman"/>
          <w:sz w:val="20"/>
        </w:rPr>
        <w:t xml:space="preserve">The Proposed Organizational Documents will not contain provisions related to a blank check company (including those related to operation of the Trust Account, winding up of VIHs operations should VIH not complete a business combination by a specified date, and other such blank check-specific provisions as are present in the Cayman Constitutional Documents) because following the Closing, Bakkt Pubco, will not be a blank check company. </w:t>
      </w:r>
    </w:p>
    <w:p>
      <w:pPr>
        <w:pStyle w:val="TextBody"/>
        <w:spacing w:before="240" w:after="0"/>
        <w:jc w:val="left"/>
        <w:rPr>
          <w:rFonts w:ascii="Times New Roman" w:hAnsi="Times New Roman"/>
          <w:sz w:val="20"/>
        </w:rPr>
      </w:pPr>
      <w:r>
        <w:rPr>
          <w:rFonts w:ascii="Times New Roman" w:hAnsi="Times New Roman"/>
          <w:sz w:val="20"/>
        </w:rPr>
        <w:t xml:space="preserve">This summary is qualified by reference to the complete text of the Proposed Organizational Documents of Bakkt Pubco, copies of which are attached to this proxy statement/prospectus as </w:t>
      </w:r>
      <w:r>
        <w:rPr>
          <w:rFonts w:ascii="Times New Roman" w:hAnsi="Times New Roman"/>
          <w:i/>
          <w:sz w:val="20"/>
          <w:u w:val="single"/>
        </w:rPr>
        <w:t>Annex B-1</w:t>
      </w:r>
      <w:r>
        <w:rPr>
          <w:rFonts w:ascii="Times New Roman" w:hAnsi="Times New Roman"/>
          <w:sz w:val="20"/>
        </w:rPr>
        <w:t xml:space="preserve"> and </w:t>
      </w:r>
      <w:r>
        <w:rPr>
          <w:rFonts w:ascii="Times New Roman" w:hAnsi="Times New Roman"/>
          <w:i/>
          <w:sz w:val="20"/>
          <w:u w:val="single"/>
        </w:rPr>
        <w:t>Annex B-2</w:t>
      </w:r>
      <w:r>
        <w:rPr>
          <w:rFonts w:ascii="Times New Roman" w:hAnsi="Times New Roman"/>
          <w:sz w:val="20"/>
        </w:rPr>
        <w:t xml:space="preserve">. All shareholders are encouraged to read the Proposed Organizational Documents in their entirety for a more complete description of their terms. </w:t>
      </w:r>
    </w:p>
    <w:p>
      <w:pPr>
        <w:pStyle w:val="TextBody"/>
        <w:spacing w:before="240" w:after="0"/>
        <w:jc w:val="left"/>
        <w:rPr>
          <w:rFonts w:ascii="Times New Roman" w:hAnsi="Times New Roman"/>
          <w:sz w:val="20"/>
        </w:rPr>
      </w:pPr>
      <w:r>
        <w:rPr>
          <w:rFonts w:ascii="Times New Roman" w:hAnsi="Times New Roman"/>
          <w:sz w:val="20"/>
        </w:rPr>
        <w:t xml:space="preserve">Implementation of the provisions of the Proposed Organizational Documents will result, upon the Domestication, in the wholesale replacement of the Cayman Constitutional Documents with the Proposed Organizational Documents. While certain material changes between the Cayman Constitutional Documents and the Proposed Organizational Documents have been unbundled into distinct organizational documents proposals or otherwise identified in this Advisory Organizational Documents Proposal 5, there are other differences between the Cayman Constitutional Documents and the Proposed Organizational Documents (arising from, among other things, differences between the Companies Act and the DGCL and the typical form of organizational documents under each such body of law) that will be approved (subject to the approval of the aforementioned related proposals and consummation of the Business Combination) if our shareholders approve the Organizational Documents Proposal. </w:t>
      </w:r>
    </w:p>
    <w:p>
      <w:pPr>
        <w:pStyle w:val="TextBody"/>
        <w:spacing w:before="360" w:after="0"/>
        <w:jc w:val="left"/>
        <w:rPr>
          <w:rFonts w:ascii="Times New Roman" w:hAnsi="Times New Roman"/>
          <w:b/>
          <w:i/>
          <w:sz w:val="20"/>
        </w:rPr>
      </w:pPr>
      <w:r>
        <w:rPr>
          <w:rFonts w:ascii="Times New Roman" w:hAnsi="Times New Roman"/>
          <w:b/>
          <w:i/>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considered and if though fit, passed and approved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 special resolution, on an advisory non-binding basis, that certain additional changes, including, among other things, (i) making Bakkt Pubcos corporate existence perpetual and (ii) removing certain provisions related to VIHs status as a blank check company that will no longer be applicable upon consummation of the Business Combination, all of which the VIH Board believes is necessary to adequately address the needs of Bakkt Pubco after the Closing, as described in Advisory Organizational Documents Proposal 5G, be approved. </w:t>
      </w:r>
    </w:p>
    <w:p>
      <w:pPr>
        <w:pStyle w:val="TextBody"/>
        <w:spacing w:before="360" w:after="0"/>
        <w:jc w:val="left"/>
        <w:rPr>
          <w:rFonts w:ascii="Times New Roman" w:hAnsi="Times New Roman"/>
          <w:b/>
          <w:sz w:val="20"/>
        </w:rPr>
      </w:pPr>
      <w:r>
        <w:rPr>
          <w:rFonts w:ascii="Times New Roman" w:hAnsi="Times New Roman"/>
          <w:b/>
          <w:sz w:val="20"/>
        </w:rPr>
        <w:t xml:space="preserve">Reasons for Amendments </w:t>
      </w:r>
    </w:p>
    <w:p>
      <w:pPr>
        <w:pStyle w:val="TextBody"/>
        <w:spacing w:before="120" w:after="0"/>
        <w:jc w:val="left"/>
        <w:rPr>
          <w:rFonts w:ascii="Times New Roman" w:hAnsi="Times New Roman"/>
          <w:b/>
          <w:i/>
          <w:sz w:val="20"/>
        </w:rPr>
      </w:pPr>
      <w:r>
        <w:rPr>
          <w:rFonts w:ascii="Times New Roman" w:hAnsi="Times New Roman"/>
          <w:b/>
          <w:i/>
          <w:sz w:val="20"/>
        </w:rPr>
        <w:t xml:space="preserve">Advisory Organizational Documents Proposal 5AAuthorized Shares </w:t>
      </w:r>
    </w:p>
    <w:p>
      <w:pPr>
        <w:pStyle w:val="TextBody"/>
        <w:spacing w:before="120" w:after="0"/>
        <w:jc w:val="left"/>
        <w:rPr>
          <w:rFonts w:ascii="Times New Roman" w:hAnsi="Times New Roman"/>
          <w:sz w:val="20"/>
        </w:rPr>
      </w:pPr>
      <w:r>
        <w:rPr>
          <w:rFonts w:ascii="Times New Roman" w:hAnsi="Times New Roman"/>
          <w:sz w:val="20"/>
        </w:rPr>
        <w:t xml:space="preserve">The principal purpose of this proposal is to provide for an authorized capital structure of Bakkt Pubco that will enable it to continue as an operating company governed by the DGCL. The VIH Board believes that it is important for VIH to have available for issuance a number of authorized shares of Bakkt Pubco Common Stock and Bakkt Pubco Preferred Stock sufficient to support our growth and to provide flexibility for future corporate needs. </w:t>
      </w:r>
    </w:p>
    <w:p>
      <w:pPr>
        <w:pStyle w:val="TextBody"/>
        <w:spacing w:before="360" w:after="0"/>
        <w:jc w:val="left"/>
        <w:rPr>
          <w:rFonts w:ascii="Times New Roman" w:hAnsi="Times New Roman"/>
          <w:b/>
          <w:i/>
          <w:sz w:val="20"/>
        </w:rPr>
      </w:pPr>
      <w:r>
        <w:rPr>
          <w:rFonts w:ascii="Times New Roman" w:hAnsi="Times New Roman"/>
          <w:b/>
          <w:i/>
          <w:sz w:val="20"/>
        </w:rPr>
        <w:t xml:space="preserve">Advisory Organizational Documents Proposal 5BExclusive Forum Provision </w:t>
      </w:r>
    </w:p>
    <w:p>
      <w:pPr>
        <w:pStyle w:val="TextBody"/>
        <w:spacing w:before="120" w:after="0"/>
        <w:jc w:val="left"/>
        <w:rPr>
          <w:rFonts w:ascii="Times New Roman" w:hAnsi="Times New Roman"/>
          <w:sz w:val="20"/>
        </w:rPr>
      </w:pPr>
      <w:r>
        <w:rPr>
          <w:rFonts w:ascii="Times New Roman" w:hAnsi="Times New Roman"/>
          <w:sz w:val="20"/>
        </w:rPr>
        <w:t xml:space="preserve">Adopting Delaware as the exclusive forum for certain stockholder litigation is intended to assist Bakkt Pubco in avoiding multiple lawsuits in multiple jurisdictions regarding the same matter. The ability to require such claims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be brought in a single forum will help to assure consistent consideration of the issues, the application of a relatively known body of case law and level of expertise and should promote efficiency and cost-savings in the resolution of such claims. The VIH Board believes that the Delaware courts are best suited to address disputes involving such matters given that after the Domestication, Bakkt Pubco will be incorporated in Delaware. Delaware law generally applies to such matters and the Delaware courts have a reputation for expertise in corporate law matters. Delaware offers a specialized Court of Chancery to address corporate law matters, with streamlined procedures and processes, which help provide relatively quick decisions. This accelerated schedule can minimize the time, cost and uncertainty of litigation for all parties. The Court of Chancery has developed considerable expertise with respect to corporate law issues, as well as a substantial and influential body of case law construing Delawares corporate law and long-standing precedent regarding corporate governance. This provides stockholders and the post-combination company with more predictability regarding the outcome of intra-corporate disputes. In the event the Court of Chancery does not have jurisdiction, the other state courts located in Delaware would be the most appropriate forums because these courts have more expertise on matters of Delaware law compared to other jurisdictions. The VIH Board further believes that providing that, unless we consent in writing to an alternative forum, the federal district courts of the United States of America will be the exclusive forum for resolving actions arising under the Securities Act, provides the flexibility to file such suits in any federal district court while providing the benefits of eliminating duplicative litigation and having such cases heard by courts that are well-versed in the applicable law. </w:t>
      </w:r>
    </w:p>
    <w:p>
      <w:pPr>
        <w:pStyle w:val="TextBody"/>
        <w:spacing w:before="240" w:after="0"/>
        <w:jc w:val="left"/>
        <w:rPr>
          <w:rFonts w:ascii="Times New Roman" w:hAnsi="Times New Roman"/>
          <w:sz w:val="20"/>
        </w:rPr>
      </w:pPr>
      <w:r>
        <w:rPr>
          <w:rFonts w:ascii="Times New Roman" w:hAnsi="Times New Roman"/>
          <w:sz w:val="20"/>
        </w:rPr>
        <w:t xml:space="preserve">In addition, this amendment would promote judicial fairness and avoid conflicting results, as well as make Bakkt Pubcos defense of applicable claims less disruptive and more economically feasible, principally by avoiding duplicative discovery. </w:t>
      </w:r>
    </w:p>
    <w:p>
      <w:pPr>
        <w:pStyle w:val="TextBody"/>
        <w:spacing w:before="360" w:after="0"/>
        <w:jc w:val="left"/>
        <w:rPr>
          <w:rFonts w:ascii="Times New Roman" w:hAnsi="Times New Roman"/>
          <w:b/>
          <w:i/>
          <w:sz w:val="20"/>
        </w:rPr>
      </w:pPr>
      <w:r>
        <w:rPr>
          <w:rFonts w:ascii="Times New Roman" w:hAnsi="Times New Roman"/>
          <w:b/>
          <w:i/>
          <w:sz w:val="20"/>
        </w:rPr>
        <w:t xml:space="preserve">Advisory Organizational Documents Proposal 5CTakeovers by Interested Stockholders </w:t>
      </w:r>
    </w:p>
    <w:p>
      <w:pPr>
        <w:pStyle w:val="TextBody"/>
        <w:spacing w:before="120" w:after="0"/>
        <w:jc w:val="left"/>
        <w:rPr>
          <w:rFonts w:ascii="Times New Roman" w:hAnsi="Times New Roman"/>
          <w:sz w:val="20"/>
        </w:rPr>
      </w:pPr>
      <w:r>
        <w:rPr>
          <w:rFonts w:ascii="Times New Roman" w:hAnsi="Times New Roman"/>
          <w:sz w:val="20"/>
        </w:rPr>
        <w:t xml:space="preserve">The VIH Board intends to shield stockholders from the coerciveness of front-end loaded two-tier offers by preventing the offer or from effecting the second step of the offer unless the Company Board approves such transaction. </w:t>
      </w:r>
    </w:p>
    <w:p>
      <w:pPr>
        <w:pStyle w:val="TextBody"/>
        <w:spacing w:before="240" w:after="0"/>
        <w:jc w:val="left"/>
        <w:rPr>
          <w:rFonts w:ascii="Times New Roman" w:hAnsi="Times New Roman"/>
          <w:sz w:val="20"/>
        </w:rPr>
      </w:pPr>
      <w:r>
        <w:rPr>
          <w:rFonts w:ascii="Times New Roman" w:hAnsi="Times New Roman"/>
          <w:sz w:val="20"/>
        </w:rPr>
        <w:t xml:space="preserve">Bakkt Pubco will not be subject to Section 203 of the DGCL, an anti-takeover law. Section 203 of the DGCL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a person becomes an interested stockholder, unless: (a) before such stockholder becomes an interested stockholder, the Company Board approves the business combination or the transaction that resulted in the stockholder becoming an interested stockholder; (b) upon consummation of the transaction which resulted in the stockholder becoming an interested stockholder, the interested stockholder owned at least 85% of the outstanding voting stock of the corporation at the time of the transaction (excluding stock owned by certain persons); or (c) at the time or after the stockholder became an interested stockholder, the Company Board and at least two-thirds of the disinterested outstanding voting stock of the corporation approves the transaction. While Section 203 of the DGCL is the default provision under the DGCL, the DGCL allows companies to opt out of Section 203 of the DGCL by including a provision in their certificate of incorporation expressly electing not to be governed by Section 203 of the DGCL. </w:t>
      </w:r>
    </w:p>
    <w:p>
      <w:pPr>
        <w:pStyle w:val="TextBody"/>
        <w:spacing w:before="240" w:after="0"/>
        <w:jc w:val="left"/>
        <w:rPr>
          <w:rFonts w:ascii="Times New Roman" w:hAnsi="Times New Roman"/>
          <w:sz w:val="20"/>
        </w:rPr>
      </w:pPr>
      <w:r>
        <w:rPr>
          <w:rFonts w:ascii="Times New Roman" w:hAnsi="Times New Roman"/>
          <w:sz w:val="20"/>
        </w:rPr>
        <w:t xml:space="preserve">The VIH Board has elected to opt out of Section 203, but the VIH Board believes that it is in the best interests of shareholders to have protections similar to those afforded by Section 203 of the DGCL. These provisions will encourage any potential acquiror to negotiate with the Company Board and therefore provides an opportunity to possibly obtain a higher purchase price than would otherwise be offered in connection with a proposed acquisition of Bakkt Pubco. Such provisions may make it more difficult for an acquiror to consummate certain types of unfriendly or hostile corporate takeovers or other transactions involving Bakkt Pubco that have not been approved by the Company Board. The VIH Board believes that while such provisions will provide some measure of protection against an interested stockholder that is proposing a two-tiered transaction structure that is unduly coercive, they would not ultimately prevent a potential takeover that enjoys the support of stockholders and that they will also help to prevent a third party from acquiring creeping control of Bakkt Pubco without paying a fair premium to all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Advisory Organizational Documents Proposal 5DAdoption of Supermajority Vote Requirement to Amend the Proposed Organizational Documents </w:t>
      </w:r>
    </w:p>
    <w:p>
      <w:pPr>
        <w:pStyle w:val="TextBody"/>
        <w:spacing w:before="120" w:after="0"/>
        <w:jc w:val="left"/>
        <w:rPr>
          <w:rFonts w:ascii="Times New Roman" w:hAnsi="Times New Roman"/>
          <w:sz w:val="20"/>
        </w:rPr>
      </w:pPr>
      <w:r>
        <w:rPr>
          <w:rFonts w:ascii="Times New Roman" w:hAnsi="Times New Roman"/>
          <w:sz w:val="20"/>
        </w:rPr>
        <w:t xml:space="preserve">The Cayman Constitutional Documents provide that amendments may be made by a special resolution under Cayman Islands law, being the affirmative vote of holders of a majority of at least two-thirds of the VIH Shares who, being in person or by proxy and entitled to vote at a general meeting, vote at a general meeting. The Proposed Organizational Documents require the affirmative vote of at least 66 2/3% of the voting power of the outstanding shares to amend, alter, repeal or rescind Article V, Article VI, Article VII, Article VIII, Article IX, Article X, Article XII and Article XIII of the Proposed Certificate of Incorporation. The amendments are intended to protect certain key provisions of the Proposed Certificate of Incorporation from arbitrary amendment and to prevent a simple majority of stockholders from taking actions that may be harmful to other stockholders or making changes to provisions that are intended to protect all stockholders. </w:t>
      </w:r>
    </w:p>
    <w:p>
      <w:pPr>
        <w:pStyle w:val="TextBody"/>
        <w:spacing w:before="360" w:after="0"/>
        <w:jc w:val="left"/>
        <w:rPr>
          <w:rFonts w:ascii="Times New Roman" w:hAnsi="Times New Roman"/>
          <w:b/>
          <w:i/>
          <w:sz w:val="20"/>
        </w:rPr>
      </w:pPr>
      <w:r>
        <w:rPr>
          <w:rFonts w:ascii="Times New Roman" w:hAnsi="Times New Roman"/>
          <w:b/>
          <w:i/>
          <w:sz w:val="20"/>
        </w:rPr>
        <w:t xml:space="preserve">Advisory Organizational Documents Proposal 5ERemoval of Directors </w:t>
      </w:r>
    </w:p>
    <w:p>
      <w:pPr>
        <w:pStyle w:val="TextBody"/>
        <w:spacing w:before="120" w:after="0"/>
        <w:jc w:val="left"/>
        <w:rPr>
          <w:rFonts w:ascii="Times New Roman" w:hAnsi="Times New Roman"/>
          <w:sz w:val="20"/>
        </w:rPr>
      </w:pPr>
      <w:r>
        <w:rPr>
          <w:rFonts w:ascii="Times New Roman" w:hAnsi="Times New Roman"/>
          <w:sz w:val="20"/>
        </w:rPr>
        <w:t xml:space="preserve">The Cayman Constitutional Documents provide that before a business combination, holders of VIH Class B Ordinary Shares may remove any director, and that after a business combination, VIH shareholders may by an ordinary resolution remove any director. The Proposed Organizational Documents permit the removal of a director only for cause and only by the affirmative vote of the holders of at least 66 2/3% of the voting power of all the then outstanding shares of capital stock entitled to vote generally in the election of directors. The VIH Board believes that such a standard will (a) increase board continuity and the likelihood that experienced board members with familiarity of Bakkt Pubcos business operations would serve on the board at any given time and (ii) make it more difficult for a potential acquiror or other person, group or entity to gain control of the Company Board. </w:t>
      </w:r>
    </w:p>
    <w:p>
      <w:pPr>
        <w:pStyle w:val="TextBody"/>
        <w:spacing w:before="360" w:after="0"/>
        <w:jc w:val="left"/>
        <w:rPr>
          <w:rFonts w:ascii="Times New Roman" w:hAnsi="Times New Roman"/>
          <w:b/>
          <w:i/>
          <w:sz w:val="20"/>
        </w:rPr>
      </w:pPr>
      <w:r>
        <w:rPr>
          <w:rFonts w:ascii="Times New Roman" w:hAnsi="Times New Roman"/>
          <w:b/>
          <w:i/>
          <w:sz w:val="20"/>
        </w:rPr>
        <w:t xml:space="preserve">Advisory Organizational Documents Proposal 5FAction by Written Consent of Stockholders </w:t>
      </w:r>
    </w:p>
    <w:p>
      <w:pPr>
        <w:pStyle w:val="TextBody"/>
        <w:spacing w:before="120" w:after="0"/>
        <w:jc w:val="left"/>
        <w:rPr>
          <w:rFonts w:ascii="Times New Roman" w:hAnsi="Times New Roman"/>
          <w:sz w:val="20"/>
        </w:rPr>
      </w:pPr>
      <w:r>
        <w:rPr>
          <w:rFonts w:ascii="Times New Roman" w:hAnsi="Times New Roman"/>
          <w:sz w:val="20"/>
        </w:rPr>
        <w:t xml:space="preserve">Under the Proposed Organizational Documents, Bakkt Pubcos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the Proposed Organizational Documents outside of a duly called special or annual meeting of the stockholders of Bakkt Pubco. </w:t>
      </w:r>
    </w:p>
    <w:p>
      <w:pPr>
        <w:pStyle w:val="TextBody"/>
        <w:spacing w:before="240" w:after="0"/>
        <w:jc w:val="left"/>
        <w:rPr>
          <w:rFonts w:ascii="Times New Roman" w:hAnsi="Times New Roman"/>
          <w:sz w:val="20"/>
        </w:rPr>
      </w:pPr>
      <w:r>
        <w:rPr>
          <w:rFonts w:ascii="Times New Roman" w:hAnsi="Times New Roman"/>
          <w:sz w:val="20"/>
        </w:rPr>
        <w:t xml:space="preserve">In addition, the elimination of the stockholders ability to act by written consent may have certain anti-takeover effects by forcing a potential acquirer to take control of the Company Board only at a duly called special or annual meeting. However, this proposal is not in response to any effort of which VIH is aware to obtain control of Bakkt Pubco, and VIH and its management do not presently intend to propose other anti-takeover measures in future proxy solicitations. Further, the VIH Board does not believe that the effects of the elimination of stockholder action by written consent will create a significant impediment to a tender offer or other effort to take control of Bakkt Pubco. Inclusion of these provisions in the Proposed Organizational Documents might also increase the likelihood that a potential acquirer would negotiate the terms of any proposed transaction with the Company Board and thereby help protect stockholders from the use of abusive and coercive takeover tactics. </w:t>
      </w:r>
    </w:p>
    <w:p>
      <w:pPr>
        <w:pStyle w:val="TextBody"/>
        <w:spacing w:before="360" w:after="0"/>
        <w:jc w:val="left"/>
        <w:rPr>
          <w:rFonts w:ascii="Times New Roman" w:hAnsi="Times New Roman"/>
          <w:b/>
          <w:i/>
          <w:sz w:val="20"/>
        </w:rPr>
      </w:pPr>
      <w:r>
        <w:rPr>
          <w:rFonts w:ascii="Times New Roman" w:hAnsi="Times New Roman"/>
          <w:b/>
          <w:i/>
          <w:sz w:val="20"/>
        </w:rPr>
        <w:t xml:space="preserve">Advisory Organizational Documents Proposal 5GProvisions Related to Status as Blank Check Company </w:t>
      </w:r>
    </w:p>
    <w:p>
      <w:pPr>
        <w:pStyle w:val="TextBody"/>
        <w:spacing w:before="120" w:after="0"/>
        <w:jc w:val="left"/>
        <w:rPr>
          <w:rFonts w:ascii="Times New Roman" w:hAnsi="Times New Roman"/>
          <w:sz w:val="20"/>
        </w:rPr>
      </w:pPr>
      <w:r>
        <w:rPr>
          <w:rFonts w:ascii="Times New Roman" w:hAnsi="Times New Roman"/>
          <w:sz w:val="20"/>
        </w:rPr>
        <w:t xml:space="preserve">The VIH Board believes that making corporate existence perpetual is desirable to reflect the Business Combination with Bakkt Opco and to clearly identify Bakkt Pubco as the publicly traded entity. Additionally, perpetual existence is the usual period of existence for corporations, and the VIH Board believes that it is the most appropriate period for VIH following the Closing. </w:t>
      </w:r>
    </w:p>
    <w:p>
      <w:pPr>
        <w:pStyle w:val="TextBody"/>
        <w:spacing w:before="240" w:after="0"/>
        <w:jc w:val="left"/>
        <w:rPr>
          <w:rFonts w:ascii="Times New Roman" w:hAnsi="Times New Roman"/>
          <w:sz w:val="20"/>
        </w:rPr>
      </w:pPr>
      <w:r>
        <w:rPr>
          <w:rFonts w:ascii="Times New Roman" w:hAnsi="Times New Roman"/>
          <w:sz w:val="20"/>
        </w:rPr>
        <w:t xml:space="preserve">The elimination of certain provisions related to VIHs status as a blank check company is desirable because these provisions will serve no purpose following the Business Combination. For example, the Proposed Organizational Documents do not include the requirement to dissolve Bakkt Pubco and allow it to continue as a corporate entity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 perpetual existence following consummation of the Business Combination. Perpetual existence is the usual period of existence for public corporations, and the VIH Board believes it is the most appropriate period for Bakkt Pubco following the Closing. In addition, certain other provisions in the Cayman Constitutional Documents require that proceeds from the IPO be held in the Trust Account until a business combination or liquidation of VIH has occurred. These provisions cease to apply once the Business Combination is consummated and are therefore not included in the Proposed Organizational Documents.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Advisory Organizational Documents Proposals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w:t>
      </w:r>
    </w:p>
    <w:p>
      <w:pPr>
        <w:pStyle w:val="TextBody"/>
        <w:spacing w:before="240" w:after="0"/>
        <w:jc w:val="left"/>
        <w:rPr>
          <w:rFonts w:ascii="Times New Roman" w:hAnsi="Times New Roman"/>
          <w:sz w:val="20"/>
        </w:rPr>
      </w:pPr>
      <w:r>
        <w:rPr>
          <w:rFonts w:ascii="Times New Roman" w:hAnsi="Times New Roman"/>
          <w:sz w:val="20"/>
        </w:rPr>
        <w:t xml:space="preserve">The Advisory Organizational Documents Proposals are not conditioned upon any other proposal.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i/>
          <w:sz w:val="20"/>
        </w:rPr>
      </w:pPr>
      <w:r>
        <w:rPr>
          <w:rFonts w:ascii="Times New Roman" w:hAnsi="Times New Roman"/>
          <w:b/>
          <w:i/>
          <w:sz w:val="20"/>
        </w:rPr>
        <w:t xml:space="preserve">THE VIH BOARD UNANIMOUSLY RECOMMENDS THAT VIH SHAREHOLDERS VOTE FOR THE APPROVAL OF THE ADVISORY ORGANIZATIONAL DOCUMENTS PROPOSALS. </w:t>
      </w:r>
    </w:p>
    <w:p>
      <w:pPr>
        <w:pStyle w:val="TextBody"/>
        <w:spacing w:before="120" w:after="0"/>
        <w:jc w:val="left"/>
        <w:rPr>
          <w:rFonts w:ascii="Times New Roman" w:hAnsi="Times New Roman"/>
          <w:sz w:val="20"/>
        </w:rPr>
      </w:pPr>
      <w:r>
        <w:rPr>
          <w:rFonts w:ascii="Times New Roman" w:hAnsi="Times New Roman"/>
          <w:sz w:val="20"/>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Business Combination that may conflict with your interests as a shareholder.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this proxy statement/prospectus for a further discussion of these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5" w:name="toc108105_16"/>
      <w:bookmarkEnd w:id="65"/>
      <w:r>
        <w:rPr>
          <w:rFonts w:ascii="Times New Roman" w:hAnsi="Times New Roman"/>
          <w:b/>
          <w:sz w:val="20"/>
        </w:rPr>
        <w:t xml:space="preserve">THE BAKKT PUBCO EQUITY INCENTIVE PLAN PROPOSAL </w:t>
      </w:r>
    </w:p>
    <w:p>
      <w:pPr>
        <w:pStyle w:val="TextBody"/>
        <w:spacing w:before="240" w:after="0"/>
        <w:jc w:val="left"/>
        <w:rPr>
          <w:rFonts w:ascii="Times New Roman" w:hAnsi="Times New Roman"/>
          <w:sz w:val="20"/>
        </w:rPr>
      </w:pPr>
      <w:r>
        <w:rPr>
          <w:rFonts w:ascii="Times New Roman" w:hAnsi="Times New Roman"/>
          <w:sz w:val="20"/>
        </w:rPr>
        <w:t>The holders of VIH Shares are being asked to approve the Bakkt Holdings, Inc. 2021 Omnibus Incentive Plan, referred to as the Bakkt Pubco Equity Incentive Plan. The VIH Board intends to adopt the Bakkt Pubco Equity Incentive Plan, subject to approval from the holders of VIH Shares. If approved, the Bakkt Pubco Equity Incentive Plan will become effective upon the Closing and will be used by the Company following the Closing. Where the interests of Bakkt (before the Closing) and the interests of the Company (following the Closing) are the same with respect to the Bakkt Pubco Equity Incentive Plan, the term </w:t>
      </w:r>
      <w:r>
        <w:rPr>
          <w:rFonts w:ascii="Times New Roman" w:hAnsi="Times New Roman"/>
          <w:b/>
          <w:sz w:val="20"/>
        </w:rPr>
        <w:t>Company</w:t>
      </w:r>
      <w:r>
        <w:rPr>
          <w:rFonts w:ascii="Times New Roman" w:hAnsi="Times New Roman"/>
          <w:sz w:val="20"/>
        </w:rPr>
        <w:t xml:space="preserve"> will be used. </w:t>
      </w:r>
    </w:p>
    <w:p>
      <w:pPr>
        <w:pStyle w:val="TextBody"/>
        <w:spacing w:before="240" w:after="0"/>
        <w:jc w:val="left"/>
        <w:rPr>
          <w:rFonts w:ascii="Times New Roman" w:hAnsi="Times New Roman"/>
          <w:sz w:val="20"/>
        </w:rPr>
      </w:pPr>
      <w:r>
        <w:rPr>
          <w:rFonts w:ascii="Times New Roman" w:hAnsi="Times New Roman"/>
          <w:sz w:val="20"/>
        </w:rPr>
        <w:t xml:space="preserve">The VIH Board believes that the Company must offer a competitive equity incentive program if it is to successfully attract and retain the best possible candidates for positions of substantial responsibility within the Company. The VIH Board expects that the Bakkt Pubco Equity Incentive Plan will be an important factor in attracting, retaining and rewarding high caliber employees who are essential to the Companys success and in providing incentive to these individuals to promote the success of the Company. </w:t>
      </w:r>
    </w:p>
    <w:p>
      <w:pPr>
        <w:pStyle w:val="TextBody"/>
        <w:spacing w:before="360" w:after="0"/>
        <w:jc w:val="left"/>
        <w:rPr>
          <w:rFonts w:ascii="Times New Roman" w:hAnsi="Times New Roman"/>
          <w:b/>
          <w:sz w:val="20"/>
        </w:rPr>
      </w:pPr>
      <w:r>
        <w:rPr>
          <w:rFonts w:ascii="Times New Roman" w:hAnsi="Times New Roman"/>
          <w:b/>
          <w:sz w:val="20"/>
        </w:rPr>
        <w:t xml:space="preserve">Summary of the Bakkt Pubco Equity Incentive Plan </w:t>
      </w:r>
    </w:p>
    <w:p>
      <w:pPr>
        <w:pStyle w:val="TextBody"/>
        <w:spacing w:before="120" w:after="0"/>
        <w:jc w:val="left"/>
        <w:rPr>
          <w:rFonts w:ascii="Times New Roman" w:hAnsi="Times New Roman"/>
          <w:sz w:val="20"/>
        </w:rPr>
      </w:pPr>
      <w:r>
        <w:rPr>
          <w:rFonts w:ascii="Times New Roman" w:hAnsi="Times New Roman"/>
          <w:sz w:val="20"/>
        </w:rPr>
        <w:t xml:space="preserve">The following summary is not a complete statement of the Bakkt Pubco Equity Incentive Plan and is qualified in its entirety by reference to the complete text of the Bakkt Pubco Equity Incentive Plan, a copy of which is attached hereto as </w:t>
      </w:r>
      <w:r>
        <w:rPr>
          <w:rFonts w:ascii="Times New Roman" w:hAnsi="Times New Roman"/>
          <w:i/>
          <w:sz w:val="20"/>
          <w:u w:val="single"/>
        </w:rPr>
        <w:t>Annex C</w:t>
      </w:r>
      <w:r>
        <w:rPr>
          <w:rFonts w:ascii="Times New Roman" w:hAnsi="Times New Roman"/>
          <w:sz w:val="20"/>
        </w:rPr>
        <w:t xml:space="preserve"> to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purposes of the Bakkt Pubco Equity Incentive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 These incentives are provided through the grant of stock options (including incentive stock options intended to be qualified under Section 422 of the Code), stock appreciation rights, restricted stock, restricted stock units, dividend equivalent rights and other stock-based awards. Any of these awards may, but need not, be made as performance-based incentive awards. </w:t>
      </w:r>
    </w:p>
    <w:p>
      <w:pPr>
        <w:pStyle w:val="TextBody"/>
        <w:spacing w:before="360" w:after="0"/>
        <w:jc w:val="left"/>
        <w:rPr>
          <w:rFonts w:ascii="Times New Roman" w:hAnsi="Times New Roman"/>
          <w:b/>
          <w:i/>
          <w:sz w:val="20"/>
        </w:rPr>
      </w:pPr>
      <w:r>
        <w:rPr>
          <w:rFonts w:ascii="Times New Roman" w:hAnsi="Times New Roman"/>
          <w:b/>
          <w:i/>
          <w:sz w:val="20"/>
        </w:rPr>
        <w:t xml:space="preserve">Authorized Shares </w:t>
      </w:r>
    </w:p>
    <w:p>
      <w:pPr>
        <w:pStyle w:val="TextBody"/>
        <w:spacing w:before="120" w:after="0"/>
        <w:jc w:val="left"/>
        <w:rPr>
          <w:rFonts w:ascii="Times New Roman" w:hAnsi="Times New Roman"/>
          <w:sz w:val="20"/>
        </w:rPr>
      </w:pPr>
      <w:r>
        <w:rPr>
          <w:rFonts w:ascii="Times New Roman" w:hAnsi="Times New Roman"/>
          <w:sz w:val="20"/>
        </w:rPr>
        <w:t xml:space="preserve">A total number of Bakkt Pubco Class A Shares equal to 10% of the fully-diluted shares outstanding following the Closing will be authorized and reserved for issuance under the Bakkt Pubco Equity Incentive Plan, which using the assumptions described under the section entitled [●] would be [●] Bakkt Pubco Class A Shares. </w:t>
      </w:r>
    </w:p>
    <w:p>
      <w:pPr>
        <w:pStyle w:val="TextBody"/>
        <w:spacing w:before="240" w:after="0"/>
        <w:jc w:val="left"/>
        <w:rPr>
          <w:rFonts w:ascii="Times New Roman" w:hAnsi="Times New Roman"/>
          <w:sz w:val="20"/>
        </w:rPr>
      </w:pPr>
      <w:r>
        <w:rPr>
          <w:rFonts w:ascii="Times New Roman" w:hAnsi="Times New Roman"/>
          <w:sz w:val="20"/>
        </w:rPr>
        <w:t xml:space="preserve">If shares covered by an award are not purchased or are forfeited or expire, or otherwise terminate without delivery of any shares subject thereto, then such shares will, to the extent of any such forfeiture, termination, cash-settlement or expiration, be available for future grant under the Bakkt Pubco Equity Incentive Plan. The payment of dividend equivalent rights in cash in conjunction with any outstanding awards will not be counted against the shares available for issuance under the Bakkt Pubco Equity Incentive Plan, and shares tendered by a participant, repurchased by the Company using proceeds from the exercise of stock options or withheld by the Company in payment of the exercise price of a stock option or to satisfy any tax withholding obligation for an award will not again be available for future awards. </w:t>
      </w:r>
    </w:p>
    <w:p>
      <w:pPr>
        <w:pStyle w:val="TextBody"/>
        <w:spacing w:before="360" w:after="0"/>
        <w:jc w:val="left"/>
        <w:rPr>
          <w:rFonts w:ascii="Times New Roman" w:hAnsi="Times New Roman"/>
          <w:b/>
          <w:i/>
          <w:sz w:val="20"/>
        </w:rPr>
      </w:pPr>
      <w:r>
        <w:rPr>
          <w:rFonts w:ascii="Times New Roman" w:hAnsi="Times New Roman"/>
          <w:b/>
          <w:i/>
          <w:sz w:val="20"/>
        </w:rPr>
        <w:t xml:space="preserve">Adjustments to Shares Subject to the Bakkt Pubco Equity Incentive Plan </w:t>
      </w:r>
    </w:p>
    <w:p>
      <w:pPr>
        <w:pStyle w:val="TextBody"/>
        <w:spacing w:before="120" w:after="0"/>
        <w:jc w:val="left"/>
        <w:rPr>
          <w:rFonts w:ascii="Times New Roman" w:hAnsi="Times New Roman"/>
          <w:sz w:val="20"/>
        </w:rPr>
      </w:pPr>
      <w:r>
        <w:rPr>
          <w:rFonts w:ascii="Times New Roman" w:hAnsi="Times New Roman"/>
          <w:sz w:val="20"/>
        </w:rPr>
        <w:t xml:space="preserve">In the event of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that results in any increase or decrease in the number of issued shares,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administrator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price for each related outstanding option and stock appreciation right. </w:t>
      </w:r>
    </w:p>
    <w:p>
      <w:pPr>
        <w:pStyle w:val="TextBody"/>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spacing w:before="120" w:after="0"/>
        <w:jc w:val="left"/>
        <w:rPr>
          <w:rFonts w:ascii="Times New Roman" w:hAnsi="Times New Roman"/>
          <w:sz w:val="20"/>
        </w:rPr>
      </w:pPr>
      <w:r>
        <w:rPr>
          <w:rFonts w:ascii="Times New Roman" w:hAnsi="Times New Roman"/>
          <w:sz w:val="20"/>
        </w:rPr>
        <w:t>The compensation committee of the Company Board will administer the Bakkt Pubco Equity Incentive Plan (referred to as the </w:t>
      </w:r>
      <w:r>
        <w:rPr>
          <w:rFonts w:ascii="Times New Roman" w:hAnsi="Times New Roman"/>
          <w:b/>
          <w:sz w:val="20"/>
        </w:rPr>
        <w:t>administrator</w:t>
      </w:r>
      <w:r>
        <w:rPr>
          <w:rFonts w:ascii="Times New Roman" w:hAnsi="Times New Roman"/>
          <w:sz w:val="20"/>
        </w:rPr>
        <w:t xml:space="preserve">); provided that such committee consist of at least two members of the Company Board, each of whom qualifies as a non-employee director under Rule 16b-3 of the Exchange Act, and as an independent director under the rules of the stock exchange for so long as the Company is a publicly traded corporation. Subject to the provisions of the Bakkt Pubco Equity Incentive Plan, the administrator has the power to administer the Bakkt Pubco Equity Incentive Plan, including but not limited to, the authority to (a) construe, interpret and implement the Bakkt Pubco Equity Incentive Plan and each award, (b) make all determinations necessary or advisable in administering the Bakkt Pubco Equity Incentive Plan, (c) direct the Company to grant awards pursuant to the Bakkt Pubco Equity Incentive Plan, (d) determine the grantees to whom and the times at which awards will be granted, (e) determine the price at which options are granted, (f) determine the type of option to be awarded and the number of shares subject to such option, (g) determine the number of shares granted pursuant to each award and (h) approve the form and terms and conditions of the award documents and of each award. The administrators interpretation and construction of any provisions of the Bakkt Pubco Equity Incentive Plan or any award are final, binding and conclusive. </w:t>
      </w:r>
    </w:p>
    <w:p>
      <w:pPr>
        <w:pStyle w:val="TextBody"/>
        <w:spacing w:before="360" w:after="0"/>
        <w:jc w:val="left"/>
        <w:rPr>
          <w:rFonts w:ascii="Times New Roman" w:hAnsi="Times New Roman"/>
          <w:b/>
          <w:i/>
          <w:sz w:val="20"/>
        </w:rPr>
      </w:pPr>
      <w:r>
        <w:rPr>
          <w:rFonts w:ascii="Times New Roman" w:hAnsi="Times New Roman"/>
          <w:b/>
          <w:i/>
          <w:sz w:val="20"/>
        </w:rPr>
        <w:t xml:space="preserve">Eligibility </w:t>
      </w:r>
    </w:p>
    <w:p>
      <w:pPr>
        <w:pStyle w:val="TextBody"/>
        <w:spacing w:before="120" w:after="0"/>
        <w:jc w:val="left"/>
        <w:rPr>
          <w:rFonts w:ascii="Times New Roman" w:hAnsi="Times New Roman"/>
          <w:sz w:val="20"/>
        </w:rPr>
      </w:pPr>
      <w:r>
        <w:rPr>
          <w:rFonts w:ascii="Times New Roman" w:hAnsi="Times New Roman"/>
          <w:sz w:val="20"/>
        </w:rPr>
        <w:t xml:space="preserve">Awards may be granted to employees, non-employee directors, consultants and advisors of the Company and any parent or subsidiary corporation of the Company. Incentive stock options may be granted only to employees who, as of the time of grant, are employees of the Company or any parent or subsidiary corporation of the Company. </w:t>
      </w:r>
    </w:p>
    <w:p>
      <w:pPr>
        <w:pStyle w:val="TextBody"/>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spacing w:before="120" w:after="0"/>
        <w:jc w:val="left"/>
        <w:rPr>
          <w:rFonts w:ascii="Times New Roman" w:hAnsi="Times New Roman"/>
          <w:sz w:val="20"/>
        </w:rPr>
      </w:pPr>
      <w:r>
        <w:rPr>
          <w:rFonts w:ascii="Times New Roman" w:hAnsi="Times New Roman"/>
          <w:sz w:val="20"/>
        </w:rPr>
        <w:t xml:space="preserve">Stock options in the form of nonstatutory stock options or incentive stock options may be granted under the Bakkt Pubco Equity Incentive Plan. The administrator determines the number of shares subject to each option. The administrator determines the exercise price of options granted under the Bakkt Pubco Equity Incentive Plan; provided that the exercise price must at least be equal to the fair market value of the Companys Shares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(a) by personal check, (b) shares of the same class as those to be granted by exercise of the stock option, (c) any other form of consideration approved by the Company and permitted by applicable law, or (d) any combination of the foregoing. An option may not be exercised later than the expiration of its term. Subject to the provisions of the Bakkt Pubco Equity Incentive Plan, the administrator determines the other terms of options.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Stock Appreciation Rights </w:t>
      </w:r>
    </w:p>
    <w:p>
      <w:pPr>
        <w:pStyle w:val="TextBody"/>
        <w:spacing w:before="120" w:after="0"/>
        <w:jc w:val="left"/>
        <w:rPr>
          <w:rFonts w:ascii="Times New Roman" w:hAnsi="Times New Roman"/>
          <w:sz w:val="20"/>
        </w:rPr>
      </w:pPr>
      <w:r>
        <w:rPr>
          <w:rFonts w:ascii="Times New Roman" w:hAnsi="Times New Roman"/>
          <w:sz w:val="20"/>
        </w:rPr>
        <w:t xml:space="preserve">Stock appreciation rights may be granted under the Bakkt Pubco Equity Incentive Plan. Stock appreciation rights allow the recipient to receive the appreciation in the fair market value of the Companys Shares between the exercise date and the date of grant. Stock appreciation rights may not have a term exceeding ten years. The grant price for a stock appreciation right may not be less than 100% of the fair market value per share on the date of grant. Subject to the provisions of the, the administrator determines the other terms of stock appreciation rights, including when such rights become exercisable.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spacing w:before="120" w:after="0"/>
        <w:jc w:val="left"/>
        <w:rPr>
          <w:rFonts w:ascii="Times New Roman" w:hAnsi="Times New Roman"/>
          <w:sz w:val="20"/>
        </w:rPr>
      </w:pPr>
      <w:r>
        <w:rPr>
          <w:rFonts w:ascii="Times New Roman" w:hAnsi="Times New Roman"/>
          <w:sz w:val="20"/>
        </w:rPr>
        <w:t xml:space="preserve">Restricted stock may be granted under the Bakkt Pubco Equity Incentive Plan. Restricted stock awards are grants of shares of Bakkt Pubco Common Stock that vest in accordance with terms and conditions established by the administrator. The administrator will determine the number of shares of restricted stock granted to any employee, director, consultant or advisor and, subject to the provisions of the Bakkt Pubco Equity Incentive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 Unless the administrator determines otherwise, during the restricted period, all dividends or other distributions paid upon any restricted stock awards will be retained by the Company 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spacing w:before="120" w:after="0"/>
        <w:jc w:val="left"/>
        <w:rPr>
          <w:rFonts w:ascii="Times New Roman" w:hAnsi="Times New Roman"/>
          <w:sz w:val="20"/>
        </w:rPr>
      </w:pPr>
      <w:r>
        <w:rPr>
          <w:rFonts w:ascii="Times New Roman" w:hAnsi="Times New Roman"/>
          <w:sz w:val="20"/>
        </w:rPr>
        <w:t xml:space="preserve">Restricted stock units may be granted under the Bakkt Pubco Equity Incentive Plan. Restricted stock units are bookkeeping entries representing an amount equal to the fair market value of one share of Bakkt Pubco Common Stock. Subject to the provisions of the Bakkt Pubco Equity Incentive Plan, the administrator determines the terms and conditions of restricted stock units, including the vesting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administrator. </w:t>
      </w:r>
    </w:p>
    <w:p>
      <w:pPr>
        <w:pStyle w:val="TextBody"/>
        <w:spacing w:before="360" w:after="0"/>
        <w:jc w:val="left"/>
        <w:rPr>
          <w:rFonts w:ascii="Times New Roman" w:hAnsi="Times New Roman"/>
          <w:b/>
          <w:i/>
          <w:sz w:val="20"/>
        </w:rPr>
      </w:pPr>
      <w:r>
        <w:rPr>
          <w:rFonts w:ascii="Times New Roman" w:hAnsi="Times New Roman"/>
          <w:b/>
          <w:i/>
          <w:sz w:val="20"/>
        </w:rPr>
        <w:t xml:space="preserve">Dividend Equivalent Rights </w:t>
      </w:r>
    </w:p>
    <w:p>
      <w:pPr>
        <w:pStyle w:val="TextBody"/>
        <w:spacing w:before="120" w:after="0"/>
        <w:jc w:val="left"/>
        <w:rPr>
          <w:rFonts w:ascii="Times New Roman" w:hAnsi="Times New Roman"/>
          <w:sz w:val="20"/>
        </w:rPr>
      </w:pPr>
      <w:r>
        <w:rPr>
          <w:rFonts w:ascii="Times New Roman" w:hAnsi="Times New Roman"/>
          <w:sz w:val="20"/>
        </w:rPr>
        <w:t xml:space="preserve">Dividend equivalent rights may be granted under the Bakkt Pubco Equity Incentive Plan. Dividend equivalent rights are entitlements to receive credits based on cash distributions that would have been paid on the shares of Bakkt Pubco Common Stock subject to an equity-based award granted to an individual as though such shares had been issued to and held by the grantee. Subject to the terms of the Bakkt Pubco Equity Incentive Plan, the administrator determines the terms and conditions of dividend equivalent rights. </w:t>
      </w:r>
    </w:p>
    <w:p>
      <w:pPr>
        <w:pStyle w:val="TextBody"/>
        <w:spacing w:before="360" w:after="0"/>
        <w:jc w:val="left"/>
        <w:rPr>
          <w:rFonts w:ascii="Times New Roman" w:hAnsi="Times New Roman"/>
          <w:b/>
          <w:i/>
          <w:sz w:val="20"/>
        </w:rPr>
      </w:pPr>
      <w:r>
        <w:rPr>
          <w:rFonts w:ascii="Times New Roman" w:hAnsi="Times New Roman"/>
          <w:b/>
          <w:i/>
          <w:sz w:val="20"/>
        </w:rPr>
        <w:t xml:space="preserve">Other Stock-Based or Cash-Based Awards </w:t>
      </w:r>
    </w:p>
    <w:p>
      <w:pPr>
        <w:pStyle w:val="TextBody"/>
        <w:spacing w:before="120" w:after="0"/>
        <w:jc w:val="left"/>
        <w:rPr>
          <w:rFonts w:ascii="Times New Roman" w:hAnsi="Times New Roman"/>
          <w:sz w:val="20"/>
        </w:rPr>
      </w:pPr>
      <w:r>
        <w:rPr>
          <w:rFonts w:ascii="Times New Roman" w:hAnsi="Times New Roman"/>
          <w:sz w:val="20"/>
        </w:rPr>
        <w:t xml:space="preserve">Other types of stock-based, stock-related or cash-based awards (including the grant or offer for sale of unrestricted shares of Bakkt Pubco Common Stock, performance share awards, or performance units settled in cash) in amounts and under terms and conditions determined by the administrator. </w:t>
      </w:r>
    </w:p>
    <w:p>
      <w:pPr>
        <w:pStyle w:val="TextBody"/>
        <w:spacing w:before="360" w:after="0"/>
        <w:jc w:val="left"/>
        <w:rPr>
          <w:rFonts w:ascii="Times New Roman" w:hAnsi="Times New Roman"/>
          <w:b/>
          <w:i/>
          <w:sz w:val="20"/>
        </w:rPr>
      </w:pPr>
      <w:r>
        <w:rPr>
          <w:rFonts w:ascii="Times New Roman" w:hAnsi="Times New Roman"/>
          <w:b/>
          <w:i/>
          <w:sz w:val="20"/>
        </w:rPr>
        <w:t xml:space="preserve">Transferability of Awards </w:t>
      </w:r>
    </w:p>
    <w:p>
      <w:pPr>
        <w:pStyle w:val="TextBody"/>
        <w:spacing w:before="120" w:after="0"/>
        <w:jc w:val="left"/>
        <w:rPr>
          <w:rFonts w:ascii="Times New Roman" w:hAnsi="Times New Roman"/>
          <w:sz w:val="20"/>
        </w:rPr>
      </w:pPr>
      <w:r>
        <w:rPr>
          <w:rFonts w:ascii="Times New Roman" w:hAnsi="Times New Roman"/>
          <w:sz w:val="20"/>
        </w:rPr>
        <w:t xml:space="preserve">Unless otherwise determined by the administrator in its sole discretion, no award (or any rights and obligations thereunder) granted to any person under the Bakkt Pubco Equity Incentive Plan may be sold, exchanged,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 </w:t>
      </w:r>
    </w:p>
    <w:p>
      <w:pPr>
        <w:pStyle w:val="TextBody"/>
        <w:spacing w:before="360" w:after="0"/>
        <w:jc w:val="left"/>
        <w:rPr>
          <w:rFonts w:ascii="Times New Roman" w:hAnsi="Times New Roman"/>
          <w:b/>
          <w:i/>
          <w:sz w:val="20"/>
        </w:rPr>
      </w:pPr>
      <w:r>
        <w:rPr>
          <w:rFonts w:ascii="Times New Roman" w:hAnsi="Times New Roman"/>
          <w:b/>
          <w:i/>
          <w:sz w:val="20"/>
        </w:rPr>
        <w:t xml:space="preserve">Grants to Non-Employee Directors </w:t>
      </w:r>
    </w:p>
    <w:p>
      <w:pPr>
        <w:pStyle w:val="TextBody"/>
        <w:spacing w:before="120" w:after="0"/>
        <w:jc w:val="left"/>
        <w:rPr>
          <w:rFonts w:ascii="Times New Roman" w:hAnsi="Times New Roman"/>
          <w:sz w:val="20"/>
        </w:rPr>
      </w:pPr>
      <w:r>
        <w:rPr>
          <w:rFonts w:ascii="Times New Roman" w:hAnsi="Times New Roman"/>
          <w:sz w:val="20"/>
        </w:rPr>
        <w:t xml:space="preserve">Grants made to non-employee directors may be in any form other than incentive stock options. The fair value of any awards granted to a non-employee director, including cash compensation in respect of such directors service, may not exceed $250,000 in any one calendar year. </w:t>
      </w:r>
    </w:p>
    <w:p>
      <w:pPr>
        <w:pStyle w:val="TextBody"/>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spacing w:before="120" w:after="0"/>
        <w:jc w:val="left"/>
        <w:rPr>
          <w:rFonts w:ascii="Times New Roman" w:hAnsi="Times New Roman"/>
          <w:sz w:val="20"/>
        </w:rPr>
      </w:pPr>
      <w:r>
        <w:rPr>
          <w:rFonts w:ascii="Times New Roman" w:hAnsi="Times New Roman"/>
          <w:sz w:val="20"/>
        </w:rPr>
        <w:t xml:space="preserve">The Bakkt Pubco Equity Incentive Plan provides that in the event of a change in control, as defined under the Bakkt Pubco Equity Incentive Plan, each outstanding award will be treated as the administrator determines, including accelerating the expiration or termination date or the date of exercisability of an award, settling any award by means of a cash payment, or removing any restrictions from or imposing any additional restrictions on any outstanding awards. Notwithstanding the foregoing, and unless otherwise determined by the administrator (or unless otherwise provided in the applicable award agreement), in the event that a participant is terminated by the Company other than for Cause (as defined in the Bakkt Pubco Equity Incentive Plan) or by the participant for Good Reason (as defined in the Bakkt Pubco Equity Incentive Plan), in either case, on or within two years following a change in control, then each of the participants outstanding awards granted prior to the change in control will become fully-vested, any restrictions thereon lapse and any risk of forfeiture thereon lapse, in each case, as to all of the shares of Bakkt Pubco Common Stock subject to the award. In the event of a change in control, any outstanding awards subject to performance goals will be deemed earned at 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 </w:t>
      </w:r>
    </w:p>
    <w:p>
      <w:pPr>
        <w:pStyle w:val="TextBody"/>
        <w:spacing w:before="360" w:after="0"/>
        <w:jc w:val="left"/>
        <w:rPr>
          <w:rFonts w:ascii="Times New Roman" w:hAnsi="Times New Roman"/>
          <w:b/>
          <w:i/>
          <w:sz w:val="20"/>
        </w:rPr>
      </w:pPr>
      <w:r>
        <w:rPr>
          <w:rFonts w:ascii="Times New Roman" w:hAnsi="Times New Roman"/>
          <w:b/>
          <w:i/>
          <w:sz w:val="20"/>
        </w:rPr>
        <w:t xml:space="preserve">Amendment; Termination </w:t>
      </w:r>
    </w:p>
    <w:p>
      <w:pPr>
        <w:pStyle w:val="TextBody"/>
        <w:spacing w:before="120" w:after="0"/>
        <w:jc w:val="left"/>
        <w:rPr>
          <w:rFonts w:ascii="Times New Roman" w:hAnsi="Times New Roman"/>
          <w:sz w:val="20"/>
        </w:rPr>
      </w:pPr>
      <w:r>
        <w:rPr>
          <w:rFonts w:ascii="Times New Roman" w:hAnsi="Times New Roman"/>
          <w:sz w:val="20"/>
        </w:rPr>
        <w:t xml:space="preserve">The Company Board has the authority to amend the Bakkt Pubco Equity Incentive Plan from time to time; 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Bakkt Pubco Equity Incentive Plan at any time, and the Bakkt Pubco Equity Incentive Plan will automatically terminate in 2031. </w:t>
      </w:r>
    </w:p>
    <w:p>
      <w:pPr>
        <w:pStyle w:val="TextBody"/>
        <w:spacing w:before="360" w:after="0"/>
        <w:jc w:val="left"/>
        <w:rPr>
          <w:rFonts w:ascii="Times New Roman" w:hAnsi="Times New Roman"/>
          <w:b/>
          <w:sz w:val="20"/>
        </w:rPr>
      </w:pPr>
      <w:r>
        <w:rPr>
          <w:rFonts w:ascii="Times New Roman" w:hAnsi="Times New Roman"/>
          <w:b/>
          <w:sz w:val="20"/>
        </w:rPr>
        <w:t xml:space="preserve">Summary of U.S. Federal Income Tax Consequences of the Bakkt Pubco Equity Incentive Plan </w:t>
      </w:r>
    </w:p>
    <w:p>
      <w:pPr>
        <w:pStyle w:val="TextBody"/>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material U.S. federal income tax consequences of participation in the Bakkt Pubco Equity Incentive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 </w:t>
      </w:r>
    </w:p>
    <w:p>
      <w:pPr>
        <w:pStyle w:val="TextBody"/>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spacing w:before="120" w:after="0"/>
        <w:jc w:val="left"/>
        <w:rPr>
          <w:rFonts w:ascii="Times New Roman" w:hAnsi="Times New Roman"/>
          <w:sz w:val="20"/>
        </w:rPr>
      </w:pPr>
      <w:r>
        <w:rPr>
          <w:rFonts w:ascii="Times New Roman" w:hAnsi="Times New Roman"/>
          <w:sz w:val="20"/>
        </w:rPr>
        <w:t xml:space="preserve">An optionee recognizes no taxable income for regular income tax purposes as a result of the grant or exercise of an incentive stock option qualifying under Section 422 of the Code. Optionees who neither dispose of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w:t>
      </w:r>
      <w:r>
        <w:rPr>
          <w:rFonts w:ascii="Times New Roman" w:hAnsi="Times New Roman"/>
          <w:b/>
          <w:sz w:val="20"/>
        </w:rPr>
        <w:t>disqualifying disposition</w:t>
      </w:r>
      <w:r>
        <w:rPr>
          <w:rFonts w:ascii="Times New Roman" w:hAnsi="Times New Roman"/>
          <w:sz w:val="20"/>
        </w:rPr>
        <w:t xml:space="preserve">),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 </w:t>
      </w:r>
    </w:p>
    <w:p>
      <w:pPr>
        <w:pStyle w:val="TextBody"/>
        <w:spacing w:before="240" w:after="0"/>
        <w:jc w:val="left"/>
        <w:rPr>
          <w:rFonts w:ascii="Times New Roman" w:hAnsi="Times New Roman"/>
          <w:sz w:val="20"/>
        </w:rPr>
      </w:pPr>
      <w:r>
        <w:rPr>
          <w:rFonts w:ascii="Times New Roman" w:hAnsi="Times New Roman"/>
          <w:sz w:val="20"/>
        </w:rPr>
        <w:t xml:space="preserve">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 </w:t>
      </w:r>
    </w:p>
    <w:p>
      <w:pPr>
        <w:pStyle w:val="TextBody"/>
        <w:spacing w:before="360" w:after="0"/>
        <w:jc w:val="left"/>
        <w:rPr>
          <w:rFonts w:ascii="Times New Roman" w:hAnsi="Times New Roman"/>
          <w:b/>
          <w:i/>
          <w:sz w:val="20"/>
        </w:rPr>
      </w:pPr>
      <w:r>
        <w:rPr>
          <w:rFonts w:ascii="Times New Roman" w:hAnsi="Times New Roman"/>
          <w:b/>
          <w:i/>
          <w:sz w:val="20"/>
        </w:rPr>
        <w:t xml:space="preserve">Nonstatutory Stock Options </w:t>
      </w:r>
    </w:p>
    <w:p>
      <w:pPr>
        <w:pStyle w:val="TextBody"/>
        <w:spacing w:before="120" w:after="0"/>
        <w:jc w:val="left"/>
        <w:rPr>
          <w:rFonts w:ascii="Times New Roman" w:hAnsi="Times New Roman"/>
          <w:sz w:val="20"/>
        </w:rPr>
      </w:pPr>
      <w:r>
        <w:rPr>
          <w:rFonts w:ascii="Times New Roman" w:hAnsi="Times New Roman"/>
          <w:sz w:val="20"/>
        </w:rPr>
        <w:t xml:space="preserve">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 </w:t>
      </w:r>
    </w:p>
    <w:p>
      <w:pPr>
        <w:pStyle w:val="TextBody"/>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spacing w:before="120" w:after="0"/>
        <w:jc w:val="left"/>
        <w:rPr>
          <w:rFonts w:ascii="Times New Roman" w:hAnsi="Times New Roman"/>
          <w:sz w:val="20"/>
        </w:rPr>
      </w:pPr>
      <w:r>
        <w:rPr>
          <w:rFonts w:ascii="Times New Roman" w:hAnsi="Times New Roman"/>
          <w:sz w:val="20"/>
        </w:rPr>
        <w:t xml:space="preserve">In general, no taxable income is reportable when a stock appreciation right is granted to a participant. Upon exercise, the participant generally will recognize ordinary income in an amount equal to the fair market value of any shares of Bakkt Pubco Common Stock or cash received. Any additional gain or loss recognized upon any later disposition of the shares, if any, would be capital gain or loss.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spacing w:before="120" w:after="0"/>
        <w:jc w:val="left"/>
        <w:rPr>
          <w:rFonts w:ascii="Times New Roman" w:hAnsi="Times New Roman"/>
          <w:sz w:val="20"/>
        </w:rPr>
      </w:pPr>
      <w:r>
        <w:rPr>
          <w:rFonts w:ascii="Times New Roman" w:hAnsi="Times New Roman"/>
          <w:sz w:val="20"/>
        </w:rPr>
        <w:t xml:space="preserve">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 </w:t>
      </w:r>
    </w:p>
    <w:p>
      <w:pPr>
        <w:pStyle w:val="TextBody"/>
        <w:spacing w:before="360" w:after="0"/>
        <w:jc w:val="left"/>
        <w:rPr>
          <w:rFonts w:ascii="Times New Roman" w:hAnsi="Times New Roman"/>
          <w:b/>
          <w:i/>
          <w:sz w:val="20"/>
        </w:rPr>
      </w:pPr>
      <w:r>
        <w:rPr>
          <w:rFonts w:ascii="Times New Roman" w:hAnsi="Times New Roman"/>
          <w:b/>
          <w:i/>
          <w:sz w:val="20"/>
        </w:rPr>
        <w:t xml:space="preserve">Section 409A </w:t>
      </w:r>
    </w:p>
    <w:p>
      <w:pPr>
        <w:pStyle w:val="TextBody"/>
        <w:spacing w:before="120" w:after="0"/>
        <w:jc w:val="left"/>
        <w:rPr>
          <w:rFonts w:ascii="Times New Roman" w:hAnsi="Times New Roman"/>
          <w:sz w:val="20"/>
        </w:rPr>
      </w:pPr>
      <w:r>
        <w:rPr>
          <w:rFonts w:ascii="Times New Roman" w:hAnsi="Times New Roman"/>
          <w:sz w:val="20"/>
        </w:rPr>
        <w:t xml:space="preserve">Section 409A of the Code provides certain requirements for non-qualified deferred compensation arrangements with respect to an individuals deferral and distribution elections and permissible distribution events. If an award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 </w:t>
      </w:r>
    </w:p>
    <w:p>
      <w:pPr>
        <w:pStyle w:val="TextBody"/>
        <w:spacing w:before="360" w:after="0"/>
        <w:jc w:val="left"/>
        <w:rPr>
          <w:rFonts w:ascii="Times New Roman" w:hAnsi="Times New Roman"/>
          <w:b/>
          <w:i/>
          <w:sz w:val="20"/>
        </w:rPr>
      </w:pPr>
      <w:r>
        <w:rPr>
          <w:rFonts w:ascii="Times New Roman" w:hAnsi="Times New Roman"/>
          <w:b/>
          <w:i/>
          <w:sz w:val="20"/>
        </w:rPr>
        <w:t xml:space="preserve">Tax Effect for the Company </w:t>
      </w:r>
    </w:p>
    <w:p>
      <w:pPr>
        <w:pStyle w:val="TextBody"/>
        <w:spacing w:before="120" w:after="0"/>
        <w:jc w:val="left"/>
        <w:rPr>
          <w:rFonts w:ascii="Times New Roman" w:hAnsi="Times New Roman"/>
          <w:sz w:val="20"/>
        </w:rPr>
      </w:pPr>
      <w:r>
        <w:rPr>
          <w:rFonts w:ascii="Times New Roman" w:hAnsi="Times New Roman"/>
          <w:sz w:val="20"/>
        </w:rPr>
        <w:t xml:space="preserve">The Company generally will be entitled to a tax deduction in connection with an award under the Bakkt Pubco Equity Incentive Plan in an amount 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 </w:t>
      </w:r>
    </w:p>
    <w:p>
      <w:pPr>
        <w:pStyle w:val="TextBody"/>
        <w:spacing w:before="360" w:after="0"/>
        <w:jc w:val="left"/>
        <w:rPr>
          <w:rFonts w:ascii="Times New Roman" w:hAnsi="Times New Roman"/>
          <w:b/>
          <w:sz w:val="20"/>
        </w:rPr>
      </w:pPr>
      <w:r>
        <w:rPr>
          <w:rFonts w:ascii="Times New Roman" w:hAnsi="Times New Roman"/>
          <w:b/>
          <w:sz w:val="20"/>
        </w:rPr>
        <w:t xml:space="preserve">THE FOREGOING IS ONLY A SUMMARY OF THE EFFECT OF THE U.S. FEDERAL INCOME TAXATION UPON PARTICIPANTS AND THE COMPANY UNDER THE BAKKT PUBCO EQUITY INCENTIVE PLAN. IT DOES NOT PURPORT TO BE COMPLETE AND DOES NOT DISCUSS THE TAX CONSEQUENCES OF A PARTICIPANTS DEATH OR THE PROVISIONS OF THE INCOME TAX LAWS OF ANY MUNICIPALITY, STATE, OR FOREIGN COUNTRY IN WHICH THE PARTICIPANT MAY RESIDE. </w:t>
      </w:r>
    </w:p>
    <w:p>
      <w:pPr>
        <w:pStyle w:val="TextBody"/>
        <w:spacing w:before="120" w:after="0"/>
        <w:jc w:val="left"/>
        <w:rPr>
          <w:rFonts w:ascii="Times New Roman" w:hAnsi="Times New Roman"/>
          <w:b/>
          <w:sz w:val="20"/>
        </w:rPr>
      </w:pPr>
      <w:r>
        <w:rPr>
          <w:rFonts w:ascii="Times New Roman" w:hAnsi="Times New Roman"/>
          <w:b/>
          <w:sz w:val="20"/>
        </w:rPr>
        <w:t xml:space="preserve">Number of Awards Granted to Employees, Consultants and Directors </w:t>
      </w:r>
    </w:p>
    <w:p>
      <w:pPr>
        <w:pStyle w:val="TextBody"/>
        <w:spacing w:before="120" w:after="0"/>
        <w:jc w:val="left"/>
        <w:rPr>
          <w:rFonts w:ascii="Times New Roman" w:hAnsi="Times New Roman"/>
          <w:sz w:val="20"/>
        </w:rPr>
      </w:pPr>
      <w:r>
        <w:rPr>
          <w:rFonts w:ascii="Times New Roman" w:hAnsi="Times New Roman"/>
          <w:sz w:val="20"/>
        </w:rPr>
        <w:t xml:space="preserve">As of the date hereof, no awards have been granted under the Bakkt Pubco Equity Incentive Plan. </w:t>
      </w:r>
    </w:p>
    <w:p>
      <w:pPr>
        <w:pStyle w:val="TextBody"/>
        <w:spacing w:before="240" w:after="0"/>
        <w:jc w:val="left"/>
        <w:rPr>
          <w:rFonts w:ascii="Times New Roman" w:hAnsi="Times New Roman"/>
          <w:sz w:val="20"/>
        </w:rPr>
      </w:pPr>
      <w:r>
        <w:rPr>
          <w:rFonts w:ascii="Times New Roman" w:hAnsi="Times New Roman"/>
          <w:sz w:val="20"/>
        </w:rPr>
        <w:t xml:space="preserve">Following and subject to the Closing and the approval of the Bakkt Pubco Equity Incentive Plan Proposal, Mr. Michael, the Chief Executive Officer of the Company, will be entitled to receive an initial award of 4,164,000 restricted stock units pursuant to the Bakkt Pubco Equity Incentive Plan, 50% of which will be in the form of time-based restricted stock units and the remaining 50% will be in the form of performance-based restricted stock units. The time-based portion will vest in three equal installments on each of the first three anniversaries of the Closing, and the performance-based portion will vest on the third anniversary of the grant date in accordance with the achievement of performance conditions, in each case, subject to Mr. Michaels continued employment with the Company. </w:t>
      </w:r>
    </w:p>
    <w:p>
      <w:pPr>
        <w:pStyle w:val="TextBody"/>
        <w:spacing w:before="240" w:after="0"/>
        <w:jc w:val="left"/>
        <w:rPr>
          <w:rFonts w:ascii="Times New Roman" w:hAnsi="Times New Roman"/>
          <w:sz w:val="20"/>
        </w:rPr>
      </w:pPr>
      <w:r>
        <w:rPr>
          <w:rFonts w:ascii="Times New Roman" w:hAnsi="Times New Roman"/>
          <w:sz w:val="20"/>
        </w:rPr>
        <w:t xml:space="preserve">In addition, following and subject to the Closing and the approval of the Bakkt Pubco Equity Incentive Plan Proposal, five of the Companys executive vice presidents will each be entitled to receive an initial award of 400,000 restricted stock units pursuant to the Bakkt Pubco Equity Incentive Plan, 50% of which will be in the form of time-based restricted stock units and the remaining 50% will be in the form of performance-based restricted stock units. One of the Companys senior vice presidents will also be entitled to receive an initial award of 200,000 restricted stock units pursuant to the Bakkt Pubco Equity Incentive Plan, 75% of which will be in the form of time-based restricted stock units and the remaining 25% will be in the form of performance-based restricted stock units. The time-based portion of the restricted stock unit award for each of the executive vice presidents and the senior vice president will vest in three equal installments on each of the first three anniversaries of the Closing, and the performance-based portion of each restricted stock unit award will vest on the third anniversary of the grant date in accordance with the achievement of performance conditions, in each case, subject to the executive vice president or senior vice presidents continued employment with the Company.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Bakkt Pubco Equity Incentive Plan requires an ordinary resolution under Cayman Islands law, being the affirmative vote of a majority of the holders of a majority of the VIH Shares, who, being present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If the Proposed Transaction is not approved, the Bakkt Pubco Equity Incentive Plan Proposal will not be presented at the extraordinary general meeting. The Bakkt Pubco Equity Incentive Plan will only become effective if the Proposed Transaction is completed.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the Bakkt Pubco Equity Incentive Plan be approved and adopted in all respects.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sz w:val="20"/>
        </w:rPr>
      </w:pPr>
      <w:r>
        <w:rPr>
          <w:rFonts w:ascii="Times New Roman" w:hAnsi="Times New Roman"/>
          <w:b/>
          <w:sz w:val="20"/>
        </w:rPr>
        <w:t xml:space="preserve">THE VIH BOARD UNANIMOUSLY RECOMMENDS THAT VIH SHAREHOLDERS VOTE FOR THE APPROVAL OF THE BAKKT PUBCO EQUITY INCENTIVE PLAN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6" w:name="toc108105_17"/>
      <w:bookmarkEnd w:id="66"/>
      <w:r>
        <w:rPr>
          <w:rFonts w:ascii="Times New Roman" w:hAnsi="Times New Roman"/>
          <w:b/>
          <w:sz w:val="20"/>
        </w:rPr>
        <w:t xml:space="preserve">THE DIRECTOR ELECTION PROPOSAL </w:t>
      </w:r>
    </w:p>
    <w:p>
      <w:pPr>
        <w:pStyle w:val="TextBody"/>
        <w:spacing w:before="240" w:after="0"/>
        <w:jc w:val="left"/>
        <w:rPr>
          <w:rFonts w:ascii="Times New Roman" w:hAnsi="Times New Roman"/>
          <w:b/>
          <w:sz w:val="20"/>
        </w:rPr>
      </w:pPr>
      <w:r>
        <w:rPr>
          <w:rFonts w:ascii="Times New Roman" w:hAnsi="Times New Roman"/>
          <w:b/>
          <w:sz w:val="20"/>
        </w:rPr>
        <w:t xml:space="preserve">Election of Directors </w:t>
      </w:r>
    </w:p>
    <w:p>
      <w:pPr>
        <w:pStyle w:val="TextBody"/>
        <w:spacing w:before="120" w:after="0"/>
        <w:jc w:val="left"/>
        <w:rPr>
          <w:rFonts w:ascii="Times New Roman" w:hAnsi="Times New Roman"/>
          <w:sz w:val="20"/>
        </w:rPr>
      </w:pPr>
      <w:r>
        <w:rPr>
          <w:rFonts w:ascii="Times New Roman" w:hAnsi="Times New Roman"/>
          <w:sz w:val="20"/>
        </w:rPr>
        <w:t xml:space="preserve">Pursuant to the Merger Agreement, VIH has agreed to take all necessary action, including causing the members of the VIH Board to resign, so that effective at the Closing, the entire Company Board will consist of nine individuals, a majority of whom will be independent directors in accordance with the requirements of the NYSE. The directors will be classified into three classes, with each director holding office for a three-year term or until the next annual meeting of stockholders at which such directors class is up for election and where his or her successor is elected and qualified. </w:t>
      </w:r>
    </w:p>
    <w:p>
      <w:pPr>
        <w:pStyle w:val="TextBody"/>
        <w:spacing w:before="240" w:after="0"/>
        <w:jc w:val="left"/>
        <w:rPr>
          <w:rFonts w:ascii="Times New Roman" w:hAnsi="Times New Roman"/>
          <w:sz w:val="20"/>
        </w:rPr>
      </w:pPr>
      <w:r>
        <w:rPr>
          <w:rFonts w:ascii="Times New Roman" w:hAnsi="Times New Roman"/>
          <w:sz w:val="20"/>
        </w:rPr>
        <w:t xml:space="preserve">VIH is proposing the approval by ordinary resolution of the election of the following nine individuals, who will take office immediately following the Closing and who will constitute all the members of the Company Board: (a) Michelle Goldberg, Adrienne Harris and Gavin Michael as Class I directors, (b) Kristyn Cook, Gordon Watson and David C. Clifton as Class II directors, and (c) Sean Collins, Andrew A. Main and Richard Lumb as Class III directors. </w:t>
      </w:r>
    </w:p>
    <w:p>
      <w:pPr>
        <w:pStyle w:val="TextBody"/>
        <w:spacing w:before="240" w:after="0"/>
        <w:jc w:val="left"/>
        <w:rPr>
          <w:rFonts w:ascii="Times New Roman" w:hAnsi="Times New Roman"/>
          <w:sz w:val="20"/>
        </w:rPr>
      </w:pPr>
      <w:r>
        <w:rPr>
          <w:rFonts w:ascii="Times New Roman" w:hAnsi="Times New Roman"/>
          <w:sz w:val="20"/>
        </w:rPr>
        <w:t xml:space="preserve">If elected, the Class I directors will serve until the first annual meeting of stockholders of the Company to be held following the date of Closing; the Class II directors will serve until the second annual meeting of stockholders of the Company following the date of Closing; and the Class III directors will serve until the third annual meeting of stockholders of the Company to be held following the date of Closing. In addition, it is anticipated that Sean Collins will be designated as Chairman of the Company Board. Each of Michelle Goldberg, Adrienne Harris, Kristyn Cook, Andrew A. Main and Richard Lumb are expected to qualify as an independent director under NYSE listing standards. </w:t>
      </w:r>
    </w:p>
    <w:p>
      <w:pPr>
        <w:pStyle w:val="TextBody"/>
        <w:spacing w:before="240" w:after="0"/>
        <w:jc w:val="left"/>
        <w:rPr>
          <w:rFonts w:ascii="Times New Roman" w:hAnsi="Times New Roman"/>
          <w:sz w:val="20"/>
        </w:rPr>
      </w:pPr>
      <w:r>
        <w:rPr>
          <w:rFonts w:ascii="Times New Roman" w:hAnsi="Times New Roman"/>
          <w:sz w:val="20"/>
        </w:rPr>
        <w:t xml:space="preserve">There are no family relationships among any of the Companys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Subject to other provisions in the Proposed Certificate of Incorporation, the number of directors that constitutes the entire Company Board will be fixed solely by resolution of the Company Board, but will not exceed 15. Each director of the Company will hold office until the expiration of the term for which he or she is elected and until his or her successor has been duly elected and qualified or until his or her earlier resignation, death, disqualification or removal. </w:t>
      </w:r>
    </w:p>
    <w:p>
      <w:pPr>
        <w:pStyle w:val="TextBody"/>
        <w:spacing w:before="240" w:after="0"/>
        <w:jc w:val="left"/>
        <w:rPr>
          <w:rFonts w:ascii="Times New Roman" w:hAnsi="Times New Roman"/>
          <w:sz w:val="20"/>
        </w:rPr>
      </w:pPr>
      <w:r>
        <w:rPr>
          <w:rFonts w:ascii="Times New Roman" w:hAnsi="Times New Roman"/>
          <w:sz w:val="20"/>
        </w:rPr>
        <w:t xml:space="preserve">Under the Proposed Certificate of Incorporation, and subject to the rights of holders of Bakkt Pubco Preferred Stock with respect to the election of directors, the directors of the Company will be divided into three classes as nearly equal in size as is practicable, hereby designated Class I, Class II and Class III. The Company Board may assign members of the Company Board already in office to such classes at the time such classification becomes effective. The term of office of the initial Class I directors of Company will expire at the first regularly-scheduled annual meeting of its stockholders, the term of office of the initial Class II directors of Company will expire at the second annual meeting of its stockholders, and the term of office of the initial Class III directors of Company will expire at the third annual meeting of its stockholders. At each annual meeting of stockholders, commencing with the first regularly-scheduled annual meeting of stockholders, each of the successors elected to replace the directors of a class of director whose term will have expired at such annual meeting will be elected to hold office until the third annual meeting next succeeding his or her election and until his or her respective successor will have been duly elected and qualified. </w:t>
      </w:r>
    </w:p>
    <w:p>
      <w:pPr>
        <w:pStyle w:val="TextBody"/>
        <w:spacing w:before="240" w:after="0"/>
        <w:jc w:val="left"/>
        <w:rPr>
          <w:rFonts w:ascii="Times New Roman" w:hAnsi="Times New Roman"/>
          <w:sz w:val="20"/>
        </w:rPr>
      </w:pPr>
      <w:r>
        <w:rPr>
          <w:rFonts w:ascii="Times New Roman" w:hAnsi="Times New Roman"/>
          <w:sz w:val="20"/>
        </w:rPr>
        <w:t xml:space="preserve">If the number of directors is hereafter changed, any increase or decrease in directorships will be so apportioned among the classes by the Company Board as to make all classes as nearly equal in number as is practicable, </w:t>
      </w:r>
      <w:r>
        <w:rPr>
          <w:rFonts w:ascii="Times New Roman" w:hAnsi="Times New Roman"/>
          <w:i/>
          <w:sz w:val="20"/>
        </w:rPr>
        <w:t>provided that</w:t>
      </w:r>
      <w:r>
        <w:rPr>
          <w:rFonts w:ascii="Times New Roman" w:hAnsi="Times New Roman"/>
          <w:sz w:val="20"/>
        </w:rPr>
        <w:t xml:space="preserve"> no decrease in the number of directors constituting the Company Board will shorten the term of any incumbent director. </w:t>
      </w:r>
    </w:p>
    <w:p>
      <w:pPr>
        <w:pStyle w:val="TextBody"/>
        <w:spacing w:before="240" w:after="0"/>
        <w:jc w:val="left"/>
        <w:rPr>
          <w:rFonts w:ascii="Times New Roman" w:hAnsi="Times New Roman"/>
          <w:sz w:val="20"/>
        </w:rPr>
      </w:pPr>
      <w:r>
        <w:rPr>
          <w:rFonts w:ascii="Times New Roman" w:hAnsi="Times New Roman"/>
          <w:sz w:val="20"/>
        </w:rPr>
        <w:t xml:space="preserve">Subject to the rights of holders of any series of Bakkt Pubco Preferred Stock with respect to the election of directors for so long as the Company Board is classified, any director may be removed from office by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stockholders of the Company only for cause. Vacancies occurring on the Company Board for any reason and newly created directorships resulting from an increase in the authorized number of directors may be filled only by vote of a majority of the remaining members of the Company Board, although less than a quorum, or by a sole remaining director, and not by stockholders of the Company. A person so elected by the Company Board to fill a vacancy or newly created directorship will hold office until the next election of the class for which such director will have been chosen and until his or her successor will be duly elected and qualified. </w:t>
      </w:r>
    </w:p>
    <w:p>
      <w:pPr>
        <w:pStyle w:val="TextBody"/>
        <w:spacing w:before="240" w:after="0"/>
        <w:jc w:val="left"/>
        <w:rPr>
          <w:rFonts w:ascii="Times New Roman" w:hAnsi="Times New Roman"/>
          <w:sz w:val="20"/>
        </w:rPr>
      </w:pPr>
      <w:r>
        <w:rPr>
          <w:rFonts w:ascii="Times New Roman" w:hAnsi="Times New Roman"/>
          <w:sz w:val="20"/>
        </w:rPr>
        <w:t xml:space="preserve">The Director Election Proposal is conditioned on the approval of each of the Condition Precedent Proposals. Therefore, if each of the Condition Precedent Proposals is not approved, the Director Election Proposal will have no effect, even if approved by holders of VIH Shares. </w:t>
      </w:r>
    </w:p>
    <w:p>
      <w:pPr>
        <w:pStyle w:val="TextBody"/>
        <w:spacing w:before="240" w:after="0"/>
        <w:jc w:val="left"/>
        <w:rPr>
          <w:rFonts w:ascii="Times New Roman" w:hAnsi="Times New Roman"/>
          <w:sz w:val="20"/>
        </w:rPr>
      </w:pPr>
      <w:r>
        <w:rPr>
          <w:rFonts w:ascii="Times New Roman" w:hAnsi="Times New Roman"/>
          <w:sz w:val="20"/>
        </w:rPr>
        <w:t xml:space="preserve">The VIH Board knows of no reason why any of the nominees will be unavailable or decline to serve as a director. The information presented below is as of the record date and is based in part on information furnished by the nominees and in part from the Companys and Bakkts records. </w:t>
      </w:r>
    </w:p>
    <w:p>
      <w:pPr>
        <w:pStyle w:val="TextBody"/>
        <w:spacing w:before="360" w:after="0"/>
        <w:jc w:val="left"/>
        <w:rPr>
          <w:rFonts w:ascii="Times New Roman" w:hAnsi="Times New Roman"/>
          <w:b/>
          <w:sz w:val="20"/>
        </w:rPr>
      </w:pPr>
      <w:r>
        <w:rPr>
          <w:rFonts w:ascii="Times New Roman" w:hAnsi="Times New Roman"/>
          <w:b/>
          <w:sz w:val="20"/>
        </w:rPr>
        <w:t xml:space="preserve">Information about Officers, Directors and Nominees </w:t>
      </w:r>
    </w:p>
    <w:p>
      <w:pPr>
        <w:pStyle w:val="TextBody"/>
        <w:spacing w:before="120" w:after="0"/>
        <w:jc w:val="left"/>
        <w:rPr>
          <w:rFonts w:ascii="Times New Roman" w:hAnsi="Times New Roman"/>
          <w:sz w:val="20"/>
        </w:rPr>
      </w:pPr>
      <w:r>
        <w:rPr>
          <w:rFonts w:ascii="Times New Roman" w:hAnsi="Times New Roman"/>
          <w:sz w:val="20"/>
        </w:rPr>
        <w:t xml:space="preserve">At the effective time of the Proposed Transaction, in accordance with the terms of the Merger Agreement and assuming the election of the nominees set forth in this section, the members of the Company Board and officers of the Company will be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48"/>
        <w:gridCol w:w="60"/>
        <w:gridCol w:w="435"/>
        <w:gridCol w:w="423"/>
        <w:gridCol w:w="5839"/>
      </w:tblGrid>
      <w:tr>
        <w:trPr/>
        <w:tc>
          <w:tcPr>
            <w:tcW w:w="34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bottom"/>
          </w:tcPr>
          <w:p>
            <w:pPr>
              <w:pStyle w:val="TableContents"/>
              <w:spacing w:before="0" w:after="283"/>
              <w:rPr>
                <w:sz w:val="4"/>
                <w:szCs w:val="4"/>
              </w:rPr>
            </w:pPr>
            <w:r>
              <w:rPr>
                <w:sz w:val="4"/>
                <w:szCs w:val="4"/>
              </w:rPr>
            </w:r>
          </w:p>
        </w:tc>
        <w:tc>
          <w:tcPr>
            <w:tcW w:w="5839" w:type="dxa"/>
            <w:tcBorders/>
            <w:shd w:fill="auto" w:val="clear"/>
            <w:vAlign w:val="center"/>
          </w:tcPr>
          <w:p>
            <w:pPr>
              <w:pStyle w:val="TableContents"/>
              <w:spacing w:before="0" w:after="283"/>
              <w:rPr>
                <w:sz w:val="4"/>
                <w:szCs w:val="4"/>
              </w:rPr>
            </w:pPr>
            <w:r>
              <w:rPr>
                <w:sz w:val="4"/>
                <w:szCs w:val="4"/>
              </w:rPr>
            </w:r>
          </w:p>
        </w:tc>
      </w:tr>
      <w:tr>
        <w:trPr/>
        <w:tc>
          <w:tcPr>
            <w:tcW w:w="344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60" w:type="dxa"/>
            <w:tcBorders/>
            <w:shd w:fill="auto" w:val="clear"/>
            <w:vAlign w:val="bottom"/>
          </w:tcPr>
          <w:p>
            <w:pPr>
              <w:pStyle w:val="TableContents"/>
              <w:spacing w:before="0" w:after="283"/>
              <w:rPr/>
            </w:pPr>
            <w:r>
              <w:rPr/>
              <w:t> </w:t>
            </w:r>
          </w:p>
        </w:tc>
        <w:tc>
          <w:tcPr>
            <w:tcW w:w="435" w:type="dxa"/>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423" w:type="dxa"/>
            <w:tcBorders/>
            <w:shd w:fill="auto" w:val="clear"/>
            <w:vAlign w:val="bottom"/>
          </w:tcPr>
          <w:p>
            <w:pPr>
              <w:pStyle w:val="TableContents"/>
              <w:spacing w:before="0" w:after="283"/>
              <w:rPr/>
            </w:pPr>
            <w:r>
              <w:rPr/>
              <w:t>  </w:t>
            </w:r>
          </w:p>
        </w:tc>
        <w:tc>
          <w:tcPr>
            <w:tcW w:w="583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w:t>
            </w:r>
          </w:p>
        </w:tc>
      </w:tr>
      <w:tr>
        <w:trPr/>
        <w:tc>
          <w:tcPr>
            <w:tcW w:w="3448" w:type="dxa"/>
            <w:tcBorders/>
            <w:shd w:fill="CCEEFF" w:val="clear"/>
            <w:vAlign w:val="bottom"/>
          </w:tcPr>
          <w:p>
            <w:pPr>
              <w:pStyle w:val="TableContents"/>
              <w:spacing w:before="0" w:after="283"/>
              <w:rPr/>
            </w:pPr>
            <w:r>
              <w:rPr/>
              <w:t>Gavin Michael</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center"/>
              <w:rPr/>
            </w:pPr>
            <w:r>
              <w:rPr/>
              <w:t>55</w:t>
            </w:r>
          </w:p>
        </w:tc>
        <w:tc>
          <w:tcPr>
            <w:tcW w:w="423" w:type="dxa"/>
            <w:tcBorders/>
            <w:shd w:fill="CCEEFF" w:val="clear"/>
            <w:vAlign w:val="bottom"/>
          </w:tcPr>
          <w:p>
            <w:pPr>
              <w:pStyle w:val="TableContents"/>
              <w:spacing w:before="0" w:after="283"/>
              <w:rPr/>
            </w:pPr>
            <w:r>
              <w:rPr/>
              <w:t>  </w:t>
            </w:r>
          </w:p>
        </w:tc>
        <w:tc>
          <w:tcPr>
            <w:tcW w:w="5839" w:type="dxa"/>
            <w:tcBorders/>
            <w:shd w:fill="CCEEFF" w:val="clear"/>
            <w:vAlign w:val="bottom"/>
          </w:tcPr>
          <w:p>
            <w:pPr>
              <w:pStyle w:val="TableContents"/>
              <w:spacing w:before="0" w:after="283"/>
              <w:rPr/>
            </w:pPr>
            <w:r>
              <w:rPr/>
              <w:t>Chief Executive Officer; Class I Director</w:t>
            </w:r>
          </w:p>
        </w:tc>
      </w:tr>
      <w:tr>
        <w:trPr/>
        <w:tc>
          <w:tcPr>
            <w:tcW w:w="3448" w:type="dxa"/>
            <w:tcBorders/>
            <w:shd w:fill="auto" w:val="clear"/>
            <w:vAlign w:val="bottom"/>
          </w:tcPr>
          <w:p>
            <w:pPr>
              <w:pStyle w:val="TableContents"/>
              <w:spacing w:before="0" w:after="283"/>
              <w:rPr/>
            </w:pPr>
            <w:r>
              <w:rPr/>
              <w:t>Michelle Goldberg</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center"/>
              <w:rPr/>
            </w:pPr>
            <w:r>
              <w:rPr/>
              <w:t>51</w:t>
            </w:r>
          </w:p>
        </w:tc>
        <w:tc>
          <w:tcPr>
            <w:tcW w:w="423" w:type="dxa"/>
            <w:tcBorders/>
            <w:shd w:fill="auto" w:val="clear"/>
            <w:vAlign w:val="bottom"/>
          </w:tcPr>
          <w:p>
            <w:pPr>
              <w:pStyle w:val="TableContents"/>
              <w:spacing w:before="0" w:after="283"/>
              <w:rPr/>
            </w:pPr>
            <w:r>
              <w:rPr/>
              <w:t>  </w:t>
            </w:r>
          </w:p>
        </w:tc>
        <w:tc>
          <w:tcPr>
            <w:tcW w:w="5839" w:type="dxa"/>
            <w:tcBorders/>
            <w:shd w:fill="auto" w:val="clear"/>
            <w:vAlign w:val="bottom"/>
          </w:tcPr>
          <w:p>
            <w:pPr>
              <w:pStyle w:val="TableContents"/>
              <w:spacing w:before="0" w:after="283"/>
              <w:rPr/>
            </w:pPr>
            <w:r>
              <w:rPr/>
              <w:t>Class I Director</w:t>
            </w:r>
          </w:p>
        </w:tc>
      </w:tr>
      <w:tr>
        <w:trPr/>
        <w:tc>
          <w:tcPr>
            <w:tcW w:w="3448" w:type="dxa"/>
            <w:tcBorders/>
            <w:shd w:fill="CCEEFF" w:val="clear"/>
            <w:vAlign w:val="bottom"/>
          </w:tcPr>
          <w:p>
            <w:pPr>
              <w:pStyle w:val="TableContents"/>
              <w:spacing w:before="0" w:after="283"/>
              <w:rPr/>
            </w:pPr>
            <w:r>
              <w:rPr/>
              <w:t>Adrienne Harris</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center"/>
              <w:rPr/>
            </w:pPr>
            <w:r>
              <w:rPr/>
              <w:t>39</w:t>
            </w:r>
          </w:p>
        </w:tc>
        <w:tc>
          <w:tcPr>
            <w:tcW w:w="423" w:type="dxa"/>
            <w:tcBorders/>
            <w:shd w:fill="CCEEFF" w:val="clear"/>
            <w:vAlign w:val="bottom"/>
          </w:tcPr>
          <w:p>
            <w:pPr>
              <w:pStyle w:val="TableContents"/>
              <w:spacing w:before="0" w:after="283"/>
              <w:rPr/>
            </w:pPr>
            <w:r>
              <w:rPr/>
              <w:t>  </w:t>
            </w:r>
          </w:p>
        </w:tc>
        <w:tc>
          <w:tcPr>
            <w:tcW w:w="5839" w:type="dxa"/>
            <w:tcBorders/>
            <w:shd w:fill="CCEEFF" w:val="clear"/>
            <w:vAlign w:val="bottom"/>
          </w:tcPr>
          <w:p>
            <w:pPr>
              <w:pStyle w:val="TableContents"/>
              <w:spacing w:before="0" w:after="283"/>
              <w:rPr/>
            </w:pPr>
            <w:r>
              <w:rPr/>
              <w:t>Class I Director</w:t>
            </w:r>
          </w:p>
        </w:tc>
      </w:tr>
      <w:tr>
        <w:trPr/>
        <w:tc>
          <w:tcPr>
            <w:tcW w:w="3448" w:type="dxa"/>
            <w:tcBorders/>
            <w:shd w:fill="auto" w:val="clear"/>
            <w:vAlign w:val="bottom"/>
          </w:tcPr>
          <w:p>
            <w:pPr>
              <w:pStyle w:val="TableContents"/>
              <w:spacing w:before="0" w:after="283"/>
              <w:rPr/>
            </w:pPr>
            <w:r>
              <w:rPr/>
              <w:t>David C. Clifton</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center"/>
              <w:rPr/>
            </w:pPr>
            <w:r>
              <w:rPr/>
              <w:t>43</w:t>
            </w:r>
          </w:p>
        </w:tc>
        <w:tc>
          <w:tcPr>
            <w:tcW w:w="423" w:type="dxa"/>
            <w:tcBorders/>
            <w:shd w:fill="auto" w:val="clear"/>
            <w:vAlign w:val="bottom"/>
          </w:tcPr>
          <w:p>
            <w:pPr>
              <w:pStyle w:val="TableContents"/>
              <w:spacing w:before="0" w:after="283"/>
              <w:rPr/>
            </w:pPr>
            <w:r>
              <w:rPr/>
              <w:t>  </w:t>
            </w:r>
          </w:p>
        </w:tc>
        <w:tc>
          <w:tcPr>
            <w:tcW w:w="5839" w:type="dxa"/>
            <w:tcBorders/>
            <w:shd w:fill="auto" w:val="clear"/>
            <w:vAlign w:val="bottom"/>
          </w:tcPr>
          <w:p>
            <w:pPr>
              <w:pStyle w:val="TableContents"/>
              <w:spacing w:before="0" w:after="283"/>
              <w:rPr/>
            </w:pPr>
            <w:r>
              <w:rPr/>
              <w:t>Class II Director</w:t>
            </w:r>
          </w:p>
        </w:tc>
      </w:tr>
      <w:tr>
        <w:trPr/>
        <w:tc>
          <w:tcPr>
            <w:tcW w:w="3448" w:type="dxa"/>
            <w:tcBorders/>
            <w:shd w:fill="CCEEFF" w:val="clear"/>
          </w:tcPr>
          <w:p>
            <w:pPr>
              <w:pStyle w:val="TableContents"/>
              <w:spacing w:before="0" w:after="283"/>
              <w:rPr/>
            </w:pPr>
            <w:r>
              <w:rPr/>
              <w:t>Gordon Watson</w:t>
            </w:r>
          </w:p>
        </w:tc>
        <w:tc>
          <w:tcPr>
            <w:tcW w:w="60" w:type="dxa"/>
            <w:tcBorders/>
            <w:shd w:fill="CCEEFF" w:val="clear"/>
            <w:vAlign w:val="bottom"/>
          </w:tcPr>
          <w:p>
            <w:pPr>
              <w:pStyle w:val="TableContents"/>
              <w:spacing w:before="0" w:after="283"/>
              <w:rPr/>
            </w:pPr>
            <w:r>
              <w:rPr/>
              <w:t> </w:t>
            </w:r>
          </w:p>
        </w:tc>
        <w:tc>
          <w:tcPr>
            <w:tcW w:w="435" w:type="dxa"/>
            <w:tcBorders/>
            <w:shd w:fill="CCEEFF" w:val="clear"/>
          </w:tcPr>
          <w:p>
            <w:pPr>
              <w:pStyle w:val="TableContents"/>
              <w:spacing w:before="0" w:after="283"/>
              <w:jc w:val="center"/>
              <w:rPr/>
            </w:pPr>
            <w:r>
              <w:rPr/>
              <w:t>42</w:t>
            </w:r>
          </w:p>
        </w:tc>
        <w:tc>
          <w:tcPr>
            <w:tcW w:w="423" w:type="dxa"/>
            <w:tcBorders/>
            <w:shd w:fill="CCEEFF" w:val="clear"/>
            <w:vAlign w:val="bottom"/>
          </w:tcPr>
          <w:p>
            <w:pPr>
              <w:pStyle w:val="TableContents"/>
              <w:spacing w:before="0" w:after="283"/>
              <w:rPr/>
            </w:pPr>
            <w:r>
              <w:rPr/>
              <w:t>  </w:t>
            </w:r>
          </w:p>
        </w:tc>
        <w:tc>
          <w:tcPr>
            <w:tcW w:w="5839" w:type="dxa"/>
            <w:tcBorders/>
            <w:shd w:fill="CCEEFF" w:val="clear"/>
          </w:tcPr>
          <w:p>
            <w:pPr>
              <w:pStyle w:val="TableContents"/>
              <w:spacing w:before="0" w:after="283"/>
              <w:rPr/>
            </w:pPr>
            <w:r>
              <w:rPr/>
              <w:t>Class II Director</w:t>
            </w:r>
          </w:p>
        </w:tc>
      </w:tr>
      <w:tr>
        <w:trPr/>
        <w:tc>
          <w:tcPr>
            <w:tcW w:w="3448" w:type="dxa"/>
            <w:tcBorders/>
            <w:shd w:fill="auto" w:val="clear"/>
            <w:vAlign w:val="bottom"/>
          </w:tcPr>
          <w:p>
            <w:pPr>
              <w:pStyle w:val="TableContents"/>
              <w:spacing w:before="0" w:after="283"/>
              <w:rPr/>
            </w:pPr>
            <w:r>
              <w:rPr/>
              <w:t>Kristyn Cook</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center"/>
              <w:rPr/>
            </w:pPr>
            <w:r>
              <w:rPr/>
              <w:t>45</w:t>
            </w:r>
          </w:p>
        </w:tc>
        <w:tc>
          <w:tcPr>
            <w:tcW w:w="423" w:type="dxa"/>
            <w:tcBorders/>
            <w:shd w:fill="auto" w:val="clear"/>
            <w:vAlign w:val="bottom"/>
          </w:tcPr>
          <w:p>
            <w:pPr>
              <w:pStyle w:val="TableContents"/>
              <w:spacing w:before="0" w:after="283"/>
              <w:rPr/>
            </w:pPr>
            <w:r>
              <w:rPr/>
              <w:t>  </w:t>
            </w:r>
          </w:p>
        </w:tc>
        <w:tc>
          <w:tcPr>
            <w:tcW w:w="5839" w:type="dxa"/>
            <w:tcBorders/>
            <w:shd w:fill="auto" w:val="clear"/>
            <w:vAlign w:val="bottom"/>
          </w:tcPr>
          <w:p>
            <w:pPr>
              <w:pStyle w:val="TableContents"/>
              <w:spacing w:before="0" w:after="283"/>
              <w:rPr/>
            </w:pPr>
            <w:r>
              <w:rPr/>
              <w:t>Class II Director</w:t>
            </w:r>
          </w:p>
        </w:tc>
      </w:tr>
      <w:tr>
        <w:trPr/>
        <w:tc>
          <w:tcPr>
            <w:tcW w:w="3448" w:type="dxa"/>
            <w:tcBorders/>
            <w:shd w:fill="CCEEFF" w:val="clear"/>
            <w:vAlign w:val="bottom"/>
          </w:tcPr>
          <w:p>
            <w:pPr>
              <w:pStyle w:val="TableContents"/>
              <w:spacing w:before="0" w:after="283"/>
              <w:rPr/>
            </w:pPr>
            <w:r>
              <w:rPr/>
              <w:t>Sean Collins</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center"/>
              <w:rPr/>
            </w:pPr>
            <w:r>
              <w:rPr/>
              <w:t>41</w:t>
            </w:r>
          </w:p>
        </w:tc>
        <w:tc>
          <w:tcPr>
            <w:tcW w:w="423" w:type="dxa"/>
            <w:tcBorders/>
            <w:shd w:fill="CCEEFF" w:val="clear"/>
            <w:vAlign w:val="bottom"/>
          </w:tcPr>
          <w:p>
            <w:pPr>
              <w:pStyle w:val="TableContents"/>
              <w:spacing w:before="0" w:after="283"/>
              <w:rPr/>
            </w:pPr>
            <w:r>
              <w:rPr/>
              <w:t>  </w:t>
            </w:r>
          </w:p>
        </w:tc>
        <w:tc>
          <w:tcPr>
            <w:tcW w:w="5839" w:type="dxa"/>
            <w:tcBorders/>
            <w:shd w:fill="CCEEFF" w:val="clear"/>
            <w:vAlign w:val="bottom"/>
          </w:tcPr>
          <w:p>
            <w:pPr>
              <w:pStyle w:val="TableContents"/>
              <w:spacing w:before="0" w:after="283"/>
              <w:rPr/>
            </w:pPr>
            <w:r>
              <w:rPr/>
              <w:t>Chairman and Class III Director</w:t>
            </w:r>
          </w:p>
        </w:tc>
      </w:tr>
      <w:tr>
        <w:trPr/>
        <w:tc>
          <w:tcPr>
            <w:tcW w:w="3448" w:type="dxa"/>
            <w:tcBorders/>
            <w:shd w:fill="auto" w:val="clear"/>
            <w:vAlign w:val="bottom"/>
          </w:tcPr>
          <w:p>
            <w:pPr>
              <w:pStyle w:val="TableContents"/>
              <w:spacing w:before="0" w:after="283"/>
              <w:rPr/>
            </w:pPr>
            <w:r>
              <w:rPr/>
              <w:t>Andrew A. Main</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center"/>
              <w:rPr/>
            </w:pPr>
            <w:r>
              <w:rPr/>
              <w:t>56</w:t>
            </w:r>
          </w:p>
        </w:tc>
        <w:tc>
          <w:tcPr>
            <w:tcW w:w="423" w:type="dxa"/>
            <w:tcBorders/>
            <w:shd w:fill="auto" w:val="clear"/>
            <w:vAlign w:val="bottom"/>
          </w:tcPr>
          <w:p>
            <w:pPr>
              <w:pStyle w:val="TableContents"/>
              <w:spacing w:before="0" w:after="283"/>
              <w:rPr/>
            </w:pPr>
            <w:r>
              <w:rPr/>
              <w:t>  </w:t>
            </w:r>
          </w:p>
        </w:tc>
        <w:tc>
          <w:tcPr>
            <w:tcW w:w="5839" w:type="dxa"/>
            <w:tcBorders/>
            <w:shd w:fill="auto" w:val="clear"/>
            <w:vAlign w:val="bottom"/>
          </w:tcPr>
          <w:p>
            <w:pPr>
              <w:pStyle w:val="TableContents"/>
              <w:spacing w:before="0" w:after="283"/>
              <w:rPr/>
            </w:pPr>
            <w:r>
              <w:rPr/>
              <w:t>Class III Director</w:t>
            </w:r>
          </w:p>
        </w:tc>
      </w:tr>
      <w:tr>
        <w:trPr/>
        <w:tc>
          <w:tcPr>
            <w:tcW w:w="3448" w:type="dxa"/>
            <w:tcBorders/>
            <w:shd w:fill="CCEEFF" w:val="clear"/>
            <w:vAlign w:val="bottom"/>
          </w:tcPr>
          <w:p>
            <w:pPr>
              <w:pStyle w:val="TableContents"/>
              <w:spacing w:before="0" w:after="283"/>
              <w:rPr/>
            </w:pPr>
            <w:r>
              <w:rPr/>
              <w:t>Richard Lumb</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center"/>
              <w:rPr/>
            </w:pPr>
            <w:r>
              <w:rPr/>
              <w:t>50</w:t>
            </w:r>
          </w:p>
        </w:tc>
        <w:tc>
          <w:tcPr>
            <w:tcW w:w="423" w:type="dxa"/>
            <w:tcBorders/>
            <w:shd w:fill="CCEEFF" w:val="clear"/>
            <w:vAlign w:val="bottom"/>
          </w:tcPr>
          <w:p>
            <w:pPr>
              <w:pStyle w:val="TableContents"/>
              <w:spacing w:before="0" w:after="283"/>
              <w:rPr/>
            </w:pPr>
            <w:r>
              <w:rPr/>
              <w:t>  </w:t>
            </w:r>
          </w:p>
        </w:tc>
        <w:tc>
          <w:tcPr>
            <w:tcW w:w="5839" w:type="dxa"/>
            <w:tcBorders/>
            <w:shd w:fill="CCEEFF" w:val="clear"/>
            <w:vAlign w:val="bottom"/>
          </w:tcPr>
          <w:p>
            <w:pPr>
              <w:pStyle w:val="TableContents"/>
              <w:spacing w:before="0" w:after="283"/>
              <w:rPr/>
            </w:pPr>
            <w:r>
              <w:rPr/>
              <w:t>Class III Director</w:t>
            </w:r>
          </w:p>
        </w:tc>
      </w:tr>
    </w:tbl>
    <w:p>
      <w:pPr>
        <w:pStyle w:val="TextBody"/>
        <w:spacing w:before="240" w:after="0"/>
        <w:jc w:val="left"/>
        <w:rPr>
          <w:rFonts w:ascii="Times New Roman" w:hAnsi="Times New Roman"/>
          <w:sz w:val="20"/>
        </w:rPr>
      </w:pPr>
      <w:r>
        <w:rPr>
          <w:rFonts w:ascii="Times New Roman" w:hAnsi="Times New Roman"/>
          <w:sz w:val="20"/>
        </w:rPr>
        <w:t xml:space="preserve">There is no arrangement or understanding between the persons described above and any other person pursuant to which the person was selected to his or her office or position. </w:t>
      </w:r>
    </w:p>
    <w:p>
      <w:pPr>
        <w:pStyle w:val="TextBody"/>
        <w:spacing w:before="240" w:after="0"/>
        <w:jc w:val="left"/>
        <w:rPr>
          <w:rFonts w:ascii="Times New Roman" w:hAnsi="Times New Roman"/>
          <w:sz w:val="20"/>
        </w:rPr>
      </w:pPr>
      <w:r>
        <w:rPr>
          <w:rFonts w:ascii="Times New Roman" w:hAnsi="Times New Roman"/>
          <w:sz w:val="20"/>
        </w:rPr>
        <w:t>For more information about Gavin Michael, see the section entitled </w:t>
      </w:r>
      <w:r>
        <w:rPr>
          <w:rFonts w:ascii="Times New Roman" w:hAnsi="Times New Roman"/>
          <w:i/>
          <w:sz w:val="20"/>
        </w:rPr>
        <w:t>Management of Bakkt</w:t>
      </w:r>
      <w:r>
        <w:rPr>
          <w:rFonts w:ascii="Times New Roman" w:hAnsi="Times New Roman"/>
          <w:sz w:val="20"/>
        </w:rPr>
        <w:t> beginning on page 293 of this proxy statement/prospectus; about David C. Clifton, see the section entitled </w:t>
      </w:r>
      <w:r>
        <w:rPr>
          <w:rFonts w:ascii="Times New Roman" w:hAnsi="Times New Roman"/>
          <w:i/>
          <w:sz w:val="20"/>
        </w:rPr>
        <w:t>Management of the Company Following the Business CombinationOfficers, Directors and Key Employees</w:t>
      </w:r>
      <w:r>
        <w:rPr>
          <w:rFonts w:ascii="Times New Roman" w:hAnsi="Times New Roman"/>
          <w:sz w:val="20"/>
        </w:rPr>
        <w:t> beginning on page 305 of this proxy statement/prospectus; about Gordon Watson, see the section entitled </w:t>
      </w:r>
      <w:r>
        <w:rPr>
          <w:rFonts w:ascii="Times New Roman" w:hAnsi="Times New Roman"/>
          <w:i/>
          <w:sz w:val="20"/>
        </w:rPr>
        <w:t>Directors, Officers, Executive Compensation and Corporate Governance of VIH prior to the Business Combination</w:t>
      </w:r>
      <w:r>
        <w:rPr>
          <w:rFonts w:ascii="Times New Roman" w:hAnsi="Times New Roman"/>
          <w:sz w:val="20"/>
        </w:rPr>
        <w:t xml:space="preserve"> beginning on page 226 of this proxy statement/prospectus; about Michelle Goldberg, Adrienne Harris, Kristyn Cook, Sean Collins and Andrew A. Main, see the section entitled Management of the Company Following the Business Combination  Officers, Directors and Key Employees beginning on page 302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Director Election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If the Proposed Transaction is not approved, the Director Election Proposal will not be presented at the extraordinary general meeting. The Director Election Proposal will only become effective if the Proposed Transaction is completed. </w:t>
      </w:r>
    </w:p>
    <w:p>
      <w:pPr>
        <w:pStyle w:val="TextBody"/>
        <w:spacing w:before="240" w:after="0"/>
        <w:jc w:val="left"/>
        <w:rPr>
          <w:rFonts w:ascii="Times New Roman" w:hAnsi="Times New Roman"/>
          <w:sz w:val="20"/>
        </w:rPr>
      </w:pPr>
      <w:r>
        <w:rPr>
          <w:rFonts w:ascii="Times New Roman" w:hAnsi="Times New Roman"/>
          <w:sz w:val="20"/>
        </w:rPr>
        <w:t xml:space="preserve">Although the Cayman Constitutional Documents indicate that, prior to the Closing, holders of VIH Class A Ordinary Shares shall have no right to vote on the appointment or removal of any director, the Director Election Proposal is being voted on by all holders of VIH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event that one or more nominees is not elected under the Director Election Proposal, the VIH Board is permitted under Article 31 of the Cayman Constitutional Documents to appoint any person to be a director.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the persons named below be elected to serve on the Company Board upon the Closing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Gavin Michael </w:t>
      </w:r>
    </w:p>
    <w:p>
      <w:pPr>
        <w:pStyle w:val="TextBody"/>
        <w:spacing w:before="0" w:after="0"/>
        <w:jc w:val="left"/>
        <w:rPr>
          <w:rFonts w:ascii="Times New Roman" w:hAnsi="Times New Roman"/>
          <w:sz w:val="20"/>
        </w:rPr>
      </w:pPr>
      <w:r>
        <w:rPr>
          <w:rFonts w:ascii="Times New Roman" w:hAnsi="Times New Roman"/>
          <w:sz w:val="20"/>
        </w:rPr>
        <w:t xml:space="preserve">David C. Clifton </w:t>
      </w:r>
    </w:p>
    <w:p>
      <w:pPr>
        <w:pStyle w:val="TextBody"/>
        <w:spacing w:before="0" w:after="0"/>
        <w:jc w:val="left"/>
        <w:rPr>
          <w:rFonts w:ascii="Times New Roman" w:hAnsi="Times New Roman"/>
          <w:sz w:val="20"/>
        </w:rPr>
      </w:pPr>
      <w:r>
        <w:rPr>
          <w:rFonts w:ascii="Times New Roman" w:hAnsi="Times New Roman"/>
          <w:sz w:val="20"/>
        </w:rPr>
        <w:t xml:space="preserve">Gordon Watson </w:t>
      </w:r>
    </w:p>
    <w:p>
      <w:pPr>
        <w:pStyle w:val="TextBody"/>
        <w:spacing w:before="0" w:after="0"/>
        <w:jc w:val="left"/>
        <w:rPr>
          <w:rFonts w:ascii="Times New Roman" w:hAnsi="Times New Roman"/>
          <w:sz w:val="20"/>
        </w:rPr>
      </w:pPr>
      <w:r>
        <w:rPr>
          <w:rFonts w:ascii="Times New Roman" w:hAnsi="Times New Roman"/>
          <w:sz w:val="20"/>
        </w:rPr>
        <w:t xml:space="preserve">Michelle Goldberg </w:t>
      </w:r>
    </w:p>
    <w:p>
      <w:pPr>
        <w:pStyle w:val="TextBody"/>
        <w:spacing w:before="0" w:after="0"/>
        <w:jc w:val="left"/>
        <w:rPr>
          <w:rFonts w:ascii="Times New Roman" w:hAnsi="Times New Roman"/>
          <w:sz w:val="20"/>
        </w:rPr>
      </w:pPr>
      <w:r>
        <w:rPr>
          <w:rFonts w:ascii="Times New Roman" w:hAnsi="Times New Roman"/>
          <w:sz w:val="20"/>
        </w:rPr>
        <w:t xml:space="preserve">Adrienne Harris </w:t>
      </w:r>
    </w:p>
    <w:p>
      <w:pPr>
        <w:pStyle w:val="TextBody"/>
        <w:spacing w:before="0" w:after="0"/>
        <w:jc w:val="left"/>
        <w:rPr>
          <w:rFonts w:ascii="Times New Roman" w:hAnsi="Times New Roman"/>
          <w:sz w:val="20"/>
        </w:rPr>
      </w:pPr>
      <w:r>
        <w:rPr>
          <w:rFonts w:ascii="Times New Roman" w:hAnsi="Times New Roman"/>
          <w:sz w:val="20"/>
        </w:rPr>
        <w:t xml:space="preserve">Kristyn Cook </w:t>
      </w:r>
    </w:p>
    <w:p>
      <w:pPr>
        <w:pStyle w:val="TextBody"/>
        <w:spacing w:before="0" w:after="0"/>
        <w:jc w:val="left"/>
        <w:rPr>
          <w:rFonts w:ascii="Times New Roman" w:hAnsi="Times New Roman"/>
          <w:sz w:val="20"/>
        </w:rPr>
      </w:pPr>
      <w:r>
        <w:rPr>
          <w:rFonts w:ascii="Times New Roman" w:hAnsi="Times New Roman"/>
          <w:sz w:val="20"/>
        </w:rPr>
        <w:t xml:space="preserve">Sean Collins </w:t>
      </w:r>
    </w:p>
    <w:p>
      <w:pPr>
        <w:pStyle w:val="TextBody"/>
        <w:spacing w:before="0" w:after="0"/>
        <w:jc w:val="left"/>
        <w:rPr>
          <w:rFonts w:ascii="Times New Roman" w:hAnsi="Times New Roman"/>
          <w:sz w:val="20"/>
        </w:rPr>
      </w:pPr>
      <w:r>
        <w:rPr>
          <w:rFonts w:ascii="Times New Roman" w:hAnsi="Times New Roman"/>
          <w:sz w:val="20"/>
        </w:rPr>
        <w:t xml:space="preserve">Andrew A. Main </w:t>
      </w:r>
    </w:p>
    <w:p>
      <w:pPr>
        <w:pStyle w:val="TextBody"/>
        <w:spacing w:before="0" w:after="0"/>
        <w:jc w:val="left"/>
        <w:rPr>
          <w:rFonts w:ascii="Times New Roman" w:hAnsi="Times New Roman"/>
          <w:sz w:val="20"/>
        </w:rPr>
      </w:pPr>
      <w:r>
        <w:rPr>
          <w:rFonts w:ascii="Times New Roman" w:hAnsi="Times New Roman"/>
          <w:sz w:val="20"/>
        </w:rPr>
        <w:t xml:space="preserve">Richard Lumb.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sz w:val="20"/>
        </w:rPr>
      </w:pPr>
      <w:r>
        <w:rPr>
          <w:rFonts w:ascii="Times New Roman" w:hAnsi="Times New Roman"/>
          <w:b/>
          <w:sz w:val="20"/>
        </w:rPr>
        <w:t xml:space="preserve">THE VIH BOARD UNANIMOUSLY RECOMMENDS THAT SHAREHOLDERS VOTE FOR ELECTION OF EACH OF THE DIRECTOR NOMINEES TO THE COMPANY BOARD. </w:t>
      </w:r>
    </w:p>
    <w:p>
      <w:pPr>
        <w:pStyle w:val="TextBody"/>
        <w:spacing w:before="120" w:after="0"/>
        <w:jc w:val="left"/>
        <w:rPr>
          <w:rFonts w:ascii="Times New Roman" w:hAnsi="Times New Roman"/>
          <w:sz w:val="20"/>
        </w:rPr>
      </w:pPr>
      <w:r>
        <w:rPr>
          <w:rFonts w:ascii="Times New Roman" w:hAnsi="Times New Roman"/>
          <w:sz w:val="20"/>
        </w:rPr>
        <w:t xml:space="preserve">The existence of financial and personal interests of VIHs directors may result in a conflict of interest on the part of one or more of the directors between what he, she or they may believe is in the best interests of VIH and its shareholders and what he, she or they may believe is best for himself, herself or themselves in determining to recommend that shareholders vote for the proposals. See the section entitled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7" w:name="toc108105_18"/>
      <w:bookmarkEnd w:id="67"/>
      <w:r>
        <w:rPr>
          <w:rFonts w:ascii="Times New Roman" w:hAnsi="Times New Roman"/>
          <w:b/>
          <w:sz w:val="20"/>
        </w:rPr>
        <w:t xml:space="preserve">THE SHAREHOLDER ADJOURNMENT PROPOSAL </w:t>
      </w:r>
    </w:p>
    <w:p>
      <w:pPr>
        <w:pStyle w:val="TextBody"/>
        <w:spacing w:before="240" w:after="0"/>
        <w:jc w:val="left"/>
        <w:rPr>
          <w:rFonts w:ascii="Times New Roman" w:hAnsi="Times New Roman"/>
          <w:sz w:val="20"/>
        </w:rPr>
      </w:pPr>
      <w:r>
        <w:rPr>
          <w:rFonts w:ascii="Times New Roman" w:hAnsi="Times New Roman"/>
          <w:sz w:val="20"/>
        </w:rPr>
        <w:t>The Shareholder Adjournment Proposal allows the VIH Board to submit a proposal to approve, by ordinary resolution, the adjournment of the extraordinary general meeting to a later date or dates, if necessary, to permit further solicitation and vote of proxies in the event that, based on the tabulated votes, there are not sufficient votes at the time of the extraordinary general meeting to approve the Condition Precedent Proposals. The purpose of the Shareholder Adjournment Proposal is to permit further solicitation of proxies and votes and to provide additional time for the Sponsor, VIH and their members and shareholders, respectively, to make purchases of VIH Shares or other arrangements that would increase the likelihood of obtaining a favorable vote on the proposals to be put to the extraordinary general meeting. See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Consequences if the Shareholder Adjournment Proposal is Not Approved </w:t>
      </w:r>
    </w:p>
    <w:p>
      <w:pPr>
        <w:pStyle w:val="TextBody"/>
        <w:spacing w:before="120" w:after="0"/>
        <w:jc w:val="left"/>
        <w:rPr>
          <w:rFonts w:ascii="Times New Roman" w:hAnsi="Times New Roman"/>
          <w:sz w:val="20"/>
        </w:rPr>
      </w:pPr>
      <w:r>
        <w:rPr>
          <w:rFonts w:ascii="Times New Roman" w:hAnsi="Times New Roman"/>
          <w:sz w:val="20"/>
        </w:rPr>
        <w:t xml:space="preserve">If the Shareholder Adjournment Proposal is presented to the extraordinary general meeting and is not approved by the shareholders, the VIH Board may not be able to adjourn the extraordinary general meeting to a later date in the event that, based on the tabulated votes, there are not sufficient votes at the time of the extraordinary general meeting to approve the Condition Precedent Proposals. In such events, the Proposed Transaction would not be completed. </w:t>
      </w:r>
    </w:p>
    <w:p>
      <w:pPr>
        <w:pStyle w:val="TextBody"/>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spacing w:before="120" w:after="0"/>
        <w:jc w:val="left"/>
        <w:rPr>
          <w:rFonts w:ascii="Times New Roman" w:hAnsi="Times New Roman"/>
          <w:sz w:val="20"/>
        </w:rPr>
      </w:pPr>
      <w:r>
        <w:rPr>
          <w:rFonts w:ascii="Times New Roman" w:hAnsi="Times New Roman"/>
          <w:sz w:val="20"/>
        </w:rPr>
        <w:t xml:space="preserve">The approval of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w:t>
      </w:r>
    </w:p>
    <w:p>
      <w:pPr>
        <w:pStyle w:val="TextBody"/>
        <w:spacing w:before="240" w:after="0"/>
        <w:jc w:val="left"/>
        <w:rPr>
          <w:rFonts w:ascii="Times New Roman" w:hAnsi="Times New Roman"/>
          <w:sz w:val="20"/>
        </w:rPr>
      </w:pPr>
      <w:r>
        <w:rPr>
          <w:rFonts w:ascii="Times New Roman" w:hAnsi="Times New Roman"/>
          <w:sz w:val="20"/>
        </w:rPr>
        <w:t xml:space="preserve">The Shareholder Adjournment Proposal is not conditioned upon any other proposal.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the adjournment of the extraordinary general meeting to a later date or dates, if necessary, to permit further solicitation and vote of proxies in the event that there are insufficient votes for the approval of one or more proposals at the extraordinary general meeting be approved.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VIH Board </w:t>
      </w:r>
    </w:p>
    <w:p>
      <w:pPr>
        <w:pStyle w:val="TextBody"/>
        <w:spacing w:before="120" w:after="0"/>
        <w:jc w:val="left"/>
        <w:rPr>
          <w:rFonts w:ascii="Times New Roman" w:hAnsi="Times New Roman"/>
          <w:b/>
          <w:sz w:val="20"/>
        </w:rPr>
      </w:pPr>
      <w:r>
        <w:rPr>
          <w:rFonts w:ascii="Times New Roman" w:hAnsi="Times New Roman"/>
          <w:b/>
          <w:sz w:val="20"/>
        </w:rPr>
        <w:t xml:space="preserve">THE VIH BOARD UNANIMOUSLY RECOMMENDS THAT SHAREHOLDERS VOTE FOR THE APPROVAL OF THE SHAREHOLDER ADJOURNMENT PROPOSAL. </w:t>
      </w:r>
    </w:p>
    <w:p>
      <w:pPr>
        <w:pStyle w:val="TextBody"/>
        <w:spacing w:before="120" w:after="0"/>
        <w:jc w:val="left"/>
        <w:rPr>
          <w:rFonts w:ascii="Times New Roman" w:hAnsi="Times New Roman"/>
          <w:sz w:val="20"/>
        </w:rPr>
      </w:pPr>
      <w:r>
        <w:rPr>
          <w:rFonts w:ascii="Times New Roman" w:hAnsi="Times New Roman"/>
          <w:sz w:val="20"/>
        </w:rPr>
        <w:t>The existence of financial and personal interests of VIHs directors may result in a conflict of interest on the part of one or more of the directors between what he, she or they may believe is in the best interests of VIH and its shareholders and what he, she or they may believe is best for himself, herself or themselves in determining to recommend that shareholders vote for the proposals. See the section entitled </w:t>
      </w:r>
      <w:r>
        <w:rPr>
          <w:rFonts w:ascii="Times New Roman" w:hAnsi="Times New Roman"/>
          <w:i/>
          <w:sz w:val="20"/>
        </w:rPr>
        <w:t>The Business Combination ProposalCertain Benefits of VIHs Directors and Officers and Others in the Business Combination</w:t>
      </w:r>
      <w:r>
        <w:rPr>
          <w:rFonts w:ascii="Times New Roman" w:hAnsi="Times New Roman"/>
          <w:sz w:val="20"/>
        </w:rPr>
        <w:t xml:space="preserve"> beginning on page 155 of this proxy statement/prospectus for a further discussion.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8" w:name="toc108105_19"/>
      <w:bookmarkEnd w:id="68"/>
      <w:r>
        <w:rPr>
          <w:rFonts w:ascii="Times New Roman" w:hAnsi="Times New Roman"/>
          <w:b/>
          <w:sz w:val="20"/>
        </w:rPr>
        <w:t xml:space="preserve">U.S. FEDERAL INCOME TAX CONSIDERATIONS </w:t>
      </w:r>
    </w:p>
    <w:p>
      <w:pPr>
        <w:pStyle w:val="TextBody"/>
        <w:spacing w:before="240" w:after="0"/>
        <w:jc w:val="left"/>
        <w:rPr>
          <w:rFonts w:ascii="Times New Roman" w:hAnsi="Times New Roman"/>
          <w:sz w:val="20"/>
        </w:rPr>
      </w:pPr>
      <w:r>
        <w:rPr>
          <w:rFonts w:ascii="Times New Roman" w:hAnsi="Times New Roman"/>
          <w:sz w:val="20"/>
        </w:rPr>
        <w:t>The following discussion is a summary of material U.S. federal income tax considerations (a) for U.S. Holders and Non-U.S. Holders (each as defined below, and together, </w:t>
      </w:r>
      <w:r>
        <w:rPr>
          <w:rFonts w:ascii="Times New Roman" w:hAnsi="Times New Roman"/>
          <w:b/>
          <w:sz w:val="20"/>
        </w:rPr>
        <w:t>Holders</w:t>
      </w:r>
      <w:r>
        <w:rPr>
          <w:rFonts w:ascii="Times New Roman" w:hAnsi="Times New Roman"/>
          <w:sz w:val="20"/>
        </w:rPr>
        <w:t>) of VIH Class A Ordinary Shares and VIH Warrants (each, a </w:t>
      </w:r>
      <w:r>
        <w:rPr>
          <w:rFonts w:ascii="Times New Roman" w:hAnsi="Times New Roman"/>
          <w:b/>
          <w:sz w:val="20"/>
        </w:rPr>
        <w:t>VIH Security</w:t>
      </w:r>
      <w:r>
        <w:rPr>
          <w:rFonts w:ascii="Times New Roman" w:hAnsi="Times New Roman"/>
          <w:sz w:val="20"/>
        </w:rPr>
        <w:t xml:space="preserve">) of the Domestication and (b) for Holders of VIH Class A Ordinary Shares that elect to have the Bakkt Pubco Common Stock they receive in connection with the Domestication redeemed for cash if the Business Combination is completed. This section applies only to Holders that hold their VIH Securities as capital assets for U.S. federal income tax purposes (generally, property held for investment). For purposes of this discussion, because the components of a VIH unit are generally separable at the option of the Holder, the Holder of a VIH unit generally should be treated, for U.S. federal income tax purposes, as the owner of the underlying VIH Class A Ordinary Share and VIH Warrant components of the VIH unit. Accordingly, the separation of a VIH unit into the VIH Class A Ordinary Share and the one-half of one VIH Warrant underlying the VIH unit generally should not be a taxable event for U.S. federal income tax purposes. This position is not free from doubt, and no assurance can be given that the IRS would not assert, or that a court would not sustain, a contrary position. Holders of VIH Securities are urged to consult their tax advisors concerning the U.S. federal, state, local and any non-U.S. tax consequences of the transactions contemplated by the Domestication and the Business Combination (including any redemption of the Bakkt Pubco Common Stock) with respect to any VIH Class A Ordinary Shares and VIH Warrants held through VIH units (including alternative characterizations of VIH units). </w:t>
      </w:r>
    </w:p>
    <w:p>
      <w:pPr>
        <w:pStyle w:val="TextBody"/>
        <w:spacing w:before="240" w:after="0"/>
        <w:jc w:val="left"/>
        <w:rPr>
          <w:rFonts w:ascii="Times New Roman" w:hAnsi="Times New Roman"/>
          <w:sz w:val="20"/>
        </w:rPr>
      </w:pPr>
      <w:r>
        <w:rPr>
          <w:rFonts w:ascii="Times New Roman" w:hAnsi="Times New Roman"/>
          <w:sz w:val="20"/>
        </w:rPr>
        <w:t xml:space="preserve">This discussion is limited to U.S. federal income tax considerations and does not address estate or any gift tax considerations or considerations arising under the tax laws of any state, local or non-U.S. jurisdiction. This discussion does not describe all of the U.S. federal income tax consequences that may be relevant to you in light of your particular circumstances, including the alternative minimum tax, the Medicare tax on certain investment income and the different consequences that may apply if you are subject to special rules under U.S. federal income tax law that apply to certain types of investors,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institutions or financial services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broker-dealers;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taxpayers that are subject to the mark-to-market accounting rules with respect to the VIH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partnerships (including entities or arrangements treated as partnerships for U.S. federal income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actually or constructively own five percent or more (by vote or value) of VIH Class A Ordinary Shares (except as specifically provided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Sponsor or its affiliates, officers or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acquired their VIH Securities pursuant to an exercise of employee share options, in connection with employee share incentive plans or otherwise as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hold their VIH Securities as part of a straddle, constructive sale, hedging, wash sale, conversion or other integrated or similar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specified foreign corporations (including controlled foreign corporations), passive foreign investment companies or corporations that accumulate earnings to avoid U.S. federal income tax.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 partnership (or any entity or arrangement treated as a partnership for U.S. federal income tax purposes) holds VIH Securities, the tax treatment of such partnership and a person treated as a partner of such partnership will generally depend on the status of the partner and the activities of the partnership. Partnerships holding any VIH Securities and persons that are treated as partners of such partnerships should consult their tax advisors as to the particular U.S. federal income tax consequences to them of the Domestication and the exercise of Redemption Rights with respect to their VIH Class A Ordinary Shares. This discussion also assumes that any distribution made (or deemed made) on VIH Shares and any consideration received (or deemed received) by a holder in consideration for the sale or other disposition of VIH Shares will be in U.S. dollars. Additionally, this discussion does not address the conversion of VIH Warrants (including the Private Placement Warrants) into VIH Shares. </w:t>
      </w:r>
    </w:p>
    <w:p>
      <w:pPr>
        <w:pStyle w:val="TextBody"/>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thereunder, and judicial and administrative interpretations thereof, all as of the date hereof. All of the foregoing is subject to change, which change could apply retroactively and could affect the tax considerations described herein. </w:t>
      </w:r>
    </w:p>
    <w:p>
      <w:pPr>
        <w:pStyle w:val="TextBody"/>
        <w:spacing w:before="240" w:after="0"/>
        <w:jc w:val="left"/>
        <w:rPr>
          <w:rFonts w:ascii="Times New Roman" w:hAnsi="Times New Roman"/>
          <w:sz w:val="20"/>
        </w:rPr>
      </w:pPr>
      <w:r>
        <w:rPr>
          <w:rFonts w:ascii="Times New Roman" w:hAnsi="Times New Roman"/>
          <w:sz w:val="20"/>
        </w:rPr>
        <w:t xml:space="preserve">We have not sought, and do not intend to seek any rulings from the IRS as to any U.S. federal income tax considerations described herein. There can be no assurance that the IRS will not take positions inconsistent with the considerations discussed below or that any such positions would not be sustained by a court. </w:t>
      </w:r>
    </w:p>
    <w:p>
      <w:pPr>
        <w:pStyle w:val="TextBody"/>
        <w:spacing w:before="240" w:after="0"/>
        <w:jc w:val="left"/>
        <w:rPr>
          <w:rFonts w:ascii="Times New Roman" w:hAnsi="Times New Roman"/>
          <w:b/>
          <w:sz w:val="20"/>
        </w:rPr>
      </w:pPr>
      <w:r>
        <w:rPr>
          <w:rFonts w:ascii="Times New Roman" w:hAnsi="Times New Roman"/>
          <w:b/>
          <w:sz w:val="20"/>
        </w:rPr>
        <w:t xml:space="preserve">THIS DISCUSSION IS ONLY A SUMMARY OF CERTAIN U.S. FEDERAL INCOME TAX CONSIDERATIONS ASSOCIATED WITH THE DOMESTICATION AND EXERCISE OF REDEMPTION RIGHTS WITH RESPECT TO THE VIH CLASS A ORDINARY SHARES. EACH HOLDER SHOULD CONSULT ITS OWN TAX ADVISOR WITH RESPECT TO THE PARTICULAR TAX CONSEQUENCES TO SUCH HOLDER OF THE DOMESTICATION AND THE BUSINESS COMBINATION, INCLUDING THE APPLICABILITY AND EFFECTS OF U.S. FEDERAL NON-INCOME, STATE AND LOCAL AND NON-U.S. TAX LAWS. </w:t>
      </w:r>
    </w:p>
    <w:p>
      <w:pPr>
        <w:pStyle w:val="TextBody"/>
        <w:spacing w:before="360" w:after="0"/>
        <w:jc w:val="left"/>
        <w:rPr>
          <w:rFonts w:ascii="Times New Roman" w:hAnsi="Times New Roman"/>
          <w:b/>
          <w:sz w:val="20"/>
        </w:rPr>
      </w:pPr>
      <w:bookmarkStart w:id="69" w:name="6a"/>
      <w:bookmarkEnd w:id="69"/>
      <w:r>
        <w:rPr>
          <w:rFonts w:ascii="Times New Roman" w:hAnsi="Times New Roman"/>
          <w:b/>
          <w:sz w:val="20"/>
        </w:rPr>
        <w:t xml:space="preserve">U.S. HOLDERS </w:t>
      </w:r>
    </w:p>
    <w:p>
      <w:pPr>
        <w:pStyle w:val="TextBody"/>
        <w:spacing w:before="120" w:after="0"/>
        <w:jc w:val="left"/>
        <w:rPr>
          <w:rFonts w:ascii="Times New Roman" w:hAnsi="Times New Roman"/>
          <w:sz w:val="20"/>
        </w:rPr>
      </w:pPr>
      <w:r>
        <w:rPr>
          <w:rFonts w:ascii="Times New Roman" w:hAnsi="Times New Roman"/>
          <w:sz w:val="20"/>
        </w:rPr>
        <w:t>As used herein, a </w:t>
      </w:r>
      <w:r>
        <w:rPr>
          <w:rFonts w:ascii="Times New Roman" w:hAnsi="Times New Roman"/>
          <w:b/>
          <w:sz w:val="20"/>
        </w:rPr>
        <w:t>U.S. Holder</w:t>
      </w:r>
      <w:r>
        <w:rPr>
          <w:rFonts w:ascii="Times New Roman" w:hAnsi="Times New Roman"/>
          <w:sz w:val="20"/>
        </w:rPr>
        <w:t xml:space="preserve"> is a beneficial owner of a VIH Security who or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that is created or organized (or treated as created or organized) in or under the laws of the United States or any state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spacing w:before="360" w:after="0"/>
        <w:jc w:val="left"/>
        <w:rPr>
          <w:rFonts w:ascii="Times New Roman" w:hAnsi="Times New Roman"/>
          <w:b/>
          <w:i/>
          <w:sz w:val="20"/>
        </w:rPr>
      </w:pPr>
      <w:bookmarkStart w:id="70" w:name="15e"/>
      <w:bookmarkEnd w:id="70"/>
      <w:r>
        <w:rPr>
          <w:rFonts w:ascii="Times New Roman" w:hAnsi="Times New Roman"/>
          <w:b/>
          <w:i/>
          <w:sz w:val="20"/>
        </w:rPr>
        <w:t xml:space="preserve">Tax Effects of the Domestication to U.S. Holders </w:t>
      </w:r>
    </w:p>
    <w:p>
      <w:pPr>
        <w:pStyle w:val="TextBody"/>
        <w:spacing w:before="120" w:after="0"/>
        <w:jc w:val="left"/>
        <w:rPr>
          <w:rFonts w:ascii="Times New Roman" w:hAnsi="Times New Roman"/>
          <w:i/>
          <w:sz w:val="20"/>
        </w:rPr>
      </w:pPr>
      <w:r>
        <w:rPr>
          <w:rFonts w:ascii="Times New Roman" w:hAnsi="Times New Roman"/>
          <w:i/>
          <w:sz w:val="20"/>
        </w:rPr>
        <w:t xml:space="preserve">Generally </w:t>
      </w:r>
    </w:p>
    <w:p>
      <w:pPr>
        <w:pStyle w:val="TextBody"/>
        <w:spacing w:before="120" w:after="0"/>
        <w:jc w:val="left"/>
        <w:rPr>
          <w:rFonts w:ascii="Times New Roman" w:hAnsi="Times New Roman"/>
          <w:sz w:val="20"/>
        </w:rPr>
      </w:pPr>
      <w:r>
        <w:rPr>
          <w:rFonts w:ascii="Times New Roman" w:hAnsi="Times New Roman"/>
          <w:sz w:val="20"/>
        </w:rPr>
        <w:t xml:space="preserve">The U.S. federal income tax consequences of the Domestication will depend primarily upon whether the domestication qualifies as a reorganization within the meaning of Section 368 of the Code. </w:t>
      </w:r>
    </w:p>
    <w:p>
      <w:pPr>
        <w:pStyle w:val="TextBody"/>
        <w:spacing w:before="240" w:after="0"/>
        <w:jc w:val="left"/>
        <w:rPr>
          <w:rFonts w:ascii="Times New Roman" w:hAnsi="Times New Roman"/>
          <w:sz w:val="20"/>
        </w:rPr>
      </w:pPr>
      <w:r>
        <w:rPr>
          <w:rFonts w:ascii="Times New Roman" w:hAnsi="Times New Roman"/>
          <w:sz w:val="20"/>
        </w:rPr>
        <w:t>Under Section 368(a)(1)(F) of the Code, a reorganization is a mere change in identity, form, or place of organization of one corporation, however effected (an </w:t>
      </w:r>
      <w:r>
        <w:rPr>
          <w:rFonts w:ascii="Times New Roman" w:hAnsi="Times New Roman"/>
          <w:b/>
          <w:sz w:val="20"/>
        </w:rPr>
        <w:t>F</w:t>
      </w:r>
      <w:r>
        <w:rPr>
          <w:rFonts w:ascii="Times New Roman" w:hAnsi="Times New Roman"/>
          <w:sz w:val="20"/>
        </w:rPr>
        <w:t xml:space="preserve"> </w:t>
      </w:r>
      <w:r>
        <w:rPr>
          <w:rFonts w:ascii="Times New Roman" w:hAnsi="Times New Roman"/>
          <w:b/>
          <w:sz w:val="20"/>
        </w:rPr>
        <w:t>Reorganization</w:t>
      </w:r>
      <w:r>
        <w:rPr>
          <w:rFonts w:ascii="Times New Roman" w:hAnsi="Times New Roman"/>
          <w:sz w:val="20"/>
        </w:rPr>
        <w:t xml:space="preserve">). Pursuant to the Domestication, VIH will change its jurisdiction of incorporation from the Cayman Islands to Delaware, and, following the Domestication, will be renamed Bakkt Holdings, Inc.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VIH intends for the Domestication to qualify as an F Reorganization. VIH has not requested, and does not intend to request, a ruling from the IRS as to the U.S. federal income tax consequences of the Domestication. Consequently, no assurance can be given that the IRS will not assert, or that a court would not sustain, a position contrary to any of those set forth below. Accordingly, each U.S. Holder of VIH Securities is urged to consult its tax advisor with respect to the particular tax consequence of the Domestication to such U.S. Holder. </w:t>
      </w:r>
    </w:p>
    <w:p>
      <w:pPr>
        <w:pStyle w:val="TextBody"/>
        <w:spacing w:before="240" w:after="0"/>
        <w:jc w:val="left"/>
        <w:rPr>
          <w:rFonts w:ascii="Times New Roman" w:hAnsi="Times New Roman"/>
          <w:sz w:val="20"/>
        </w:rPr>
      </w:pPr>
      <w:r>
        <w:rPr>
          <w:rFonts w:ascii="Times New Roman" w:hAnsi="Times New Roman"/>
          <w:sz w:val="20"/>
        </w:rPr>
        <w:t>Assuming the Domestication qualifies as an F Reorganization, U.S. Holders of VIH Securities generally should not recognize gain or loss for U.S. federal income tax purposes on the Domestication, except as provided below under the sections entitled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 Holders of VIH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and </w:t>
      </w:r>
      <w:r>
        <w:rPr>
          <w:rFonts w:ascii="Times New Roman" w:hAnsi="Times New Roman"/>
          <w:i/>
          <w:sz w:val="20"/>
        </w:rPr>
        <w:t>PFIC Considerations,</w:t>
      </w:r>
      <w:r>
        <w:rPr>
          <w:rFonts w:ascii="Times New Roman" w:hAnsi="Times New Roman"/>
          <w:sz w:val="20"/>
        </w:rPr>
        <w:t xml:space="preserve"> beginning on pages 198 and 200, respectively, of this proxy statement/prospectus and the Domestication should be treated for U.S. federal income tax purposes as if VIH (a) transferred all of its assets and liabilities to Bakkt Pubco in exchange for all of the outstanding Bakkt Pubco Common Stock and Bakkt Pubco Warrants; and (b) then distributed the Bakkt Pubco Common Stock and Bakkt Pubco Warrants to the holders of securities of VIH in liquidation of VIH. The taxable year of VIH will be deemed to end on the date of the Domestication. </w:t>
      </w:r>
    </w:p>
    <w:p>
      <w:pPr>
        <w:pStyle w:val="TextBody"/>
        <w:spacing w:before="24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PFIC Considerations,</w:t>
      </w:r>
      <w:r>
        <w:rPr>
          <w:rFonts w:ascii="Times New Roman" w:hAnsi="Times New Roman"/>
          <w:sz w:val="20"/>
        </w:rPr>
        <w:t xml:space="preserve"> beginning on page 200 of this proxy statement/prospectus if the Domestication fails to qualify as an F Reorganization, a U.S. Holder of VIH Securities generally would recognize gain or loss with respect to its VIH Securities in an amount equal to the difference, if any, between the fair market value of the corresponding Bakkt Pubco Common Stock and Bakkt Pubco Warrants received in the Domestication and the U.S. Holders adjusted tax basis in its VIH Securities surrendered. </w:t>
      </w:r>
    </w:p>
    <w:p>
      <w:pPr>
        <w:pStyle w:val="TextBody"/>
        <w:spacing w:before="240" w:after="0"/>
        <w:jc w:val="left"/>
        <w:rPr>
          <w:rFonts w:ascii="Times New Roman" w:hAnsi="Times New Roman"/>
          <w:sz w:val="20"/>
        </w:rPr>
      </w:pPr>
      <w:r>
        <w:rPr>
          <w:rFonts w:ascii="Times New Roman" w:hAnsi="Times New Roman"/>
          <w:sz w:val="20"/>
        </w:rPr>
        <w:t xml:space="preserve">Because the Domestication will occur prior to the redemption of U.S. Holders that exercise Redemption Rights with respect to VIH Class A Ordinary Shares, U.S. Holders exercising such Redemption Rights will be subject to the potential tax consequences of the Domestication. All U.S. Holders considering exercising Redemption Rights with respect to VIH Class A Ordinary Shares are urged to consult with their tax advisors with respect to the potential tax consequences to them of the Domestication and exercise of Redemption Rights. </w:t>
      </w:r>
    </w:p>
    <w:p>
      <w:pPr>
        <w:pStyle w:val="TextBody"/>
        <w:spacing w:before="240" w:after="0"/>
        <w:jc w:val="left"/>
        <w:rPr>
          <w:rFonts w:ascii="Times New Roman" w:hAnsi="Times New Roman"/>
          <w:sz w:val="20"/>
        </w:rPr>
      </w:pPr>
      <w:r>
        <w:rPr>
          <w:rFonts w:ascii="Times New Roman" w:hAnsi="Times New Roman"/>
          <w:sz w:val="20"/>
        </w:rPr>
        <w:t xml:space="preserve">Following the Domestication, a U.S. Holder generally would be required to include in gross income as U.S. source dividend income the amount of any distribution of cash or other property paid on the Bakkt Pubco Common Stock to the extent the distribution is paid out of Bakkt Pubcos current or accumulated earnings and profits (as determined under U.S. federal income tax principles). U.S. Holders are urged to consult with their tax advisors regarding this and any other tax considerations of owning stock and warrants of a U.S. corporation, i.e., Bakkt Pubco, rather than a non-U.S. corporation following the Domestication. </w:t>
      </w:r>
    </w:p>
    <w:p>
      <w:pPr>
        <w:pStyle w:val="TextBody"/>
        <w:spacing w:before="360" w:after="0"/>
        <w:jc w:val="left"/>
        <w:rPr>
          <w:rFonts w:ascii="Times New Roman" w:hAnsi="Times New Roman"/>
          <w:i/>
          <w:sz w:val="20"/>
        </w:rPr>
      </w:pPr>
      <w:r>
        <w:rPr>
          <w:rFonts w:ascii="Times New Roman" w:hAnsi="Times New Roman"/>
          <w:i/>
          <w:sz w:val="20"/>
        </w:rPr>
        <w:t xml:space="preserve">Basis and Holding Period Considerations </w:t>
      </w:r>
    </w:p>
    <w:p>
      <w:pPr>
        <w:pStyle w:val="TextBody"/>
        <w:spacing w:before="120" w:after="0"/>
        <w:jc w:val="left"/>
        <w:rPr>
          <w:rFonts w:ascii="Times New Roman" w:hAnsi="Times New Roman"/>
          <w:sz w:val="20"/>
        </w:rPr>
      </w:pPr>
      <w:r>
        <w:rPr>
          <w:rFonts w:ascii="Times New Roman" w:hAnsi="Times New Roman"/>
          <w:sz w:val="20"/>
        </w:rPr>
        <w:t>Assuming the Domestication qualifies as an F Reorganization, subject to the discussion below under the section entitled </w:t>
      </w:r>
      <w:r>
        <w:rPr>
          <w:rFonts w:ascii="Times New Roman" w:hAnsi="Times New Roman"/>
          <w:i/>
          <w:sz w:val="20"/>
        </w:rPr>
        <w:t>PFIC Considerations</w:t>
      </w:r>
      <w:r>
        <w:rPr>
          <w:rFonts w:ascii="Times New Roman" w:hAnsi="Times New Roman"/>
          <w:sz w:val="20"/>
        </w:rPr>
        <w:t xml:space="preserve"> beginning on page 200 of this proxy statement/prospectus: (a) the tax basis of a share of Bakkt Pubco Common Stock or Bakkt Pubco Warrant received by a U.S. Holder in the Domestication will equal the U.S. Holders tax basis in the VIH Class A Ordinary Share or VIH Warrant surrendered in exchange therefor, increased by any amount included in the income of such U.S. Holder as a result of Section 367 of the Code (as discussed below) and (b) the holding period for a share of Bakkt Pubco Common Stock or a Bakkt Pubco Warrant received by a U.S. Holder will include such U.S. Holders holding period for the VIH Class A Ordinary Share or VIH Warrant surrendered in exchange therefor. </w:t>
      </w:r>
    </w:p>
    <w:p>
      <w:pPr>
        <w:pStyle w:val="TextBody"/>
        <w:spacing w:before="240" w:after="0"/>
        <w:jc w:val="left"/>
        <w:rPr>
          <w:rFonts w:ascii="Times New Roman" w:hAnsi="Times New Roman"/>
          <w:sz w:val="20"/>
        </w:rPr>
      </w:pPr>
      <w:r>
        <w:rPr>
          <w:rFonts w:ascii="Times New Roman" w:hAnsi="Times New Roman"/>
          <w:sz w:val="20"/>
        </w:rPr>
        <w:t xml:space="preserve">If the Domestication fails to qualify as an F Reorganization, the U.S. Holders basis in the Bakkt Pubco Common Stock and Bakkt Pubco Warrants would be equal to the fair market value of such Bakkt Pubco Common Stock and Bakkt Pubco Warrants on the date of the Domestication, and such U.S. Holders holding period for such Bakkt Pubco Common Stock and Bakkt Pubco Warrants would begin on the day following the date of the Domestication. Shareholders who hold different blocks of VIH Securities (generally, shares of VIH Securities purchased or acquired on different dates or at different prices) should consult their tax advisors to determine how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above rules apply to them, and the discussion above does not specifically address all of the consequences to U.S. Holders who hold different blocks of VIH Securities. </w:t>
      </w:r>
    </w:p>
    <w:p>
      <w:pPr>
        <w:pStyle w:val="TextBody"/>
        <w:spacing w:before="360" w:after="0"/>
        <w:jc w:val="left"/>
        <w:rPr>
          <w:rFonts w:ascii="Times New Roman" w:hAnsi="Times New Roman"/>
          <w:i/>
          <w:sz w:val="20"/>
        </w:rPr>
      </w:pPr>
      <w:bookmarkStart w:id="71" w:name="3e"/>
      <w:bookmarkEnd w:id="71"/>
      <w:r>
        <w:rPr>
          <w:rFonts w:ascii="Times New Roman" w:hAnsi="Times New Roman"/>
          <w:i/>
          <w:sz w:val="20"/>
        </w:rPr>
        <w:t xml:space="preserve">Effects of Section 367 to U.S. Holders of VIH Class A Ordinary Shares </w:t>
      </w:r>
    </w:p>
    <w:p>
      <w:pPr>
        <w:pStyle w:val="TextBody"/>
        <w:spacing w:before="120" w:after="0"/>
        <w:jc w:val="left"/>
        <w:rPr>
          <w:rFonts w:ascii="Times New Roman" w:hAnsi="Times New Roman"/>
          <w:sz w:val="20"/>
        </w:rPr>
      </w:pPr>
      <w:r>
        <w:rPr>
          <w:rFonts w:ascii="Times New Roman" w:hAnsi="Times New Roman"/>
          <w:sz w:val="20"/>
        </w:rPr>
        <w:t>Section 367 of the Code applies to certain transactions involving foreign corporations, including a domestication of a foreign corporation in a transaction that qualifies as an F Reorganization. Subject to the discussion below under the section entitled </w:t>
      </w:r>
      <w:r>
        <w:rPr>
          <w:rFonts w:ascii="Times New Roman" w:hAnsi="Times New Roman"/>
          <w:i/>
          <w:sz w:val="20"/>
        </w:rPr>
        <w:t>PFIC Considerations</w:t>
      </w:r>
      <w:r>
        <w:rPr>
          <w:rFonts w:ascii="Times New Roman" w:hAnsi="Times New Roman"/>
          <w:sz w:val="20"/>
        </w:rPr>
        <w:t>, beginning on page 200 of this proxy statement/prospectus, Section 367 of the Code imposes U.S. federal income tax on certain United States persons in connection with transactions that would otherwise be tax-deferred. Section 367(b) of the Code will generally apply to U.S. Holders on the date of the Domestication. Because the Domestication will occur prior to the redemption of U.S. Holders that exercise Redemption Rights with respect to their VIH Class A Ordinary Shares, U.S. Holders exercising such Redemption Rights will be subject to the potential tax consequences of Section 367 of the Code and the PFIC rules, as discussed below under the section entitled </w:t>
      </w:r>
      <w:r>
        <w:rPr>
          <w:rFonts w:ascii="Times New Roman" w:hAnsi="Times New Roman"/>
          <w:i/>
          <w:sz w:val="20"/>
        </w:rPr>
        <w:t>PFIC Considerations,</w:t>
      </w:r>
      <w:r>
        <w:rPr>
          <w:rFonts w:ascii="Times New Roman" w:hAnsi="Times New Roman"/>
          <w:sz w:val="20"/>
        </w:rPr>
        <w:t xml:space="preserve"> beginning on page 200 of this proxy statement/prospectus as a result of the Domestication.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U.S. Holders Who Own 10 Percent or More (By Vote or Value) of VIH Shares </w:t>
      </w:r>
    </w:p>
    <w:p>
      <w:pPr>
        <w:pStyle w:val="TextBody"/>
        <w:spacing w:before="12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PFIC Considerations,</w:t>
      </w:r>
      <w:r>
        <w:rPr>
          <w:rFonts w:ascii="Times New Roman" w:hAnsi="Times New Roman"/>
          <w:sz w:val="20"/>
        </w:rPr>
        <w:t> beginning on page 200 of this proxy statement/prospectus, a U.S. Holder who beneficially owns (directly, indirectly or constructively) 10% or more of the total combined voting power of all classes of VIH Shares entitled to vote or 10% or more of the total value of all classes of VIH Shares (a </w:t>
      </w:r>
      <w:r>
        <w:rPr>
          <w:rFonts w:ascii="Times New Roman" w:hAnsi="Times New Roman"/>
          <w:b/>
          <w:sz w:val="20"/>
        </w:rPr>
        <w:t>10% U.S. Shareholder</w:t>
      </w:r>
      <w:r>
        <w:rPr>
          <w:rFonts w:ascii="Times New Roman" w:hAnsi="Times New Roman"/>
          <w:sz w:val="20"/>
        </w:rPr>
        <w:t xml:space="preserve">) on such date must include in income as a dividend deemed paid by VIH the all earnings and profits amount attributable to the VIH Class A Ordinary Shares it directly owns within the meaning of Treasury Regulations under Section 367 of the Code. A U.S. Holders ownership of VIH Warrants will be taken into account in determining whether such U.S. Holder is a 10% U.S. Shareholder. Complex attribution rules apply in determining whether a U.S. Holder is a 10% U.S. Shareholder and all U.S. Holders are urged to consult their tax advisors with respect to these attribution rules. </w:t>
      </w:r>
    </w:p>
    <w:p>
      <w:pPr>
        <w:pStyle w:val="TextBody"/>
        <w:spacing w:before="240" w:after="0"/>
        <w:jc w:val="left"/>
        <w:rPr>
          <w:rFonts w:ascii="Times New Roman" w:hAnsi="Times New Roman"/>
          <w:sz w:val="20"/>
        </w:rPr>
      </w:pPr>
      <w:r>
        <w:rPr>
          <w:rFonts w:ascii="Times New Roman" w:hAnsi="Times New Roman"/>
          <w:sz w:val="20"/>
        </w:rPr>
        <w:t xml:space="preserve">A 10% U.S. Shareholders all earnings and profits amount with respect to its VIH Class A Ordinary Shares is the net positive earnings and profits of VIH (as determined under Treasury Regulations under Section 367 of the Code) attributable to such VIH Class A Ordinary Shares (as determined under Treasury Regulations under Section 367) but without regard to any gain that would be realized on a sale or exchange of such VIH Class A Ordinary Shares.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 </w:t>
      </w:r>
    </w:p>
    <w:p>
      <w:pPr>
        <w:pStyle w:val="TextBody"/>
        <w:spacing w:before="240" w:after="0"/>
        <w:jc w:val="left"/>
        <w:rPr>
          <w:rFonts w:ascii="Times New Roman" w:hAnsi="Times New Roman"/>
          <w:sz w:val="20"/>
        </w:rPr>
      </w:pPr>
      <w:r>
        <w:rPr>
          <w:rFonts w:ascii="Times New Roman" w:hAnsi="Times New Roman"/>
          <w:sz w:val="20"/>
        </w:rPr>
        <w:t xml:space="preserve">VIH does not expect to have significant, if any, cumulative net earnings and profits on the date of the Domestication. If VIHs cumulative net earnings and profits through the date of the Domestication is less than or equal to zero, then a 10% U.S. Shareholder should not be required to include in gross income an all earnings and profits amount with respect to its VIH Class A Ordinary Shares. However, the determination of earnings and profits is a complex determination and may be impacted by numerous factors. It is possible that the amount of VIHs cumulative net earnings and profits could be positive through the date of the Domestication, in which case a 10% U.S. Shareholder would be required to include its all earnings and profits amount in income as a deemed dividend deemed paid by VIH under Treasury Regulations under Section 367 of the Code as a result of the Domestication.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U.S. Holders Whose VIH Class A Ordinary Shares Have a Fair Market Value of $50,000 or More But Who Own Less Than 10% (By Vote or Value) of VIH Shares </w:t>
      </w:r>
    </w:p>
    <w:p>
      <w:pPr>
        <w:pStyle w:val="TextBody"/>
        <w:spacing w:before="12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PFIC Considerations</w:t>
      </w:r>
      <w:r>
        <w:rPr>
          <w:rFonts w:ascii="Times New Roman" w:hAnsi="Times New Roman"/>
          <w:sz w:val="20"/>
        </w:rPr>
        <w:t xml:space="preserve"> beginning on page 200 of this proxy statement/prospectus, a U.S. Holder whose VIH Class A Ordinary Shares have a fair market value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$50,000 or more and who, on the date of the Domestication, is not a 10% U.S. Shareholder will recognize gain (but not loss) with respect to its VIH Class A Ordinary Shares in the Domestication or, in the alternative, may elect to recognize the all earnings and profits amount attributable to such U.S. Holders VIH Class A Ordinary Shares as described below. </w:t>
      </w:r>
    </w:p>
    <w:p>
      <w:pPr>
        <w:pStyle w:val="TextBody"/>
        <w:spacing w:before="24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PFIC Considerations</w:t>
      </w:r>
      <w:r>
        <w:rPr>
          <w:rFonts w:ascii="Times New Roman" w:hAnsi="Times New Roman"/>
          <w:sz w:val="20"/>
        </w:rPr>
        <w:t xml:space="preserve"> beginning on page 200 of this proxy statement/prospectus, unless a U.S. Holder makes the all earnings and profits election as described below, such U.S. Holder generally must recognize gain (but not loss) with respect to Bakkt Pubco Common Stock received in the Domestication in an amount equal to the excess of the fair market value of such Bakkt Pubco Common Stock over the U.S. Holders adjusted tax basis in the VIH Class A Ordinary Shares deemed surrendered in exchange therefor. U.S. Holders who hold different blocks of VIH Class A Ordinary Shares (generally, VIH Class A Ordinary Shares purchased or acquired on different dates or at different prices) should consult their tax advisors to determine how the above rules apply to them. </w:t>
      </w:r>
    </w:p>
    <w:p>
      <w:pPr>
        <w:pStyle w:val="TextBody"/>
        <w:spacing w:before="240" w:after="0"/>
        <w:jc w:val="left"/>
        <w:rPr>
          <w:rFonts w:ascii="Times New Roman" w:hAnsi="Times New Roman"/>
          <w:sz w:val="20"/>
        </w:rPr>
      </w:pPr>
      <w:r>
        <w:rPr>
          <w:rFonts w:ascii="Times New Roman" w:hAnsi="Times New Roman"/>
          <w:sz w:val="20"/>
        </w:rPr>
        <w:t xml:space="preserve">In lieu of recognizing any gain as described in the preceding paragraph, a U.S. Holder may elect to include in income as a deemed dividend paid by VIH the all earnings and profits amount attributable to its VIH Class A Ordinary Shares under Section 367(b) of the Code. There are, however, strict conditions for making this election. This election must comply with applicable Treasury Regulations and generally must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(i)</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statement that the Domestication is a Section 367(b) exchange (within the meaning of the applicable Treasury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(ii)</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complete description of the Domestication;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(iii)</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description of any stock, securities or other consideration transferred or received in the Domestication;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(iv)</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statement describing the amounts required to be taken into account for U.S. federal income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(v)</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statement that the U.S. Holder is making the election that includes (A) a copy of the information that the U.S. Holder received from VIH establishing and substantiating the U.S. Holders all earnings and profits amount with respect to the U.S. Holders VIH Class A Ordinary Shares and (B) a representation that the U.S. Holder has notified VIH (or Bakkt Pubco) that the U.S. Holder is making the election;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3"/>
        <w:gridCol w:w="9084"/>
      </w:tblGrid>
      <w:tr>
        <w:trPr/>
        <w:tc>
          <w:tcPr>
            <w:tcW w:w="508" w:type="dxa"/>
            <w:tcBorders/>
            <w:shd w:fill="auto" w:val="clear"/>
            <w:vAlign w:val="center"/>
          </w:tcPr>
          <w:p>
            <w:pPr>
              <w:pStyle w:val="TableContents"/>
              <w:spacing w:before="0" w:after="283"/>
              <w:rPr/>
            </w:pPr>
            <w:r>
              <w:rPr/>
              <w:t> </w:t>
            </w:r>
          </w:p>
        </w:tc>
        <w:tc>
          <w:tcPr>
            <w:tcW w:w="613" w:type="dxa"/>
            <w:tcBorders/>
            <w:shd w:fill="auto" w:val="clear"/>
          </w:tcPr>
          <w:p>
            <w:pPr>
              <w:pStyle w:val="TableContents"/>
              <w:spacing w:before="0" w:after="283"/>
              <w:jc w:val="left"/>
              <w:rPr/>
            </w:pPr>
            <w:r>
              <w:rPr/>
              <w:t>(vi)</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other information required to be furnished with the U.S. Holders tax return or otherwise furnished pursuant to the Code or the Treasury Regulations.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election must be attached by an electing U.S. Holder to such U.S. Holders timely filed U.S. federal income tax return for the year of the Domestication, and the U.S. Holder must send notice of making the election to VIH or Bakkt Pubco no later than the date such tax return is filed. In connection with this election, VIH may in its discretion provide each U.S. Holder eligible to make such an election with information regarding VIHs earnings and profits upon written request. </w:t>
      </w:r>
    </w:p>
    <w:p>
      <w:pPr>
        <w:pStyle w:val="TextBody"/>
        <w:spacing w:before="240" w:after="0"/>
        <w:jc w:val="left"/>
        <w:rPr>
          <w:rFonts w:ascii="Times New Roman" w:hAnsi="Times New Roman"/>
          <w:sz w:val="20"/>
        </w:rPr>
      </w:pPr>
      <w:r>
        <w:rPr>
          <w:rFonts w:ascii="Times New Roman" w:hAnsi="Times New Roman"/>
          <w:sz w:val="20"/>
        </w:rPr>
        <w:t xml:space="preserve">VIH does not expect to have significant, if any, cumulative earnings and profits through the date of the Domestication and if that proves to be the case, U.S. Holders who make this election are not expected to have a significant income inclusion under Section 367(b) of the Code, provided that the U.S. Holder properly executes the election and complies with the applicable notice requirements. However, as noted above, if it were determined that VIH had positive earnings and profits through the date of the Domestication, a U.S. Holder that makes the election described herein could have an all earnings and profits amount with respect to its VIH Class A Ordinary Shares, and thus could be required to include that amount in income as a deemed dividend deemed paid by VIH under applicable Treasury Regulations as a result of the Domestication. </w:t>
      </w:r>
    </w:p>
    <w:p>
      <w:pPr>
        <w:pStyle w:val="TextBody"/>
        <w:spacing w:before="240" w:after="0"/>
        <w:jc w:val="left"/>
        <w:rPr>
          <w:rFonts w:ascii="Times New Roman" w:hAnsi="Times New Roman"/>
          <w:b/>
          <w:sz w:val="20"/>
        </w:rPr>
      </w:pPr>
      <w:r>
        <w:rPr>
          <w:rFonts w:ascii="Times New Roman" w:hAnsi="Times New Roman"/>
          <w:b/>
          <w:sz w:val="20"/>
        </w:rPr>
        <w:t xml:space="preserve">EACH U.S. HOLDER IS URGED TO CONSULT ITS TAX ADVISOR REGARDING THE CONSEQUENCES TO IT OF MAKING AN ELECTION TO INCLUDE IN INCOME THE ALL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EARNINGS AND PROFITS AMOUNT ATTRIBUTABLE TO ITS VIH CLASS A ORDINARY SHARES UNDER SECTION 367(b) OF THE CODE AND THE APPROPRIATE FILING REQUIREMENTS WITH RESPECT TO SUCH AN ELECTION.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U.S. Holders that Own VIH Class A Ordinary Shares with a Fair Market Value of Less Than $50,000 and Who Own Less Than 10% (By Vote or Value) of VIH Stock </w:t>
      </w:r>
    </w:p>
    <w:p>
      <w:pPr>
        <w:pStyle w:val="TextBody"/>
        <w:spacing w:before="120" w:after="0"/>
        <w:jc w:val="left"/>
        <w:rPr>
          <w:rFonts w:ascii="Times New Roman" w:hAnsi="Times New Roman"/>
          <w:sz w:val="20"/>
        </w:rPr>
      </w:pPr>
      <w:r>
        <w:rPr>
          <w:rFonts w:ascii="Times New Roman" w:hAnsi="Times New Roman"/>
          <w:sz w:val="20"/>
        </w:rPr>
        <w:t>A U.S. Holder whose VIH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 However, such U.S. Holder may be subject to taxation under the PFIC rules as discussed below under the section entitled </w:t>
      </w:r>
      <w:r>
        <w:rPr>
          <w:rFonts w:ascii="Times New Roman" w:hAnsi="Times New Roman"/>
          <w:i/>
          <w:sz w:val="20"/>
        </w:rPr>
        <w:t>PFIC Considerations</w:t>
      </w:r>
      <w:r>
        <w:rPr>
          <w:rFonts w:ascii="Times New Roman" w:hAnsi="Times New Roman"/>
          <w:sz w:val="20"/>
        </w:rPr>
        <w:t xml:space="preserve"> beginning on page 200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Tax Consequences for U.S. Holders of VIH Warrants </w:t>
      </w:r>
    </w:p>
    <w:p>
      <w:pPr>
        <w:pStyle w:val="TextBody"/>
        <w:spacing w:before="120" w:after="0"/>
        <w:jc w:val="left"/>
        <w:rPr>
          <w:rFonts w:ascii="Times New Roman" w:hAnsi="Times New Roman"/>
          <w:sz w:val="20"/>
        </w:rPr>
      </w:pPr>
      <w:r>
        <w:rPr>
          <w:rFonts w:ascii="Times New Roman" w:hAnsi="Times New Roman"/>
          <w:sz w:val="20"/>
        </w:rPr>
        <w:t xml:space="preserve">Subject to the considerations described above relating to Section 367(b) of the Code and below relating to PFIC considerations, a U.S. Holder of VIH Warrants should not be subject to U.S. federal income tax with respect to the exchange of VIH Warrants for Bakkt Pubco Warrants in the Domestication. </w:t>
      </w:r>
    </w:p>
    <w:p>
      <w:pPr>
        <w:pStyle w:val="TextBody"/>
        <w:spacing w:before="240" w:after="0"/>
        <w:jc w:val="left"/>
        <w:rPr>
          <w:rFonts w:ascii="Times New Roman" w:hAnsi="Times New Roman"/>
          <w:b/>
          <w:sz w:val="20"/>
        </w:rPr>
      </w:pPr>
      <w:r>
        <w:rPr>
          <w:rFonts w:ascii="Times New Roman" w:hAnsi="Times New Roman"/>
          <w:b/>
          <w:sz w:val="20"/>
        </w:rPr>
        <w:t xml:space="preserve">ALL U.S. HOLDERS ARE URGED TO CONSULT THEIR TAX ADVISORS WITH RESPECT TO THE EFFECT OF SECTION 367 OF THE CODE TO THEIR PARTICULAR CIRCUMSTANCES. </w:t>
      </w:r>
    </w:p>
    <w:p>
      <w:pPr>
        <w:pStyle w:val="TextBody"/>
        <w:spacing w:before="360" w:after="0"/>
        <w:jc w:val="left"/>
        <w:rPr>
          <w:rFonts w:ascii="Times New Roman" w:hAnsi="Times New Roman"/>
          <w:i/>
          <w:sz w:val="20"/>
        </w:rPr>
      </w:pPr>
      <w:bookmarkStart w:id="72" w:name="5e"/>
      <w:bookmarkEnd w:id="72"/>
      <w:r>
        <w:rPr>
          <w:rFonts w:ascii="Times New Roman" w:hAnsi="Times New Roman"/>
          <w:i/>
          <w:sz w:val="20"/>
        </w:rPr>
        <w:t xml:space="preserve">PFIC Considerations </w:t>
      </w:r>
    </w:p>
    <w:p>
      <w:pPr>
        <w:pStyle w:val="TextBody"/>
        <w:spacing w:before="120" w:after="0"/>
        <w:jc w:val="left"/>
        <w:rPr>
          <w:rFonts w:ascii="Times New Roman" w:hAnsi="Times New Roman"/>
          <w:sz w:val="20"/>
        </w:rPr>
      </w:pPr>
      <w:r>
        <w:rPr>
          <w:rFonts w:ascii="Times New Roman" w:hAnsi="Times New Roman"/>
          <w:sz w:val="20"/>
        </w:rPr>
        <w:t>Regardless of whether the Domestication qualifies as an F Reorganization, the Domestication could be a taxable event to U.S. Holders under the passive foreign investment company (</w:t>
      </w:r>
      <w:r>
        <w:rPr>
          <w:rFonts w:ascii="Times New Roman" w:hAnsi="Times New Roman"/>
          <w:b/>
          <w:sz w:val="20"/>
        </w:rPr>
        <w:t>PFIC</w:t>
      </w:r>
      <w:r>
        <w:rPr>
          <w:rFonts w:ascii="Times New Roman" w:hAnsi="Times New Roman"/>
          <w:sz w:val="20"/>
        </w:rPr>
        <w:t xml:space="preserve">) provisions of the Code if VIH is considered a PFIC.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Definition of a PFIC </w:t>
      </w:r>
    </w:p>
    <w:p>
      <w:pPr>
        <w:pStyle w:val="TextBody"/>
        <w:spacing w:before="120" w:after="0"/>
        <w:jc w:val="left"/>
        <w:rPr>
          <w:rFonts w:ascii="Times New Roman" w:hAnsi="Times New Roman"/>
          <w:sz w:val="20"/>
        </w:rPr>
      </w:pPr>
      <w:r>
        <w:rPr>
          <w:rFonts w:ascii="Times New Roman" w:hAnsi="Times New Roman"/>
          <w:sz w:val="20"/>
        </w:rPr>
        <w:t xml:space="preserve">A foreign (i.e., non-U.S.) corporation will be classified as a PFIC for U.S. federal income tax purposes if either (a) at least 75% of its gross income in a taxable year, including its </w:t>
      </w:r>
      <w:r>
        <w:rPr>
          <w:rFonts w:ascii="Times New Roman" w:hAnsi="Times New Roman"/>
          <w:i/>
          <w:sz w:val="20"/>
        </w:rPr>
        <w:t>pro rata</w:t>
      </w:r>
      <w:r>
        <w:rPr>
          <w:rFonts w:ascii="Times New Roman" w:hAnsi="Times New Roman"/>
          <w:sz w:val="20"/>
        </w:rPr>
        <w:t xml:space="preserve"> share of the gross income of any corporation in which it is considered to own at least 25% of the shares by value, is passive income or (b) at least 50% of its assets in a taxable year (generally determined based on fair market value and averaged quarterly over the year), including its </w:t>
      </w:r>
      <w:r>
        <w:rPr>
          <w:rFonts w:ascii="Times New Roman" w:hAnsi="Times New Roman"/>
          <w:i/>
          <w:sz w:val="20"/>
        </w:rPr>
        <w:t>pro rata</w:t>
      </w:r>
      <w:r>
        <w:rPr>
          <w:rFonts w:ascii="Times New Roman" w:hAnsi="Times New Roman"/>
          <w:sz w:val="20"/>
        </w:rPr>
        <w:t xml:space="preserve">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 Pursuant to a startup exception, a foreign corporation will not be a PFIC for the first taxable year the foreign corporation has gross income (the </w:t>
      </w:r>
      <w:r>
        <w:rPr>
          <w:rFonts w:ascii="Times New Roman" w:hAnsi="Times New Roman"/>
          <w:b/>
          <w:sz w:val="20"/>
        </w:rPr>
        <w:t>startup</w:t>
      </w:r>
      <w:r>
        <w:rPr>
          <w:rFonts w:ascii="Times New Roman" w:hAnsi="Times New Roman"/>
          <w:sz w:val="20"/>
        </w:rPr>
        <w:t xml:space="preserve"> </w:t>
      </w:r>
      <w:r>
        <w:rPr>
          <w:rFonts w:ascii="Times New Roman" w:hAnsi="Times New Roman"/>
          <w:b/>
          <w:sz w:val="20"/>
        </w:rPr>
        <w:t>year</w:t>
      </w:r>
      <w:r>
        <w:rPr>
          <w:rFonts w:ascii="Times New Roman" w:hAnsi="Times New Roman"/>
          <w:sz w:val="20"/>
        </w:rPr>
        <w:t xml:space="preserve">) if (1) no predecessor of the foreign corporation was a PFIC; (2) the foreign corporation satisfies the IRS that it will not be a PFIC for either of the first two taxable years following the startup year; and (3) the foreign corporation is not in fact a PFIC for either of those years.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PFIC Status of VIH </w:t>
      </w:r>
    </w:p>
    <w:p>
      <w:pPr>
        <w:pStyle w:val="TextBody"/>
        <w:spacing w:before="120" w:after="0"/>
        <w:jc w:val="left"/>
        <w:rPr>
          <w:rFonts w:ascii="Times New Roman" w:hAnsi="Times New Roman"/>
          <w:sz w:val="20"/>
        </w:rPr>
      </w:pPr>
      <w:r>
        <w:rPr>
          <w:rFonts w:ascii="Times New Roman" w:hAnsi="Times New Roman"/>
          <w:sz w:val="20"/>
        </w:rPr>
        <w:t xml:space="preserve">Based upon the composition of its income and assets, and upon a review of its financial statements, VIH believes that it likely will not be eligible for the startup exception and therefore likely has been a PFIC since its first taxable year and will likely be considered a PFIC for the taxable year which ends as a result of the Domestication.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u w:val="single"/>
        </w:rPr>
      </w:pPr>
      <w:r>
        <w:rPr>
          <w:rFonts w:ascii="Times New Roman" w:hAnsi="Times New Roman"/>
          <w:sz w:val="20"/>
          <w:u w:val="single"/>
        </w:rPr>
        <w:t xml:space="preserve">Effects of PFIC Rules on the Domestication </w:t>
      </w:r>
    </w:p>
    <w:p>
      <w:pPr>
        <w:pStyle w:val="TextBody"/>
        <w:spacing w:before="120" w:after="0"/>
        <w:jc w:val="left"/>
        <w:rPr>
          <w:rFonts w:ascii="Times New Roman" w:hAnsi="Times New Roman"/>
          <w:sz w:val="20"/>
        </w:rPr>
      </w:pPr>
      <w:r>
        <w:rPr>
          <w:rFonts w:ascii="Times New Roman" w:hAnsi="Times New Roman"/>
          <w:sz w:val="20"/>
        </w:rPr>
        <w:t xml:space="preserve">Even if the Domestication qualifies as an F Reorganization, Section 1291(f) of the Code requires that, to the extent provided in Treasury Regulations, a U.S. person who disposes of stock of a PFIC (including for this purpose exchanging warrants of a PFIC for newly issued warrants in connection with a domestication transaction)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would require gain recognition to U.S. Holders of VIH Class A Ordinary Shares and VIH Warrants as a result of the Domestication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VIH were classified as a PFIC at any time during such U.S. Holders holding period in such VIH Class A Ordinary Shares or VIH Warrants;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U.S. Holder had not timely made (a) a QEF Election (as defined below) for the first taxable year in which the U.S. Holder owned such VIH Class A Ordinary Shares or in which VIH was a PFIC, whichever is later (or a QEF Election along with a purging election), or (b) an MTM Election (as defined below) with respect to such VIH Class A Ordinary Shares. Currently, applicable Treasury Regulations provide that neither a QEF Election nor an MTM Election can be made with respect to warrants. </w:t>
            </w:r>
          </w:p>
        </w:tc>
      </w:tr>
    </w:tbl>
    <w:p>
      <w:pPr>
        <w:pStyle w:val="TextBody"/>
        <w:spacing w:before="240" w:after="0"/>
        <w:jc w:val="left"/>
        <w:rPr>
          <w:rFonts w:ascii="Times New Roman" w:hAnsi="Times New Roman"/>
          <w:sz w:val="20"/>
        </w:rPr>
      </w:pPr>
      <w:r>
        <w:rPr>
          <w:rFonts w:ascii="Times New Roman" w:hAnsi="Times New Roman"/>
          <w:sz w:val="20"/>
        </w:rPr>
        <w:t xml:space="preserve">The tax on any such recognized gain would be imposed based on a complex set of computational rules designed to offset the tax deferral with respect to the undistributed earnings of VIH. Under these rules: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U.S. Holders gain will be allocated ratably over the U.S. Holders holding period for such U.S. Holders VIH Class A Ordinary Shares or VIH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of gain allocated to the U.S. Holders taxable year in which the U.S. Holder recognized the gain, or to the period in the U.S. Holders holding period before the first day of the first taxable year in which VIH was a PFIC, will be taxed as ordinary income;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of gain allocated to other taxable years (or portions thereof) of the U.S. Holder and included in such U.S. Holders holding period would be taxed at the highest tax rate in effect for that year and applicable to the U.S. 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in respect of the tax attributable to each such other taxable year (described in the third bullet above) of such U.S. Holder. </w:t>
            </w:r>
          </w:p>
        </w:tc>
      </w:tr>
    </w:tbl>
    <w:p>
      <w:pPr>
        <w:pStyle w:val="TextBody"/>
        <w:spacing w:before="240" w:after="0"/>
        <w:jc w:val="left"/>
        <w:rPr>
          <w:rFonts w:ascii="Times New Roman" w:hAnsi="Times New Roman"/>
          <w:sz w:val="20"/>
        </w:rPr>
      </w:pPr>
      <w:r>
        <w:rPr>
          <w:rFonts w:ascii="Times New Roman" w:hAnsi="Times New Roman"/>
          <w:sz w:val="20"/>
        </w:rPr>
        <w:t>In addition, the proposed Treasury Regulations provide coordinating rules with Section 367(b) of the Code, whereby, if the gain recognition rule of the proposed Treasury Regulations applied to a disposition of PFIC stock that results from a transfer with respect to which Section 367(b) requires the U.S. Holder to recognize gain or include an amount in income as a deemed dividend deemed paid by VIH, the gain realized on the transfer is taxable as an excess distribution under these rules, and the excess, if any, of the amount to be included in income under Section 367(b) over the gain realized under these rules is taxable as provided under Section 367(b). See the discussion above under the section entitled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 Holders of VIH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xml:space="preserve"> beginning on page 198 of this proxy statement/prospectus. </w:t>
      </w:r>
    </w:p>
    <w:p>
      <w:pPr>
        <w:pStyle w:val="TextBody"/>
        <w:spacing w:before="240" w:after="0"/>
        <w:jc w:val="left"/>
        <w:rPr>
          <w:rFonts w:ascii="Times New Roman" w:hAnsi="Times New Roman"/>
          <w:sz w:val="20"/>
        </w:rPr>
      </w:pPr>
      <w:r>
        <w:rPr>
          <w:rFonts w:ascii="Times New Roman" w:hAnsi="Times New Roman"/>
          <w:sz w:val="20"/>
        </w:rPr>
        <w:t>It is unclear whether, in what form and with what effective date, final Treasury Regulations under Section 1291(f) of the Code may be adopted or how any such final Treasury Regulations would apply. Therefore, U.S. Holders of VIH Class A Ordinary Shares that have not made a timely and effective QEF Election (or a QEF Election along with a purging election) or an MTM Election (each as defined below) may, pursuant to the proposed Treasury Regulations, be subject to taxation under the PFIC rules on the Domestication with respect to their VIH Class A Ordinary Shares and VIH Warrants under the PFIC rules in the manner set forth above. A U.S. Holder that made a timely and effective QEF Election (or a QEF Election along with a purging election) or an MTM Election with respect to its VIH Class A Ordinary Shares is referred to herein as an </w:t>
      </w:r>
      <w:r>
        <w:rPr>
          <w:rFonts w:ascii="Times New Roman" w:hAnsi="Times New Roman"/>
          <w:b/>
          <w:sz w:val="20"/>
        </w:rPr>
        <w:t>Electing Shareholder</w:t>
      </w:r>
      <w:r>
        <w:rPr>
          <w:rFonts w:ascii="Times New Roman" w:hAnsi="Times New Roman"/>
          <w:sz w:val="20"/>
        </w:rPr>
        <w:t> and a U.S. Holder that is not an Electing Shareholder is referred to herein as a </w:t>
      </w:r>
      <w:r>
        <w:rPr>
          <w:rFonts w:ascii="Times New Roman" w:hAnsi="Times New Roman"/>
          <w:b/>
          <w:sz w:val="20"/>
        </w:rPr>
        <w:t>Non-Electing Shareholder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application of the PFIC rules to U.S. Holders of VIH Warrants is unclear. Proposed Treasury Regulations issued under the PFIC rules generally treats an option (which would include a VIH Warrant) to acquire the stock of a PFIC as stock of the PFIC, while final Treasury Regulations issued under the PFIC rules provides that the QEF Election does not apply to options and no MTM Election (as defined below) is currently available with respect to options. Therefore, it is possible that the proposed Treasury Regulations if finalized in their current form would apply to cause gain recognition on the exchange of VIH Warrants for Bakkt Pubco Warrants pursuant to the Domestication. </w:t>
      </w:r>
    </w:p>
    <w:p>
      <w:pPr>
        <w:pStyle w:val="TextBody"/>
        <w:spacing w:before="240" w:after="0"/>
        <w:jc w:val="left"/>
        <w:rPr>
          <w:rFonts w:ascii="Times New Roman" w:hAnsi="Times New Roman"/>
          <w:sz w:val="20"/>
        </w:rPr>
      </w:pPr>
      <w:r>
        <w:rPr>
          <w:rFonts w:ascii="Times New Roman" w:hAnsi="Times New Roman"/>
          <w:sz w:val="20"/>
        </w:rPr>
        <w:t xml:space="preserve">Any gain recognized by a Non-Electing Shareholder of VIH Class A Ordinary Shares or a U.S. Holder of VIH Warrants as a result of the Domestication pursuant to PFIC rules would be taxable income to such U.S. Holder and taxed under the PFIC rules in the manner set forth above, with no corresponding receipt of cash. </w:t>
      </w:r>
    </w:p>
    <w:p>
      <w:pPr>
        <w:pStyle w:val="TextBody"/>
        <w:spacing w:before="240" w:after="0"/>
        <w:jc w:val="left"/>
        <w:rPr>
          <w:rFonts w:ascii="Times New Roman" w:hAnsi="Times New Roman"/>
          <w:sz w:val="20"/>
        </w:rPr>
      </w:pPr>
      <w:r>
        <w:rPr>
          <w:rFonts w:ascii="Times New Roman" w:hAnsi="Times New Roman"/>
          <w:sz w:val="20"/>
        </w:rPr>
        <w:t xml:space="preserve">As noted above, if VIH is considered a PFIC, the Domestication could be a taxable event under the PFIC rules regardless of whether the Domestication qualifies as an F Reorganization, and, absent a QEF Election (or a QEF Election along with a purging election) or an MTM Election, a U.S. Holder would be taxed under the PFIC rules in the manner set forth above. </w:t>
      </w:r>
    </w:p>
    <w:p>
      <w:pPr>
        <w:pStyle w:val="TextBody"/>
        <w:spacing w:before="240" w:after="0"/>
        <w:jc w:val="left"/>
        <w:rPr>
          <w:rFonts w:ascii="Times New Roman" w:hAnsi="Times New Roman"/>
          <w:b/>
          <w:sz w:val="20"/>
        </w:rPr>
      </w:pPr>
      <w:r>
        <w:rPr>
          <w:rFonts w:ascii="Times New Roman" w:hAnsi="Times New Roman"/>
          <w:b/>
          <w:sz w:val="20"/>
        </w:rPr>
        <w:t xml:space="preserve">ALL U.S. HOLDERS ARE URGED TO CONSULT THEIR TAX ADVISORS REGARDING THE EFFECTS OF THE PFIC RULES ON THE DOMESTICATION, INCLUDING THE IMPACT OF ANY PROPOSED OR FINAL TREASURY REGULATIONS.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QEF Election and Mark-to-Market Election </w:t>
      </w:r>
    </w:p>
    <w:p>
      <w:pPr>
        <w:pStyle w:val="TextBody"/>
        <w:spacing w:before="120" w:after="0"/>
        <w:jc w:val="left"/>
        <w:rPr>
          <w:rFonts w:ascii="Times New Roman" w:hAnsi="Times New Roman"/>
          <w:sz w:val="20"/>
        </w:rPr>
      </w:pPr>
      <w:r>
        <w:rPr>
          <w:rFonts w:ascii="Times New Roman" w:hAnsi="Times New Roman"/>
          <w:sz w:val="20"/>
        </w:rPr>
        <w:t>The impact of the PFIC rules on a U.S. Holder of VIH Class A Ordinary Shares will depend on whether the U.S. Holder has made a timely and effective election to treat VIH as a qualified electing fund under Section 1295 of the Code for the taxable year that is the first year in the U.S. Holders holding period of VIH Class A Ordinary Shares during which VIH qualified as a PFIC (a </w:t>
      </w:r>
      <w:r>
        <w:rPr>
          <w:rFonts w:ascii="Times New Roman" w:hAnsi="Times New Roman"/>
          <w:b/>
          <w:sz w:val="20"/>
        </w:rPr>
        <w:t>QEF</w:t>
      </w:r>
      <w:r>
        <w:rPr>
          <w:rFonts w:ascii="Times New Roman" w:hAnsi="Times New Roman"/>
          <w:sz w:val="20"/>
        </w:rPr>
        <w:t xml:space="preserve"> </w:t>
      </w:r>
      <w:r>
        <w:rPr>
          <w:rFonts w:ascii="Times New Roman" w:hAnsi="Times New Roman"/>
          <w:b/>
          <w:sz w:val="20"/>
        </w:rPr>
        <w:t>Election</w:t>
      </w:r>
      <w:r>
        <w:rPr>
          <w:rFonts w:ascii="Times New Roman" w:hAnsi="Times New Roman"/>
          <w:sz w:val="20"/>
        </w:rPr>
        <w:t xml:space="preserve">) or, if in a later taxable year, the U.S. Holder made a QEF Election along with a purging election. A purging election creates a deemed sale of the U.S. Holders VIH Class A Ordinary Shares at their then fair market value and requires the U.S. Holder to recognize gain pursuant to the purging election subject to the special PFIC tax and interest charge rules described above. As a result of any such purging election, the U.S. Holder would increase the adjusted tax basis in its VIH Class A Ordinary Shares by the amount of the gain recognized and, solely for purposes of the PFIC rules, would have a new holding period in its VIH Class A Ordinary Shares. U.S. Holders are urged to consult their tax advisors as to the application of the rules governing purging elections to their particular circumstances. </w:t>
      </w:r>
    </w:p>
    <w:p>
      <w:pPr>
        <w:pStyle w:val="TextBody"/>
        <w:spacing w:before="240" w:after="0"/>
        <w:jc w:val="left"/>
        <w:rPr>
          <w:rFonts w:ascii="Times New Roman" w:hAnsi="Times New Roman"/>
          <w:sz w:val="20"/>
        </w:rPr>
      </w:pPr>
      <w:r>
        <w:rPr>
          <w:rFonts w:ascii="Times New Roman" w:hAnsi="Times New Roman"/>
          <w:sz w:val="20"/>
        </w:rPr>
        <w:t>A U.S. Holders ability to make a timely and effective QEF Election (or a QEF Election along with a purging election) with respect to VIH is contingent upon, among other things, the provision by VIH of a PFIC Annual Information Statement to such U.S. Holder. VIH will endeavor to provide PFIC Annual Information Statements, upon written request, to U.S. Holders of VIH Class A Ordinary Shares with respect to each taxable year for which VIH determines it is a PFIC. There is no assurance, however, that VIH will timely provide such information. As discussed further above, a U.S. Holder is not able to make a QEF Election with respect to VIH Warrants under applicable final Treasury Regulations. An Electing Shareholder generally would not be subject to the adverse PFIC rules discussed above with respect to their VIH Class A Ordinary Shares. As a result, such an Electing Shareholder generally should not recognize gain or loss as a result of the Domestication except to the extent described under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 Holders of VIH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beginning on page 198 of this proxy statement/prospectus and subject to the discussion above under </w:t>
      </w:r>
      <w:r>
        <w:rPr>
          <w:rFonts w:ascii="Times New Roman" w:hAnsi="Times New Roman"/>
          <w:i/>
          <w:sz w:val="20"/>
        </w:rPr>
        <w:t>Tax Effects of the Domestication to U.S. Holders,</w:t>
      </w:r>
      <w:r>
        <w:rPr>
          <w:rFonts w:ascii="Times New Roman" w:hAnsi="Times New Roman"/>
          <w:sz w:val="20"/>
        </w:rPr>
        <w:t xml:space="preserve"> beginning on page 196 of this proxy statement/prospectus but rather would include annually in gross income its </w:t>
      </w:r>
      <w:r>
        <w:rPr>
          <w:rFonts w:ascii="Times New Roman" w:hAnsi="Times New Roman"/>
          <w:i/>
          <w:sz w:val="20"/>
        </w:rPr>
        <w:t>pro rata</w:t>
      </w:r>
      <w:r>
        <w:rPr>
          <w:rFonts w:ascii="Times New Roman" w:hAnsi="Times New Roman"/>
          <w:sz w:val="20"/>
        </w:rPr>
        <w:t xml:space="preserve"> share of the ordinary earnings and net capital gain of VIH, whether or not such amounts are actually distributed. </w:t>
      </w:r>
    </w:p>
    <w:p>
      <w:pPr>
        <w:pStyle w:val="TextBody"/>
        <w:spacing w:before="240" w:after="0"/>
        <w:jc w:val="left"/>
        <w:rPr>
          <w:rFonts w:ascii="Times New Roman" w:hAnsi="Times New Roman"/>
          <w:sz w:val="20"/>
        </w:rPr>
      </w:pPr>
      <w:r>
        <w:rPr>
          <w:rFonts w:ascii="Times New Roman" w:hAnsi="Times New Roman"/>
          <w:sz w:val="20"/>
        </w:rPr>
        <w:t xml:space="preserve">The impact of the PFIC rules on a U.S. Holder of VIH Class A Ordinary Shares may also depend on whether the U.S. Holder has made a mark-to-market election under Section 1296 of the Code. U.S. Holders who hold (actually or constructively) stock of a foreign corporation that is classified as a PFIC may annually elect to mark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such stock to its market value if such stock is marketable stock, generally, stock that is regularly traded on a national securities exchange that is registered with the SEC, including the NYSE (an </w:t>
      </w:r>
      <w:r>
        <w:rPr>
          <w:rFonts w:ascii="Times New Roman" w:hAnsi="Times New Roman"/>
          <w:b/>
          <w:sz w:val="20"/>
        </w:rPr>
        <w:t>MTM Election</w:t>
      </w:r>
      <w:r>
        <w:rPr>
          <w:rFonts w:ascii="Times New Roman" w:hAnsi="Times New Roman"/>
          <w:sz w:val="20"/>
        </w:rPr>
        <w:t xml:space="preserve">). No assurance can be given that the VIH Class A Ordinary Shares are considered to be marketable stock for purposes of the MTM Election or whether the other requirements of this election are satisfied. If such an election is available and has been made, such U.S. Holders will generally not be subject to the special taxation rules of Section 1291 of the Code discussed herein with respect their VIH Class A Ordinary Shares in connection with the Domestication. Instead, in general, the U.S. Holder will include as ordinary income each year the excess, if any, of the fair market value of its VIH Class A Ordinary Shares at the end of its taxable year over its adjusted basis in its VIH Class A Ordinary Shares. The U.S. Holder also will recognize an ordinary loss in respect of the excess, if any, of its adjusted basis in its VIH Class A Ordinary Shares over the fair market value of its VIH Class A Ordinary Shares at the end of its taxable year (but only to the extent of the net amount of previously included income as a result of the MTM Election). The U.S. Holders basis in its VIH Class A Ordinary Shares will be adjusted to reflect any such income or loss amounts, and any further gain recognized on a sale or other taxable disposition of its VIH Class A Ordinary Shares will be treated as ordinary income. However, if the MTM Election is not made by a U.S. Holder with respect to the first taxable year of its holding period for the PFIC stock, then the Section 1291 rules discussed above will apply to certain dispositions of, distributions on and other amounts taxable with respect to, VIH Class A Ordinary Shares, including in connection with the Domestication. An MTM Election is not available with respect to warrants, including the VIH Warrants.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Reporting </w:t>
      </w:r>
    </w:p>
    <w:p>
      <w:pPr>
        <w:pStyle w:val="TextBody"/>
        <w:spacing w:before="12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MTM election is made) and such other information as may be required by the U.S. Treasury Department. Failure to do so, if required, will extend the statute of limitations until such required information is furnished to the IRS and may result in significant penalties. </w:t>
      </w:r>
    </w:p>
    <w:p>
      <w:pPr>
        <w:pStyle w:val="TextBody"/>
        <w:spacing w:before="240" w:after="0"/>
        <w:jc w:val="left"/>
        <w:rPr>
          <w:rFonts w:ascii="Times New Roman" w:hAnsi="Times New Roman"/>
          <w:b/>
          <w:sz w:val="20"/>
        </w:rPr>
      </w:pPr>
      <w:r>
        <w:rPr>
          <w:rFonts w:ascii="Times New Roman" w:hAnsi="Times New Roman"/>
          <w:b/>
          <w:sz w:val="20"/>
        </w:rPr>
        <w:t xml:space="preserve">THE RULES DEALING WITH PFICS ARE VERY COMPLEX AND ARE IMPACTED BY VARIOUS FACTORS IN ADDITION TO THOSE DESCRIBED ABOVE, INCLUDING THE APPLICATION OF THE RULES ADDRESSING OVERLAPS IN THE PFIC RULES AND THE SECTION 367(B) RULES AND THE RULES RELATING TO CONTROLLED FOREIGN CORPORATIONS. ALL U.S. HOLDERS ARE URGED TO CONSULT THEIR TAX ADVISORS REGARDING THE CONSEQUENCES TO THEM OF THE PFIC RULES, INCLUDING, WITHOUT LIMITATION, WHETHER A QEF ELECTION (OR A QEF ELECTION ALONG WITH A PURGING ELECTION), AN MTM ELECTION OR ANY OTHER ELECTION IS AVAILABLE AND WHETHER AND HOW ANY OVERLAP RULES APPLY, AND THE CONSEQUENCES TO THEM OF ANY SUCH ELECTION OR OVERLAP RULE AND THE IMPACT OF ANY PROPOSED OR FINAL PFIC TREASURY REGULATIONS. </w:t>
      </w:r>
    </w:p>
    <w:p>
      <w:pPr>
        <w:pStyle w:val="TextBody"/>
        <w:spacing w:before="360" w:after="0"/>
        <w:jc w:val="left"/>
        <w:rPr>
          <w:rFonts w:ascii="Times New Roman" w:hAnsi="Times New Roman"/>
          <w:b/>
          <w:i/>
          <w:sz w:val="20"/>
        </w:rPr>
      </w:pPr>
      <w:r>
        <w:rPr>
          <w:rFonts w:ascii="Times New Roman" w:hAnsi="Times New Roman"/>
          <w:b/>
          <w:i/>
          <w:sz w:val="20"/>
        </w:rPr>
        <w:t xml:space="preserve">Tax Effects to U.S. Holders of Exercising Redemption Rights </w:t>
      </w:r>
    </w:p>
    <w:p>
      <w:pPr>
        <w:pStyle w:val="TextBody"/>
        <w:spacing w:before="120" w:after="0"/>
        <w:jc w:val="left"/>
        <w:rPr>
          <w:rFonts w:ascii="Times New Roman" w:hAnsi="Times New Roman"/>
          <w:i/>
          <w:sz w:val="20"/>
        </w:rPr>
      </w:pPr>
      <w:bookmarkStart w:id="73" w:name="19e"/>
      <w:bookmarkEnd w:id="73"/>
      <w:r>
        <w:rPr>
          <w:rFonts w:ascii="Times New Roman" w:hAnsi="Times New Roman"/>
          <w:i/>
          <w:sz w:val="20"/>
        </w:rPr>
        <w:t xml:space="preserve">Generally </w:t>
      </w:r>
    </w:p>
    <w:p>
      <w:pPr>
        <w:pStyle w:val="TextBody"/>
        <w:spacing w:before="120" w:after="0"/>
        <w:jc w:val="left"/>
        <w:rPr>
          <w:rFonts w:ascii="Times New Roman" w:hAnsi="Times New Roman"/>
          <w:sz w:val="20"/>
        </w:rPr>
      </w:pPr>
      <w:r>
        <w:rPr>
          <w:rFonts w:ascii="Times New Roman" w:hAnsi="Times New Roman"/>
          <w:sz w:val="20"/>
        </w:rPr>
        <w:t>The U.S. federal income tax consequences to a U.S. Holder of VIH Class A Ordinary Shares (which will be exchanged for Bakkt Pubco Common Stock in the Domestication) that exercises its Redemption Rights with respect to its VIH Class A Ordinary Shares to receive cash in exchange for all or a portion of its Bakkt Pubco Common Stock received in the Domestication will depend on whether the redemption qualifies as a sale of shares of Bakkt Pubco Common Stock under Section 302 of the Code. If the redemption qualifies as a sale of shares of Bakkt Pubco Common Stock by a U.S. Holder, the tax consequences to such U.S. Holder are as described below under the section entitled </w:t>
      </w:r>
      <w:r>
        <w:rPr>
          <w:rFonts w:ascii="Times New Roman" w:hAnsi="Times New Roman"/>
          <w:i/>
          <w:sz w:val="20"/>
        </w:rPr>
        <w:t xml:space="preserve">Taxation of Redemption Treated as a Sale of Bakkt Pubco Common Stock </w:t>
      </w:r>
      <w:r>
        <w:rPr>
          <w:rFonts w:ascii="Times New Roman" w:hAnsi="Times New Roman"/>
          <w:sz w:val="20"/>
        </w:rPr>
        <w:t xml:space="preserve">beginning on page 205 of this proxy statement/prospectus. If the redemption does not qualify as a sale of shares of Bakkt Pubco Common Stock, a U.S. Holder will be treated as receiving a corporate distribution with the tax consequences to such U.S. Holder as described below under the section entitled </w:t>
      </w:r>
      <w:r>
        <w:rPr>
          <w:rFonts w:ascii="Times New Roman" w:hAnsi="Times New Roman"/>
          <w:i/>
          <w:sz w:val="20"/>
        </w:rPr>
        <w:t>Taxation of Redemption Treated as a Distribution</w:t>
      </w:r>
      <w:r>
        <w:rPr>
          <w:rFonts w:ascii="Times New Roman" w:hAnsi="Times New Roman"/>
          <w:sz w:val="20"/>
        </w:rPr>
        <w:t xml:space="preserve"> beginning on page 204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Whether a redemption of shares of Bakkt Pubco Common Stock qualifies for sale treatment will depend largely on the total number of shares of Bakkt Pubco Common Stock treated as held by the redeemed U.S. Holder before and after the redemption (including any Bakkt Pubco Common Stock constructively owned by the U.S. Holder as a result of owning Bakkt Pubco Warrants and any Bakkt Pubco Common Stock that a U.S. Holder would directly or indirectly acquire pursuant to the Business Combination or the PIPE Investment) relative to all of the Bakkt Pubco Common Stock outstanding both before and after the redemption. The redemption of Bakkt Pubco Common Stock generally will be treated as a sale of Bakkt Pubco Common Stock (rather than as a corporate distribution) if the redemption (1) is substantially disproportionate with respect to the U.S. Holder, (2) results in a complete termination of the U.S. Holders interest in Bakkt Pubco or (3) is not essentially equivalent to a dividend with respect to the U.S. Holder. These tests are explained more fully below. </w:t>
      </w:r>
    </w:p>
    <w:p>
      <w:pPr>
        <w:pStyle w:val="TextBody"/>
        <w:spacing w:before="240" w:after="0"/>
        <w:jc w:val="left"/>
        <w:rPr>
          <w:rFonts w:ascii="Times New Roman" w:hAnsi="Times New Roman"/>
          <w:sz w:val="20"/>
        </w:rPr>
      </w:pPr>
      <w:r>
        <w:rPr>
          <w:rFonts w:ascii="Times New Roman" w:hAnsi="Times New Roman"/>
          <w:sz w:val="20"/>
        </w:rPr>
        <w:t xml:space="preserve">In determining whether any of the foregoing tests result in a redemption qualifying for sale treatment, a U.S. Holder takes into account not only shares of Bakkt Pubco Common Stock actually owned by the U.S. Holder, but also shares of Bakkt Pubco Common Stock that are constructively owned by it under certain attribution rules set forth in the Code. A U.S. Holder may constructively own, in addition to stock owned directly, stock owned by certain related individuals and entities in which the U.S. Holder has an interest or that have an interest in such U.S. Holder, as well as any stock that the holder has a right to acquire by exercise of an option, which would generally include Bakkt Pubco Common Stock which could be acquired pursuant to the exercise of Bakkt Pubco Warrants. Moreover, any Bakkt Pubco Common Stock that a U.S. Holder directly or constructively acquires pursuant to the Business Combination or the PIPE Investment generally should be included in determining the U.S. federal income tax treatment of the redemption. </w:t>
      </w:r>
    </w:p>
    <w:p>
      <w:pPr>
        <w:pStyle w:val="TextBody"/>
        <w:spacing w:before="240" w:after="0"/>
        <w:jc w:val="left"/>
        <w:rPr>
          <w:rFonts w:ascii="Times New Roman" w:hAnsi="Times New Roman"/>
          <w:sz w:val="20"/>
        </w:rPr>
      </w:pPr>
      <w:r>
        <w:rPr>
          <w:rFonts w:ascii="Times New Roman" w:hAnsi="Times New Roman"/>
          <w:sz w:val="20"/>
        </w:rPr>
        <w:t xml:space="preserve">In order to meet the substantially disproportionate test, the percentage of Bakkt Pubcos outstanding voting stock actually and constructively owned by the U.S. Holder immediately following the redemption of shares of Bakkt Pubco Common Stock must, among other requirements, be less than eighty percent (80%) of the percentage of Bakkt Pubcos outstanding voting stock actually and constructively owned by the U.S. Holder immediately before the redemption (taking into account both redemptions by other holders of Bakkt Pubco Common Stock and the Bakkt Pubco Common Stock to be issued pursuant to the Business Combination or the PIPE Investment). There will be a complete termination of a U.S. Holders interest if either (1) all of the shares of Bakkt Pubco stock actually and constructively owned by the U.S. Holder are redeemed or (2) all of the shares of Bakkt Pubco Common Stock actually owned by the U.S. Holder are redeemed and the U.S. Holder is eligible to waive, and effectively waives in accordance with specific rules, the attribution of stock owned by certain family members and the U.S. Holder does not constructively own any other shares of Bakkt Pubco Common Stock (including any stock constructively owned by the U.S. Holder as a result of owning Bakkt Pubco Warrants). The redemption of Bakkt Pubco Common Stock will not be essentially equivalent to a dividend if the redemption results in a meaningful reduction of the U.S. Holders proportionate interest in Bakkt Pubco. Whether the redemption will result in a meaningful reduction in a U.S. Holders proportionate interest in Bakkt Pubco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 </w:t>
      </w:r>
    </w:p>
    <w:p>
      <w:pPr>
        <w:pStyle w:val="TextBody"/>
        <w:spacing w:before="240" w:after="0"/>
        <w:jc w:val="left"/>
        <w:rPr>
          <w:rFonts w:ascii="Times New Roman" w:hAnsi="Times New Roman"/>
          <w:sz w:val="20"/>
        </w:rPr>
      </w:pPr>
      <w:r>
        <w:rPr>
          <w:rFonts w:ascii="Times New Roman" w:hAnsi="Times New Roman"/>
          <w:sz w:val="20"/>
        </w:rPr>
        <w:t>If none of the foregoing tests is satisfied, then the redemption of shares of Bakkt Pubco Common Stock will be treated as a corporate distribution to the redeemed U.S. Holder and the tax effects to such a U.S. Holder will be as described below under the section entitled </w:t>
      </w:r>
      <w:r>
        <w:rPr>
          <w:rFonts w:ascii="Times New Roman" w:hAnsi="Times New Roman"/>
          <w:i/>
          <w:sz w:val="20"/>
        </w:rPr>
        <w:t>Taxation of Redemption Treated as a Distribution</w:t>
      </w:r>
      <w:r>
        <w:rPr>
          <w:rFonts w:ascii="Times New Roman" w:hAnsi="Times New Roman"/>
          <w:sz w:val="20"/>
        </w:rPr>
        <w:t xml:space="preserve"> beginning on page 204 of this proxy statement/prospectus. After the application of those rules, any remaining tax basis of the U.S. Holder in the redeemed Bakkt Pubco Common Stock will be added to the U.S. Holders adjusted tax basis in its remaining Bakkt Pubco Common Stock or, if it has none, to the U.S. Holders adjusted tax basis in its Bakkt Pubco Warrants or possibly in other Bakkt Pubco stock constructively owned by it. </w:t>
      </w:r>
    </w:p>
    <w:p>
      <w:pPr>
        <w:pStyle w:val="TextBody"/>
        <w:spacing w:before="360" w:after="0"/>
        <w:jc w:val="left"/>
        <w:rPr>
          <w:rFonts w:ascii="Times New Roman" w:hAnsi="Times New Roman"/>
          <w:i/>
          <w:sz w:val="20"/>
        </w:rPr>
      </w:pPr>
      <w:bookmarkStart w:id="74" w:name="17e"/>
      <w:bookmarkEnd w:id="74"/>
      <w:r>
        <w:rPr>
          <w:rFonts w:ascii="Times New Roman" w:hAnsi="Times New Roman"/>
          <w:i/>
          <w:sz w:val="20"/>
        </w:rPr>
        <w:t xml:space="preserve">Taxation of Redemption Treated as a Distribution </w:t>
      </w:r>
    </w:p>
    <w:p>
      <w:pPr>
        <w:pStyle w:val="TextBody"/>
        <w:spacing w:before="120" w:after="0"/>
        <w:jc w:val="left"/>
        <w:rPr>
          <w:rFonts w:ascii="Times New Roman" w:hAnsi="Times New Roman"/>
          <w:sz w:val="20"/>
        </w:rPr>
      </w:pPr>
      <w:r>
        <w:rPr>
          <w:rFonts w:ascii="Times New Roman" w:hAnsi="Times New Roman"/>
          <w:sz w:val="20"/>
        </w:rPr>
        <w:t>If the redemption of a U.S. Holders shares of Bakkt Pubco Common Stock is treated as a corporate distribution, as discussed above under the section entitled </w:t>
      </w:r>
      <w:r>
        <w:rPr>
          <w:rFonts w:ascii="Times New Roman" w:hAnsi="Times New Roman"/>
          <w:i/>
          <w:sz w:val="20"/>
        </w:rPr>
        <w:t>Generally</w:t>
      </w:r>
      <w:r>
        <w:rPr>
          <w:rFonts w:ascii="Times New Roman" w:hAnsi="Times New Roman"/>
          <w:sz w:val="20"/>
        </w:rPr>
        <w:t> beginning on page 203 of this proxy statement/</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prospectus the amount of cash received in the redemption generally will constitute a dividend for U.S. federal income tax purposes to the extent paid from Bakkt Pubcos current or accumulated earnings and profits, as determined under U.S. federal income tax principles. </w:t>
      </w:r>
    </w:p>
    <w:p>
      <w:pPr>
        <w:pStyle w:val="TextBody"/>
        <w:spacing w:before="240" w:after="0"/>
        <w:jc w:val="left"/>
        <w:rPr>
          <w:rFonts w:ascii="Times New Roman" w:hAnsi="Times New Roman"/>
          <w:sz w:val="20"/>
        </w:rPr>
      </w:pPr>
      <w:r>
        <w:rPr>
          <w:rFonts w:ascii="Times New Roman" w:hAnsi="Times New Roman"/>
          <w:sz w:val="20"/>
        </w:rPr>
        <w:t>Distributions in excess of Bakkt Pubcos current and accumulated earnings and profits will constitute a return of capital that will be applied against and reduce (but not below zero) the U.S. Holders adjusted tax basis in its shares of Bakkt Pubco Common Stock. Any remaining excess will be treated as gain realized on the sale of Bakkt Pubco Common Stock and will be treated as described below under the section entitled </w:t>
      </w:r>
      <w:r>
        <w:rPr>
          <w:rFonts w:ascii="Times New Roman" w:hAnsi="Times New Roman"/>
          <w:i/>
          <w:sz w:val="20"/>
        </w:rPr>
        <w:t>Taxation of Redemption Treated as a Sale of Bakkt Pubco Common Stock</w:t>
      </w:r>
      <w:r>
        <w:rPr>
          <w:rFonts w:ascii="Times New Roman" w:hAnsi="Times New Roman"/>
          <w:sz w:val="20"/>
        </w:rPr>
        <w:t xml:space="preserve"> beginning on page 205 of this proxy statement/prospectus. </w:t>
      </w:r>
    </w:p>
    <w:p>
      <w:pPr>
        <w:pStyle w:val="TextBody"/>
        <w:spacing w:before="360" w:after="0"/>
        <w:jc w:val="left"/>
        <w:rPr>
          <w:rFonts w:ascii="Times New Roman" w:hAnsi="Times New Roman"/>
          <w:i/>
          <w:sz w:val="20"/>
        </w:rPr>
      </w:pPr>
      <w:bookmarkStart w:id="75" w:name="16e"/>
      <w:bookmarkEnd w:id="75"/>
      <w:r>
        <w:rPr>
          <w:rFonts w:ascii="Times New Roman" w:hAnsi="Times New Roman"/>
          <w:i/>
          <w:sz w:val="20"/>
        </w:rPr>
        <w:t xml:space="preserve">Taxation of Redemption Treated as a Sale of Bakkt Pubco Common Stock </w:t>
      </w:r>
    </w:p>
    <w:p>
      <w:pPr>
        <w:pStyle w:val="TextBody"/>
        <w:spacing w:before="120" w:after="0"/>
        <w:jc w:val="left"/>
        <w:rPr>
          <w:rFonts w:ascii="Times New Roman" w:hAnsi="Times New Roman"/>
          <w:sz w:val="20"/>
        </w:rPr>
      </w:pPr>
      <w:r>
        <w:rPr>
          <w:rFonts w:ascii="Times New Roman" w:hAnsi="Times New Roman"/>
          <w:sz w:val="20"/>
        </w:rPr>
        <w:t>If the redemption of a U.S. Holders shares of Bakkt Pubco Common Stock is treated as a sale, as discussed above under the section entitled </w:t>
      </w:r>
      <w:r>
        <w:rPr>
          <w:rFonts w:ascii="Times New Roman" w:hAnsi="Times New Roman"/>
          <w:i/>
          <w:sz w:val="20"/>
        </w:rPr>
        <w:t>Generally</w:t>
      </w:r>
      <w:r>
        <w:rPr>
          <w:rFonts w:ascii="Times New Roman" w:hAnsi="Times New Roman"/>
          <w:sz w:val="20"/>
        </w:rPr>
        <w:t xml:space="preserve"> beginning on page 203 of this proxy statement/prospectus, a U.S. Holder generally will recognize capital gain or loss in an amount equal to the difference between the amount of cash received in the redemption and the U.S. Holders adjusted tax basis in the shares of Bakkt Pubco Common Stock redeemed. Any such capital gain or loss generally will be long-term capital gain or loss if the U.S. holders holding period for the Bakkt Pubco Common Stock so disposed of exceeds one year. Long-term capital gains recognized by non-corporate U.S. holders generally will be eligible to be taxed at reduced rates. The deductibility of capital losses is subject to limitations. </w:t>
      </w:r>
    </w:p>
    <w:p>
      <w:pPr>
        <w:pStyle w:val="TextBody"/>
        <w:spacing w:before="240" w:after="0"/>
        <w:jc w:val="left"/>
        <w:rPr>
          <w:rFonts w:ascii="Times New Roman" w:hAnsi="Times New Roman"/>
          <w:sz w:val="20"/>
        </w:rPr>
      </w:pPr>
      <w:r>
        <w:rPr>
          <w:rFonts w:ascii="Times New Roman" w:hAnsi="Times New Roman"/>
          <w:sz w:val="20"/>
        </w:rPr>
        <w:t xml:space="preserve">U.S. Holders who hold different blocks of Bakkt Pubco Common Stock (including as a result of holding different blocks of VIH Class A Ordinary Shares purchased or acquired on different dates or at different prices) should consult their tax advisors to determine how the above rules apply to them. </w:t>
      </w:r>
    </w:p>
    <w:p>
      <w:pPr>
        <w:pStyle w:val="TextBody"/>
        <w:spacing w:before="240" w:after="0"/>
        <w:jc w:val="left"/>
        <w:rPr>
          <w:rFonts w:ascii="Times New Roman" w:hAnsi="Times New Roman"/>
          <w:sz w:val="20"/>
        </w:rPr>
      </w:pPr>
      <w:r>
        <w:rPr>
          <w:rFonts w:ascii="Times New Roman" w:hAnsi="Times New Roman"/>
          <w:sz w:val="20"/>
        </w:rPr>
        <w:t xml:space="preserve">Because the Domestication will occur prior to the redemption of U.S. Holders that exercise Redemption Rights, U.S. Holders exercising Redemption Rights will be subject to the potential tax consequences of Section 367 of the Code and the PFIC rules as a result of the Domestication (discussed further above). </w:t>
      </w:r>
    </w:p>
    <w:p>
      <w:pPr>
        <w:pStyle w:val="TextBody"/>
        <w:spacing w:before="240" w:after="0"/>
        <w:jc w:val="left"/>
        <w:rPr>
          <w:rFonts w:ascii="Times New Roman" w:hAnsi="Times New Roman"/>
          <w:sz w:val="20"/>
        </w:rPr>
      </w:pPr>
      <w:r>
        <w:rPr>
          <w:rFonts w:ascii="Times New Roman" w:hAnsi="Times New Roman"/>
          <w:sz w:val="20"/>
        </w:rPr>
        <w:t xml:space="preserve">U.S. Holders who actually or constructively own at least five percent (5%) (or, if Bakkt Pubco Common Stock is not then publicly traded, at least one percent (1%)) or more of Bakkt Pubco Common Stock may be subject to special reporting requirements with respect to a redemption of Bakkt Pubco Common Stock, and such holders should consult with their tax advisors with respect to their reporting requirements. </w:t>
      </w:r>
    </w:p>
    <w:p>
      <w:pPr>
        <w:pStyle w:val="TextBody"/>
        <w:spacing w:before="240" w:after="0"/>
        <w:jc w:val="left"/>
        <w:rPr>
          <w:rFonts w:ascii="Times New Roman" w:hAnsi="Times New Roman"/>
          <w:b/>
          <w:sz w:val="20"/>
        </w:rPr>
      </w:pPr>
      <w:r>
        <w:rPr>
          <w:rFonts w:ascii="Times New Roman" w:hAnsi="Times New Roman"/>
          <w:b/>
          <w:sz w:val="20"/>
        </w:rPr>
        <w:t xml:space="preserve">ALL U.S. HOLDERS ARE URGED TO CONSULT THEIR TAX ADVISORS AS TO THE TAX CONSEQUENCES TO THEM OF A REDEMPTION OF ALL OR A PORTION OF THEIR BAKKT PUBCO COMMON STOCK PURSUANT TO AN EXERCISE OF REDEMPTION RIGHTS. </w:t>
      </w:r>
    </w:p>
    <w:p>
      <w:pPr>
        <w:pStyle w:val="TextBody"/>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Payments of cash to a U.S. Holder as a result of the redemption of Bakkt Pubco Common Stock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 </w:t>
      </w:r>
    </w:p>
    <w:p>
      <w:pPr>
        <w:pStyle w:val="TextBody"/>
        <w:spacing w:before="360" w:after="0"/>
        <w:jc w:val="left"/>
        <w:rPr>
          <w:rFonts w:ascii="Times New Roman" w:hAnsi="Times New Roman"/>
          <w:b/>
          <w:sz w:val="20"/>
        </w:rPr>
      </w:pPr>
      <w:bookmarkStart w:id="76" w:name="7a"/>
      <w:bookmarkEnd w:id="76"/>
      <w:r>
        <w:rPr>
          <w:rFonts w:ascii="Times New Roman" w:hAnsi="Times New Roman"/>
          <w:b/>
          <w:sz w:val="20"/>
        </w:rPr>
        <w:t xml:space="preserve">NON-U.S. HOLDERS </w:t>
      </w:r>
    </w:p>
    <w:p>
      <w:pPr>
        <w:pStyle w:val="TextBody"/>
        <w:spacing w:before="120" w:after="0"/>
        <w:jc w:val="left"/>
        <w:rPr>
          <w:rFonts w:ascii="Times New Roman" w:hAnsi="Times New Roman"/>
          <w:sz w:val="20"/>
        </w:rPr>
      </w:pPr>
      <w:r>
        <w:rPr>
          <w:rFonts w:ascii="Times New Roman" w:hAnsi="Times New Roman"/>
          <w:sz w:val="20"/>
        </w:rPr>
        <w:t xml:space="preserve">As used herein, a Non-U.S. Holder is a beneficial owner of a VIH Security who or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non-resident alien individual, other than certain former citizens and residents of the United States subject to U.S. tax as expatriates;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or trust that is not a U.S. Holder. </w:t>
            </w:r>
          </w:p>
        </w:tc>
      </w:tr>
    </w:tbl>
    <w:p>
      <w:pPr>
        <w:pStyle w:val="TextBody"/>
        <w:spacing w:before="360" w:after="0"/>
        <w:jc w:val="left"/>
        <w:rPr>
          <w:rFonts w:ascii="Times New Roman" w:hAnsi="Times New Roman"/>
          <w:b/>
          <w:i/>
          <w:sz w:val="20"/>
        </w:rPr>
      </w:pPr>
      <w:r>
        <w:rPr>
          <w:rFonts w:ascii="Times New Roman" w:hAnsi="Times New Roman"/>
          <w:b/>
          <w:i/>
          <w:sz w:val="20"/>
        </w:rPr>
        <w:t xml:space="preserve">Effects of the Domestication to Non-U.S. Holders </w:t>
      </w:r>
    </w:p>
    <w:p>
      <w:pPr>
        <w:pStyle w:val="TextBody"/>
        <w:spacing w:before="120" w:after="0"/>
        <w:jc w:val="left"/>
        <w:rPr>
          <w:rFonts w:ascii="Times New Roman" w:hAnsi="Times New Roman"/>
          <w:sz w:val="20"/>
        </w:rPr>
      </w:pPr>
      <w:r>
        <w:rPr>
          <w:rFonts w:ascii="Times New Roman" w:hAnsi="Times New Roman"/>
          <w:sz w:val="20"/>
        </w:rPr>
        <w:t xml:space="preserve">The Domestication is not expected to result in any U.S. federal income tax consequences to Non-U.S. Holders of VIH Securities. </w:t>
      </w:r>
    </w:p>
    <w:p>
      <w:pPr>
        <w:pStyle w:val="TextBody"/>
        <w:spacing w:before="240" w:after="0"/>
        <w:jc w:val="left"/>
        <w:rPr>
          <w:rFonts w:ascii="Times New Roman" w:hAnsi="Times New Roman"/>
          <w:sz w:val="20"/>
        </w:rPr>
      </w:pPr>
      <w:r>
        <w:rPr>
          <w:rFonts w:ascii="Times New Roman" w:hAnsi="Times New Roman"/>
          <w:sz w:val="20"/>
        </w:rPr>
        <w:t xml:space="preserve">The following describes U.S. federal income tax considerations relating to the ownership and disposition of Bakkt Pubco Common Stock and Bakkt Pubco Warrants by a Non-U.S. Holder after the Domestication. </w:t>
      </w:r>
    </w:p>
    <w:p>
      <w:pPr>
        <w:pStyle w:val="TextBody"/>
        <w:spacing w:before="360" w:after="0"/>
        <w:jc w:val="left"/>
        <w:rPr>
          <w:rFonts w:ascii="Times New Roman" w:hAnsi="Times New Roman"/>
          <w:b/>
          <w:i/>
          <w:sz w:val="20"/>
        </w:rPr>
      </w:pPr>
      <w:bookmarkStart w:id="77" w:name="25e"/>
      <w:bookmarkEnd w:id="77"/>
      <w:r>
        <w:rPr>
          <w:rFonts w:ascii="Times New Roman" w:hAnsi="Times New Roman"/>
          <w:b/>
          <w:i/>
          <w:sz w:val="20"/>
        </w:rPr>
        <w:t xml:space="preserve">Distributions </w:t>
      </w:r>
    </w:p>
    <w:p>
      <w:pPr>
        <w:pStyle w:val="TextBody"/>
        <w:spacing w:before="120" w:after="0"/>
        <w:jc w:val="left"/>
        <w:rPr>
          <w:rFonts w:ascii="Times New Roman" w:hAnsi="Times New Roman"/>
          <w:sz w:val="20"/>
        </w:rPr>
      </w:pPr>
      <w:r>
        <w:rPr>
          <w:rFonts w:ascii="Times New Roman" w:hAnsi="Times New Roman"/>
          <w:sz w:val="20"/>
        </w:rPr>
        <w:t>In general, any distributions (including constructive distributions, but not including certain distributions of Bakkt Pubco stock or rights to acquire Bakkt Pubco Common Stock) made to a Non-U.S. Holder of shares of Bakkt Pubco Common Stock, to the extent paid out of Bakkt Pubcos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Bakkt Pubco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Bakkt Pubco Common Stock and, to the extent such distribution exceeds the Non-U.S. Holders adjusted tax basis, as gain realized from the sale or other disposition of the Bakkt Pubco Common Stock, which will be treated as described under </w:t>
      </w:r>
      <w:r>
        <w:rPr>
          <w:rFonts w:ascii="Times New Roman" w:hAnsi="Times New Roman"/>
          <w:i/>
          <w:sz w:val="20"/>
        </w:rPr>
        <w:t>Sale, Taxable Exchange or Other Taxable Disposition of Bakkt Pubco Common Stock and Warrants</w:t>
      </w:r>
      <w:r>
        <w:rPr>
          <w:rFonts w:ascii="Times New Roman" w:hAnsi="Times New Roman"/>
          <w:sz w:val="20"/>
        </w:rPr>
        <w:t xml:space="preserve"> beginning on page 206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 </w:t>
      </w:r>
    </w:p>
    <w:p>
      <w:pPr>
        <w:pStyle w:val="TextBody"/>
        <w:spacing w:before="360" w:after="0"/>
        <w:jc w:val="left"/>
        <w:rPr>
          <w:rFonts w:ascii="Times New Roman" w:hAnsi="Times New Roman"/>
          <w:b/>
          <w:i/>
          <w:sz w:val="20"/>
        </w:rPr>
      </w:pPr>
      <w:bookmarkStart w:id="78" w:name="22e"/>
      <w:bookmarkEnd w:id="78"/>
      <w:r>
        <w:rPr>
          <w:rFonts w:ascii="Times New Roman" w:hAnsi="Times New Roman"/>
          <w:b/>
          <w:i/>
          <w:sz w:val="20"/>
        </w:rPr>
        <w:t xml:space="preserve">Sale, Taxable Exchange or Other Taxable Disposition of Bakkt Pubco Common Stock and Warrants </w:t>
      </w:r>
    </w:p>
    <w:p>
      <w:pPr>
        <w:pStyle w:val="TextBody"/>
        <w:spacing w:before="120" w:after="0"/>
        <w:jc w:val="left"/>
        <w:rPr>
          <w:rFonts w:ascii="Times New Roman" w:hAnsi="Times New Roman"/>
          <w:sz w:val="20"/>
        </w:rPr>
      </w:pPr>
      <w:r>
        <w:rPr>
          <w:rFonts w:ascii="Times New Roman" w:hAnsi="Times New Roman"/>
          <w:sz w:val="20"/>
        </w:rPr>
        <w:t>A Non-U.S. Holder generally will not be subject to U.S. federal income or withholding tax in respect of gain recognized on a sale, taxable exchange or other taxable disposition of its Bakkt Pubco Common Stock or Bakkt Pubco Warrants (including an expiration or redemption of the Bakkt Pubco Warrants as described under </w:t>
      </w:r>
      <w:r>
        <w:rPr>
          <w:rFonts w:ascii="Times New Roman" w:hAnsi="Times New Roman"/>
          <w:i/>
          <w:sz w:val="20"/>
        </w:rPr>
        <w:t>Exercise, Lapse or Redemption of a Bakkt Pubco Warrant</w:t>
      </w:r>
      <w:r>
        <w:rPr>
          <w:rFonts w:ascii="Times New Roman" w:hAnsi="Times New Roman"/>
          <w:sz w:val="20"/>
        </w:rPr>
        <w:t>, or a redemption of Bakkt Pubco Common Stock that is treated as a sale or exchange as described under </w:t>
      </w:r>
      <w:r>
        <w:rPr>
          <w:rFonts w:ascii="Times New Roman" w:hAnsi="Times New Roman"/>
          <w:i/>
          <w:sz w:val="20"/>
        </w:rPr>
        <w:t>Tax Effects to Non-U.S. Holders of Exercising Redemption Rights</w:t>
      </w:r>
      <w:r>
        <w:rPr>
          <w:rFonts w:ascii="Times New Roman" w:hAnsi="Times New Roman"/>
          <w:sz w:val="20"/>
        </w:rPr>
        <w:t xml:space="preserve"> beginning on page 208 of this proxy statement/prospectus),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(a)</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within the United States (and, under certain income tax treaties, is attributable to a United States permanent establishment or fixed base maintained by the Non-U.S.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(b)</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Non-U.S. Holder is an individual who was present in the United States for 183 days or more in the taxable year of such disposition and certain other requirements are met; 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7"/>
        <w:gridCol w:w="611"/>
        <w:gridCol w:w="9087"/>
      </w:tblGrid>
      <w:tr>
        <w:trPr/>
        <w:tc>
          <w:tcPr>
            <w:tcW w:w="5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(c)</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Pubco is or has been a United States real property holding corporation for U.S. federal income tax purposes at any time during the shorter of the five-year period ending on the date of disposition or the period that the Non-U.S. Holder held Bakkt Pubco Common Stock and, in the case where shares of Bakkt Pubco Common Stock are regularly traded on an established securities market, the Non-U.S. Holder has owned, directly or constructively, more than five percent (5%) of Bakkt Pubco Common Stock at any time within the shorter of the five-year period preceding the disposition or such Non-U.S. Holders holding period for the shares of Bakkt Pubco Common Stock. There can be no assurance that Bakkt Pubco Common Stock is or has been treated as regularly traded on an established securities market for this purpose. </w:t>
            </w:r>
          </w:p>
        </w:tc>
      </w:tr>
    </w:tbl>
    <w:p>
      <w:pPr>
        <w:pStyle w:val="TextBody"/>
        <w:spacing w:before="240" w:after="0"/>
        <w:jc w:val="left"/>
        <w:rPr>
          <w:rFonts w:ascii="Times New Roman" w:hAnsi="Times New Roman"/>
          <w:sz w:val="20"/>
        </w:rPr>
      </w:pPr>
      <w:r>
        <w:rPr>
          <w:rFonts w:ascii="Times New Roman" w:hAnsi="Times New Roman"/>
          <w:sz w:val="20"/>
        </w:rPr>
        <w:t xml:space="preserve">Unless an applicable treaty provides otherwise, gain described in the first bullet point above will be subject to tax at generally applicable U.S. federal income tax rates as if the Non-U.S. Holder were a U.S. resident. Any gains described in the first bullet point above of a corporate Non-U.S. Holder may also be subject to an additional branch profits tax at a thirty percent (30%) rate (or a lower applicable income tax treaty rate). </w:t>
      </w:r>
    </w:p>
    <w:p>
      <w:pPr>
        <w:pStyle w:val="TextBody"/>
        <w:spacing w:before="240" w:after="0"/>
        <w:jc w:val="left"/>
        <w:rPr>
          <w:rFonts w:ascii="Times New Roman" w:hAnsi="Times New Roman"/>
          <w:sz w:val="20"/>
        </w:rPr>
      </w:pPr>
      <w:r>
        <w:rPr>
          <w:rFonts w:ascii="Times New Roman" w:hAnsi="Times New Roman"/>
          <w:sz w:val="20"/>
        </w:rPr>
        <w:t xml:space="preserve">If the second bullet point applies to a Non-U.S. Holder, such Non-U.S. Holder generally will be subject to U.S. tax on such Non-U.S. Holders net capital gain for such year (including any gain realized in connection with the redemption) at a tax rate of thirty percent (30%) (or a lower applicable tax treaty rate). </w:t>
      </w:r>
    </w:p>
    <w:p>
      <w:pPr>
        <w:pStyle w:val="TextBody"/>
        <w:spacing w:before="240" w:after="0"/>
        <w:jc w:val="left"/>
        <w:rPr>
          <w:rFonts w:ascii="Times New Roman" w:hAnsi="Times New Roman"/>
          <w:sz w:val="20"/>
        </w:rPr>
      </w:pPr>
      <w:r>
        <w:rPr>
          <w:rFonts w:ascii="Times New Roman" w:hAnsi="Times New Roman"/>
          <w:sz w:val="20"/>
        </w:rPr>
        <w:t xml:space="preserve">If the third bullet point above applies to a Non-U.S. Holder, gain recognized by such holder will be subject to tax at generally applicable U.S. federal income tax rates. In addition, Bakkt Pubco may be required to withhold U.S. federal income tax at a rate of fifteen percent (15%) of the amount realized upon such redemption. It is not expected that Bakkt Pubco would be a United States real property holding corporation after the Domestication or immediately after the Closing. However, such determination is factual in nature and subject to change and no assurance can be provided as to whether Bakkt Pubco would be treated as a United States real property holding corporation in any future year. </w:t>
      </w:r>
    </w:p>
    <w:p>
      <w:pPr>
        <w:pStyle w:val="TextBody"/>
        <w:spacing w:before="360" w:after="0"/>
        <w:jc w:val="left"/>
        <w:rPr>
          <w:rFonts w:ascii="Times New Roman" w:hAnsi="Times New Roman"/>
          <w:b/>
          <w:i/>
          <w:sz w:val="20"/>
        </w:rPr>
      </w:pPr>
      <w:r>
        <w:rPr>
          <w:rFonts w:ascii="Times New Roman" w:hAnsi="Times New Roman"/>
          <w:b/>
          <w:i/>
          <w:sz w:val="20"/>
        </w:rPr>
        <w:t xml:space="preserve">Exercise, Lapse or Redemption of a Bakkt Pubco Warrant </w:t>
      </w:r>
    </w:p>
    <w:p>
      <w:pPr>
        <w:pStyle w:val="TextBody"/>
        <w:spacing w:before="120" w:after="0"/>
        <w:jc w:val="left"/>
        <w:rPr>
          <w:rFonts w:ascii="Times New Roman" w:hAnsi="Times New Roman"/>
          <w:sz w:val="20"/>
        </w:rPr>
      </w:pPr>
      <w:r>
        <w:rPr>
          <w:rFonts w:ascii="Times New Roman" w:hAnsi="Times New Roman"/>
          <w:sz w:val="20"/>
        </w:rPr>
        <w:t>A Non-U.S. Holder generally will not recognize taxable gain or loss on the acquisition of Bakkt Pubco Common Stock upon exercise of a Bakkt Pubco Warrant for cash. The Non-U.S. Holders tax basis in the share of Bakkt Pubco Common Stock received upon exercise of the Bakkt Pubco Warrant generally will be an amount equal to the sum of the Non-U.S. Holders initial investment in the Bakkt Pubco Warrant and the exercise price. It is unclear whether the Non-U.S. Holders holding period for the Bakkt Pubco Common Stock received upon exercise of the Bakkt Pubco Warrants will begin on the date following the date of exercise or on the date of exercise of the Bakkt Pubco Warrants; in either case, the holding period will not include the period during which the Non-U.S. Holder held the Bakkt Pubco Warrants. If a Bakkt Pubco Warrant is allowed to lapse unexercised, a Non-U.S. Holder generally will recognize a capital loss equal to such holders tax basis in the Bakkt Pubco Warrant and generally will be taxed as described above under </w:t>
      </w:r>
      <w:r>
        <w:rPr>
          <w:rFonts w:ascii="Times New Roman" w:hAnsi="Times New Roman"/>
          <w:i/>
          <w:sz w:val="20"/>
        </w:rPr>
        <w:t>Sale, Taxable Exchange or Other Taxable Disposition of Bakkt Pubco Common Stock and Warrants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tax consequences of a cashless exercise of a Bakkt Pubco Warrant are not clear under current tax law. A cashless exercise may not be taxable, either because the exercise is not a realization event or because the exercise is treated as a recapitalization for U.S. federal income tax purposes. In either situation, a Non-U.S. Holders basis in the Bakkt Pubco Common Stock received would equal the holders basis in the Bakkt Pubco Warrants exercised therefor. If the cashless exercise were treated as not being a realization event, it is unclear whether a Non-U.S. Holders holding period in the Bakkt Pubco Common Stock would be treated as commencing on the date following the date of exercise or on the date of exercise of the Bakkt Pubco Warrant; in either case, the holding period would not include the period during which the Non-U.S. Holder held the Bakkt Pubco Warrants. If the cashless exercise were treated as a recapitalization, the holding period of the Bakkt Pubco Common Stock would include the holding period of the Bakkt Pubco Warrants exercised therefor.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It is also possible that a cashless exercise could be treated in part as a taxable exchange in which gain or loss would be recognized. In such event, the consequences would be similar to those described above in </w:t>
      </w:r>
      <w:r>
        <w:rPr>
          <w:rFonts w:ascii="Times New Roman" w:hAnsi="Times New Roman"/>
          <w:i/>
          <w:sz w:val="20"/>
        </w:rPr>
        <w:t>Sale, Taxable Exchange or Other Taxable Disposition of Bakkt Pubco Common Stock and Warrants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including when a Non-U.S. Holders holding period would commence with respect to the Bakkt Pubco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 </w:t>
      </w:r>
    </w:p>
    <w:p>
      <w:pPr>
        <w:pStyle w:val="TextBody"/>
        <w:spacing w:before="240" w:after="0"/>
        <w:jc w:val="left"/>
        <w:rPr>
          <w:rFonts w:ascii="Times New Roman" w:hAnsi="Times New Roman"/>
          <w:sz w:val="20"/>
        </w:rPr>
      </w:pPr>
      <w:r>
        <w:rPr>
          <w:rFonts w:ascii="Times New Roman" w:hAnsi="Times New Roman"/>
          <w:sz w:val="20"/>
        </w:rPr>
        <w:t>If we redeem Bakkt Pubco Warrants for cash or if we purchase Bakkt Pubco Warrants in an open market transaction, such redemption or purchase generally will be treated as a taxable disposition to the Non-U.S. Holder, taxed as described above under </w:t>
      </w:r>
      <w:r>
        <w:rPr>
          <w:rFonts w:ascii="Times New Roman" w:hAnsi="Times New Roman"/>
          <w:i/>
          <w:sz w:val="20"/>
        </w:rPr>
        <w:t>Sale, Taxable Exchange or Other Taxable Disposition of Bakkt Pubco Common Stock and Warrants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Non-U.S. Holders should consult their tax advisors regarding the tax consequences of the exercise, lapse, or redemption of a Bakkt Pubco Warrant. </w:t>
      </w:r>
    </w:p>
    <w:p>
      <w:pPr>
        <w:pStyle w:val="TextBody"/>
        <w:spacing w:before="360" w:after="0"/>
        <w:jc w:val="left"/>
        <w:rPr>
          <w:rFonts w:ascii="Times New Roman" w:hAnsi="Times New Roman"/>
          <w:b/>
          <w:i/>
          <w:sz w:val="20"/>
        </w:rPr>
      </w:pPr>
      <w:bookmarkStart w:id="79" w:name="23e"/>
      <w:bookmarkEnd w:id="79"/>
      <w:r>
        <w:rPr>
          <w:rFonts w:ascii="Times New Roman" w:hAnsi="Times New Roman"/>
          <w:b/>
          <w:i/>
          <w:sz w:val="20"/>
        </w:rPr>
        <w:t xml:space="preserve">Tax Effects to Non-U.S. Holders of Exercising Redemption Rights </w:t>
      </w:r>
    </w:p>
    <w:p>
      <w:pPr>
        <w:pStyle w:val="TextBody"/>
        <w:spacing w:before="120" w:after="0"/>
        <w:jc w:val="left"/>
        <w:rPr>
          <w:rFonts w:ascii="Times New Roman" w:hAnsi="Times New Roman"/>
          <w:sz w:val="20"/>
        </w:rPr>
      </w:pPr>
      <w:r>
        <w:rPr>
          <w:rFonts w:ascii="Times New Roman" w:hAnsi="Times New Roman"/>
          <w:sz w:val="20"/>
        </w:rPr>
        <w:t>The U.S. federal income tax consequences to a Non-U.S. Holder of VIH Class A Ordinary Shares that exercises its Redemption Rights to receive cash from the Trust Account in exchange for all or a portion of its Bakkt Pubco Common Stock received in the Domestication will depend on whether the redemption qualifies as a sale of the Bakkt Pubco Common Stock redeemed, as described above under </w:t>
      </w:r>
      <w:r>
        <w:rPr>
          <w:rFonts w:ascii="Times New Roman" w:hAnsi="Times New Roman"/>
          <w:i/>
          <w:sz w:val="20"/>
        </w:rPr>
        <w:t>U.S. HoldersTax Effects to U.S. Holders of Exercising Redemption RightsGenerally</w:t>
      </w:r>
      <w:r>
        <w:rPr>
          <w:rFonts w:ascii="Times New Roman" w:hAnsi="Times New Roman"/>
          <w:sz w:val="20"/>
        </w:rPr>
        <w:t> beginning on page 203 of this proxy statement/prospectus. If such a redemption qualifies as a sale of Bakkt Pubco Common Stock, the U.S. federal income tax consequences to the Non-U.S. Holder will be as described above under </w:t>
      </w:r>
      <w:r>
        <w:rPr>
          <w:rFonts w:ascii="Times New Roman" w:hAnsi="Times New Roman"/>
          <w:i/>
          <w:sz w:val="20"/>
        </w:rPr>
        <w:t>Sale, Taxable Exchange or Other Taxable Disposition of Bakkt Pubco Common Stock and Warrants</w:t>
      </w:r>
      <w:r>
        <w:rPr>
          <w:rFonts w:ascii="Times New Roman" w:hAnsi="Times New Roman"/>
          <w:sz w:val="20"/>
        </w:rPr>
        <w:t> beginning on page 206 of this proxy statement/prospectus. If such a redemption does not qualify as a sale of Bakkt Pubco Common Stock, the Non-U.S. Holder will be treated as receiving a corporate distribution, the U.S. federal income tax consequences of which are described above under </w:t>
      </w:r>
      <w:r>
        <w:rPr>
          <w:rFonts w:ascii="Times New Roman" w:hAnsi="Times New Roman"/>
          <w:i/>
          <w:sz w:val="20"/>
        </w:rPr>
        <w:t>Distributions</w:t>
      </w:r>
      <w:r>
        <w:rPr>
          <w:rFonts w:ascii="Times New Roman" w:hAnsi="Times New Roman"/>
          <w:sz w:val="20"/>
        </w:rPr>
        <w:t xml:space="preserve"> beginning on page 206 of this proxy statement. </w:t>
      </w:r>
    </w:p>
    <w:p>
      <w:pPr>
        <w:pStyle w:val="TextBody"/>
        <w:spacing w:before="240" w:after="0"/>
        <w:jc w:val="left"/>
        <w:rPr>
          <w:rFonts w:ascii="Times New Roman" w:hAnsi="Times New Roman"/>
          <w:sz w:val="20"/>
        </w:rPr>
      </w:pPr>
      <w:r>
        <w:rPr>
          <w:rFonts w:ascii="Times New Roman" w:hAnsi="Times New Roman"/>
          <w:sz w:val="20"/>
        </w:rPr>
        <w:t>Because it may not be certain at the time a Non-U.S. Holder is redeemed whether such Non-U.S. Holders redemption will be treated as a sale of shares or a corporate distribution, and because such determination will depend in part on a Non-U.S. Holders particular circumstances, the applicable withholding agent may not be able to determine whether (or to what extent) a Non-U.S. Holder is treated as receiving a dividend for U.S. federal income tax purposes. Therefore, the applicable withholding agent may withhold tax at a rate of 30% (or such lower rate as may be specified by an applicable income tax treaty) on the gross amount of any consideration paid to a Non-U.S. Holder in redemption of such Non-U.S. Holders Bakkt Pubco Common Stock, unless (a) the applicable withholding agent has established special procedures allowing Non-U.S. Holders to certify that they are exempt from such withholding tax and (b) such Non-U.S. Holders are able to certify that they meet the requirements of such exemption (e.g., because such Non-U.S. Holders are not treated as receiving a dividend under the Section 302 tests described above under the section entitled </w:t>
      </w:r>
      <w:r>
        <w:rPr>
          <w:rFonts w:ascii="Times New Roman" w:hAnsi="Times New Roman"/>
          <w:i/>
          <w:sz w:val="20"/>
        </w:rPr>
        <w:t>U.S. HoldersTax Effects to U.S. Holders of Exercising Redemption RightsGenerally</w:t>
      </w:r>
      <w:r>
        <w:rPr>
          <w:rFonts w:ascii="Times New Roman" w:hAnsi="Times New Roman"/>
          <w:sz w:val="20"/>
        </w:rPr>
        <w:t xml:space="preserve"> beginning on page 203 of this proxy statement/prospectus). However, there can be no assurance that any applicable withholding agent will establish such special certification procedures. If an applicable withholding agent withholds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 </w:t>
      </w:r>
    </w:p>
    <w:p>
      <w:pPr>
        <w:pStyle w:val="TextBody"/>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of dividends and the proceeds from a sale or other disposition of Bakkt Pubco Common Stock and Bakkt Pubco Warrants. A Non-U.S. Holder may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have to comply with certification procedures to establish that it is not a U.S.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Non-U.S. Holder generally may be allowed as a credit against such Non-U.S. Holders U.S. federal income tax liability and may entitle such Non-U.S. Holder to a refund, provided that the appropriate claim for refund is timely filed with the IRS and the required information is timely furnished to the IRS. </w:t>
      </w:r>
    </w:p>
    <w:p>
      <w:pPr>
        <w:pStyle w:val="TextBody"/>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spacing w:before="120" w:after="0"/>
        <w:jc w:val="left"/>
        <w:rPr>
          <w:rFonts w:ascii="Times New Roman" w:hAnsi="Times New Roman"/>
          <w:sz w:val="20"/>
        </w:rPr>
      </w:pPr>
      <w:r>
        <w:rPr>
          <w:rFonts w:ascii="Times New Roman" w:hAnsi="Times New Roman"/>
          <w:sz w:val="20"/>
        </w:rPr>
        <w:t xml:space="preserve">Provisions commonly referred to as FATCA impose withholding of 30% on payments of dividends (including constructive dividends) on Bakkt Pubco Common Stock and Bakkt Pubco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w:t>
      </w:r>
    </w:p>
    <w:p>
      <w:pPr>
        <w:pStyle w:val="TextBody"/>
        <w:spacing w:before="240" w:after="0"/>
        <w:jc w:val="left"/>
        <w:rPr>
          <w:rFonts w:ascii="Times New Roman" w:hAnsi="Times New Roman"/>
          <w:sz w:val="20"/>
        </w:rPr>
      </w:pPr>
      <w:r>
        <w:rPr>
          <w:rFonts w:ascii="Times New Roman" w:hAnsi="Times New Roman"/>
          <w:sz w:val="20"/>
        </w:rPr>
        <w:t xml:space="preserve">All Holders should consult their tax advisors regarding the effects of FATCA on their ownership and disposition of Bakkt Pubco Common Stock and Bakkt Pubco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0" w:name="toc108105_20"/>
      <w:bookmarkEnd w:id="80"/>
      <w:r>
        <w:rPr>
          <w:rFonts w:ascii="Times New Roman" w:hAnsi="Times New Roman"/>
          <w:b/>
          <w:sz w:val="20"/>
        </w:rPr>
        <w:t xml:space="preserve">UNAUDITED PRO FORMA CONDENSED COMBINED FINANCIAL INFORMATION </w:t>
      </w:r>
    </w:p>
    <w:p>
      <w:pPr>
        <w:pStyle w:val="TextBody"/>
        <w:spacing w:before="240" w:after="0"/>
        <w:jc w:val="left"/>
        <w:rPr>
          <w:rFonts w:ascii="Times New Roman" w:hAnsi="Times New Roman"/>
          <w:b/>
          <w:sz w:val="20"/>
        </w:rPr>
      </w:pPr>
      <w:r>
        <w:rPr>
          <w:rFonts w:ascii="Times New Roman" w:hAnsi="Times New Roman"/>
          <w:b/>
          <w:sz w:val="20"/>
        </w:rPr>
        <w:t xml:space="preserve">Introduction: </w:t>
      </w:r>
    </w:p>
    <w:p>
      <w:pPr>
        <w:pStyle w:val="TextBody"/>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is prepared in accordance with Article 11 of Regulation S-X. The unaudited pro forma condensed combined financial information presents the pro forma effects of the following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102"/>
        <w:gridCol w:w="9287"/>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acquisition of Bakkt by VIH, resulting reorganization into an umbrella partnership C corporation structure, and other agreements entered into as part of the Merger Agreement;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2"/>
        <w:gridCol w:w="9289"/>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B2S Acquisition. </w:t>
            </w:r>
          </w:p>
        </w:tc>
      </w:tr>
    </w:tbl>
    <w:p>
      <w:pPr>
        <w:pStyle w:val="TextBody"/>
        <w:spacing w:before="240" w:after="0"/>
        <w:jc w:val="left"/>
        <w:rPr>
          <w:rFonts w:ascii="Times New Roman" w:hAnsi="Times New Roman"/>
          <w:sz w:val="20"/>
        </w:rPr>
      </w:pPr>
      <w:r>
        <w:rPr>
          <w:rFonts w:ascii="Times New Roman" w:hAnsi="Times New Roman"/>
          <w:sz w:val="20"/>
        </w:rPr>
        <w:t xml:space="preserve">VIH is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Founder Shares (an aggregate of 5,750,000 VIH Class B Ordinary Shares) were sold to the Sponsor at a price of approximately $0.004 per share, for an aggregate price of $25,000. In September 2020, the Sponsor transferred an aggregate of 60,000 Founder Shares to members of the VIH Board, resulting in the Sponsor holding an aggregate of 5,690,000 Founder Shares. On September 25, 2020, VIH consummated the IPO of 20,000,000 VIH Units. Each VIH Unit consists of one VIH Class A Ordinary Share and one-half of one Public Warrant, with each Public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the Private Placement Warrants (6,147,440 warrants at a price of $1.00 per warrant) in a private placement to the Sponsor, generating gross proceeds of $6,147,440. A total of $207,372,020 of the net proceeds from the IPO and the Private Placement Warrants were deposited in the Trust Account established for the benefit of the Public Shareholders and the remaining proceeds became available to be used to provide for business, legal and accounting due diligence on prospective business combinations and continuing general and administrative expenses. The net proceeds deposited into the Trust Account remain on deposit in the Trust Account earning interest except those certain amounts withdrawn in order to pay tax obligations. As of March 29, 2021, there was approximately $207,385,774.05 million held in the Trust Account. </w:t>
      </w:r>
    </w:p>
    <w:p>
      <w:pPr>
        <w:pStyle w:val="TextBody"/>
        <w:spacing w:before="240" w:after="0"/>
        <w:jc w:val="left"/>
        <w:rPr>
          <w:rFonts w:ascii="Times New Roman" w:hAnsi="Times New Roman"/>
          <w:sz w:val="20"/>
        </w:rPr>
      </w:pPr>
      <w:r>
        <w:rPr>
          <w:rFonts w:ascii="Times New Roman" w:hAnsi="Times New Roman"/>
          <w:sz w:val="20"/>
        </w:rPr>
        <w:t>Bakkt is a digital asset marketplace headquartered in Alpharetta, Georgia. Since its founding, Bakkt has developed technology enabling institutions and consumers to buy, sell, convert and spend digital assets. Bakkts retail platform, now widely available through the new Bakkt consumer app, enables incremental consumer spending, reduces traditional payment costs and bolsters loyalty programs, adding value for all key stakeholders within the payments and digital assets ecosystem. On February 21, 2020, Bakkt consummated the B2S Acquisition. See the section entitled </w:t>
      </w:r>
      <w:r>
        <w:rPr>
          <w:rFonts w:ascii="Times New Roman" w:hAnsi="Times New Roman"/>
          <w:i/>
          <w:sz w:val="20"/>
        </w:rPr>
        <w:t>Managements Discussion</w:t>
      </w:r>
      <w:r>
        <w:rPr>
          <w:rFonts w:ascii="Times New Roman" w:hAnsi="Times New Roman"/>
          <w:sz w:val="20"/>
        </w:rPr>
        <w:t> </w:t>
      </w:r>
      <w:r>
        <w:rPr>
          <w:rFonts w:ascii="Times New Roman" w:hAnsi="Times New Roman"/>
          <w:i/>
          <w:sz w:val="20"/>
        </w:rPr>
        <w:t>&amp; Analysis of Financial Condition and Results of Operations of Bakkt  Our Corporate Structure</w:t>
      </w:r>
      <w:r>
        <w:rPr>
          <w:rFonts w:ascii="Times New Roman" w:hAnsi="Times New Roman"/>
          <w:sz w:val="20"/>
        </w:rPr>
        <w:t xml:space="preserve"> beginning on page [263] of this proxy statement/prospectus for additional discussion of the B2S Acquisition. </w:t>
      </w:r>
    </w:p>
    <w:p>
      <w:pPr>
        <w:pStyle w:val="TextBody"/>
        <w:spacing w:before="240" w:after="0"/>
        <w:jc w:val="left"/>
        <w:rPr>
          <w:rFonts w:ascii="Times New Roman" w:hAnsi="Times New Roman"/>
          <w:sz w:val="20"/>
        </w:rPr>
      </w:pPr>
      <w:r>
        <w:rPr>
          <w:rFonts w:ascii="Times New Roman" w:hAnsi="Times New Roman"/>
          <w:sz w:val="20"/>
        </w:rPr>
        <w:t>The organizational structure following the completion of the Business Combination, as described above, is commonly referred to as an umbrella partnership C corporation (or </w:t>
      </w:r>
      <w:r>
        <w:rPr>
          <w:rFonts w:ascii="Times New Roman" w:hAnsi="Times New Roman"/>
          <w:b/>
          <w:sz w:val="20"/>
        </w:rPr>
        <w:t>Up-C</w:t>
      </w:r>
      <w:r>
        <w:rPr>
          <w:rFonts w:ascii="Times New Roman" w:hAnsi="Times New Roman"/>
          <w:sz w:val="20"/>
        </w:rPr>
        <w:t xml:space="preserve">) structure. This organizational structure will allow the Bakkt Equity Holders to retain their equity ownership in Bakkt, an entity that is classified 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 </w:t>
      </w:r>
    </w:p>
    <w:p>
      <w:pPr>
        <w:pStyle w:val="TextBody"/>
        <w:spacing w:before="240" w:after="0"/>
        <w:jc w:val="left"/>
        <w:rPr>
          <w:rFonts w:ascii="Times New Roman" w:hAnsi="Times New Roman"/>
          <w:sz w:val="20"/>
        </w:rPr>
      </w:pPr>
      <w:r>
        <w:rPr>
          <w:rFonts w:ascii="Times New Roman" w:hAnsi="Times New Roman"/>
          <w:sz w:val="20"/>
        </w:rPr>
        <w:t>VIH does not believe that the Up-C organizational structure will give rise to any significant business or strategic benefit or detriment to VIH. See the section entitled </w:t>
      </w:r>
      <w:r>
        <w:rPr>
          <w:rFonts w:ascii="Times New Roman" w:hAnsi="Times New Roman"/>
          <w:i/>
          <w:sz w:val="20"/>
        </w:rPr>
        <w:t>Risk Factors  Risks Related to the Domestication and the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Business Combination</w:t>
      </w:r>
      <w:r>
        <w:rPr>
          <w:rFonts w:ascii="Times New Roman" w:hAnsi="Times New Roman"/>
          <w:sz w:val="20"/>
        </w:rPr>
        <w:t xml:space="preserve"> beginning on page [52] of this proxy statement/prospectus for additional information on our organizational structure, including the Tax Receivable Agreement.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upon, and should be read in conjunction with, the historical financial statements and related noted of VIH and Bakkt for the applicable periods included in this proxy statement/prospectus. The pro forma financial statements have been presented for information purposes only and are not necessarily indicative of what Bakkt Pubcos balance sheet or statement of operations actually would have been had the Business Combination and B2S Acquisition been completed as of the dates indicated, nor do they purport to project the future financial position or operating results of Bakkt Pubco.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Bakkt audited historical consolidated balance sheet as of December 31, 2020 and the VIH audited historical consolidated balance sheet as of December 31, 2020, giving effect to the Business Combination as if it had been consummated on December 31, 2020. The unaudited pro forma condensed combined statement of operations for the year ended December 31, 2020 presents the pro forma effect of the Business Combination and B2S Acquisition as if the Closing occurred on January 1, 2020. </w:t>
      </w:r>
    </w:p>
    <w:p>
      <w:pPr>
        <w:pStyle w:val="TextBody"/>
        <w:spacing w:before="240" w:after="0"/>
        <w:jc w:val="left"/>
        <w:rPr>
          <w:rFonts w:ascii="Times New Roman" w:hAnsi="Times New Roman"/>
          <w:sz w:val="20"/>
        </w:rPr>
      </w:pPr>
      <w:r>
        <w:rPr>
          <w:rFonts w:ascii="Times New Roman" w:hAnsi="Times New Roman"/>
          <w:sz w:val="20"/>
        </w:rPr>
        <w:t xml:space="preserve">We refer to the unaudited pro forma condensed combined balance sheet and the unaudited pro forma condensed combined statement of operations as the pro forma financial statements. </w:t>
      </w:r>
    </w:p>
    <w:p>
      <w:pPr>
        <w:pStyle w:val="TextBody"/>
        <w:spacing w:before="240" w:after="0"/>
        <w:jc w:val="left"/>
        <w:rPr>
          <w:rFonts w:ascii="Times New Roman" w:hAnsi="Times New Roman"/>
          <w:sz w:val="20"/>
        </w:rPr>
      </w:pPr>
      <w:r>
        <w:rPr>
          <w:rFonts w:ascii="Times New Roman" w:hAnsi="Times New Roman"/>
          <w:sz w:val="20"/>
        </w:rPr>
        <w:t xml:space="preserve">The selected unaudited pro forma condensed combined financial data below presents two redemption scenarios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No Redemptions: This presentation assumes that no Public Shareholders exercise their right to have their Public Shares converted into their pro rata share of the Trust Account;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2"/>
        <w:gridCol w:w="9290"/>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Maximum Redemptions: This presentation assumes that 10.7 million Public Shares, the maximum redemption of the outstanding Public Shares, are redeemed, resulting in an aggregate payment of $107.0 million out of the Trust Account, which is derived from the number of shares that could be redeemed in connection with the Business Combination at an assumed Redemption Price of $10.00 per share based on the Trust Account balance as of December 31, 2020 in order to satisfy the Available Cash Condition after giving effect to the PIPE Financing and settlement of the VIH transaction costs. </w:t>
            </w:r>
          </w:p>
        </w:tc>
      </w:tr>
    </w:tbl>
    <w:p>
      <w:pPr>
        <w:pStyle w:val="TextBody"/>
        <w:spacing w:before="240" w:after="0"/>
        <w:jc w:val="left"/>
        <w:rPr>
          <w:rFonts w:ascii="Times New Roman" w:hAnsi="Times New Roman"/>
          <w:sz w:val="20"/>
        </w:rPr>
      </w:pPr>
      <w:r>
        <w:rPr>
          <w:rFonts w:ascii="Times New Roman" w:hAnsi="Times New Roman"/>
          <w:sz w:val="20"/>
        </w:rPr>
        <w:t xml:space="preserve">In both scenarios, the unaudited pro forma condensed combined financial statements were prepared using the acquisition method of accounting under the provisions of ASC 805 on the basis of Bakkt Pubco as the accounting acquirer and Bakkt as the accounting acquiree. The ultimate determination of the accounting acquirer is a qualitative and quantitative assessment that requires careful consideration, of which the final determination will occur after the consummation of the Business Combination. However, in both redemption scenarios, Bakkt Pubco has been determined to be the accounting acquirer based on evaluation of the following factors: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102"/>
        <w:gridCol w:w="9287"/>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Bakkt Pubco will be the sole managing member of Bakkt Opco, the managing member has full and complete charge of all affairs of Bakkt Opco and the existing non-managing member equity holders of Bakkt Opco do not have substantive participating or kick out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Sponsor and Bakkt Opco will jointly designate seven of the initial nine members of the Company Board, at least the majority of whom will qualify as independent within the meaning of the independent director guidelines of the NYSE. </w:t>
            </w:r>
          </w:p>
        </w:tc>
      </w:tr>
    </w:tbl>
    <w:p>
      <w:pPr>
        <w:pStyle w:val="TextBody"/>
        <w:spacing w:before="240" w:after="0"/>
        <w:jc w:val="left"/>
        <w:rPr>
          <w:rFonts w:ascii="Times New Roman" w:hAnsi="Times New Roman"/>
          <w:sz w:val="20"/>
        </w:rPr>
      </w:pPr>
      <w:r>
        <w:rPr>
          <w:rFonts w:ascii="Times New Roman" w:hAnsi="Times New Roman"/>
          <w:sz w:val="20"/>
        </w:rPr>
        <w:t>The factors discussed above support the conclusion that Bakkt Pubco will acquire a controlling interest in Bakkt and will be the accounting acquirer. Bakkt Pubco is the primary beneficiary of Bakkt Opco, which is a variable interest entity (</w:t>
      </w:r>
      <w:r>
        <w:rPr>
          <w:rFonts w:ascii="Times New Roman" w:hAnsi="Times New Roman"/>
          <w:b/>
          <w:sz w:val="20"/>
        </w:rPr>
        <w:t>VIE</w:t>
      </w:r>
      <w:r>
        <w:rPr>
          <w:rFonts w:ascii="Times New Roman" w:hAnsi="Times New Roman"/>
          <w:sz w:val="20"/>
        </w:rPr>
        <w:t xml:space="preserve">), since it has the power to direct the activities of Bakkt Opco that most significantly impact Bakkt Opcos economic performance through Bakkt Pubcos role as the managing member, and its ownership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Bakkt Opco, which results in the right (and obligation) to receive benefits (and absorb losses) of Bakkt Opco that could potentially be significant to Bakkt Pubco. Therefore, the Business Combination constitutes a change in control and will be accounted for using the acquisition method. Under the acquisition method of accounting, the purchase price will be allocated to the tangible and identifiable intangible assets acquired and liabilities assumed of Bakkt Opco, based on their estimated acquisition-date fair values. These estimates will be determined through established and generally accepted valuation techniques. Transaction costs will be expensed as if the Closing occurred on January 1, 2020. </w:t>
      </w:r>
    </w:p>
    <w:p>
      <w:pPr>
        <w:pStyle w:val="TextBody"/>
        <w:spacing w:before="240" w:after="0"/>
        <w:jc w:val="left"/>
        <w:rPr>
          <w:rFonts w:ascii="Times New Roman" w:hAnsi="Times New Roman"/>
          <w:sz w:val="20"/>
        </w:rPr>
      </w:pPr>
      <w:r>
        <w:rPr>
          <w:rFonts w:ascii="Times New Roman" w:hAnsi="Times New Roman"/>
          <w:sz w:val="20"/>
        </w:rPr>
        <w:t xml:space="preserve">The following summarizes the pro forma ownership of Bakkt Pubco Class A Common Stock following the Closing, under the two scenarios: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255"/>
        <w:gridCol w:w="187"/>
        <w:gridCol w:w="84"/>
        <w:gridCol w:w="653"/>
        <w:gridCol w:w="63"/>
        <w:gridCol w:w="194"/>
        <w:gridCol w:w="63"/>
        <w:gridCol w:w="605"/>
        <w:gridCol w:w="60"/>
        <w:gridCol w:w="187"/>
        <w:gridCol w:w="85"/>
        <w:gridCol w:w="652"/>
        <w:gridCol w:w="65"/>
        <w:gridCol w:w="198"/>
        <w:gridCol w:w="66"/>
        <w:gridCol w:w="644"/>
        <w:gridCol w:w="327"/>
      </w:tblGrid>
      <w:tr>
        <w:trPr/>
        <w:tc>
          <w:tcPr>
            <w:tcW w:w="525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r>
      <w:tr>
        <w:trPr/>
        <w:tc>
          <w:tcPr>
            <w:tcW w:w="525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66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Assuming No</w:t>
              <w:br/>
              <w:t>Redemptions</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71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Maximum</w:t>
              <w:br/>
              <w:t xml:space="preserve">Redemptions(1) </w:t>
            </w:r>
          </w:p>
        </w:tc>
        <w:tc>
          <w:tcPr>
            <w:tcW w:w="327" w:type="dxa"/>
            <w:tcBorders/>
            <w:shd w:fill="auto" w:val="clear"/>
            <w:vAlign w:val="bottom"/>
          </w:tcPr>
          <w:p>
            <w:pPr>
              <w:pStyle w:val="TableContents"/>
              <w:spacing w:before="0" w:after="283"/>
              <w:rPr/>
            </w:pPr>
            <w:r>
              <w:rPr/>
              <w:t> </w:t>
            </w:r>
          </w:p>
        </w:tc>
      </w:tr>
      <w:tr>
        <w:trPr/>
        <w:tc>
          <w:tcPr>
            <w:tcW w:w="525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Equity Capitalization Summary (shares in millions)</w:t>
            </w:r>
          </w:p>
        </w:tc>
        <w:tc>
          <w:tcPr>
            <w:tcW w:w="187" w:type="dxa"/>
            <w:tcBorders/>
            <w:shd w:fill="auto" w:val="clear"/>
            <w:vAlign w:val="bottom"/>
          </w:tcPr>
          <w:p>
            <w:pPr>
              <w:pStyle w:val="TableContents"/>
              <w:spacing w:before="0" w:after="283"/>
              <w:rPr/>
            </w:pPr>
            <w:r>
              <w:rPr/>
              <w:t>  </w:t>
            </w:r>
          </w:p>
        </w:tc>
        <w:tc>
          <w:tcPr>
            <w:tcW w:w="7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327" w:type="dxa"/>
            <w:tcBorders/>
            <w:shd w:fill="auto" w:val="clear"/>
            <w:vAlign w:val="bottom"/>
          </w:tcPr>
          <w:p>
            <w:pPr>
              <w:pStyle w:val="TableContents"/>
              <w:spacing w:before="0" w:after="283"/>
              <w:rPr/>
            </w:pPr>
            <w:r>
              <w:rPr/>
              <w:t> </w:t>
            </w:r>
          </w:p>
        </w:tc>
      </w:tr>
      <w:tr>
        <w:trPr/>
        <w:tc>
          <w:tcPr>
            <w:tcW w:w="5255" w:type="dxa"/>
            <w:tcBorders/>
            <w:shd w:fill="CCEEFF" w:val="clear"/>
          </w:tcPr>
          <w:p>
            <w:pPr>
              <w:pStyle w:val="TableContents"/>
              <w:spacing w:before="0" w:after="0"/>
              <w:rPr>
                <w:rFonts w:ascii="Times New Roman" w:hAnsi="Times New Roman"/>
                <w:sz w:val="20"/>
              </w:rPr>
            </w:pPr>
            <w:r>
              <w:rPr>
                <w:rFonts w:ascii="Times New Roman" w:hAnsi="Times New Roman"/>
                <w:sz w:val="20"/>
              </w:rPr>
              <w:t>VIH Public Shareholders</w:t>
            </w:r>
          </w:p>
        </w:tc>
        <w:tc>
          <w:tcPr>
            <w:tcW w:w="18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20.7</w:t>
            </w:r>
          </w:p>
        </w:tc>
        <w:tc>
          <w:tcPr>
            <w:tcW w:w="6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35.5</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10.0</w:t>
            </w:r>
          </w:p>
        </w:tc>
        <w:tc>
          <w:tcPr>
            <w:tcW w:w="6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pPr>
            <w:r>
              <w:rPr/>
              <w:t>21.0</w:t>
            </w:r>
          </w:p>
        </w:tc>
        <w:tc>
          <w:tcPr>
            <w:tcW w:w="327" w:type="dxa"/>
            <w:tcBorders/>
            <w:shd w:fill="CCEEFF" w:val="clear"/>
            <w:vAlign w:val="bottom"/>
          </w:tcPr>
          <w:p>
            <w:pPr>
              <w:pStyle w:val="TableContents"/>
              <w:spacing w:before="0" w:after="283"/>
              <w:rPr/>
            </w:pPr>
            <w:r>
              <w:rPr/>
              <w:t> </w:t>
            </w:r>
          </w:p>
        </w:tc>
      </w:tr>
      <w:tr>
        <w:trPr/>
        <w:tc>
          <w:tcPr>
            <w:tcW w:w="525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Founder Shares(2) </w:t>
            </w:r>
          </w:p>
        </w:tc>
        <w:tc>
          <w:tcPr>
            <w:tcW w:w="18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pPr>
            <w:r>
              <w:rPr/>
              <w:t>8.9</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5.2</w:t>
            </w:r>
          </w:p>
        </w:tc>
        <w:tc>
          <w:tcPr>
            <w:tcW w:w="6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pPr>
            <w:r>
              <w:rPr/>
              <w:t>10.9</w:t>
            </w:r>
          </w:p>
        </w:tc>
        <w:tc>
          <w:tcPr>
            <w:tcW w:w="327" w:type="dxa"/>
            <w:tcBorders/>
            <w:shd w:fill="auto" w:val="clear"/>
            <w:vAlign w:val="bottom"/>
          </w:tcPr>
          <w:p>
            <w:pPr>
              <w:pStyle w:val="TableContents"/>
              <w:spacing w:before="0" w:after="283"/>
              <w:rPr/>
            </w:pPr>
            <w:r>
              <w:rPr/>
              <w:t> </w:t>
            </w:r>
          </w:p>
        </w:tc>
      </w:tr>
      <w:tr>
        <w:trPr/>
        <w:tc>
          <w:tcPr>
            <w:tcW w:w="5255"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PIPE Investors(3) </w:t>
            </w:r>
          </w:p>
        </w:tc>
        <w:tc>
          <w:tcPr>
            <w:tcW w:w="18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32.5</w:t>
            </w:r>
          </w:p>
        </w:tc>
        <w:tc>
          <w:tcPr>
            <w:tcW w:w="6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55.6</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32.5</w:t>
            </w:r>
          </w:p>
        </w:tc>
        <w:tc>
          <w:tcPr>
            <w:tcW w:w="6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pPr>
            <w:r>
              <w:rPr/>
              <w:t>68.1</w:t>
            </w:r>
          </w:p>
        </w:tc>
        <w:tc>
          <w:tcPr>
            <w:tcW w:w="327" w:type="dxa"/>
            <w:tcBorders/>
            <w:shd w:fill="CCEEFF" w:val="clear"/>
            <w:vAlign w:val="bottom"/>
          </w:tcPr>
          <w:p>
            <w:pPr>
              <w:pStyle w:val="TableContents"/>
              <w:spacing w:before="0" w:after="283"/>
              <w:rPr/>
            </w:pPr>
            <w:r>
              <w:rPr/>
              <w:t> </w:t>
            </w:r>
          </w:p>
        </w:tc>
      </w:tr>
      <w:tr>
        <w:trPr/>
        <w:tc>
          <w:tcPr>
            <w:tcW w:w="525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Bakkt Equity Holders interest in VIH(4) </w:t>
            </w:r>
          </w:p>
        </w:tc>
        <w:tc>
          <w:tcPr>
            <w:tcW w:w="18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pPr>
            <w:r>
              <w:rPr/>
              <w:t>  </w:t>
            </w:r>
          </w:p>
        </w:tc>
        <w:tc>
          <w:tcPr>
            <w:tcW w:w="327" w:type="dxa"/>
            <w:tcBorders/>
            <w:shd w:fill="auto" w:val="clear"/>
            <w:vAlign w:val="bottom"/>
          </w:tcPr>
          <w:p>
            <w:pPr>
              <w:pStyle w:val="TableContents"/>
              <w:spacing w:before="0" w:after="283"/>
              <w:rPr/>
            </w:pPr>
            <w:r>
              <w:rPr/>
              <w:t> </w:t>
            </w:r>
          </w:p>
        </w:tc>
      </w:tr>
      <w:tr>
        <w:trPr/>
        <w:tc>
          <w:tcPr>
            <w:tcW w:w="525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65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6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652"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644" w:type="dxa"/>
            <w:tcBorders/>
            <w:shd w:fill="auto" w:val="clear"/>
            <w:vAlign w:val="bottom"/>
          </w:tcPr>
          <w:p>
            <w:pPr>
              <w:pStyle w:val="TableContents"/>
              <w:pBdr>
                <w:top w:val="single" w:sz="2" w:space="1" w:color="000000"/>
              </w:pBdr>
              <w:spacing w:before="0" w:after="0"/>
              <w:rPr/>
            </w:pPr>
            <w:r>
              <w:rPr/>
              <w:t> </w:t>
            </w:r>
          </w:p>
        </w:tc>
        <w:tc>
          <w:tcPr>
            <w:tcW w:w="327" w:type="dxa"/>
            <w:tcBorders/>
            <w:shd w:fill="auto" w:val="clear"/>
            <w:vAlign w:val="center"/>
          </w:tcPr>
          <w:p>
            <w:pPr>
              <w:pStyle w:val="TableContents"/>
              <w:spacing w:before="0" w:after="283"/>
              <w:rPr/>
            </w:pPr>
            <w:r>
              <w:rPr/>
              <w:t> </w:t>
            </w:r>
          </w:p>
        </w:tc>
      </w:tr>
      <w:tr>
        <w:trPr/>
        <w:tc>
          <w:tcPr>
            <w:tcW w:w="525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Class A common stock in VIH</w:t>
            </w:r>
          </w:p>
        </w:tc>
        <w:tc>
          <w:tcPr>
            <w:tcW w:w="18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b/>
              </w:rPr>
            </w:pPr>
            <w:r>
              <w:rPr>
                <w:b/>
              </w:rPr>
              <w:t>58.4</w:t>
            </w:r>
          </w:p>
        </w:tc>
        <w:tc>
          <w:tcPr>
            <w:tcW w:w="6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b/>
              </w:rPr>
            </w:pPr>
            <w:r>
              <w:rPr>
                <w:b/>
              </w:rPr>
              <w:t>100.0</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b/>
              </w:rPr>
            </w:pPr>
            <w:r>
              <w:rPr>
                <w:b/>
              </w:rPr>
              <w:t>47.7</w:t>
            </w:r>
          </w:p>
        </w:tc>
        <w:tc>
          <w:tcPr>
            <w:tcW w:w="6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b/>
              </w:rPr>
            </w:pPr>
            <w:r>
              <w:rPr>
                <w:b/>
              </w:rPr>
              <w:t>100.0</w:t>
            </w:r>
          </w:p>
        </w:tc>
        <w:tc>
          <w:tcPr>
            <w:tcW w:w="327" w:type="dxa"/>
            <w:tcBorders/>
            <w:shd w:fill="CCEEFF" w:val="clear"/>
            <w:vAlign w:val="bottom"/>
          </w:tcPr>
          <w:p>
            <w:pPr>
              <w:pStyle w:val="TableContents"/>
              <w:spacing w:before="0" w:after="283"/>
              <w:rPr>
                <w:b/>
              </w:rPr>
            </w:pPr>
            <w:r>
              <w:rPr>
                <w:b/>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that 10,737,202 Public Shares (the VIH Shares issued and outstanding that could be redeemed in connection with the Business Combination based on a per share Redemption Price of $10.00 per share) are redeemed in connection with the Business Combination. Existing Bakkt Equity Holders have only voting power in Bakkt Pubco. The voting power of the existing Bakkt Equity Holders would increase proportionally following the Closing. Under the maximum redemptions scenario, noncontrolling interest increases from 77.1% to 80.4%.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5,184,300 shares of Bakkt Pubco Class A Common Stock issued upon conversion of the existing VIH Class B ordinary shares. Shares of Bakkt Pubco Class A Common Stock are issued upon the automatic conversion of the Class B ordinary shares concurrently with the consummation of the Business Combination.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PIPE Investment pursuant to which VIH entered into Subscription Agreements with certain PIPE Investors whereby such investors have agreed to subscribe for shares of Bakkt Pubco Class A Common Stock at a purchase price of $10.00 per share. The PIPE Investors participating in the PIPE Investment, have agreed to purchase an aggregate of 32,500,000 shares of Bakkt Pubco Class A Common Stock.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Equity Capitalization Summary table excludes Bakkt Equity Holders noncontrolling economic interest in Bakkt Opco Common Units, which will be exchangeable (together with the cancellation of an equal number of shares of voting, non-economic Bakkt Pubco Class V Common Stock) into Bakkt Pubco Class A Common Stock on a 1-for-1 basis. The table below presents the Bakkt Opco Common Units and noncontrolling interest percentage: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333"/>
        <w:gridCol w:w="692"/>
        <w:gridCol w:w="134"/>
        <w:gridCol w:w="1254"/>
        <w:gridCol w:w="60"/>
        <w:gridCol w:w="692"/>
        <w:gridCol w:w="206"/>
        <w:gridCol w:w="1953"/>
        <w:gridCol w:w="64"/>
      </w:tblGrid>
      <w:tr>
        <w:trPr/>
        <w:tc>
          <w:tcPr>
            <w:tcW w:w="4333"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33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 No</w:t>
              <w:br/>
              <w:t>Redemptions</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21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w:t>
              <w:br/>
              <w:t>Redemptions</w:t>
            </w:r>
          </w:p>
        </w:tc>
        <w:tc>
          <w:tcPr>
            <w:tcW w:w="64" w:type="dxa"/>
            <w:tcBorders/>
            <w:shd w:fill="auto" w:val="clear"/>
            <w:vAlign w:val="bottom"/>
          </w:tcPr>
          <w:p>
            <w:pPr>
              <w:pStyle w:val="TableContents"/>
              <w:spacing w:before="0" w:after="283"/>
              <w:rPr/>
            </w:pPr>
            <w:r>
              <w:rPr/>
              <w:t> </w:t>
            </w:r>
          </w:p>
        </w:tc>
      </w:tr>
      <w:tr>
        <w:trPr/>
        <w:tc>
          <w:tcPr>
            <w:tcW w:w="4333" w:type="dxa"/>
            <w:tcBorders/>
            <w:shd w:fill="CCEEFF" w:val="clear"/>
          </w:tcPr>
          <w:p>
            <w:pPr>
              <w:pStyle w:val="TableContents"/>
              <w:spacing w:before="0" w:after="0"/>
              <w:rPr>
                <w:rFonts w:ascii="Times New Roman" w:hAnsi="Times New Roman"/>
                <w:sz w:val="20"/>
              </w:rPr>
            </w:pPr>
            <w:r>
              <w:rPr>
                <w:rFonts w:ascii="Times New Roman" w:hAnsi="Times New Roman"/>
                <w:sz w:val="20"/>
              </w:rPr>
              <w:t>Bakkt Equity Holders noncontrolling interest (shares in millions)</w:t>
            </w:r>
          </w:p>
        </w:tc>
        <w:tc>
          <w:tcPr>
            <w:tcW w:w="6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254" w:type="dxa"/>
            <w:tcBorders/>
            <w:shd w:fill="CCEEFF" w:val="clear"/>
            <w:vAlign w:val="bottom"/>
          </w:tcPr>
          <w:p>
            <w:pPr>
              <w:pStyle w:val="TableContents"/>
              <w:spacing w:before="0" w:after="283"/>
              <w:jc w:val="right"/>
              <w:rPr/>
            </w:pPr>
            <w:r>
              <w:rPr/>
              <w:t>196.3</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53" w:type="dxa"/>
            <w:tcBorders/>
            <w:shd w:fill="CCEEFF" w:val="clear"/>
            <w:vAlign w:val="bottom"/>
          </w:tcPr>
          <w:p>
            <w:pPr>
              <w:pStyle w:val="TableContents"/>
              <w:spacing w:before="0" w:after="283"/>
              <w:jc w:val="right"/>
              <w:rPr/>
            </w:pPr>
            <w:r>
              <w:rPr/>
              <w:t>196.3</w:t>
            </w:r>
          </w:p>
        </w:tc>
        <w:tc>
          <w:tcPr>
            <w:tcW w:w="6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unaudited pro forma condensed combined balance sheet as of December 31, 2020 and the unaudited pro forma condensed combined statement of operations for the year ended December 31, 2020 are based on the historical financial statements of VIH, Bakkt, and B2S.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Unaudited Pro Forma Condensed Combined Balance Sheet December 31, 2020 </w:t>
      </w:r>
    </w:p>
    <w:p>
      <w:pPr>
        <w:pStyle w:val="TextBody"/>
        <w:spacing w:before="0" w:after="0"/>
        <w:jc w:val="left"/>
        <w:rPr/>
      </w:pPr>
      <w:r>
        <w:rPr/>
        <w:t> </w:t>
      </w:r>
    </w:p>
    <w:tbl>
      <w:tblPr>
        <w:tblW w:w="10920" w:type="dxa"/>
        <w:jc w:val="center"/>
        <w:tblInd w:w="0" w:type="dxa"/>
        <w:tblCellMar>
          <w:top w:w="0" w:type="dxa"/>
          <w:left w:w="0" w:type="dxa"/>
          <w:bottom w:w="0" w:type="dxa"/>
          <w:right w:w="0" w:type="dxa"/>
        </w:tblCellMar>
      </w:tblPr>
      <w:tblGrid>
        <w:gridCol w:w="1340"/>
        <w:gridCol w:w="60"/>
        <w:gridCol w:w="129"/>
        <w:gridCol w:w="1211"/>
        <w:gridCol w:w="155"/>
        <w:gridCol w:w="60"/>
        <w:gridCol w:w="115"/>
        <w:gridCol w:w="1225"/>
        <w:gridCol w:w="155"/>
        <w:gridCol w:w="60"/>
        <w:gridCol w:w="98"/>
        <w:gridCol w:w="1212"/>
        <w:gridCol w:w="155"/>
        <w:gridCol w:w="60"/>
        <w:gridCol w:w="200"/>
        <w:gridCol w:w="60"/>
        <w:gridCol w:w="85"/>
        <w:gridCol w:w="1060"/>
        <w:gridCol w:w="155"/>
        <w:gridCol w:w="60"/>
        <w:gridCol w:w="113"/>
        <w:gridCol w:w="1197"/>
        <w:gridCol w:w="155"/>
        <w:gridCol w:w="60"/>
        <w:gridCol w:w="380"/>
        <w:gridCol w:w="60"/>
        <w:gridCol w:w="85"/>
        <w:gridCol w:w="1060"/>
        <w:gridCol w:w="155"/>
      </w:tblGrid>
      <w:tr>
        <w:trPr/>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Historical Financials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No Redemptions</w:t>
              <w:br/>
              <w:t>Scenario</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w:t>
              <w:br/>
              <w:t>Redemptions Scenario</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pBdr>
                <w:bottom w:val="single" w:sz="8" w:space="1" w:color="000000"/>
              </w:pBdr>
              <w:spacing w:before="0" w:after="0"/>
              <w:rPr>
                <w:rFonts w:ascii="Times New Roman" w:hAnsi="Times New Roman"/>
                <w:b/>
                <w:sz w:val="15"/>
              </w:rPr>
            </w:pPr>
            <w:r>
              <w:rPr>
                <w:rFonts w:ascii="Times New Roman" w:hAnsi="Times New Roman"/>
                <w:b/>
                <w:sz w:val="15"/>
              </w:rPr>
              <w:t>($ in millions)</w:t>
            </w:r>
          </w:p>
        </w:tc>
        <w:tc>
          <w:tcPr>
            <w:tcW w:w="60"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VIH</w:t>
            </w:r>
            <w:r>
              <w:rPr/>
              <w:br/>
            </w:r>
            <w:r>
              <w:rPr>
                <w:b/>
              </w:rPr>
              <w:t>(Historical as</w:t>
              <w:br/>
              <w:t>of 12/31/20)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Bakkt</w:t>
            </w:r>
            <w:r>
              <w:rPr/>
              <w:br/>
            </w:r>
            <w:r>
              <w:rPr>
                <w:b/>
              </w:rPr>
              <w:t>(Historical as</w:t>
              <w:br/>
              <w:t>of 12/31/20)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Cash and equivalents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75.4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475.0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A</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551.6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(107.0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I</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444.6</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Restricted cash</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16.5</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Customer funds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Accounts receivable, net</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10.4</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Investment in shares of affiliate stock, current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Deposits with clearinghouse affiliate, current</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20.2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20.2</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Other current assets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7.9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7.9</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Current assets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b/>
              </w:rPr>
            </w:pPr>
            <w:r>
              <w:rPr>
                <w:b/>
              </w:rPr>
              <w:t>1.4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b/>
              </w:rPr>
            </w:pPr>
            <w:r>
              <w:rPr>
                <w:b/>
              </w:rPr>
              <w:t>132.1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475.0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608.5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(107.0</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501.5</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Cash and investments held in Trust Account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207.4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(207.4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B</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Property, equipment and software, net</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20.0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20.0</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Goodwill</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233.4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1,063.7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C</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1,297.1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F</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1,292.6</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Intangible assets, net</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62.2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512.4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C</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574.6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574.6</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Deposits with clearinghouse affiliate, noncurrent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15.2</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Other assets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F</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5.5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center"/>
              <w:rPr>
                <w:b/>
              </w:rPr>
            </w:pPr>
            <w:r>
              <w:rPr>
                <w:b/>
              </w:rPr>
              <w:t>F</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5.5</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Non-current assets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b/>
              </w:rPr>
            </w:pPr>
            <w:r>
              <w:rPr>
                <w:b/>
              </w:rPr>
              <w:t>207.4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b/>
              </w:rPr>
            </w:pPr>
            <w:r>
              <w:rPr>
                <w:b/>
              </w:rPr>
              <w:t>336.3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1,368.7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1,912.4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(4.5</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1,907.9</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b/>
                <w:sz w:val="16"/>
              </w:rPr>
            </w:pPr>
            <w:r>
              <w:rPr>
                <w:rFonts w:ascii="Times New Roman" w:hAnsi="Times New Roman"/>
                <w:b/>
                <w:sz w:val="16"/>
              </w:rPr>
              <w:t>Total assets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b/>
              </w:rPr>
            </w:pPr>
            <w:r>
              <w:rPr>
                <w:b/>
              </w:rPr>
              <w:t>208.8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b/>
              </w:rPr>
            </w:pPr>
            <w:r>
              <w:rPr>
                <w:b/>
              </w:rPr>
              <w:t>468.4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1,843.7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2,520.9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(111.5</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2,409.4</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0"/>
              <w:rPr/>
            </w:pPr>
            <w:r>
              <w:rPr/>
              <w:t> </w:t>
            </w:r>
          </w:p>
        </w:tc>
        <w:tc>
          <w:tcPr>
            <w:tcW w:w="121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double" w:sz="6" w:space="1" w:color="000000"/>
              </w:pBdr>
              <w:spacing w:before="0" w:after="0"/>
              <w:rPr/>
            </w:pPr>
            <w:r>
              <w:rPr/>
              <w:t> </w:t>
            </w:r>
          </w:p>
        </w:tc>
        <w:tc>
          <w:tcPr>
            <w:tcW w:w="122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0"/>
              <w:rPr/>
            </w:pPr>
            <w:r>
              <w:rPr/>
              <w:t> </w:t>
            </w:r>
          </w:p>
        </w:tc>
        <w:tc>
          <w:tcPr>
            <w:tcW w:w="121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double" w:sz="6" w:space="1" w:color="000000"/>
              </w:pBdr>
              <w:spacing w:before="0" w:after="0"/>
              <w:rPr/>
            </w:pPr>
            <w:r>
              <w:rPr/>
              <w:t> </w:t>
            </w:r>
          </w:p>
        </w:tc>
        <w:tc>
          <w:tcPr>
            <w:tcW w:w="10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double" w:sz="6" w:space="1" w:color="000000"/>
              </w:pBdr>
              <w:spacing w:before="0" w:after="0"/>
              <w:rPr/>
            </w:pPr>
            <w:r>
              <w:rPr/>
              <w:t> </w:t>
            </w:r>
          </w:p>
        </w:tc>
        <w:tc>
          <w:tcPr>
            <w:tcW w:w="119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double" w:sz="6" w:space="1" w:color="000000"/>
              </w:pBdr>
              <w:spacing w:before="0" w:after="0"/>
              <w:rPr/>
            </w:pPr>
            <w:r>
              <w:rPr/>
              <w:t> </w:t>
            </w:r>
          </w:p>
        </w:tc>
        <w:tc>
          <w:tcPr>
            <w:tcW w:w="10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Accounts payable and accrued liabilities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42.9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E</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42.0</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Customer funds payable</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Deferred revenue, current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D</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Due to affiliates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Other current liabilities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1.9</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Current liabilities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b/>
              </w:rPr>
            </w:pPr>
            <w:r>
              <w:rPr>
                <w:b/>
              </w:rPr>
              <w:t>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b/>
              </w:rPr>
            </w:pPr>
            <w:r>
              <w:rPr>
                <w:b/>
              </w:rPr>
              <w:t>51.1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(1.9</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50.1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50.1</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Deferred revenue, noncurrent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D</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Deferred underwriting fee payable</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7.3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(7.3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E</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Deferred tax liabilities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29.4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F</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29.5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(4.4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F</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Other liabilities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Non-current liabilities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b/>
              </w:rPr>
            </w:pPr>
            <w:r>
              <w:rPr>
                <w:b/>
              </w:rPr>
              <w:t>7.3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b/>
              </w:rPr>
            </w:pPr>
            <w:r>
              <w:rPr>
                <w:b/>
              </w:rPr>
              <w:t>7.5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(22.0</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36.8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(4.4</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32.4</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b/>
                <w:sz w:val="16"/>
              </w:rPr>
            </w:pPr>
            <w:r>
              <w:rPr>
                <w:rFonts w:ascii="Times New Roman" w:hAnsi="Times New Roman"/>
                <w:b/>
                <w:sz w:val="16"/>
              </w:rPr>
              <w:t>Total liabilities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b/>
              </w:rPr>
            </w:pPr>
            <w:r>
              <w:rPr>
                <w:b/>
              </w:rPr>
              <w:t>8.2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b/>
              </w:rPr>
            </w:pPr>
            <w:r>
              <w:rPr>
                <w:b/>
              </w:rPr>
              <w:t>58.6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(20.1</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86.9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(4.4</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82.5</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Class A ordinary shares subject to possible redemption</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195.6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(195.6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G</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Class B and C incentive plan units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21.5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(21.5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G</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Mezzanine equity</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b/>
              </w:rPr>
            </w:pPr>
            <w:r>
              <w:rPr>
                <w:b/>
              </w:rPr>
              <w:t>195.6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b/>
              </w:rPr>
            </w:pPr>
            <w:r>
              <w:rPr>
                <w:b/>
              </w:rPr>
              <w:t>21.5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(217.1</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Class A common stock, par value $0.0001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G</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Class A voting units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2.6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(2.6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G</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Class B voting units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182.5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(182.5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G</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Class B warrants</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G</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Class C voting units</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310.1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(310.1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G</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Additional paid in capital</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501.2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G</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507.2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(107.1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F, I</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400.1</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Accumulated other comprehensive income</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center"/>
              <w:rPr>
                <w:b/>
              </w:rPr>
            </w:pPr>
            <w:r>
              <w:rPr>
                <w:b/>
              </w:rPr>
              <w:t>G</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Accumulated deficit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(112.5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77.2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G</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(36.3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(36.3</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Total shareholders equity</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b/>
              </w:rPr>
            </w:pPr>
            <w:r>
              <w:rPr>
                <w:b/>
              </w:rPr>
              <w:t>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b/>
              </w:rPr>
            </w:pPr>
            <w:r>
              <w:rPr>
                <w:b/>
              </w:rPr>
              <w:t>388.3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77.7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471.0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(107.1</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363.9</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Noncontrolling interest</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1,963.0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center"/>
              <w:rPr>
                <w:b/>
              </w:rPr>
            </w:pPr>
            <w:r>
              <w:rPr>
                <w:b/>
              </w:rPr>
              <w:t>H</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1,963.0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1,963.0</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Total equity and mezzanine equity</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b/>
              </w:rPr>
            </w:pPr>
            <w:r>
              <w:rPr>
                <w:b/>
              </w:rPr>
              <w:t>200.6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b/>
              </w:rPr>
            </w:pPr>
            <w:r>
              <w:rPr>
                <w:b/>
              </w:rPr>
              <w:t>409.8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1,823.6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2,434.0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(107.1</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b/>
              </w:rPr>
            </w:pPr>
            <w:r>
              <w:rPr>
                <w:b/>
              </w:rPr>
              <w:t>2,326.9</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0"/>
              <w:rPr/>
            </w:pPr>
            <w:r>
              <w:rPr/>
              <w:t> </w:t>
            </w:r>
          </w:p>
        </w:tc>
        <w:tc>
          <w:tcPr>
            <w:tcW w:w="12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b/>
                <w:sz w:val="16"/>
              </w:rPr>
            </w:pPr>
            <w:r>
              <w:rPr>
                <w:rFonts w:ascii="Times New Roman" w:hAnsi="Times New Roman"/>
                <w:b/>
                <w:sz w:val="16"/>
              </w:rPr>
              <w:t>Total liabilities &amp; equity</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b/>
              </w:rPr>
            </w:pPr>
            <w:r>
              <w:rPr>
                <w:b/>
              </w:rPr>
              <w:t>208.8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b/>
              </w:rPr>
            </w:pPr>
            <w:r>
              <w:rPr>
                <w:b/>
              </w:rPr>
              <w:t>468.4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1,843.7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2,520.9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(111.5</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b/>
              </w:rPr>
            </w:pPr>
            <w:r>
              <w:rPr>
                <w:b/>
              </w:rPr>
              <w:t>2,409.4</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0"/>
              <w:rPr/>
            </w:pPr>
            <w:r>
              <w:rPr/>
              <w:t> </w:t>
            </w:r>
          </w:p>
        </w:tc>
        <w:tc>
          <w:tcPr>
            <w:tcW w:w="121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double" w:sz="6" w:space="1" w:color="000000"/>
              </w:pBdr>
              <w:spacing w:before="0" w:after="0"/>
              <w:rPr/>
            </w:pPr>
            <w:r>
              <w:rPr/>
              <w:t> </w:t>
            </w:r>
          </w:p>
        </w:tc>
        <w:tc>
          <w:tcPr>
            <w:tcW w:w="122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0"/>
              <w:rPr/>
            </w:pPr>
            <w:r>
              <w:rPr/>
              <w:t> </w:t>
            </w:r>
          </w:p>
        </w:tc>
        <w:tc>
          <w:tcPr>
            <w:tcW w:w="121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double" w:sz="6" w:space="1" w:color="000000"/>
              </w:pBdr>
              <w:spacing w:before="0" w:after="0"/>
              <w:rPr/>
            </w:pPr>
            <w:r>
              <w:rPr/>
              <w:t> </w:t>
            </w:r>
          </w:p>
        </w:tc>
        <w:tc>
          <w:tcPr>
            <w:tcW w:w="10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double" w:sz="6" w:space="1" w:color="000000"/>
              </w:pBdr>
              <w:spacing w:before="0" w:after="0"/>
              <w:rPr/>
            </w:pPr>
            <w:r>
              <w:rPr/>
              <w:t> </w:t>
            </w:r>
          </w:p>
        </w:tc>
        <w:tc>
          <w:tcPr>
            <w:tcW w:w="119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double" w:sz="6" w:space="1" w:color="000000"/>
              </w:pBdr>
              <w:spacing w:before="0" w:after="0"/>
              <w:rPr/>
            </w:pPr>
            <w:r>
              <w:rPr/>
              <w:t> </w:t>
            </w:r>
          </w:p>
        </w:tc>
        <w:tc>
          <w:tcPr>
            <w:tcW w:w="10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Unaudited Pro Forma Condensed Combined Statement of Operations for Year Ended December 31, 2020 </w:t>
      </w:r>
    </w:p>
    <w:p>
      <w:pPr>
        <w:pStyle w:val="TextBody"/>
        <w:spacing w:before="0" w:after="0"/>
        <w:jc w:val="left"/>
        <w:rPr/>
      </w:pPr>
      <w:r>
        <w:rPr/>
        <w:t> </w:t>
      </w:r>
    </w:p>
    <w:tbl>
      <w:tblPr>
        <w:tblW w:w="13315" w:type="dxa"/>
        <w:jc w:val="center"/>
        <w:tblInd w:w="0" w:type="dxa"/>
        <w:tblCellMar>
          <w:top w:w="0" w:type="dxa"/>
          <w:left w:w="0" w:type="dxa"/>
          <w:bottom w:w="0" w:type="dxa"/>
          <w:right w:w="0" w:type="dxa"/>
        </w:tblCellMar>
      </w:tblPr>
      <w:tblGrid>
        <w:gridCol w:w="1340"/>
        <w:gridCol w:w="60"/>
        <w:gridCol w:w="140"/>
        <w:gridCol w:w="1100"/>
        <w:gridCol w:w="155"/>
        <w:gridCol w:w="60"/>
        <w:gridCol w:w="103"/>
        <w:gridCol w:w="967"/>
        <w:gridCol w:w="155"/>
        <w:gridCol w:w="60"/>
        <w:gridCol w:w="141"/>
        <w:gridCol w:w="929"/>
        <w:gridCol w:w="155"/>
        <w:gridCol w:w="60"/>
        <w:gridCol w:w="105"/>
        <w:gridCol w:w="980"/>
        <w:gridCol w:w="155"/>
        <w:gridCol w:w="60"/>
        <w:gridCol w:w="113"/>
        <w:gridCol w:w="1197"/>
        <w:gridCol w:w="155"/>
        <w:gridCol w:w="60"/>
        <w:gridCol w:w="380"/>
        <w:gridCol w:w="60"/>
        <w:gridCol w:w="206"/>
        <w:gridCol w:w="939"/>
        <w:gridCol w:w="155"/>
        <w:gridCol w:w="60"/>
        <w:gridCol w:w="172"/>
        <w:gridCol w:w="1138"/>
        <w:gridCol w:w="155"/>
        <w:gridCol w:w="60"/>
        <w:gridCol w:w="380"/>
        <w:gridCol w:w="60"/>
        <w:gridCol w:w="206"/>
        <w:gridCol w:w="939"/>
        <w:gridCol w:w="155"/>
      </w:tblGrid>
      <w:tr>
        <w:trPr/>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1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Historical Financials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No</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w:t>
              <w:br/>
              <w:t>Redemptions</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pBdr>
                <w:bottom w:val="single" w:sz="8" w:space="1" w:color="000000"/>
              </w:pBdr>
              <w:spacing w:before="0" w:after="0"/>
              <w:rPr>
                <w:rFonts w:ascii="Times New Roman" w:hAnsi="Times New Roman"/>
                <w:b/>
                <w:sz w:val="15"/>
              </w:rPr>
            </w:pPr>
            <w:r>
              <w:rPr>
                <w:rFonts w:ascii="Times New Roman" w:hAnsi="Times New Roman"/>
                <w:b/>
                <w:sz w:val="15"/>
              </w:rPr>
              <w:t>($ in millions)</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VIH</w:t>
            </w:r>
            <w:r>
              <w:rPr/>
              <w:br/>
            </w:r>
            <w:r>
              <w:rPr>
                <w:b/>
              </w:rPr>
              <w:t>(Historical</w:t>
              <w:br/>
              <w:t>from 7/31/20</w:t>
              <w:br/>
              <w:t>through</w:t>
              <w:br/>
              <w:t>12/31/20)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Bakkt</w:t>
            </w:r>
            <w:r>
              <w:rPr/>
              <w:br/>
            </w:r>
            <w:r>
              <w:rPr>
                <w:b/>
              </w:rPr>
              <w:t>(Historical</w:t>
              <w:br/>
              <w:t>from 1/1/20</w:t>
              <w:br/>
              <w:t>through</w:t>
              <w:br/>
              <w:t>12/31/20)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B2S</w:t>
            </w:r>
            <w:r>
              <w:rPr/>
              <w:br/>
            </w:r>
            <w:r>
              <w:rPr>
                <w:b/>
              </w:rPr>
              <w:t>(Historical</w:t>
              <w:br/>
              <w:t>from 1/1/20</w:t>
              <w:br/>
              <w:t>through</w:t>
              <w:br/>
              <w:t>2/21/20)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Combined</w:t>
              <w:br/>
              <w:t>Bakkt</w:t>
            </w:r>
            <w:r>
              <w:rPr/>
              <w:br/>
            </w:r>
            <w:r>
              <w:rPr>
                <w:b/>
              </w:rPr>
              <w:t>(Historical</w:t>
              <w:br/>
              <w:t>from 1/1/20</w:t>
              <w:br/>
              <w:t>through</w:t>
              <w:br/>
              <w:t>12/31/20)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Revenue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b/>
              </w:rPr>
            </w:pPr>
            <w:r>
              <w:rPr>
                <w:b/>
              </w:rPr>
              <w:t>28.5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b/>
              </w:rPr>
            </w:pPr>
            <w:r>
              <w:rPr>
                <w:b/>
              </w:rPr>
              <w:t>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34.2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(0.1</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AA</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34.1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34.1</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b/>
                <w:sz w:val="16"/>
              </w:rPr>
            </w:pPr>
            <w:r>
              <w:rPr>
                <w:rFonts w:ascii="Times New Roman" w:hAnsi="Times New Roman"/>
                <w:b/>
                <w:sz w:val="16"/>
              </w:rPr>
              <w:t>Operating expenses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Compensation and benefits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43.1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3.2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46.3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52.6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FF</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98.9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98.9</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Professional services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5.7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6.7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6.7</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Technology and communication</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9.7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0.4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10.1</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Selling, general and administrative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8.2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0.3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9.5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9.5</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Acquisition-related expenses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35.3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CC</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48.7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48.7</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Depreciation and amortization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8.2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9.2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20.6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center"/>
              <w:rPr>
                <w:b/>
              </w:rPr>
            </w:pPr>
            <w:r>
              <w:rPr>
                <w:b/>
              </w:rPr>
              <w:t>BB</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29.8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29.8</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Affiliate expenses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Impairment of long-lived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Other operating costs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0.9</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Total operating expenses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b/>
              </w:rPr>
            </w:pPr>
            <w:r>
              <w:rPr>
                <w:b/>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b/>
              </w:rPr>
            </w:pPr>
            <w:r>
              <w:rPr>
                <w:b/>
              </w:rPr>
              <w:t>107.6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b/>
              </w:rPr>
            </w:pPr>
            <w:r>
              <w:rPr>
                <w:b/>
              </w:rPr>
              <w:t>5.9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113.5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108.5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223.0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223.0</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Loss from operations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b/>
              </w:rPr>
            </w:pPr>
            <w:r>
              <w:rPr>
                <w:b/>
              </w:rPr>
              <w:t>(1.0</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b/>
              </w:rPr>
            </w:pPr>
            <w:r>
              <w:rPr>
                <w:b/>
              </w:rPr>
              <w:t>(79.1</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b/>
              </w:rPr>
            </w:pPr>
            <w:r>
              <w:rPr>
                <w:b/>
              </w:rPr>
              <w:t>(0.2</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(79.3</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(108.6</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(188.9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(188.9</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Interest income, net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(0.1</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Other income, net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Total interest and other income, net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b/>
              </w:rPr>
            </w:pPr>
            <w:r>
              <w:rPr>
                <w:b/>
              </w:rPr>
              <w:t>(0.1</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b/>
              </w:rPr>
            </w:pPr>
            <w:r>
              <w:rPr>
                <w:b/>
              </w:rPr>
              <w:t>(0.2</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(0.3</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(0.3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(0.3</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Loss before income taxes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b/>
              </w:rPr>
            </w:pPr>
            <w:r>
              <w:rPr>
                <w:b/>
              </w:rPr>
              <w:t>(1.0</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b/>
              </w:rPr>
            </w:pPr>
            <w:r>
              <w:rPr>
                <w:b/>
              </w:rPr>
              <w:t>(79.2</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b/>
              </w:rPr>
            </w:pPr>
            <w:r>
              <w:rPr>
                <w:b/>
              </w:rPr>
              <w:t>(0.3</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(79.6</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(108.6</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(136.6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(136.6</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Income tax (expense) benefit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6.3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center"/>
              <w:rPr>
                <w:b/>
              </w:rPr>
            </w:pPr>
            <w:r>
              <w:rPr>
                <w:b/>
              </w:rPr>
              <w:t>DD</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5.9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center"/>
              <w:rPr>
                <w:b/>
              </w:rPr>
            </w:pPr>
            <w:r>
              <w:rPr>
                <w:b/>
              </w:rPr>
              <w:t>DD</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5.0</w:t>
            </w:r>
          </w:p>
        </w:tc>
        <w:tc>
          <w:tcPr>
            <w:tcW w:w="155" w:type="dxa"/>
            <w:tcBorders/>
            <w:shd w:fill="auto"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0"/>
              <w:rPr/>
            </w:pPr>
            <w:r>
              <w:rPr/>
              <w:t> </w:t>
            </w:r>
          </w:p>
        </w:tc>
        <w:tc>
          <w:tcPr>
            <w:tcW w:w="9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11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9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Net loss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b/>
              </w:rPr>
            </w:pPr>
            <w:r>
              <w:rPr>
                <w:b/>
              </w:rPr>
              <w:t>(1.0</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b/>
              </w:rPr>
            </w:pPr>
            <w:r>
              <w:rPr>
                <w:b/>
              </w:rPr>
              <w:t>(79.6</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b/>
              </w:rPr>
            </w:pPr>
            <w:r>
              <w:rPr>
                <w:b/>
              </w:rPr>
              <w:t>(0.4</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(80.0</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b/>
              </w:rPr>
            </w:pPr>
            <w:r>
              <w:rPr>
                <w:b/>
              </w:rPr>
              <w:t>(102.3</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(130.7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(131.6</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double" w:sz="6" w:space="1" w:color="000000"/>
              </w:pBdr>
              <w:spacing w:before="0" w:after="0"/>
              <w:rPr/>
            </w:pPr>
            <w:r>
              <w:rPr/>
              <w:t> </w:t>
            </w:r>
          </w:p>
        </w:tc>
        <w:tc>
          <w:tcPr>
            <w:tcW w:w="96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92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double" w:sz="6" w:space="1" w:color="000000"/>
              </w:pBdr>
              <w:spacing w:before="0" w:after="0"/>
              <w:rPr/>
            </w:pPr>
            <w:r>
              <w:rPr/>
              <w:t> </w:t>
            </w:r>
          </w:p>
        </w:tc>
        <w:tc>
          <w:tcPr>
            <w:tcW w:w="119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9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1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9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40"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Net loss attributable to noncontrolling interest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(145.8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center"/>
              <w:rPr>
                <w:b/>
              </w:rPr>
            </w:pPr>
            <w:r>
              <w:rPr>
                <w:b/>
              </w:rPr>
              <w:t>EE</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(145.8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center"/>
              <w:rPr>
                <w:b/>
              </w:rPr>
            </w:pPr>
            <w:r>
              <w:rPr>
                <w:b/>
              </w:rPr>
              <w:t>GG</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(152.2</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vAlign w:val="bottom"/>
          </w:tcPr>
          <w:p>
            <w:pPr>
              <w:pStyle w:val="TableContents"/>
              <w:spacing w:before="0" w:after="0"/>
              <w:rPr>
                <w:rFonts w:ascii="Times New Roman" w:hAnsi="Times New Roman"/>
                <w:sz w:val="16"/>
              </w:rPr>
            </w:pPr>
            <w:r>
              <w:rPr>
                <w:rFonts w:ascii="Times New Roman" w:hAnsi="Times New Roman"/>
                <w:sz w:val="16"/>
              </w:rPr>
              <w:t>Net loss attributable to controlling interest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(79.6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(0.4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43.5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EE</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(37.5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5.5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center"/>
              <w:rPr>
                <w:b/>
              </w:rPr>
            </w:pPr>
            <w:r>
              <w:rPr>
                <w:b/>
              </w:rPr>
              <w:t>GG</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(32.0</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b/>
                <w:sz w:val="16"/>
              </w:rPr>
            </w:pPr>
            <w:r>
              <w:rPr>
                <w:rFonts w:ascii="Times New Roman" w:hAnsi="Times New Roman"/>
                <w:b/>
                <w:sz w:val="16"/>
              </w:rPr>
              <w:t>Earnings per share (Note 5)</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Weighted average shares of Class A outstanding, basic</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20,737,202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sz w:val="4"/>
                <w:szCs w:val="4"/>
              </w:rPr>
            </w:pPr>
            <w:r>
              <w:rPr>
                <w:sz w:val="4"/>
                <w:szCs w:val="4"/>
              </w:rPr>
            </w:r>
          </w:p>
        </w:tc>
        <w:tc>
          <w:tcPr>
            <w:tcW w:w="9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9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58.4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47.7</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Loss per share of Class A (basic)</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939" w:type="dxa"/>
            <w:tcBorders/>
            <w:shd w:fill="auto" w:val="clear"/>
            <w:vAlign w:val="bottom"/>
          </w:tcPr>
          <w:p>
            <w:pPr>
              <w:pStyle w:val="TableContents"/>
              <w:spacing w:before="0" w:after="283"/>
              <w:jc w:val="right"/>
              <w:rPr/>
            </w:pPr>
            <w:r>
              <w:rPr/>
              <w:t>(0.64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939" w:type="dxa"/>
            <w:tcBorders/>
            <w:shd w:fill="auto" w:val="clear"/>
            <w:vAlign w:val="bottom"/>
          </w:tcPr>
          <w:p>
            <w:pPr>
              <w:pStyle w:val="TableContents"/>
              <w:spacing w:before="0" w:after="283"/>
              <w:jc w:val="right"/>
              <w:rPr/>
            </w:pPr>
            <w:r>
              <w:rPr/>
              <w:t>(0.67</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Weighted average shares of Class A outstanding,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20,737,202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sz w:val="4"/>
                <w:szCs w:val="4"/>
              </w:rPr>
            </w:pPr>
            <w:r>
              <w:rPr>
                <w:sz w:val="4"/>
                <w:szCs w:val="4"/>
              </w:rPr>
            </w:r>
          </w:p>
        </w:tc>
        <w:tc>
          <w:tcPr>
            <w:tcW w:w="9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9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58.4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47.7</w:t>
            </w:r>
          </w:p>
        </w:tc>
        <w:tc>
          <w:tcPr>
            <w:tcW w:w="155" w:type="dxa"/>
            <w:tcBorders/>
            <w:shd w:fill="CCEEFF"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Loss per share of Class A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939" w:type="dxa"/>
            <w:tcBorders/>
            <w:shd w:fill="auto" w:val="clear"/>
            <w:vAlign w:val="bottom"/>
          </w:tcPr>
          <w:p>
            <w:pPr>
              <w:pStyle w:val="TableContents"/>
              <w:spacing w:before="0" w:after="283"/>
              <w:jc w:val="right"/>
              <w:rPr/>
            </w:pPr>
            <w:r>
              <w:rPr/>
              <w:t>(0.64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939" w:type="dxa"/>
            <w:tcBorders/>
            <w:shd w:fill="auto" w:val="clear"/>
            <w:vAlign w:val="bottom"/>
          </w:tcPr>
          <w:p>
            <w:pPr>
              <w:pStyle w:val="TableContents"/>
              <w:spacing w:before="0" w:after="283"/>
              <w:jc w:val="right"/>
              <w:rPr/>
            </w:pPr>
            <w:r>
              <w:rPr/>
              <w:t>(0.67</w:t>
            </w:r>
          </w:p>
        </w:tc>
        <w:tc>
          <w:tcPr>
            <w:tcW w:w="155" w:type="dxa"/>
            <w:tcBorders/>
            <w:shd w:fill="auto" w:val="clear"/>
            <w:vAlign w:val="bottom"/>
          </w:tcPr>
          <w:p>
            <w:pPr>
              <w:pStyle w:val="TableContents"/>
              <w:spacing w:before="0" w:after="283"/>
              <w:rPr/>
            </w:pPr>
            <w:r>
              <w:rPr/>
              <w:t>) </w:t>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Weighted average shares of Class B outstanding, basic</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5,184,300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sz w:val="4"/>
                <w:szCs w:val="4"/>
              </w:rPr>
            </w:pPr>
            <w:r>
              <w:rPr>
                <w:sz w:val="4"/>
                <w:szCs w:val="4"/>
              </w:rPr>
            </w:r>
          </w:p>
        </w:tc>
        <w:tc>
          <w:tcPr>
            <w:tcW w:w="9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9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9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9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Loss per share of Class B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(0.19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40" w:type="dxa"/>
            <w:tcBorders/>
            <w:shd w:fill="CCEEFF" w:val="clear"/>
          </w:tcPr>
          <w:p>
            <w:pPr>
              <w:pStyle w:val="TableContents"/>
              <w:spacing w:before="0" w:after="0"/>
              <w:rPr>
                <w:rFonts w:ascii="Times New Roman" w:hAnsi="Times New Roman"/>
                <w:sz w:val="16"/>
              </w:rPr>
            </w:pPr>
            <w:r>
              <w:rPr>
                <w:rFonts w:ascii="Times New Roman" w:hAnsi="Times New Roman"/>
                <w:sz w:val="16"/>
              </w:rPr>
              <w:t>Weighted average shares of Class B outstanding,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5,184,300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sz w:val="4"/>
                <w:szCs w:val="4"/>
              </w:rPr>
            </w:pPr>
            <w:r>
              <w:rPr>
                <w:sz w:val="4"/>
                <w:szCs w:val="4"/>
              </w:rPr>
            </w:r>
          </w:p>
        </w:tc>
        <w:tc>
          <w:tcPr>
            <w:tcW w:w="9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9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9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9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40" w:type="dxa"/>
            <w:tcBorders/>
            <w:shd w:fill="auto" w:val="clear"/>
          </w:tcPr>
          <w:p>
            <w:pPr>
              <w:pStyle w:val="TableContents"/>
              <w:spacing w:before="0" w:after="0"/>
              <w:rPr>
                <w:rFonts w:ascii="Times New Roman" w:hAnsi="Times New Roman"/>
                <w:sz w:val="16"/>
              </w:rPr>
            </w:pPr>
            <w:r>
              <w:rPr>
                <w:rFonts w:ascii="Times New Roman" w:hAnsi="Times New Roman"/>
                <w:sz w:val="16"/>
              </w:rPr>
              <w:t>Loss per share of Class B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(0.19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Basis of Pro Forma Presentation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The unaudited pro forma condensed combined financial statements have been prepared using the acquisition method of accounting with VIH as the acquiring entity. Under the acquisition method of accounting, VIHs assets and liabilities will retain their carrying values and the assets and liabilities associated with Bakkt will be recorded at their fair values measured as of the acquisition date. The excess of the purchase price over the estimated fair values of the net assets acquired, if applicable, will be recorded as goodwill. The acquisition method of accounting is based on ASC 805 and uses the fair value concepts defined in ASC Topic 820, Fair Value Measurements (</w:t>
      </w:r>
      <w:r>
        <w:rPr>
          <w:rFonts w:ascii="Times New Roman" w:hAnsi="Times New Roman"/>
          <w:b/>
          <w:sz w:val="20"/>
        </w:rPr>
        <w:t>ASC 820</w:t>
      </w:r>
      <w:r>
        <w:rPr>
          <w:rFonts w:ascii="Times New Roman" w:hAnsi="Times New Roman"/>
          <w:sz w:val="20"/>
        </w:rPr>
        <w:t xml:space="preserve">). In general, ASC 805 requires, among other things, that assets acquired and liabilities assumed be recognized at their fair values as of the acquisition date by VIH, who was determined to be the accounting acquirer. </w:t>
      </w:r>
    </w:p>
    <w:p>
      <w:pPr>
        <w:pStyle w:val="TextBody"/>
        <w:spacing w:before="240" w:after="0"/>
        <w:jc w:val="left"/>
        <w:rPr>
          <w:rFonts w:ascii="Times New Roman" w:hAnsi="Times New Roman"/>
          <w:sz w:val="20"/>
        </w:rPr>
      </w:pPr>
      <w:r>
        <w:rPr>
          <w:rFonts w:ascii="Times New Roman" w:hAnsi="Times New Roman"/>
          <w:sz w:val="20"/>
        </w:rPr>
        <w:t xml:space="preserve">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 </w:t>
      </w:r>
    </w:p>
    <w:p>
      <w:pPr>
        <w:pStyle w:val="TextBody"/>
        <w:spacing w:before="240" w:after="0"/>
        <w:jc w:val="left"/>
        <w:rPr>
          <w:rFonts w:ascii="Times New Roman" w:hAnsi="Times New Roman"/>
          <w:sz w:val="20"/>
        </w:rPr>
      </w:pPr>
      <w:r>
        <w:rPr>
          <w:rFonts w:ascii="Times New Roman" w:hAnsi="Times New Roman"/>
          <w:sz w:val="20"/>
        </w:rPr>
        <w:t xml:space="preserve">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or transaction or other costs following the Business Combination that are not expected to have a continuing impact on the statement of operations. Further, one-time transaction-related expenses incurred prior to, or concurrently with the consummation of the Business Combination are presented in the unaudited pro forma condensed combined statement of operations as if it was consummated on January 1, 2020. The impact of such transaction expenses incurred prior to the Business Combination are reflected in the unaudited pro forma condensed combined balance sheet as reductions to liabilities and a decrease to cash, whereas such transaction expenses incurred concurrently with the consummation of the Business Combination are reflected as an adjustment to retained earnings or members deficit and a decrease to cash. Such transaction expenses incurred and paid by Bakkt prior to the Business Combination has been adjusted as part of the Bakkt equity close out adjustment. </w:t>
      </w:r>
    </w:p>
    <w:p>
      <w:pPr>
        <w:pStyle w:val="TextBody"/>
        <w:spacing w:before="240" w:after="0"/>
        <w:jc w:val="left"/>
        <w:rPr>
          <w:rFonts w:ascii="Times New Roman" w:hAnsi="Times New Roman"/>
          <w:sz w:val="20"/>
        </w:rPr>
      </w:pPr>
      <w:r>
        <w:rPr>
          <w:rFonts w:ascii="Times New Roman" w:hAnsi="Times New Roman"/>
          <w:sz w:val="20"/>
        </w:rPr>
        <w:t xml:space="preserve">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2020 assumes that the Business Combination occurred on December 31, 2020. The unaudited pro forma condensed combined statement of operations for the period from inception to December 31, 2020 presents pro forma effect to the Business Combination as if it had been completed on January 1, 2020. This period is presented on the basis of VIH being the accounting acquirer.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Description of the Business Combination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Pursuant to the Business Combination Agreement, existing Bakkt owners will receive an aggregate of 208,200,000 Bakkt Opco Common Units and an equal number of Bakkt Pubco Class V Shares. The Business Combination is structured as an Up-C transaction, whereby the Flow-Through Sellers will own equity in Bakkt OpCo Common Units and hold direct voting rights in Bakkt Pubco Class V Common Stock. </w:t>
      </w:r>
    </w:p>
    <w:p>
      <w:pPr>
        <w:pStyle w:val="TextBody"/>
        <w:spacing w:before="240" w:after="0"/>
        <w:jc w:val="center"/>
        <w:rPr>
          <w:rFonts w:ascii="Times New Roman" w:hAnsi="Times New Roman"/>
          <w:sz w:val="20"/>
        </w:rPr>
      </w:pPr>
      <w:r>
        <w:rPr>
          <w:rFonts w:ascii="Times New Roman" w:hAnsi="Times New Roman"/>
          <w:sz w:val="20"/>
        </w:rPr>
        <w:t xml:space="preserve">Below is a diagram of the transaction: </w:t>
      </w:r>
    </w:p>
    <w:p>
      <w:pPr>
        <w:pStyle w:val="TextBody"/>
        <w:spacing w:before="360" w:after="0"/>
        <w:jc w:val="left"/>
        <w:rPr>
          <w:rFonts w:ascii="Times New Roman" w:hAnsi="Times New Roman"/>
          <w:b/>
          <w:sz w:val="20"/>
          <w:u w:val="single"/>
        </w:rPr>
      </w:pPr>
      <w:r>
        <w:rPr>
          <w:rFonts w:ascii="Times New Roman" w:hAnsi="Times New Roman"/>
          <w:b/>
          <w:sz w:val="20"/>
          <w:u w:val="single"/>
        </w:rPr>
        <w:t xml:space="preserve">Structure Diagram </w:t>
      </w:r>
    </w:p>
    <w:p>
      <w:pPr>
        <w:pStyle w:val="TextBody"/>
        <w:spacing w:before="0" w:after="0"/>
        <w:jc w:val="left"/>
        <w:rPr/>
      </w:pPr>
      <w:r>
        <w:rPr/>
        <w:drawing>
          <wp:inline distT="0" distB="0" distL="0" distR="0">
            <wp:extent cx="519430" cy="3829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9430" cy="38290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For the sources and uses for funding the Proposed Transaction under the no redemptions and maximum redemption scenarios, see the section entitled Sources and Uses of Funds for the Proposed Transaction.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Transaction Accounting Adjustments to Pro Forma Condensed Combined Balance Sheet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Explanations of the transaction accounting adjustments to the pro forma balance sheet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adjustments to cash due to the following inflows and outflows as a result of the Business Combination.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8325"/>
        <w:gridCol w:w="229"/>
        <w:gridCol w:w="60"/>
        <w:gridCol w:w="611"/>
        <w:gridCol w:w="163"/>
      </w:tblGrid>
      <w:tr>
        <w:trPr/>
        <w:tc>
          <w:tcPr>
            <w:tcW w:w="83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25" w:type="dxa"/>
            <w:tcBorders/>
            <w:shd w:fill="CCEEFF" w:val="clear"/>
          </w:tcPr>
          <w:p>
            <w:pPr>
              <w:pStyle w:val="TableContents"/>
              <w:spacing w:before="0" w:after="0"/>
              <w:rPr>
                <w:rFonts w:ascii="Times New Roman" w:hAnsi="Times New Roman"/>
                <w:sz w:val="20"/>
              </w:rPr>
            </w:pPr>
            <w:r>
              <w:rPr>
                <w:rFonts w:ascii="Times New Roman" w:hAnsi="Times New Roman"/>
                <w:sz w:val="20"/>
              </w:rPr>
              <w:t>VIH trust account</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pPr>
            <w:r>
              <w:rPr/>
              <w:t>207.4</w:t>
            </w:r>
          </w:p>
        </w:tc>
        <w:tc>
          <w:tcPr>
            <w:tcW w:w="163" w:type="dxa"/>
            <w:tcBorders/>
            <w:shd w:fill="CCEEFF" w:val="clear"/>
            <w:vAlign w:val="bottom"/>
          </w:tcPr>
          <w:p>
            <w:pPr>
              <w:pStyle w:val="TableContents"/>
              <w:spacing w:before="0" w:after="283"/>
              <w:rPr/>
            </w:pPr>
            <w:r>
              <w:rPr/>
              <w:t> </w:t>
            </w:r>
          </w:p>
        </w:tc>
      </w:tr>
      <w:tr>
        <w:trPr/>
        <w:tc>
          <w:tcPr>
            <w:tcW w:w="8325" w:type="dxa"/>
            <w:tcBorders/>
            <w:shd w:fill="auto" w:val="clear"/>
          </w:tcPr>
          <w:p>
            <w:pPr>
              <w:pStyle w:val="TableContents"/>
              <w:spacing w:before="0" w:after="0"/>
              <w:rPr>
                <w:rFonts w:ascii="Times New Roman" w:hAnsi="Times New Roman"/>
                <w:sz w:val="20"/>
              </w:rPr>
            </w:pPr>
            <w:r>
              <w:rPr>
                <w:rFonts w:ascii="Times New Roman" w:hAnsi="Times New Roman"/>
                <w:sz w:val="20"/>
              </w:rPr>
              <w:t>PIPE investment</w:t>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pPr>
            <w:r>
              <w:rPr/>
              <w:t>325.0</w:t>
            </w:r>
          </w:p>
        </w:tc>
        <w:tc>
          <w:tcPr>
            <w:tcW w:w="163" w:type="dxa"/>
            <w:tcBorders/>
            <w:shd w:fill="auto" w:val="clear"/>
            <w:vAlign w:val="bottom"/>
          </w:tcPr>
          <w:p>
            <w:pPr>
              <w:pStyle w:val="TableContents"/>
              <w:spacing w:before="0" w:after="283"/>
              <w:rPr/>
            </w:pPr>
            <w:r>
              <w:rPr/>
              <w:t> </w:t>
            </w:r>
          </w:p>
        </w:tc>
      </w:tr>
      <w:tr>
        <w:trPr/>
        <w:tc>
          <w:tcPr>
            <w:tcW w:w="8325"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Buyer transaction costs(1) </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pPr>
            <w:r>
              <w:rPr/>
              <w:t>(34.6</w:t>
            </w:r>
          </w:p>
        </w:tc>
        <w:tc>
          <w:tcPr>
            <w:tcW w:w="163" w:type="dxa"/>
            <w:tcBorders/>
            <w:shd w:fill="CCEEFF" w:val="clear"/>
            <w:vAlign w:val="bottom"/>
          </w:tcPr>
          <w:p>
            <w:pPr>
              <w:pStyle w:val="TableContents"/>
              <w:spacing w:before="0" w:after="283"/>
              <w:rPr/>
            </w:pPr>
            <w:r>
              <w:rPr/>
              <w:t>) </w:t>
            </w:r>
          </w:p>
        </w:tc>
      </w:tr>
      <w:tr>
        <w:trPr/>
        <w:tc>
          <w:tcPr>
            <w:tcW w:w="832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Seller expenses(2) </w:t>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pPr>
            <w:r>
              <w:rPr/>
              <w:t>(22.8</w:t>
            </w:r>
          </w:p>
        </w:tc>
        <w:tc>
          <w:tcPr>
            <w:tcW w:w="163" w:type="dxa"/>
            <w:tcBorders/>
            <w:shd w:fill="auto" w:val="clear"/>
            <w:vAlign w:val="bottom"/>
          </w:tcPr>
          <w:p>
            <w:pPr>
              <w:pStyle w:val="TableContents"/>
              <w:spacing w:before="0" w:after="283"/>
              <w:rPr/>
            </w:pPr>
            <w:r>
              <w:rPr/>
              <w:t>) </w:t>
            </w:r>
          </w:p>
        </w:tc>
      </w:tr>
      <w:tr>
        <w:trPr/>
        <w:tc>
          <w:tcPr>
            <w:tcW w:w="8325"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1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32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b/>
              </w:rPr>
            </w:pPr>
            <w:r>
              <w:rPr>
                <w:b/>
              </w:rPr>
              <w:t>475.0</w:t>
            </w:r>
          </w:p>
        </w:tc>
        <w:tc>
          <w:tcPr>
            <w:tcW w:w="163"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Excludes $0.9 million buyers legal and due diligence related-fees that were paid as of December 31, 2020. Includes $13.0 million PIPE fees that will be netted against the proceeds from the equity issuance.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Excludes $0.2 million sellers merger costs that were paid as of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release of $207.4 million of cash and cash equivalents held in the Trust Account that become available for transaction consideration, transaction expenses, underwriting commission, redemption of VIH Public Shares, and the operating activities of VIH following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adjustment for the estimated preliminary purchase price allocation for the Bakkt business resulting from the Business Combination. The preliminary calculation of total consideration and allocation of the purchase price to the fair value of Bakkts assets acquired and liabilities assumed is presented below as if the Business Combination was consummated on December 31, 2020. The Companys evaluation of the fair value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balance sheet as of the IPO date which may change the allocation to intangible assets and change in fair value of property, plant, and equipment.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is a preliminary estimate of the fair value of consideration expected to be transferred in the Business Combination under the no redemptions and maximum redemptions scenarios.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14"/>
        <w:gridCol w:w="445"/>
        <w:gridCol w:w="85"/>
        <w:gridCol w:w="1136"/>
        <w:gridCol w:w="159"/>
      </w:tblGrid>
      <w:tr>
        <w:trPr/>
        <w:tc>
          <w:tcPr>
            <w:tcW w:w="511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1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 in millions)</w:t>
            </w:r>
          </w:p>
        </w:tc>
        <w:tc>
          <w:tcPr>
            <w:tcW w:w="445" w:type="dxa"/>
            <w:tcBorders/>
            <w:shd w:fill="auto" w:val="clear"/>
            <w:vAlign w:val="bottom"/>
          </w:tcPr>
          <w:p>
            <w:pPr>
              <w:pStyle w:val="TableContents"/>
              <w:spacing w:before="0" w:after="283"/>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r>
          </w:p>
        </w:tc>
        <w:tc>
          <w:tcPr>
            <w:tcW w:w="159" w:type="dxa"/>
            <w:tcBorders/>
            <w:shd w:fill="auto" w:val="clear"/>
            <w:vAlign w:val="bottom"/>
          </w:tcPr>
          <w:p>
            <w:pPr>
              <w:pStyle w:val="TableContents"/>
              <w:spacing w:before="0" w:after="283"/>
              <w:rPr/>
            </w:pPr>
            <w:r>
              <w:rPr/>
              <w:t> </w:t>
            </w:r>
          </w:p>
        </w:tc>
      </w:tr>
      <w:tr>
        <w:trPr/>
        <w:tc>
          <w:tcPr>
            <w:tcW w:w="5114" w:type="dxa"/>
            <w:tcBorders/>
            <w:shd w:fill="CCEEFF" w:val="clear"/>
          </w:tcPr>
          <w:p>
            <w:pPr>
              <w:pStyle w:val="TableContents"/>
              <w:spacing w:before="0" w:after="0"/>
              <w:rPr>
                <w:rFonts w:ascii="Times New Roman" w:hAnsi="Times New Roman"/>
                <w:sz w:val="20"/>
              </w:rPr>
            </w:pPr>
            <w:r>
              <w:rPr>
                <w:rFonts w:ascii="Times New Roman" w:hAnsi="Times New Roman"/>
                <w:sz w:val="20"/>
              </w:rPr>
              <w:t>Equity consideration paid to existing Bakkt ownership in Bakkt Opco (Class A common shares) and Bakkt Pubco (Class V shares)</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1,963.0</w:t>
            </w:r>
          </w:p>
        </w:tc>
        <w:tc>
          <w:tcPr>
            <w:tcW w:w="159" w:type="dxa"/>
            <w:tcBorders/>
            <w:shd w:fill="CCEEFF" w:val="clear"/>
            <w:vAlign w:val="bottom"/>
          </w:tcPr>
          <w:p>
            <w:pPr>
              <w:pStyle w:val="TableContents"/>
              <w:spacing w:before="0" w:after="283"/>
              <w:rPr/>
            </w:pPr>
            <w:r>
              <w:rPr/>
              <w:t> </w:t>
            </w:r>
          </w:p>
        </w:tc>
      </w:tr>
      <w:tr>
        <w:trPr/>
        <w:tc>
          <w:tcPr>
            <w:tcW w:w="5114" w:type="dxa"/>
            <w:tcBorders/>
            <w:shd w:fill="auto" w:val="clear"/>
          </w:tcPr>
          <w:p>
            <w:pPr>
              <w:pStyle w:val="TableContents"/>
              <w:spacing w:before="0" w:after="0"/>
              <w:rPr>
                <w:rFonts w:ascii="Times New Roman" w:hAnsi="Times New Roman"/>
                <w:sz w:val="20"/>
              </w:rPr>
            </w:pPr>
            <w:r>
              <w:rPr>
                <w:rFonts w:ascii="Times New Roman" w:hAnsi="Times New Roman"/>
                <w:sz w:val="20"/>
              </w:rPr>
              <w:t>Cash paid for seller transaction costs</w:t>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23.1</w:t>
            </w:r>
          </w:p>
        </w:tc>
        <w:tc>
          <w:tcPr>
            <w:tcW w:w="159" w:type="dxa"/>
            <w:tcBorders/>
            <w:shd w:fill="auto" w:val="clear"/>
            <w:vAlign w:val="bottom"/>
          </w:tcPr>
          <w:p>
            <w:pPr>
              <w:pStyle w:val="TableContents"/>
              <w:spacing w:before="0" w:after="283"/>
              <w:rPr/>
            </w:pPr>
            <w:r>
              <w:rPr/>
              <w:t> </w:t>
            </w:r>
          </w:p>
        </w:tc>
      </w:tr>
      <w:tr>
        <w:trPr/>
        <w:tc>
          <w:tcPr>
            <w:tcW w:w="511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consideration</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b/>
              </w:rPr>
            </w:pPr>
            <w:r>
              <w:rPr>
                <w:b/>
              </w:rPr>
              <w:t>1,986.1</w:t>
            </w:r>
          </w:p>
        </w:tc>
        <w:tc>
          <w:tcPr>
            <w:tcW w:w="159" w:type="dxa"/>
            <w:tcBorders/>
            <w:shd w:fill="CCEEFF" w:val="clear"/>
            <w:vAlign w:val="bottom"/>
          </w:tcPr>
          <w:p>
            <w:pPr>
              <w:pStyle w:val="TableContents"/>
              <w:spacing w:before="0" w:after="283"/>
              <w:rPr/>
            </w:pPr>
            <w:r>
              <w:rPr/>
              <w:t> </w:t>
            </w:r>
          </w:p>
        </w:tc>
      </w:tr>
      <w:tr>
        <w:trPr/>
        <w:tc>
          <w:tcPr>
            <w:tcW w:w="5114"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132.1</w:t>
            </w:r>
          </w:p>
        </w:tc>
        <w:tc>
          <w:tcPr>
            <w:tcW w:w="159" w:type="dxa"/>
            <w:tcBorders/>
            <w:shd w:fill="auto" w:val="clear"/>
            <w:vAlign w:val="bottom"/>
          </w:tcPr>
          <w:p>
            <w:pPr>
              <w:pStyle w:val="TableContents"/>
              <w:spacing w:before="0" w:after="283"/>
              <w:rPr/>
            </w:pPr>
            <w:r>
              <w:rPr/>
              <w:t> </w:t>
            </w:r>
          </w:p>
        </w:tc>
      </w:tr>
      <w:tr>
        <w:trPr/>
        <w:tc>
          <w:tcPr>
            <w:tcW w:w="5114" w:type="dxa"/>
            <w:tcBorders/>
            <w:shd w:fill="CCEEFF" w:val="clear"/>
          </w:tcPr>
          <w:p>
            <w:pPr>
              <w:pStyle w:val="TableContents"/>
              <w:spacing w:before="0" w:after="0"/>
              <w:rPr>
                <w:rFonts w:ascii="Times New Roman" w:hAnsi="Times New Roman"/>
                <w:sz w:val="20"/>
              </w:rPr>
            </w:pPr>
            <w:r>
              <w:rPr>
                <w:rFonts w:ascii="Times New Roman" w:hAnsi="Times New Roman"/>
                <w:sz w:val="20"/>
              </w:rPr>
              <w:t>Property, equipment and software, net</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20.0</w:t>
            </w:r>
          </w:p>
        </w:tc>
        <w:tc>
          <w:tcPr>
            <w:tcW w:w="159" w:type="dxa"/>
            <w:tcBorders/>
            <w:shd w:fill="CCEEFF" w:val="clear"/>
            <w:vAlign w:val="bottom"/>
          </w:tcPr>
          <w:p>
            <w:pPr>
              <w:pStyle w:val="TableContents"/>
              <w:spacing w:before="0" w:after="283"/>
              <w:rPr/>
            </w:pPr>
            <w:r>
              <w:rPr/>
              <w:t> </w:t>
            </w:r>
          </w:p>
        </w:tc>
      </w:tr>
      <w:tr>
        <w:trPr/>
        <w:tc>
          <w:tcPr>
            <w:tcW w:w="5114" w:type="dxa"/>
            <w:tcBorders/>
            <w:shd w:fill="auto" w:val="clear"/>
          </w:tcPr>
          <w:p>
            <w:pPr>
              <w:pStyle w:val="TableContents"/>
              <w:spacing w:before="0" w:after="0"/>
              <w:rPr>
                <w:rFonts w:ascii="Times New Roman" w:hAnsi="Times New Roman"/>
                <w:sz w:val="20"/>
              </w:rPr>
            </w:pPr>
            <w:r>
              <w:rPr>
                <w:rFonts w:ascii="Times New Roman" w:hAnsi="Times New Roman"/>
                <w:sz w:val="20"/>
              </w:rPr>
              <w:t>Non-current assets</w:t>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20.7</w:t>
            </w:r>
          </w:p>
        </w:tc>
        <w:tc>
          <w:tcPr>
            <w:tcW w:w="159" w:type="dxa"/>
            <w:tcBorders/>
            <w:shd w:fill="auto" w:val="clear"/>
            <w:vAlign w:val="bottom"/>
          </w:tcPr>
          <w:p>
            <w:pPr>
              <w:pStyle w:val="TableContents"/>
              <w:spacing w:before="0" w:after="283"/>
              <w:rPr/>
            </w:pPr>
            <w:r>
              <w:rPr/>
              <w:t> </w:t>
            </w:r>
          </w:p>
        </w:tc>
      </w:tr>
      <w:tr>
        <w:trPr/>
        <w:tc>
          <w:tcPr>
            <w:tcW w:w="5114"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574.6</w:t>
            </w:r>
          </w:p>
        </w:tc>
        <w:tc>
          <w:tcPr>
            <w:tcW w:w="159" w:type="dxa"/>
            <w:tcBorders/>
            <w:shd w:fill="CCEEFF" w:val="clear"/>
            <w:vAlign w:val="bottom"/>
          </w:tcPr>
          <w:p>
            <w:pPr>
              <w:pStyle w:val="TableContents"/>
              <w:spacing w:before="0" w:after="283"/>
              <w:rPr/>
            </w:pPr>
            <w:r>
              <w:rPr/>
              <w:t> </w:t>
            </w:r>
          </w:p>
        </w:tc>
      </w:tr>
      <w:tr>
        <w:trPr/>
        <w:tc>
          <w:tcPr>
            <w:tcW w:w="5114" w:type="dxa"/>
            <w:tcBorders/>
            <w:shd w:fill="auto" w:val="clear"/>
          </w:tcPr>
          <w:p>
            <w:pPr>
              <w:pStyle w:val="TableContents"/>
              <w:spacing w:before="0" w:after="0"/>
              <w:rPr>
                <w:rFonts w:ascii="Times New Roman" w:hAnsi="Times New Roman"/>
                <w:sz w:val="20"/>
              </w:rPr>
            </w:pPr>
            <w:r>
              <w:rPr>
                <w:rFonts w:ascii="Times New Roman" w:hAnsi="Times New Roman"/>
                <w:sz w:val="20"/>
              </w:rPr>
              <w:t>Goodwill</w:t>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1,297.1</w:t>
            </w:r>
          </w:p>
        </w:tc>
        <w:tc>
          <w:tcPr>
            <w:tcW w:w="159" w:type="dxa"/>
            <w:tcBorders/>
            <w:shd w:fill="auto" w:val="clear"/>
            <w:vAlign w:val="bottom"/>
          </w:tcPr>
          <w:p>
            <w:pPr>
              <w:pStyle w:val="TableContents"/>
              <w:spacing w:before="0" w:after="283"/>
              <w:rPr/>
            </w:pPr>
            <w:r>
              <w:rPr/>
              <w:t> </w:t>
            </w:r>
          </w:p>
        </w:tc>
      </w:tr>
      <w:tr>
        <w:trPr/>
        <w:tc>
          <w:tcPr>
            <w:tcW w:w="5114"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(46.8</w:t>
            </w:r>
          </w:p>
        </w:tc>
        <w:tc>
          <w:tcPr>
            <w:tcW w:w="159" w:type="dxa"/>
            <w:tcBorders/>
            <w:shd w:fill="CCEEFF" w:val="clear"/>
            <w:vAlign w:val="bottom"/>
          </w:tcPr>
          <w:p>
            <w:pPr>
              <w:pStyle w:val="TableContents"/>
              <w:spacing w:before="0" w:after="283"/>
              <w:rPr/>
            </w:pPr>
            <w:r>
              <w:rPr/>
              <w:t>) </w:t>
            </w:r>
          </w:p>
        </w:tc>
      </w:tr>
      <w:tr>
        <w:trPr/>
        <w:tc>
          <w:tcPr>
            <w:tcW w:w="5114"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 current</w:t>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(4.2</w:t>
            </w:r>
          </w:p>
        </w:tc>
        <w:tc>
          <w:tcPr>
            <w:tcW w:w="159" w:type="dxa"/>
            <w:tcBorders/>
            <w:shd w:fill="auto" w:val="clear"/>
            <w:vAlign w:val="bottom"/>
          </w:tcPr>
          <w:p>
            <w:pPr>
              <w:pStyle w:val="TableContents"/>
              <w:spacing w:before="0" w:after="283"/>
              <w:rPr/>
            </w:pPr>
            <w:r>
              <w:rPr/>
              <w:t>) </w:t>
            </w:r>
          </w:p>
        </w:tc>
      </w:tr>
      <w:tr>
        <w:trPr/>
        <w:tc>
          <w:tcPr>
            <w:tcW w:w="5114" w:type="dxa"/>
            <w:tcBorders/>
            <w:shd w:fill="CCEEFF" w:val="clear"/>
          </w:tcPr>
          <w:p>
            <w:pPr>
              <w:pStyle w:val="TableContents"/>
              <w:spacing w:before="0" w:after="0"/>
              <w:rPr>
                <w:rFonts w:ascii="Times New Roman" w:hAnsi="Times New Roman"/>
                <w:sz w:val="20"/>
              </w:rPr>
            </w:pPr>
            <w:r>
              <w:rPr>
                <w:rFonts w:ascii="Times New Roman" w:hAnsi="Times New Roman"/>
                <w:sz w:val="20"/>
              </w:rPr>
              <w:t>Non-current liabilities</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(3.4</w:t>
            </w:r>
          </w:p>
        </w:tc>
        <w:tc>
          <w:tcPr>
            <w:tcW w:w="159" w:type="dxa"/>
            <w:tcBorders/>
            <w:shd w:fill="CCEEFF" w:val="clear"/>
            <w:vAlign w:val="bottom"/>
          </w:tcPr>
          <w:p>
            <w:pPr>
              <w:pStyle w:val="TableContents"/>
              <w:spacing w:before="0" w:after="283"/>
              <w:rPr/>
            </w:pPr>
            <w:r>
              <w:rPr/>
              <w:t>) </w:t>
            </w:r>
          </w:p>
        </w:tc>
      </w:tr>
      <w:tr>
        <w:trPr/>
        <w:tc>
          <w:tcPr>
            <w:tcW w:w="5114"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 noncurrent</w:t>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(4.0</w:t>
            </w:r>
          </w:p>
        </w:tc>
        <w:tc>
          <w:tcPr>
            <w:tcW w:w="159" w:type="dxa"/>
            <w:tcBorders/>
            <w:shd w:fill="auto" w:val="clear"/>
            <w:vAlign w:val="bottom"/>
          </w:tcPr>
          <w:p>
            <w:pPr>
              <w:pStyle w:val="TableContents"/>
              <w:spacing w:before="0" w:after="283"/>
              <w:rPr/>
            </w:pPr>
            <w:r>
              <w:rPr/>
              <w:t>) </w:t>
            </w:r>
          </w:p>
        </w:tc>
      </w:tr>
      <w:tr>
        <w:trPr/>
        <w:tc>
          <w:tcPr>
            <w:tcW w:w="5114"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1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assets acquired</w:t>
            </w:r>
          </w:p>
        </w:tc>
        <w:tc>
          <w:tcPr>
            <w:tcW w:w="4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b/>
              </w:rPr>
            </w:pPr>
            <w:r>
              <w:rPr>
                <w:b/>
              </w:rPr>
              <w:t>1,986.1</w:t>
            </w:r>
          </w:p>
        </w:tc>
        <w:tc>
          <w:tcPr>
            <w:tcW w:w="159"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Intangible Assets:</w:t>
      </w:r>
      <w:r>
        <w:rPr>
          <w:rFonts w:ascii="Times New Roman" w:hAnsi="Times New Roman"/>
          <w:sz w:val="20"/>
        </w:rPr>
        <w:t xml:space="preserve"> The following describes intangible assets that met either the separability criterion or the contractual-legal criterion described in ASC 805, and the anticipated valuation approach. The trademark and trade name intangible assets represent the trade names that Bakkt originated or acquired which was valued using the relief-from-royalty method. The customer relationships intangible asset represents the existing customer relationships of Bakkt that was estimated by applying the with-and-without methodology, a form of the income approach. The developed technology intangible asset represents technology acquired or developed by Bakkt for the purpose of generating income for Bakkt, which was valued using the multi-period excess earnings method, a form of income approach considering technology migration. The content library represents the content contributed by network participants to the Bakkt business network and was valued using replacement cost method.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67"/>
        <w:gridCol w:w="560"/>
        <w:gridCol w:w="222"/>
        <w:gridCol w:w="1665"/>
        <w:gridCol w:w="60"/>
        <w:gridCol w:w="560"/>
        <w:gridCol w:w="102"/>
        <w:gridCol w:w="955"/>
        <w:gridCol w:w="64"/>
      </w:tblGrid>
      <w:tr>
        <w:trPr/>
        <w:tc>
          <w:tcPr>
            <w:tcW w:w="356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56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 in millions)</w:t>
            </w:r>
          </w:p>
        </w:tc>
        <w:tc>
          <w:tcPr>
            <w:tcW w:w="560" w:type="dxa"/>
            <w:tcBorders/>
            <w:shd w:fill="auto" w:val="clear"/>
            <w:vAlign w:val="bottom"/>
          </w:tcPr>
          <w:p>
            <w:pPr>
              <w:pStyle w:val="TableContents"/>
              <w:spacing w:before="0" w:after="283"/>
              <w:rPr/>
            </w:pPr>
            <w:r>
              <w:rPr/>
              <w:t>  </w:t>
            </w:r>
          </w:p>
        </w:tc>
        <w:tc>
          <w:tcPr>
            <w:tcW w:w="18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 average</w:t>
              <w:br/>
              <w:t>useful life (years)</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w:t>
            </w:r>
          </w:p>
        </w:tc>
        <w:tc>
          <w:tcPr>
            <w:tcW w:w="64" w:type="dxa"/>
            <w:tcBorders/>
            <w:shd w:fill="auto" w:val="clear"/>
            <w:vAlign w:val="bottom"/>
          </w:tcPr>
          <w:p>
            <w:pPr>
              <w:pStyle w:val="TableContents"/>
              <w:spacing w:before="0" w:after="283"/>
              <w:rPr/>
            </w:pPr>
            <w:r>
              <w:rPr/>
              <w:t> </w:t>
            </w:r>
          </w:p>
        </w:tc>
      </w:tr>
      <w:tr>
        <w:trPr/>
        <w:tc>
          <w:tcPr>
            <w:tcW w:w="3567" w:type="dxa"/>
            <w:tcBorders/>
            <w:shd w:fill="CCEEFF" w:val="clear"/>
          </w:tcPr>
          <w:p>
            <w:pPr>
              <w:pStyle w:val="TableContents"/>
              <w:spacing w:before="0" w:after="0"/>
              <w:rPr>
                <w:rFonts w:ascii="Times New Roman" w:hAnsi="Times New Roman"/>
                <w:sz w:val="20"/>
              </w:rPr>
            </w:pPr>
            <w:r>
              <w:rPr>
                <w:rFonts w:ascii="Times New Roman" w:hAnsi="Times New Roman"/>
                <w:sz w:val="20"/>
              </w:rPr>
              <w:t>Indefinite-lived</w:t>
            </w:r>
          </w:p>
        </w:tc>
        <w:tc>
          <w:tcPr>
            <w:tcW w:w="5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6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567" w:type="dxa"/>
            <w:tcBorders/>
            <w:shd w:fill="auto" w:val="clear"/>
          </w:tcPr>
          <w:p>
            <w:pPr>
              <w:pStyle w:val="TableContents"/>
              <w:spacing w:before="0" w:after="0"/>
              <w:rPr>
                <w:rFonts w:ascii="Times New Roman" w:hAnsi="Times New Roman"/>
                <w:sz w:val="20"/>
              </w:rPr>
            </w:pPr>
            <w:r>
              <w:rPr>
                <w:rFonts w:ascii="Times New Roman" w:hAnsi="Times New Roman"/>
                <w:sz w:val="20"/>
              </w:rPr>
              <w:t>Trademark / Trade Names</w:t>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pPr>
            <w:r>
              <w:rPr/>
              <w:t>n/a</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26.3</w:t>
            </w:r>
          </w:p>
        </w:tc>
        <w:tc>
          <w:tcPr>
            <w:tcW w:w="64" w:type="dxa"/>
            <w:tcBorders/>
            <w:shd w:fill="auto" w:val="clear"/>
            <w:vAlign w:val="bottom"/>
          </w:tcPr>
          <w:p>
            <w:pPr>
              <w:pStyle w:val="TableContents"/>
              <w:spacing w:before="0" w:after="283"/>
              <w:rPr/>
            </w:pPr>
            <w:r>
              <w:rPr/>
              <w:t> </w:t>
            </w:r>
          </w:p>
        </w:tc>
      </w:tr>
      <w:tr>
        <w:trPr/>
        <w:tc>
          <w:tcPr>
            <w:tcW w:w="3567" w:type="dxa"/>
            <w:tcBorders/>
            <w:shd w:fill="CCEEFF" w:val="clear"/>
          </w:tcPr>
          <w:p>
            <w:pPr>
              <w:pStyle w:val="TableContents"/>
              <w:spacing w:before="0" w:after="0"/>
              <w:rPr>
                <w:rFonts w:ascii="Times New Roman" w:hAnsi="Times New Roman"/>
                <w:sz w:val="20"/>
              </w:rPr>
            </w:pPr>
            <w:r>
              <w:rPr>
                <w:rFonts w:ascii="Times New Roman" w:hAnsi="Times New Roman"/>
                <w:sz w:val="20"/>
              </w:rPr>
              <w:t>Licenses  MTL and BIT</w:t>
            </w:r>
          </w:p>
        </w:tc>
        <w:tc>
          <w:tcPr>
            <w:tcW w:w="5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665"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272.8</w:t>
            </w:r>
          </w:p>
        </w:tc>
        <w:tc>
          <w:tcPr>
            <w:tcW w:w="64" w:type="dxa"/>
            <w:tcBorders/>
            <w:shd w:fill="CCEEFF" w:val="clear"/>
            <w:vAlign w:val="bottom"/>
          </w:tcPr>
          <w:p>
            <w:pPr>
              <w:pStyle w:val="TableContents"/>
              <w:spacing w:before="0" w:after="283"/>
              <w:rPr/>
            </w:pPr>
            <w:r>
              <w:rPr/>
              <w:t> </w:t>
            </w:r>
          </w:p>
        </w:tc>
      </w:tr>
      <w:tr>
        <w:trPr/>
        <w:tc>
          <w:tcPr>
            <w:tcW w:w="3567" w:type="dxa"/>
            <w:tcBorders/>
            <w:shd w:fill="auto" w:val="clear"/>
          </w:tcPr>
          <w:p>
            <w:pPr>
              <w:pStyle w:val="TableContents"/>
              <w:spacing w:before="0" w:after="0"/>
              <w:rPr>
                <w:rFonts w:ascii="Times New Roman" w:hAnsi="Times New Roman"/>
                <w:sz w:val="20"/>
              </w:rPr>
            </w:pPr>
            <w:r>
              <w:rPr>
                <w:rFonts w:ascii="Times New Roman" w:hAnsi="Times New Roman"/>
                <w:sz w:val="20"/>
              </w:rPr>
              <w:t>Licenses  Trust</w:t>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pPr>
            <w:r>
              <w:rPr/>
              <w:t>n/a</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25.5</w:t>
            </w:r>
          </w:p>
        </w:tc>
        <w:tc>
          <w:tcPr>
            <w:tcW w:w="64" w:type="dxa"/>
            <w:tcBorders/>
            <w:shd w:fill="auto" w:val="clear"/>
            <w:vAlign w:val="bottom"/>
          </w:tcPr>
          <w:p>
            <w:pPr>
              <w:pStyle w:val="TableContents"/>
              <w:spacing w:before="0" w:after="283"/>
              <w:rPr/>
            </w:pPr>
            <w:r>
              <w:rPr/>
              <w:t> </w:t>
            </w:r>
          </w:p>
        </w:tc>
      </w:tr>
      <w:tr>
        <w:trPr/>
        <w:tc>
          <w:tcPr>
            <w:tcW w:w="3567" w:type="dxa"/>
            <w:tcBorders/>
            <w:shd w:fill="CCEEFF" w:val="clear"/>
          </w:tcPr>
          <w:p>
            <w:pPr>
              <w:pStyle w:val="TableContents"/>
              <w:spacing w:before="0" w:after="0"/>
              <w:rPr>
                <w:rFonts w:ascii="Times New Roman" w:hAnsi="Times New Roman"/>
                <w:sz w:val="20"/>
              </w:rPr>
            </w:pPr>
            <w:r>
              <w:rPr>
                <w:rFonts w:ascii="Times New Roman" w:hAnsi="Times New Roman"/>
                <w:sz w:val="20"/>
              </w:rPr>
              <w:t>Definite-lived</w:t>
            </w:r>
          </w:p>
        </w:tc>
        <w:tc>
          <w:tcPr>
            <w:tcW w:w="5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6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567" w:type="dxa"/>
            <w:tcBorders/>
            <w:shd w:fill="auto" w:val="clear"/>
          </w:tcPr>
          <w:p>
            <w:pPr>
              <w:pStyle w:val="TableContents"/>
              <w:spacing w:before="0" w:after="0"/>
              <w:rPr>
                <w:rFonts w:ascii="Times New Roman" w:hAnsi="Times New Roman"/>
                <w:sz w:val="20"/>
              </w:rPr>
            </w:pPr>
            <w:r>
              <w:rPr>
                <w:rFonts w:ascii="Times New Roman" w:hAnsi="Times New Roman"/>
                <w:sz w:val="20"/>
              </w:rPr>
              <w:t>Customer Relationship  Consumer</w:t>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pPr>
            <w:r>
              <w:rPr/>
              <w:t>8.5</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9.0</w:t>
            </w:r>
          </w:p>
        </w:tc>
        <w:tc>
          <w:tcPr>
            <w:tcW w:w="64" w:type="dxa"/>
            <w:tcBorders/>
            <w:shd w:fill="auto" w:val="clear"/>
            <w:vAlign w:val="bottom"/>
          </w:tcPr>
          <w:p>
            <w:pPr>
              <w:pStyle w:val="TableContents"/>
              <w:spacing w:before="0" w:after="283"/>
              <w:rPr/>
            </w:pPr>
            <w:r>
              <w:rPr/>
              <w:t> </w:t>
            </w:r>
          </w:p>
        </w:tc>
      </w:tr>
      <w:tr>
        <w:trPr/>
        <w:tc>
          <w:tcPr>
            <w:tcW w:w="3567" w:type="dxa"/>
            <w:tcBorders/>
            <w:shd w:fill="CCEEFF" w:val="clear"/>
          </w:tcPr>
          <w:p>
            <w:pPr>
              <w:pStyle w:val="TableContents"/>
              <w:spacing w:before="0" w:after="0"/>
              <w:rPr>
                <w:rFonts w:ascii="Times New Roman" w:hAnsi="Times New Roman"/>
                <w:sz w:val="20"/>
              </w:rPr>
            </w:pPr>
            <w:r>
              <w:rPr>
                <w:rFonts w:ascii="Times New Roman" w:hAnsi="Times New Roman"/>
                <w:sz w:val="20"/>
              </w:rPr>
              <w:t>Customer Relationship  Loyalty</w:t>
            </w:r>
          </w:p>
        </w:tc>
        <w:tc>
          <w:tcPr>
            <w:tcW w:w="5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665" w:type="dxa"/>
            <w:tcBorders/>
            <w:shd w:fill="CCEEFF" w:val="clear"/>
            <w:vAlign w:val="bottom"/>
          </w:tcPr>
          <w:p>
            <w:pPr>
              <w:pStyle w:val="TableContents"/>
              <w:spacing w:before="0" w:after="283"/>
              <w:jc w:val="right"/>
              <w:rPr/>
            </w:pPr>
            <w:r>
              <w:rPr/>
              <w:t>11.0</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40.5</w:t>
            </w:r>
          </w:p>
        </w:tc>
        <w:tc>
          <w:tcPr>
            <w:tcW w:w="64" w:type="dxa"/>
            <w:tcBorders/>
            <w:shd w:fill="CCEEFF" w:val="clear"/>
            <w:vAlign w:val="bottom"/>
          </w:tcPr>
          <w:p>
            <w:pPr>
              <w:pStyle w:val="TableContents"/>
              <w:spacing w:before="0" w:after="283"/>
              <w:rPr/>
            </w:pPr>
            <w:r>
              <w:rPr/>
              <w:t> </w:t>
            </w:r>
          </w:p>
        </w:tc>
      </w:tr>
      <w:tr>
        <w:trPr/>
        <w:tc>
          <w:tcPr>
            <w:tcW w:w="3567" w:type="dxa"/>
            <w:tcBorders/>
            <w:shd w:fill="auto" w:val="clear"/>
          </w:tcPr>
          <w:p>
            <w:pPr>
              <w:pStyle w:val="TableContents"/>
              <w:spacing w:before="0" w:after="0"/>
              <w:rPr>
                <w:rFonts w:ascii="Times New Roman" w:hAnsi="Times New Roman"/>
                <w:sz w:val="20"/>
              </w:rPr>
            </w:pPr>
            <w:r>
              <w:rPr>
                <w:rFonts w:ascii="Times New Roman" w:hAnsi="Times New Roman"/>
                <w:sz w:val="20"/>
              </w:rPr>
              <w:t>Developed Technology  Consumer</w:t>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pPr>
            <w:r>
              <w:rPr/>
              <w:t>6.0</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57.7</w:t>
            </w:r>
          </w:p>
        </w:tc>
        <w:tc>
          <w:tcPr>
            <w:tcW w:w="64" w:type="dxa"/>
            <w:tcBorders/>
            <w:shd w:fill="auto" w:val="clear"/>
            <w:vAlign w:val="bottom"/>
          </w:tcPr>
          <w:p>
            <w:pPr>
              <w:pStyle w:val="TableContents"/>
              <w:spacing w:before="0" w:after="283"/>
              <w:rPr/>
            </w:pPr>
            <w:r>
              <w:rPr/>
              <w:t> </w:t>
            </w:r>
          </w:p>
        </w:tc>
      </w:tr>
      <w:tr>
        <w:trPr/>
        <w:tc>
          <w:tcPr>
            <w:tcW w:w="3567" w:type="dxa"/>
            <w:tcBorders/>
            <w:shd w:fill="CCEEFF" w:val="clear"/>
          </w:tcPr>
          <w:p>
            <w:pPr>
              <w:pStyle w:val="TableContents"/>
              <w:spacing w:before="0" w:after="0"/>
              <w:rPr>
                <w:rFonts w:ascii="Times New Roman" w:hAnsi="Times New Roman"/>
                <w:sz w:val="20"/>
              </w:rPr>
            </w:pPr>
            <w:r>
              <w:rPr>
                <w:rFonts w:ascii="Times New Roman" w:hAnsi="Times New Roman"/>
                <w:sz w:val="20"/>
              </w:rPr>
              <w:t>Developed Technology  Loyalty</w:t>
            </w:r>
          </w:p>
        </w:tc>
        <w:tc>
          <w:tcPr>
            <w:tcW w:w="5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665" w:type="dxa"/>
            <w:tcBorders/>
            <w:shd w:fill="CCEEFF" w:val="clear"/>
            <w:vAlign w:val="bottom"/>
          </w:tcPr>
          <w:p>
            <w:pPr>
              <w:pStyle w:val="TableContents"/>
              <w:spacing w:before="0" w:after="283"/>
              <w:jc w:val="right"/>
              <w:rPr/>
            </w:pPr>
            <w:r>
              <w:rPr/>
              <w:t>6.0</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10.0</w:t>
            </w:r>
          </w:p>
        </w:tc>
        <w:tc>
          <w:tcPr>
            <w:tcW w:w="64" w:type="dxa"/>
            <w:tcBorders/>
            <w:shd w:fill="CCEEFF" w:val="clear"/>
            <w:vAlign w:val="bottom"/>
          </w:tcPr>
          <w:p>
            <w:pPr>
              <w:pStyle w:val="TableContents"/>
              <w:spacing w:before="0" w:after="283"/>
              <w:rPr/>
            </w:pPr>
            <w:r>
              <w:rPr/>
              <w:t> </w:t>
            </w:r>
          </w:p>
        </w:tc>
      </w:tr>
      <w:tr>
        <w:trPr/>
        <w:tc>
          <w:tcPr>
            <w:tcW w:w="3567" w:type="dxa"/>
            <w:tcBorders/>
            <w:shd w:fill="auto" w:val="clear"/>
          </w:tcPr>
          <w:p>
            <w:pPr>
              <w:pStyle w:val="TableContents"/>
              <w:spacing w:before="0" w:after="0"/>
              <w:rPr>
                <w:rFonts w:ascii="Times New Roman" w:hAnsi="Times New Roman"/>
                <w:sz w:val="20"/>
              </w:rPr>
            </w:pPr>
            <w:r>
              <w:rPr>
                <w:rFonts w:ascii="Times New Roman" w:hAnsi="Times New Roman"/>
                <w:sz w:val="20"/>
              </w:rPr>
              <w:t>Developed Technology  Markets</w:t>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3567" w:type="dxa"/>
            <w:tcBorders/>
            <w:shd w:fill="CCEEFF" w:val="clear"/>
          </w:tcPr>
          <w:p>
            <w:pPr>
              <w:pStyle w:val="TableContents"/>
              <w:spacing w:before="0" w:after="0"/>
              <w:rPr>
                <w:rFonts w:ascii="Times New Roman" w:hAnsi="Times New Roman"/>
                <w:sz w:val="20"/>
              </w:rPr>
            </w:pPr>
            <w:r>
              <w:rPr>
                <w:rFonts w:ascii="Times New Roman" w:hAnsi="Times New Roman"/>
                <w:sz w:val="20"/>
              </w:rPr>
              <w:t>Access to Exchanges</w:t>
            </w:r>
          </w:p>
        </w:tc>
        <w:tc>
          <w:tcPr>
            <w:tcW w:w="5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665" w:type="dxa"/>
            <w:tcBorders/>
            <w:shd w:fill="CCEEFF" w:val="clear"/>
            <w:vAlign w:val="bottom"/>
          </w:tcPr>
          <w:p>
            <w:pPr>
              <w:pStyle w:val="TableContents"/>
              <w:spacing w:before="0" w:after="283"/>
              <w:jc w:val="right"/>
              <w:rPr/>
            </w:pPr>
            <w:r>
              <w:rPr/>
              <w:t>12.0</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131.0</w:t>
            </w:r>
          </w:p>
        </w:tc>
        <w:tc>
          <w:tcPr>
            <w:tcW w:w="64" w:type="dxa"/>
            <w:tcBorders/>
            <w:shd w:fill="CCEEFF" w:val="clear"/>
            <w:vAlign w:val="bottom"/>
          </w:tcPr>
          <w:p>
            <w:pPr>
              <w:pStyle w:val="TableContents"/>
              <w:spacing w:before="0" w:after="283"/>
              <w:rPr/>
            </w:pPr>
            <w:r>
              <w:rPr/>
              <w:t> </w:t>
            </w:r>
          </w:p>
        </w:tc>
      </w:tr>
      <w:tr>
        <w:trPr/>
        <w:tc>
          <w:tcPr>
            <w:tcW w:w="3567"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6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955"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567"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5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6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b/>
              </w:rPr>
            </w:pPr>
            <w:r>
              <w:rPr>
                <w:b/>
              </w:rPr>
              <w:t>574.6</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i/>
          <w:sz w:val="20"/>
        </w:rPr>
        <w:t>Goodwill:</w:t>
      </w:r>
      <w:r>
        <w:rPr>
          <w:rFonts w:ascii="Times New Roman" w:hAnsi="Times New Roman"/>
          <w:sz w:val="20"/>
        </w:rPr>
        <w:t xml:space="preserve"> Approximately $1,416.1 million has been allocated to goodwill. Goodwill represents the excess of the gross consideration transferred over the 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Bakkt primarily due to its strong market position and its assembled workforce that are not individually identified and separately recognized as intangible assets. </w:t>
      </w:r>
    </w:p>
    <w:p>
      <w:pPr>
        <w:pStyle w:val="TextBody"/>
        <w:spacing w:before="240" w:after="0"/>
        <w:jc w:val="left"/>
        <w:rPr>
          <w:rFonts w:ascii="Times New Roman" w:hAnsi="Times New Roman"/>
          <w:sz w:val="20"/>
        </w:rPr>
      </w:pPr>
      <w:r>
        <w:rPr>
          <w:rFonts w:ascii="Times New Roman" w:hAnsi="Times New Roman"/>
          <w:sz w:val="20"/>
        </w:rPr>
        <w:t xml:space="preserve">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(D)</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a reduction in deferred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Bakkts historical deferred revenue results in a revenue reduction on a pro forma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payment of $1.8 million of acquisition-related expenses and $7.3 million of deferred underwriters and legal fees payable incurred by Bakkt and the Company,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(F)</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adjustments to reflect applicable deferred taxes under the no redemptions and maximum redemptions scenarios. Refer to Note 3(C) for the purchase price allocation. The deferred taxes are primarily related to the difference between the financial statement and tax basis in the Bakkt partnership interests. This basis difference primarily results from the Business Combination where VIH recorded a fair market value basis on all assets for financial accounting purposes and a fair value step-up on a portion of the assets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for income tax purposes. The $29.4 million adjustment related to the deferred tax liability is assuming: (1) the GAAP balance sheet as of December 31, 2020 adjusted for the pro forma entries described herein, (2) estimated tax basis as of December 31, 2020 adjusted for the pro forma entries described herein, (3) a federal income tax rate of 21.0% and a blended state tax rate of 3.7% (net of federal benefit), and (4) no material changes in tax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(G)</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following table summarizes the pro forma adjustments impacting equity (amounts in thousands):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28"/>
        <w:gridCol w:w="191"/>
        <w:gridCol w:w="236"/>
        <w:gridCol w:w="1074"/>
        <w:gridCol w:w="155"/>
        <w:gridCol w:w="133"/>
        <w:gridCol w:w="274"/>
        <w:gridCol w:w="1099"/>
        <w:gridCol w:w="60"/>
        <w:gridCol w:w="191"/>
        <w:gridCol w:w="217"/>
        <w:gridCol w:w="992"/>
        <w:gridCol w:w="155"/>
        <w:gridCol w:w="133"/>
        <w:gridCol w:w="243"/>
        <w:gridCol w:w="1125"/>
        <w:gridCol w:w="155"/>
        <w:gridCol w:w="133"/>
        <w:gridCol w:w="280"/>
        <w:gridCol w:w="1266"/>
        <w:gridCol w:w="165"/>
      </w:tblGrid>
      <w:tr>
        <w:trPr/>
        <w:tc>
          <w:tcPr>
            <w:tcW w:w="192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2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Adjustments</w:t>
              <w:br/>
              <w:t>to historical</w:t>
              <w:br/>
              <w:t>mezzanine</w:t>
              <w:br/>
              <w:t>equity and</w:t>
              <w:br/>
              <w:t>equity</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New equity</w:t>
              <w:br/>
              <w:t>structure</w:t>
              <w:br/>
              <w:t>(Assuming</w:t>
              <w:br/>
              <w:t>No</w:t>
              <w:br/>
              <w:t>Redemptions)</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 items</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Pro Forma</w:t>
              <w:br/>
              <w:t>Transaction</w:t>
              <w:br/>
              <w:t>Accounting</w:t>
              <w:br/>
              <w:t>Adjustments</w:t>
            </w:r>
            <w:r>
              <w:rPr/>
              <w:br/>
            </w:r>
            <w:r>
              <w:rPr>
                <w:b/>
              </w:rPr>
              <w:t>(Assuming</w:t>
              <w:br/>
              <w:t>No</w:t>
              <w:br/>
              <w:t>Redemptions)</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Additional Pro</w:t>
              <w:br/>
              <w:t>Forma</w:t>
              <w:br/>
              <w:t>Transaction</w:t>
              <w:br/>
              <w:t>Accounting</w:t>
              <w:br/>
              <w:t>Adjustments</w:t>
            </w:r>
            <w:r>
              <w:rPr/>
              <w:br/>
            </w:r>
            <w:r>
              <w:rPr>
                <w:b/>
              </w:rPr>
              <w:t>(Assuming</w:t>
              <w:br/>
              <w:t>Maximum</w:t>
              <w:br/>
              <w:t>Redemptions)</w:t>
            </w:r>
          </w:p>
        </w:tc>
        <w:tc>
          <w:tcPr>
            <w:tcW w:w="165" w:type="dxa"/>
            <w:tcBorders/>
            <w:shd w:fill="auto" w:val="clear"/>
            <w:vAlign w:val="bottom"/>
          </w:tcPr>
          <w:p>
            <w:pPr>
              <w:pStyle w:val="TableContents"/>
              <w:spacing w:before="0" w:after="283"/>
              <w:rPr/>
            </w:pPr>
            <w:r>
              <w:rPr/>
              <w:t> </w:t>
            </w:r>
          </w:p>
        </w:tc>
      </w:tr>
      <w:tr>
        <w:trPr/>
        <w:tc>
          <w:tcPr>
            <w:tcW w:w="1928" w:type="dxa"/>
            <w:tcBorders/>
            <w:shd w:fill="CCEEFF" w:val="clear"/>
          </w:tcPr>
          <w:p>
            <w:pPr>
              <w:pStyle w:val="TableContents"/>
              <w:spacing w:before="0" w:after="0"/>
              <w:rPr>
                <w:rFonts w:ascii="Times New Roman" w:hAnsi="Times New Roman"/>
                <w:sz w:val="20"/>
              </w:rPr>
            </w:pPr>
            <w:r>
              <w:rPr>
                <w:rFonts w:ascii="Times New Roman" w:hAnsi="Times New Roman"/>
                <w:sz w:val="20"/>
              </w:rPr>
              <w:t>Class A ordinary shares subject to possible redemption</w:t>
            </w:r>
          </w:p>
        </w:tc>
        <w:tc>
          <w:tcPr>
            <w:tcW w:w="19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74" w:type="dxa"/>
            <w:tcBorders/>
            <w:shd w:fill="CCEEFF" w:val="clear"/>
            <w:vAlign w:val="bottom"/>
          </w:tcPr>
          <w:p>
            <w:pPr>
              <w:pStyle w:val="TableContents"/>
              <w:spacing w:before="0" w:after="283"/>
              <w:jc w:val="right"/>
              <w:rPr/>
            </w:pPr>
            <w:r>
              <w:rPr/>
              <w:t>(195.6</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w:t>
            </w:r>
          </w:p>
        </w:tc>
        <w:tc>
          <w:tcPr>
            <w:tcW w:w="10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9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w:t>
            </w:r>
          </w:p>
        </w:tc>
        <w:tc>
          <w:tcPr>
            <w:tcW w:w="11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126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928" w:type="dxa"/>
            <w:tcBorders/>
            <w:shd w:fill="auto" w:val="clear"/>
          </w:tcPr>
          <w:p>
            <w:pPr>
              <w:pStyle w:val="TableContents"/>
              <w:spacing w:before="0" w:after="0"/>
              <w:rPr>
                <w:rFonts w:ascii="Times New Roman" w:hAnsi="Times New Roman"/>
                <w:sz w:val="20"/>
              </w:rPr>
            </w:pPr>
            <w:r>
              <w:rPr>
                <w:rFonts w:ascii="Times New Roman" w:hAnsi="Times New Roman"/>
                <w:sz w:val="20"/>
              </w:rPr>
              <w:t>Class B and Class C incentive plan units</w:t>
            </w:r>
          </w:p>
        </w:tc>
        <w:tc>
          <w:tcPr>
            <w:tcW w:w="1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(21.5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1928" w:type="dxa"/>
            <w:tcBorders/>
            <w:shd w:fill="CCEEFF" w:val="clear"/>
          </w:tcPr>
          <w:p>
            <w:pPr>
              <w:pStyle w:val="TableContents"/>
              <w:spacing w:before="0" w:after="0"/>
              <w:rPr>
                <w:rFonts w:ascii="Times New Roman" w:hAnsi="Times New Roman"/>
                <w:sz w:val="20"/>
              </w:rPr>
            </w:pPr>
            <w:r>
              <w:rPr>
                <w:rFonts w:ascii="Times New Roman" w:hAnsi="Times New Roman"/>
                <w:sz w:val="20"/>
              </w:rPr>
              <w:t>Class A common stock ($0.0001 par value)</w:t>
            </w:r>
          </w:p>
        </w:tc>
        <w:tc>
          <w:tcPr>
            <w:tcW w:w="19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0.1</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928" w:type="dxa"/>
            <w:tcBorders/>
            <w:shd w:fill="auto" w:val="clear"/>
          </w:tcPr>
          <w:p>
            <w:pPr>
              <w:pStyle w:val="TableContents"/>
              <w:spacing w:before="0" w:after="0"/>
              <w:rPr>
                <w:rFonts w:ascii="Times New Roman" w:hAnsi="Times New Roman"/>
                <w:sz w:val="20"/>
              </w:rPr>
            </w:pPr>
            <w:r>
              <w:rPr>
                <w:rFonts w:ascii="Times New Roman" w:hAnsi="Times New Roman"/>
                <w:sz w:val="20"/>
              </w:rPr>
              <w:t>Class A voting units</w:t>
            </w:r>
          </w:p>
        </w:tc>
        <w:tc>
          <w:tcPr>
            <w:tcW w:w="1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1928" w:type="dxa"/>
            <w:tcBorders/>
            <w:shd w:fill="CCEEFF" w:val="clear"/>
          </w:tcPr>
          <w:p>
            <w:pPr>
              <w:pStyle w:val="TableContents"/>
              <w:spacing w:before="0" w:after="0"/>
              <w:rPr>
                <w:rFonts w:ascii="Times New Roman" w:hAnsi="Times New Roman"/>
                <w:sz w:val="20"/>
              </w:rPr>
            </w:pPr>
            <w:r>
              <w:rPr>
                <w:rFonts w:ascii="Times New Roman" w:hAnsi="Times New Roman"/>
                <w:sz w:val="20"/>
              </w:rPr>
              <w:t>Class B voting units</w:t>
            </w:r>
          </w:p>
        </w:tc>
        <w:tc>
          <w:tcPr>
            <w:tcW w:w="19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(182.5</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(182.5</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928" w:type="dxa"/>
            <w:tcBorders/>
            <w:shd w:fill="auto" w:val="clear"/>
          </w:tcPr>
          <w:p>
            <w:pPr>
              <w:pStyle w:val="TableContents"/>
              <w:spacing w:before="0" w:after="0"/>
              <w:rPr>
                <w:rFonts w:ascii="Times New Roman" w:hAnsi="Times New Roman"/>
                <w:sz w:val="20"/>
              </w:rPr>
            </w:pPr>
            <w:r>
              <w:rPr>
                <w:rFonts w:ascii="Times New Roman" w:hAnsi="Times New Roman"/>
                <w:sz w:val="20"/>
              </w:rPr>
              <w:t>Class B warrants</w:t>
            </w:r>
          </w:p>
        </w:tc>
        <w:tc>
          <w:tcPr>
            <w:tcW w:w="1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(5.4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(5.4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1928" w:type="dxa"/>
            <w:tcBorders/>
            <w:shd w:fill="CCEEFF" w:val="clear"/>
          </w:tcPr>
          <w:p>
            <w:pPr>
              <w:pStyle w:val="TableContents"/>
              <w:spacing w:before="0" w:after="0"/>
              <w:rPr>
                <w:rFonts w:ascii="Times New Roman" w:hAnsi="Times New Roman"/>
                <w:sz w:val="20"/>
              </w:rPr>
            </w:pPr>
            <w:r>
              <w:rPr>
                <w:rFonts w:ascii="Times New Roman" w:hAnsi="Times New Roman"/>
                <w:sz w:val="20"/>
              </w:rPr>
              <w:t>Class C voting units</w:t>
            </w:r>
          </w:p>
        </w:tc>
        <w:tc>
          <w:tcPr>
            <w:tcW w:w="19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(310.1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(310.1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928" w:type="dxa"/>
            <w:tcBorders/>
            <w:shd w:fill="auto" w:val="clear"/>
          </w:tcPr>
          <w:p>
            <w:pPr>
              <w:pStyle w:val="TableContents"/>
              <w:spacing w:before="0" w:after="0"/>
              <w:rPr>
                <w:rFonts w:ascii="Times New Roman" w:hAnsi="Times New Roman"/>
                <w:sz w:val="20"/>
              </w:rPr>
            </w:pPr>
            <w:r>
              <w:rPr>
                <w:rFonts w:ascii="Times New Roman" w:hAnsi="Times New Roman"/>
                <w:sz w:val="20"/>
              </w:rPr>
              <w:t>Additional paid in capital</w:t>
            </w:r>
          </w:p>
        </w:tc>
        <w:tc>
          <w:tcPr>
            <w:tcW w:w="1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584.1</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(82.9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501.2</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jc w:val="right"/>
              <w:rPr/>
            </w:pPr>
            <w:r>
              <w:rPr/>
              <w:t>(107.1</w:t>
            </w:r>
          </w:p>
        </w:tc>
        <w:tc>
          <w:tcPr>
            <w:tcW w:w="165" w:type="dxa"/>
            <w:tcBorders/>
            <w:shd w:fill="auto" w:val="clear"/>
            <w:vAlign w:val="bottom"/>
          </w:tcPr>
          <w:p>
            <w:pPr>
              <w:pStyle w:val="TableContents"/>
              <w:spacing w:before="0" w:after="283"/>
              <w:rPr/>
            </w:pPr>
            <w:r>
              <w:rPr/>
              <w:t>) </w:t>
            </w:r>
          </w:p>
        </w:tc>
      </w:tr>
      <w:tr>
        <w:trPr/>
        <w:tc>
          <w:tcPr>
            <w:tcW w:w="1928"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other comprehensive income</w:t>
            </w:r>
          </w:p>
        </w:tc>
        <w:tc>
          <w:tcPr>
            <w:tcW w:w="19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(0.2</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928"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1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112.5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(35.3</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77.2</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1928"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109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1266"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192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members or shareholders mezzanine equity and equity</w:t>
            </w:r>
          </w:p>
        </w:tc>
        <w:tc>
          <w:tcPr>
            <w:tcW w:w="19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b/>
              </w:rPr>
            </w:pPr>
            <w:r>
              <w:rPr>
                <w:b/>
              </w:rPr>
              <w:t>$</w:t>
            </w:r>
          </w:p>
        </w:tc>
        <w:tc>
          <w:tcPr>
            <w:tcW w:w="1074" w:type="dxa"/>
            <w:tcBorders/>
            <w:shd w:fill="CCEEFF" w:val="clear"/>
            <w:vAlign w:val="bottom"/>
          </w:tcPr>
          <w:p>
            <w:pPr>
              <w:pStyle w:val="TableContents"/>
              <w:spacing w:before="0" w:after="283"/>
              <w:jc w:val="right"/>
              <w:rPr>
                <w:b/>
              </w:rPr>
            </w:pPr>
            <w:r>
              <w:rPr>
                <w:b/>
              </w:rPr>
              <w:t>(605.4</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b/>
              </w:rPr>
            </w:pPr>
            <w:r>
              <w:rPr>
                <w:b/>
              </w:rPr>
              <w:t>$</w:t>
            </w:r>
          </w:p>
        </w:tc>
        <w:tc>
          <w:tcPr>
            <w:tcW w:w="1099" w:type="dxa"/>
            <w:tcBorders/>
            <w:shd w:fill="CCEEFF" w:val="clear"/>
            <w:vAlign w:val="bottom"/>
          </w:tcPr>
          <w:p>
            <w:pPr>
              <w:pStyle w:val="TableContents"/>
              <w:spacing w:before="0" w:after="283"/>
              <w:jc w:val="right"/>
              <w:rPr>
                <w:b/>
              </w:rPr>
            </w:pPr>
            <w:r>
              <w:rPr>
                <w:b/>
              </w:rPr>
              <w:t>584.2</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b/>
              </w:rPr>
            </w:pPr>
            <w:r>
              <w:rPr>
                <w:b/>
              </w:rPr>
              <w:t>$</w:t>
            </w:r>
          </w:p>
        </w:tc>
        <w:tc>
          <w:tcPr>
            <w:tcW w:w="992" w:type="dxa"/>
            <w:tcBorders/>
            <w:shd w:fill="CCEEFF" w:val="clear"/>
            <w:vAlign w:val="bottom"/>
          </w:tcPr>
          <w:p>
            <w:pPr>
              <w:pStyle w:val="TableContents"/>
              <w:spacing w:before="0" w:after="283"/>
              <w:jc w:val="right"/>
              <w:rPr>
                <w:b/>
              </w:rPr>
            </w:pPr>
            <w:r>
              <w:rPr>
                <w:b/>
              </w:rPr>
              <w:t>(118.2</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b/>
              </w:rPr>
            </w:pPr>
            <w:r>
              <w:rPr>
                <w:b/>
              </w:rPr>
              <w:t>$</w:t>
            </w:r>
          </w:p>
        </w:tc>
        <w:tc>
          <w:tcPr>
            <w:tcW w:w="1125" w:type="dxa"/>
            <w:tcBorders/>
            <w:shd w:fill="CCEEFF" w:val="clear"/>
            <w:vAlign w:val="bottom"/>
          </w:tcPr>
          <w:p>
            <w:pPr>
              <w:pStyle w:val="TableContents"/>
              <w:spacing w:before="0" w:after="283"/>
              <w:jc w:val="right"/>
              <w:rPr>
                <w:b/>
              </w:rPr>
            </w:pPr>
            <w:r>
              <w:rPr>
                <w:b/>
              </w:rPr>
              <w:t>77.7</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b/>
              </w:rPr>
            </w:pPr>
            <w:r>
              <w:rPr>
                <w:b/>
              </w:rPr>
              <w:t>$</w:t>
            </w:r>
          </w:p>
        </w:tc>
        <w:tc>
          <w:tcPr>
            <w:tcW w:w="1266" w:type="dxa"/>
            <w:tcBorders/>
            <w:shd w:fill="CCEEFF" w:val="clear"/>
            <w:vAlign w:val="bottom"/>
          </w:tcPr>
          <w:p>
            <w:pPr>
              <w:pStyle w:val="TableContents"/>
              <w:spacing w:before="0" w:after="283"/>
              <w:jc w:val="right"/>
              <w:rPr>
                <w:b/>
              </w:rPr>
            </w:pPr>
            <w:r>
              <w:rPr>
                <w:b/>
              </w:rPr>
              <w:t>(107.1</w:t>
            </w:r>
          </w:p>
        </w:tc>
        <w:tc>
          <w:tcPr>
            <w:tcW w:w="165" w:type="dxa"/>
            <w:tcBorders/>
            <w:shd w:fill="CCEEFF" w:val="clear"/>
            <w:vAlign w:val="bottom"/>
          </w:tcPr>
          <w:p>
            <w:pPr>
              <w:pStyle w:val="TableContents"/>
              <w:spacing w:before="0" w:after="283"/>
              <w:rPr>
                <w:b/>
              </w:rPr>
            </w:pPr>
            <w:r>
              <w:rPr>
                <w:b/>
              </w:rPr>
              <w:t>) </w:t>
            </w:r>
          </w:p>
        </w:tc>
      </w:tr>
    </w:tbl>
    <w:p>
      <w:pPr>
        <w:pStyle w:val="TextBody"/>
        <w:spacing w:before="240" w:after="0"/>
        <w:jc w:val="left"/>
        <w:rPr>
          <w:rFonts w:ascii="Times New Roman" w:hAnsi="Times New Roman"/>
          <w:sz w:val="20"/>
        </w:rPr>
      </w:pPr>
      <w:r>
        <w:rPr>
          <w:rFonts w:ascii="Times New Roman" w:hAnsi="Times New Roman"/>
          <w:i/>
          <w:sz w:val="20"/>
        </w:rPr>
        <w:t>Adjustments to historical mezzanine equity and equity:</w:t>
      </w:r>
      <w:r>
        <w:rPr>
          <w:rFonts w:ascii="Times New Roman" w:hAnsi="Times New Roman"/>
          <w:sz w:val="20"/>
        </w:rPr>
        <w:t xml:space="preserve"> Reflects the elimination of VIHs historical mezzanine equity and Bakkts historical equity. </w:t>
      </w:r>
    </w:p>
    <w:p>
      <w:pPr>
        <w:pStyle w:val="TextBody"/>
        <w:spacing w:before="240" w:after="0"/>
        <w:jc w:val="left"/>
        <w:rPr>
          <w:rFonts w:ascii="Times New Roman" w:hAnsi="Times New Roman"/>
          <w:sz w:val="20"/>
        </w:rPr>
      </w:pPr>
      <w:r>
        <w:rPr>
          <w:rFonts w:ascii="Times New Roman" w:hAnsi="Times New Roman"/>
          <w:i/>
          <w:sz w:val="20"/>
        </w:rPr>
        <w:t>New equity structure:</w:t>
      </w:r>
      <w:r>
        <w:rPr>
          <w:rFonts w:ascii="Times New Roman" w:hAnsi="Times New Roman"/>
          <w:sz w:val="20"/>
        </w:rPr>
        <w:t xml:space="preserve"> Reflects the controlling interest of 58,421,502 shares at a per share price of $10.00 and par value of $0.0001. </w:t>
      </w:r>
    </w:p>
    <w:p>
      <w:pPr>
        <w:pStyle w:val="TextBody"/>
        <w:spacing w:before="240" w:after="0"/>
        <w:jc w:val="left"/>
        <w:rPr>
          <w:rFonts w:ascii="Times New Roman" w:hAnsi="Times New Roman"/>
          <w:sz w:val="20"/>
        </w:rPr>
      </w:pPr>
      <w:r>
        <w:rPr>
          <w:rFonts w:ascii="Times New Roman" w:hAnsi="Times New Roman"/>
          <w:i/>
          <w:sz w:val="20"/>
        </w:rPr>
        <w:t>Other items:</w:t>
      </w:r>
      <w:r>
        <w:rPr>
          <w:rFonts w:ascii="Times New Roman" w:hAnsi="Times New Roman"/>
          <w:sz w:val="20"/>
        </w:rPr>
        <w:t xml:space="preserve"> Reflects the incremental non-recurring transaction-related expenses of $35.3 million to accumulated deficit, excluding $2.9 million of transaction-related costs already expensed and reflected in VIHs and Bakkts accumulated deficit as of December 31, 2020, excluding $7.3 million of deferred underwriters and legal fees netted in VIHs additional paid in capital as of December 31, 2020, PIPE fees of $13.0 million to additional paid-in capital, and the adjustment to additional paid-in capital related to the application of purchase accounting. </w:t>
      </w:r>
    </w:p>
    <w:p>
      <w:pPr>
        <w:pStyle w:val="TextBody"/>
        <w:spacing w:before="240" w:after="0"/>
        <w:jc w:val="left"/>
        <w:rPr>
          <w:rFonts w:ascii="Times New Roman" w:hAnsi="Times New Roman"/>
          <w:sz w:val="20"/>
        </w:rPr>
      </w:pPr>
      <w:r>
        <w:rPr>
          <w:rFonts w:ascii="Times New Roman" w:hAnsi="Times New Roman"/>
          <w:i/>
          <w:sz w:val="20"/>
        </w:rPr>
        <w:t>Additional pro forma accounting adjustments assuming maximum redemptions:</w:t>
      </w:r>
      <w:r>
        <w:rPr>
          <w:rFonts w:ascii="Times New Roman" w:hAnsi="Times New Roman"/>
          <w:sz w:val="20"/>
        </w:rPr>
        <w:t xml:space="preserve"> Reflects the applicable deferred taxes under the maximum redemptions scenario and the adjustment for the 10.7 million shares of Bakkt Pubco Class A common stock with a par value of $0.0001 per share that are assumed to be redeemed under the maximum redemptions scenario at an estimated per share redemption price of $10.00.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(H)</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pro forma adjustment to record noncontrolling interest in Bakkt Opco of 77.1% under the no redemptions scenario.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pro forma adjustment for the 10.7 million shares of Bakkt Pubco Class A common stock with a par value of $0.0001 per share that are assumed to be redeemed under the maximum redemptions scenario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at an estimated per share redemption price of $10.00. Under the maximum redemption scenario, $107.0 million in cash will be paid to redeeming shareholders with the offset to additional paid in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Transaction Accounting Adjustments to Pro Forma Condensed Combined Statement of Operations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Explanations of the transaction accounting adjustments to the pro forma statement of operations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(AA)</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a reduction in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Bakkts historical deferred revenue results in a revenue reduction on a pro forma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(BB)</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adjustments to incorporate estimated additional tangible and intangible assets depreciation and amortization for the step-up basis from purchase price accounting (PPA) at the closing of the Business Combination.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074"/>
        <w:gridCol w:w="434"/>
        <w:gridCol w:w="119"/>
        <w:gridCol w:w="878"/>
        <w:gridCol w:w="60"/>
        <w:gridCol w:w="434"/>
        <w:gridCol w:w="60"/>
        <w:gridCol w:w="564"/>
        <w:gridCol w:w="60"/>
        <w:gridCol w:w="434"/>
        <w:gridCol w:w="276"/>
        <w:gridCol w:w="2020"/>
        <w:gridCol w:w="159"/>
      </w:tblGrid>
      <w:tr>
        <w:trPr/>
        <w:tc>
          <w:tcPr>
            <w:tcW w:w="307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0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07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 in millions)</w:t>
            </w:r>
          </w:p>
        </w:tc>
        <w:tc>
          <w:tcPr>
            <w:tcW w:w="434" w:type="dxa"/>
            <w:tcBorders/>
            <w:shd w:fill="auto" w:val="clear"/>
            <w:vAlign w:val="bottom"/>
          </w:tcPr>
          <w:p>
            <w:pPr>
              <w:pStyle w:val="TableContents"/>
              <w:spacing w:before="0" w:after="283"/>
              <w:rPr/>
            </w:pPr>
            <w:r>
              <w:rPr/>
              <w:t>  </w:t>
            </w:r>
          </w:p>
        </w:tc>
        <w:tc>
          <w:tcPr>
            <w:tcW w:w="9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useful</w:t>
              <w:br/>
              <w:t>life</w:t>
              <w:br/>
              <w:t>(years)</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w:t>
              <w:br/>
              <w:t>value</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2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Amortization Expense</w:t>
              <w:br/>
              <w:t>for the twelve months</w:t>
              <w:br/>
              <w:t>ended December 31,</w:t>
              <w:br/>
              <w:t>2020</w:t>
            </w:r>
          </w:p>
        </w:tc>
        <w:tc>
          <w:tcPr>
            <w:tcW w:w="159"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0"/>
              <w:rPr>
                <w:rFonts w:ascii="Times New Roman" w:hAnsi="Times New Roman"/>
                <w:sz w:val="20"/>
              </w:rPr>
            </w:pPr>
            <w:r>
              <w:rPr>
                <w:rFonts w:ascii="Times New Roman" w:hAnsi="Times New Roman"/>
                <w:sz w:val="20"/>
              </w:rPr>
              <w:t>Trademarks / Trade Names  Bakkt</w:t>
            </w:r>
          </w:p>
        </w:tc>
        <w:tc>
          <w:tcPr>
            <w:tcW w:w="43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26.3</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20" w:type="dxa"/>
            <w:tcBorders/>
            <w:shd w:fill="CCEEFF" w:val="clear"/>
            <w:vAlign w:val="bottom"/>
          </w:tcPr>
          <w:p>
            <w:pPr>
              <w:pStyle w:val="TableContents"/>
              <w:spacing w:before="0" w:after="283"/>
              <w:jc w:val="right"/>
              <w:rPr/>
            </w:pPr>
            <w:r>
              <w:rPr/>
              <w:t>n/a</w:t>
            </w:r>
          </w:p>
        </w:tc>
        <w:tc>
          <w:tcPr>
            <w:tcW w:w="159" w:type="dxa"/>
            <w:tcBorders/>
            <w:shd w:fill="CCEEFF" w:val="clear"/>
            <w:vAlign w:val="bottom"/>
          </w:tcPr>
          <w:p>
            <w:pPr>
              <w:pStyle w:val="TableContents"/>
              <w:spacing w:before="0" w:after="283"/>
              <w:rPr/>
            </w:pPr>
            <w:r>
              <w:rPr/>
              <w:t> </w:t>
            </w:r>
          </w:p>
        </w:tc>
      </w:tr>
      <w:tr>
        <w:trPr/>
        <w:tc>
          <w:tcPr>
            <w:tcW w:w="3074" w:type="dxa"/>
            <w:tcBorders/>
            <w:shd w:fill="auto" w:val="clear"/>
          </w:tcPr>
          <w:p>
            <w:pPr>
              <w:pStyle w:val="TableContents"/>
              <w:spacing w:before="0" w:after="0"/>
              <w:rPr>
                <w:rFonts w:ascii="Times New Roman" w:hAnsi="Times New Roman"/>
                <w:sz w:val="20"/>
              </w:rPr>
            </w:pPr>
            <w:r>
              <w:rPr>
                <w:rFonts w:ascii="Times New Roman" w:hAnsi="Times New Roman"/>
                <w:sz w:val="20"/>
              </w:rPr>
              <w:t>Licenses  MTL and BIT</w:t>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n/a</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272.8</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20" w:type="dxa"/>
            <w:tcBorders/>
            <w:shd w:fill="auto" w:val="clear"/>
            <w:vAlign w:val="bottom"/>
          </w:tcPr>
          <w:p>
            <w:pPr>
              <w:pStyle w:val="TableContents"/>
              <w:spacing w:before="0" w:after="283"/>
              <w:jc w:val="right"/>
              <w:rPr/>
            </w:pPr>
            <w:r>
              <w:rPr/>
              <w:t>n/a</w:t>
            </w:r>
          </w:p>
        </w:tc>
        <w:tc>
          <w:tcPr>
            <w:tcW w:w="159"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0"/>
              <w:rPr>
                <w:rFonts w:ascii="Times New Roman" w:hAnsi="Times New Roman"/>
                <w:sz w:val="20"/>
              </w:rPr>
            </w:pPr>
            <w:r>
              <w:rPr>
                <w:rFonts w:ascii="Times New Roman" w:hAnsi="Times New Roman"/>
                <w:sz w:val="20"/>
              </w:rPr>
              <w:t>Licenses  Trust</w:t>
            </w:r>
          </w:p>
        </w:tc>
        <w:tc>
          <w:tcPr>
            <w:tcW w:w="43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25.5</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20" w:type="dxa"/>
            <w:tcBorders/>
            <w:shd w:fill="CCEEFF" w:val="clear"/>
            <w:vAlign w:val="bottom"/>
          </w:tcPr>
          <w:p>
            <w:pPr>
              <w:pStyle w:val="TableContents"/>
              <w:spacing w:before="0" w:after="283"/>
              <w:jc w:val="right"/>
              <w:rPr/>
            </w:pPr>
            <w:r>
              <w:rPr/>
              <w:t>n/a</w:t>
            </w:r>
          </w:p>
        </w:tc>
        <w:tc>
          <w:tcPr>
            <w:tcW w:w="159" w:type="dxa"/>
            <w:tcBorders/>
            <w:shd w:fill="CCEEFF" w:val="clear"/>
            <w:vAlign w:val="bottom"/>
          </w:tcPr>
          <w:p>
            <w:pPr>
              <w:pStyle w:val="TableContents"/>
              <w:spacing w:before="0" w:after="283"/>
              <w:rPr/>
            </w:pPr>
            <w:r>
              <w:rPr/>
              <w:t> </w:t>
            </w:r>
          </w:p>
        </w:tc>
      </w:tr>
      <w:tr>
        <w:trPr/>
        <w:tc>
          <w:tcPr>
            <w:tcW w:w="3074" w:type="dxa"/>
            <w:tcBorders/>
            <w:shd w:fill="auto" w:val="clear"/>
          </w:tcPr>
          <w:p>
            <w:pPr>
              <w:pStyle w:val="TableContents"/>
              <w:spacing w:before="0" w:after="0"/>
              <w:rPr>
                <w:rFonts w:ascii="Times New Roman" w:hAnsi="Times New Roman"/>
                <w:sz w:val="20"/>
              </w:rPr>
            </w:pPr>
            <w:r>
              <w:rPr>
                <w:rFonts w:ascii="Times New Roman" w:hAnsi="Times New Roman"/>
                <w:sz w:val="20"/>
              </w:rPr>
              <w:t>Customer Relationship Consumer Application</w:t>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8.5</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9.0</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20" w:type="dxa"/>
            <w:tcBorders/>
            <w:shd w:fill="auto" w:val="clear"/>
            <w:vAlign w:val="bottom"/>
          </w:tcPr>
          <w:p>
            <w:pPr>
              <w:pStyle w:val="TableContents"/>
              <w:spacing w:before="0" w:after="283"/>
              <w:jc w:val="right"/>
              <w:rPr/>
            </w:pPr>
            <w:r>
              <w:rPr/>
              <w:t>1.1</w:t>
            </w:r>
          </w:p>
        </w:tc>
        <w:tc>
          <w:tcPr>
            <w:tcW w:w="159"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0"/>
              <w:rPr>
                <w:rFonts w:ascii="Times New Roman" w:hAnsi="Times New Roman"/>
                <w:sz w:val="20"/>
              </w:rPr>
            </w:pPr>
            <w:r>
              <w:rPr>
                <w:rFonts w:ascii="Times New Roman" w:hAnsi="Times New Roman"/>
                <w:sz w:val="20"/>
              </w:rPr>
              <w:t>Customer Relationship  Loyalty</w:t>
            </w:r>
          </w:p>
        </w:tc>
        <w:tc>
          <w:tcPr>
            <w:tcW w:w="43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11.0</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40.5</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20" w:type="dxa"/>
            <w:tcBorders/>
            <w:shd w:fill="CCEEFF" w:val="clear"/>
            <w:vAlign w:val="bottom"/>
          </w:tcPr>
          <w:p>
            <w:pPr>
              <w:pStyle w:val="TableContents"/>
              <w:spacing w:before="0" w:after="283"/>
              <w:jc w:val="right"/>
              <w:rPr/>
            </w:pPr>
            <w:r>
              <w:rPr/>
              <w:t>3.7</w:t>
            </w:r>
          </w:p>
        </w:tc>
        <w:tc>
          <w:tcPr>
            <w:tcW w:w="159" w:type="dxa"/>
            <w:tcBorders/>
            <w:shd w:fill="CCEEFF" w:val="clear"/>
            <w:vAlign w:val="bottom"/>
          </w:tcPr>
          <w:p>
            <w:pPr>
              <w:pStyle w:val="TableContents"/>
              <w:spacing w:before="0" w:after="283"/>
              <w:rPr/>
            </w:pPr>
            <w:r>
              <w:rPr/>
              <w:t> </w:t>
            </w:r>
          </w:p>
        </w:tc>
      </w:tr>
      <w:tr>
        <w:trPr/>
        <w:tc>
          <w:tcPr>
            <w:tcW w:w="3074" w:type="dxa"/>
            <w:tcBorders/>
            <w:shd w:fill="auto" w:val="clear"/>
          </w:tcPr>
          <w:p>
            <w:pPr>
              <w:pStyle w:val="TableContents"/>
              <w:spacing w:before="0" w:after="0"/>
              <w:rPr>
                <w:rFonts w:ascii="Times New Roman" w:hAnsi="Times New Roman"/>
                <w:sz w:val="20"/>
              </w:rPr>
            </w:pPr>
            <w:r>
              <w:rPr>
                <w:rFonts w:ascii="Times New Roman" w:hAnsi="Times New Roman"/>
                <w:sz w:val="20"/>
              </w:rPr>
              <w:t>Developed Technology  Consumer Application</w:t>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6.0</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57.7</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20" w:type="dxa"/>
            <w:tcBorders/>
            <w:shd w:fill="auto" w:val="clear"/>
            <w:vAlign w:val="bottom"/>
          </w:tcPr>
          <w:p>
            <w:pPr>
              <w:pStyle w:val="TableContents"/>
              <w:spacing w:before="0" w:after="283"/>
              <w:jc w:val="right"/>
              <w:rPr/>
            </w:pPr>
            <w:r>
              <w:rPr/>
              <w:t>9.6</w:t>
            </w:r>
          </w:p>
        </w:tc>
        <w:tc>
          <w:tcPr>
            <w:tcW w:w="159"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0"/>
              <w:rPr>
                <w:rFonts w:ascii="Times New Roman" w:hAnsi="Times New Roman"/>
                <w:sz w:val="20"/>
              </w:rPr>
            </w:pPr>
            <w:r>
              <w:rPr>
                <w:rFonts w:ascii="Times New Roman" w:hAnsi="Times New Roman"/>
                <w:sz w:val="20"/>
              </w:rPr>
              <w:t>Developed Technology  Loyalty</w:t>
            </w:r>
          </w:p>
        </w:tc>
        <w:tc>
          <w:tcPr>
            <w:tcW w:w="43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6.0</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10.0</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20" w:type="dxa"/>
            <w:tcBorders/>
            <w:shd w:fill="CCEEFF" w:val="clear"/>
            <w:vAlign w:val="bottom"/>
          </w:tcPr>
          <w:p>
            <w:pPr>
              <w:pStyle w:val="TableContents"/>
              <w:spacing w:before="0" w:after="283"/>
              <w:jc w:val="right"/>
              <w:rPr/>
            </w:pPr>
            <w:r>
              <w:rPr/>
              <w:t>1.7</w:t>
            </w:r>
          </w:p>
        </w:tc>
        <w:tc>
          <w:tcPr>
            <w:tcW w:w="159" w:type="dxa"/>
            <w:tcBorders/>
            <w:shd w:fill="CCEEFF" w:val="clear"/>
            <w:vAlign w:val="bottom"/>
          </w:tcPr>
          <w:p>
            <w:pPr>
              <w:pStyle w:val="TableContents"/>
              <w:spacing w:before="0" w:after="283"/>
              <w:rPr/>
            </w:pPr>
            <w:r>
              <w:rPr/>
              <w:t> </w:t>
            </w:r>
          </w:p>
        </w:tc>
      </w:tr>
      <w:tr>
        <w:trPr/>
        <w:tc>
          <w:tcPr>
            <w:tcW w:w="3074" w:type="dxa"/>
            <w:tcBorders/>
            <w:shd w:fill="auto" w:val="clear"/>
          </w:tcPr>
          <w:p>
            <w:pPr>
              <w:pStyle w:val="TableContents"/>
              <w:spacing w:before="0" w:after="0"/>
              <w:rPr>
                <w:rFonts w:ascii="Times New Roman" w:hAnsi="Times New Roman"/>
                <w:sz w:val="20"/>
              </w:rPr>
            </w:pPr>
            <w:r>
              <w:rPr>
                <w:rFonts w:ascii="Times New Roman" w:hAnsi="Times New Roman"/>
                <w:sz w:val="20"/>
              </w:rPr>
              <w:t>Developed Technology  Markets</w:t>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1.8</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20" w:type="dxa"/>
            <w:tcBorders/>
            <w:shd w:fill="auto" w:val="clear"/>
            <w:vAlign w:val="bottom"/>
          </w:tcPr>
          <w:p>
            <w:pPr>
              <w:pStyle w:val="TableContents"/>
              <w:spacing w:before="0" w:after="283"/>
              <w:jc w:val="right"/>
              <w:rPr/>
            </w:pPr>
            <w:r>
              <w:rPr/>
              <w:t>0.4</w:t>
            </w:r>
          </w:p>
        </w:tc>
        <w:tc>
          <w:tcPr>
            <w:tcW w:w="159"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0"/>
              <w:rPr>
                <w:rFonts w:ascii="Times New Roman" w:hAnsi="Times New Roman"/>
                <w:sz w:val="20"/>
              </w:rPr>
            </w:pPr>
            <w:r>
              <w:rPr>
                <w:rFonts w:ascii="Times New Roman" w:hAnsi="Times New Roman"/>
                <w:sz w:val="20"/>
              </w:rPr>
              <w:t>Access to Exchanges</w:t>
            </w:r>
          </w:p>
        </w:tc>
        <w:tc>
          <w:tcPr>
            <w:tcW w:w="43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12.0</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131.0</w:t>
            </w:r>
          </w:p>
        </w:tc>
        <w:tc>
          <w:tcPr>
            <w:tcW w:w="6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20" w:type="dxa"/>
            <w:tcBorders/>
            <w:shd w:fill="CCEEFF" w:val="clear"/>
            <w:vAlign w:val="bottom"/>
          </w:tcPr>
          <w:p>
            <w:pPr>
              <w:pStyle w:val="TableContents"/>
              <w:spacing w:before="0" w:after="283"/>
              <w:jc w:val="right"/>
              <w:rPr/>
            </w:pPr>
            <w:r>
              <w:rPr/>
              <w:t>10.9</w:t>
            </w:r>
          </w:p>
        </w:tc>
        <w:tc>
          <w:tcPr>
            <w:tcW w:w="159" w:type="dxa"/>
            <w:tcBorders/>
            <w:shd w:fill="CCEEFF" w:val="clear"/>
            <w:vAlign w:val="bottom"/>
          </w:tcPr>
          <w:p>
            <w:pPr>
              <w:pStyle w:val="TableContents"/>
              <w:spacing w:before="0" w:after="283"/>
              <w:rPr/>
            </w:pPr>
            <w:r>
              <w:rPr/>
              <w:t> </w:t>
            </w:r>
          </w:p>
        </w:tc>
      </w:tr>
      <w:tr>
        <w:trPr/>
        <w:tc>
          <w:tcPr>
            <w:tcW w:w="3074"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pBdr>
                <w:top w:val="single" w:sz="2" w:space="1" w:color="000000"/>
              </w:pBdr>
              <w:spacing w:before="0" w:after="0"/>
              <w:rPr/>
            </w:pPr>
            <w:r>
              <w:rPr/>
              <w:t> </w:t>
            </w:r>
          </w:p>
        </w:tc>
        <w:tc>
          <w:tcPr>
            <w:tcW w:w="202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07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b/>
              </w:rPr>
            </w:pPr>
            <w:r>
              <w:rPr>
                <w:b/>
              </w:rPr>
              <w:t>574.6</w:t>
            </w:r>
          </w:p>
        </w:tc>
        <w:tc>
          <w:tcPr>
            <w:tcW w:w="6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20" w:type="dxa"/>
            <w:tcBorders/>
            <w:shd w:fill="auto" w:val="clear"/>
            <w:vAlign w:val="bottom"/>
          </w:tcPr>
          <w:p>
            <w:pPr>
              <w:pStyle w:val="TableContents"/>
              <w:spacing w:before="0" w:after="283"/>
              <w:jc w:val="right"/>
              <w:rPr>
                <w:b/>
              </w:rPr>
            </w:pPr>
            <w:r>
              <w:rPr>
                <w:b/>
              </w:rPr>
              <w:t>27.4</w:t>
            </w:r>
          </w:p>
        </w:tc>
        <w:tc>
          <w:tcPr>
            <w:tcW w:w="159" w:type="dxa"/>
            <w:tcBorders/>
            <w:shd w:fill="auto" w:val="clear"/>
            <w:vAlign w:val="bottom"/>
          </w:tcPr>
          <w:p>
            <w:pPr>
              <w:pStyle w:val="TableContents"/>
              <w:spacing w:before="0" w:after="283"/>
              <w:rPr/>
            </w:pPr>
            <w:r>
              <w:rPr/>
              <w:t> </w:t>
            </w:r>
          </w:p>
        </w:tc>
      </w:tr>
      <w:tr>
        <w:trPr/>
        <w:tc>
          <w:tcPr>
            <w:tcW w:w="3074"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Less: Historical amortization expenses</w:t>
            </w:r>
          </w:p>
        </w:tc>
        <w:tc>
          <w:tcPr>
            <w:tcW w:w="43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87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3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20" w:type="dxa"/>
            <w:tcBorders/>
            <w:shd w:fill="CCEEFF" w:val="clear"/>
            <w:vAlign w:val="bottom"/>
          </w:tcPr>
          <w:p>
            <w:pPr>
              <w:pStyle w:val="TableContents"/>
              <w:spacing w:before="0" w:after="283"/>
              <w:jc w:val="right"/>
              <w:rPr>
                <w:b/>
              </w:rPr>
            </w:pPr>
            <w:r>
              <w:rPr>
                <w:b/>
              </w:rPr>
              <w:t>(6.8</w:t>
            </w:r>
          </w:p>
        </w:tc>
        <w:tc>
          <w:tcPr>
            <w:tcW w:w="159" w:type="dxa"/>
            <w:tcBorders/>
            <w:shd w:fill="CCEEFF" w:val="clear"/>
            <w:vAlign w:val="bottom"/>
          </w:tcPr>
          <w:p>
            <w:pPr>
              <w:pStyle w:val="TableContents"/>
              <w:spacing w:before="0" w:after="283"/>
              <w:rPr>
                <w:b/>
              </w:rPr>
            </w:pPr>
            <w:r>
              <w:rPr>
                <w:b/>
              </w:rPr>
              <w:t>) </w:t>
            </w:r>
          </w:p>
        </w:tc>
      </w:tr>
      <w:tr>
        <w:trPr/>
        <w:tc>
          <w:tcPr>
            <w:tcW w:w="3074"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pBdr>
                <w:top w:val="single" w:sz="2" w:space="1" w:color="000000"/>
              </w:pBdr>
              <w:spacing w:before="0" w:after="0"/>
              <w:rPr/>
            </w:pPr>
            <w:r>
              <w:rPr/>
              <w:t> </w:t>
            </w:r>
          </w:p>
        </w:tc>
        <w:tc>
          <w:tcPr>
            <w:tcW w:w="202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07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Pro forma adjustments to amortization expenses</w:t>
            </w:r>
          </w:p>
        </w:tc>
        <w:tc>
          <w:tcPr>
            <w:tcW w:w="43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20" w:type="dxa"/>
            <w:tcBorders/>
            <w:shd w:fill="auto" w:val="clear"/>
            <w:vAlign w:val="bottom"/>
          </w:tcPr>
          <w:p>
            <w:pPr>
              <w:pStyle w:val="TableContents"/>
              <w:spacing w:before="0" w:after="283"/>
              <w:jc w:val="right"/>
              <w:rPr>
                <w:b/>
              </w:rPr>
            </w:pPr>
            <w:r>
              <w:rPr>
                <w:b/>
              </w:rPr>
              <w:t>20.6</w:t>
            </w:r>
          </w:p>
        </w:tc>
        <w:tc>
          <w:tcPr>
            <w:tcW w:w="159"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(CC)</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transaction-related costs incurred and expected to be incurred by VIH and Bakkt related to the Business Combination as if it was consummated on January 1, 2020. These transaction-related costs are non-recurring. Pro forma transaction-related costs adjustment of $35.3 million excludes $7.3 million of deferred underwriters and legal fees netted against additional paid-in capital and $2.9 million of transaction-related costs already expensed in VIHs and Bakkts historical statements of operations for the fiscal year ended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(DD)</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under the no redemptions and maximum redemptions scenarios.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(EE)</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adjustment to present noncontrolling interest in Bakkt Opco of 77.1% under the no redemptions scenario. The adjustment includes the estimated income tax impacts from Note 4(DD).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(FF)</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past combination pro-forma expense adjustment associated with Bakkt Incentive Units which vest one third over the first year post merger.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(GG)</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pro forma adjustment to record noncontrolling interest in Bakkt Opco of 80.4% under the maximum redemptions scenario. The adjustment includes the estimated income tax impacts from Note 4(DD).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 Forma Earnings Per Share Information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As a result of the Business Combination, both the pro forma basic and diluted number of shares are reflective of 58,421,502 shares and 47,721,502 of Bakkt Pubco Class A common stock outstanding under the no redemptions and maximum redemptions scenarios, respectively.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986"/>
        <w:gridCol w:w="601"/>
        <w:gridCol w:w="144"/>
        <w:gridCol w:w="1263"/>
        <w:gridCol w:w="354"/>
        <w:gridCol w:w="741"/>
        <w:gridCol w:w="222"/>
        <w:gridCol w:w="1919"/>
        <w:gridCol w:w="158"/>
      </w:tblGrid>
      <w:tr>
        <w:trPr/>
        <w:tc>
          <w:tcPr>
            <w:tcW w:w="398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98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464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 2020</w:t>
            </w:r>
          </w:p>
        </w:tc>
        <w:tc>
          <w:tcPr>
            <w:tcW w:w="158" w:type="dxa"/>
            <w:tcBorders/>
            <w:shd w:fill="auto" w:val="clear"/>
            <w:vAlign w:val="bottom"/>
          </w:tcPr>
          <w:p>
            <w:pPr>
              <w:pStyle w:val="TableContents"/>
              <w:spacing w:before="0" w:after="283"/>
              <w:rPr/>
            </w:pPr>
            <w:r>
              <w:rPr/>
              <w:t> </w:t>
            </w:r>
          </w:p>
        </w:tc>
      </w:tr>
      <w:tr>
        <w:trPr/>
        <w:tc>
          <w:tcPr>
            <w:tcW w:w="398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 No</w:t>
              <w:br/>
              <w:t>Redemptions</w:t>
            </w:r>
          </w:p>
        </w:tc>
        <w:tc>
          <w:tcPr>
            <w:tcW w:w="354"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21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w:t>
              <w:br/>
              <w:t>Redemptions</w:t>
            </w:r>
          </w:p>
        </w:tc>
        <w:tc>
          <w:tcPr>
            <w:tcW w:w="158" w:type="dxa"/>
            <w:tcBorders/>
            <w:shd w:fill="auto" w:val="clear"/>
            <w:vAlign w:val="bottom"/>
          </w:tcPr>
          <w:p>
            <w:pPr>
              <w:pStyle w:val="TableContents"/>
              <w:spacing w:before="0" w:after="283"/>
              <w:rPr/>
            </w:pPr>
            <w:r>
              <w:rPr/>
              <w:t> </w:t>
            </w:r>
          </w:p>
        </w:tc>
      </w:tr>
      <w:tr>
        <w:trPr/>
        <w:tc>
          <w:tcPr>
            <w:tcW w:w="3986" w:type="dxa"/>
            <w:tcBorders/>
            <w:shd w:fill="CCEEFF" w:val="clear"/>
          </w:tcPr>
          <w:p>
            <w:pPr>
              <w:pStyle w:val="TableContents"/>
              <w:spacing w:before="0" w:after="0"/>
              <w:rPr>
                <w:rFonts w:ascii="Times New Roman" w:hAnsi="Times New Roman"/>
                <w:sz w:val="20"/>
              </w:rPr>
            </w:pPr>
            <w:r>
              <w:rPr>
                <w:rFonts w:ascii="Times New Roman" w:hAnsi="Times New Roman"/>
                <w:sz w:val="20"/>
              </w:rPr>
              <w:t>Net loss attributable to controlling interest ($ in millions)</w:t>
            </w:r>
          </w:p>
        </w:tc>
        <w:tc>
          <w:tcPr>
            <w:tcW w:w="60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63" w:type="dxa"/>
            <w:tcBorders/>
            <w:shd w:fill="CCEEFF" w:val="clear"/>
            <w:vAlign w:val="bottom"/>
          </w:tcPr>
          <w:p>
            <w:pPr>
              <w:pStyle w:val="TableContents"/>
              <w:spacing w:before="0" w:after="283"/>
              <w:jc w:val="right"/>
              <w:rPr/>
            </w:pPr>
            <w:r>
              <w:rPr/>
              <w:t>(37.5</w:t>
            </w:r>
          </w:p>
        </w:tc>
        <w:tc>
          <w:tcPr>
            <w:tcW w:w="354"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919" w:type="dxa"/>
            <w:tcBorders/>
            <w:shd w:fill="CCEEFF" w:val="clear"/>
            <w:vAlign w:val="bottom"/>
          </w:tcPr>
          <w:p>
            <w:pPr>
              <w:pStyle w:val="TableContents"/>
              <w:spacing w:before="0" w:after="283"/>
              <w:jc w:val="right"/>
              <w:rPr/>
            </w:pPr>
            <w:r>
              <w:rPr/>
              <w:t>(32.0</w:t>
            </w:r>
          </w:p>
        </w:tc>
        <w:tc>
          <w:tcPr>
            <w:tcW w:w="158" w:type="dxa"/>
            <w:tcBorders/>
            <w:shd w:fill="CCEEFF" w:val="clear"/>
            <w:vAlign w:val="bottom"/>
          </w:tcPr>
          <w:p>
            <w:pPr>
              <w:pStyle w:val="TableContents"/>
              <w:spacing w:before="0" w:after="283"/>
              <w:rPr/>
            </w:pPr>
            <w:r>
              <w:rPr/>
              <w:t>) </w:t>
            </w:r>
          </w:p>
        </w:tc>
      </w:tr>
      <w:tr>
        <w:trPr/>
        <w:tc>
          <w:tcPr>
            <w:tcW w:w="3986" w:type="dxa"/>
            <w:tcBorders/>
            <w:shd w:fill="auto" w:val="clear"/>
          </w:tcPr>
          <w:p>
            <w:pPr>
              <w:pStyle w:val="TableContents"/>
              <w:spacing w:before="0" w:after="0"/>
              <w:rPr>
                <w:rFonts w:ascii="Times New Roman" w:hAnsi="Times New Roman"/>
                <w:sz w:val="20"/>
              </w:rPr>
            </w:pPr>
            <w:r>
              <w:rPr>
                <w:rFonts w:ascii="Times New Roman" w:hAnsi="Times New Roman"/>
                <w:sz w:val="20"/>
              </w:rPr>
              <w:t>Weighted average shares outstanding, controlling (shares in millions)</w:t>
            </w:r>
          </w:p>
        </w:tc>
        <w:tc>
          <w:tcPr>
            <w:tcW w:w="60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63" w:type="dxa"/>
            <w:tcBorders/>
            <w:shd w:fill="auto" w:val="clear"/>
            <w:vAlign w:val="bottom"/>
          </w:tcPr>
          <w:p>
            <w:pPr>
              <w:pStyle w:val="TableContents"/>
              <w:spacing w:before="0" w:after="283"/>
              <w:jc w:val="right"/>
              <w:rPr/>
            </w:pPr>
            <w:r>
              <w:rPr/>
              <w:t>58.4</w:t>
            </w:r>
          </w:p>
        </w:tc>
        <w:tc>
          <w:tcPr>
            <w:tcW w:w="354"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919" w:type="dxa"/>
            <w:tcBorders/>
            <w:shd w:fill="auto" w:val="clear"/>
            <w:vAlign w:val="bottom"/>
          </w:tcPr>
          <w:p>
            <w:pPr>
              <w:pStyle w:val="TableContents"/>
              <w:spacing w:before="0" w:after="283"/>
              <w:jc w:val="right"/>
              <w:rPr/>
            </w:pPr>
            <w:r>
              <w:rPr/>
              <w:t>47.7</w:t>
            </w:r>
          </w:p>
        </w:tc>
        <w:tc>
          <w:tcPr>
            <w:tcW w:w="158" w:type="dxa"/>
            <w:tcBorders/>
            <w:shd w:fill="auto" w:val="clear"/>
            <w:vAlign w:val="bottom"/>
          </w:tcPr>
          <w:p>
            <w:pPr>
              <w:pStyle w:val="TableContents"/>
              <w:spacing w:before="0" w:after="283"/>
              <w:rPr/>
            </w:pPr>
            <w:r>
              <w:rPr/>
              <w:t> </w:t>
            </w:r>
          </w:p>
        </w:tc>
      </w:tr>
      <w:tr>
        <w:trPr/>
        <w:tc>
          <w:tcPr>
            <w:tcW w:w="3986" w:type="dxa"/>
            <w:tcBorders/>
            <w:shd w:fill="CCEEFF" w:val="clear"/>
          </w:tcPr>
          <w:p>
            <w:pPr>
              <w:pStyle w:val="TableContents"/>
              <w:spacing w:before="0" w:after="0"/>
              <w:rPr>
                <w:rFonts w:ascii="Times New Roman" w:hAnsi="Times New Roman"/>
                <w:sz w:val="20"/>
              </w:rPr>
            </w:pPr>
            <w:r>
              <w:rPr>
                <w:rFonts w:ascii="Times New Roman" w:hAnsi="Times New Roman"/>
                <w:sz w:val="20"/>
              </w:rPr>
              <w:t>Loss per share (basic)</w:t>
            </w:r>
          </w:p>
        </w:tc>
        <w:tc>
          <w:tcPr>
            <w:tcW w:w="60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63" w:type="dxa"/>
            <w:tcBorders/>
            <w:shd w:fill="CCEEFF" w:val="clear"/>
            <w:vAlign w:val="bottom"/>
          </w:tcPr>
          <w:p>
            <w:pPr>
              <w:pStyle w:val="TableContents"/>
              <w:spacing w:before="0" w:after="283"/>
              <w:jc w:val="right"/>
              <w:rPr/>
            </w:pPr>
            <w:r>
              <w:rPr/>
              <w:t>(0.64</w:t>
            </w:r>
          </w:p>
        </w:tc>
        <w:tc>
          <w:tcPr>
            <w:tcW w:w="354"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919" w:type="dxa"/>
            <w:tcBorders/>
            <w:shd w:fill="CCEEFF" w:val="clear"/>
            <w:vAlign w:val="bottom"/>
          </w:tcPr>
          <w:p>
            <w:pPr>
              <w:pStyle w:val="TableContents"/>
              <w:spacing w:before="0" w:after="283"/>
              <w:jc w:val="right"/>
              <w:rPr/>
            </w:pPr>
            <w:r>
              <w:rPr/>
              <w:t>(0.67</w:t>
            </w:r>
          </w:p>
        </w:tc>
        <w:tc>
          <w:tcPr>
            <w:tcW w:w="158" w:type="dxa"/>
            <w:tcBorders/>
            <w:shd w:fill="CCEEFF" w:val="clear"/>
            <w:vAlign w:val="bottom"/>
          </w:tcPr>
          <w:p>
            <w:pPr>
              <w:pStyle w:val="TableContents"/>
              <w:spacing w:before="0" w:after="283"/>
              <w:rPr/>
            </w:pPr>
            <w:r>
              <w:rPr/>
              <w:t>) </w:t>
            </w:r>
          </w:p>
        </w:tc>
      </w:tr>
      <w:tr>
        <w:trPr/>
        <w:tc>
          <w:tcPr>
            <w:tcW w:w="3986" w:type="dxa"/>
            <w:tcBorders/>
            <w:shd w:fill="auto" w:val="clear"/>
          </w:tcPr>
          <w:p>
            <w:pPr>
              <w:pStyle w:val="TableContents"/>
              <w:spacing w:before="0" w:after="0"/>
              <w:rPr>
                <w:rFonts w:ascii="Times New Roman" w:hAnsi="Times New Roman"/>
                <w:sz w:val="20"/>
              </w:rPr>
            </w:pPr>
            <w:r>
              <w:rPr>
                <w:rFonts w:ascii="Times New Roman" w:hAnsi="Times New Roman"/>
                <w:sz w:val="20"/>
              </w:rPr>
              <w:t>Loss per share (diluted)</w:t>
            </w:r>
          </w:p>
        </w:tc>
        <w:tc>
          <w:tcPr>
            <w:tcW w:w="60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63" w:type="dxa"/>
            <w:tcBorders/>
            <w:shd w:fill="auto" w:val="clear"/>
            <w:vAlign w:val="bottom"/>
          </w:tcPr>
          <w:p>
            <w:pPr>
              <w:pStyle w:val="TableContents"/>
              <w:spacing w:before="0" w:after="283"/>
              <w:jc w:val="right"/>
              <w:rPr/>
            </w:pPr>
            <w:r>
              <w:rPr/>
              <w:t>(0.64</w:t>
            </w:r>
          </w:p>
        </w:tc>
        <w:tc>
          <w:tcPr>
            <w:tcW w:w="354"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919" w:type="dxa"/>
            <w:tcBorders/>
            <w:shd w:fill="auto" w:val="clear"/>
            <w:vAlign w:val="bottom"/>
          </w:tcPr>
          <w:p>
            <w:pPr>
              <w:pStyle w:val="TableContents"/>
              <w:spacing w:before="0" w:after="283"/>
              <w:jc w:val="right"/>
              <w:rPr/>
            </w:pPr>
            <w:r>
              <w:rPr/>
              <w:t>(0.67</w:t>
            </w:r>
          </w:p>
        </w:tc>
        <w:tc>
          <w:tcPr>
            <w:tcW w:w="158"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Earnings per share exclude warrants and contingently issuable shares that would be anti-dilutive to pro forma EPS, including (i) 10,368,601 redeemable warrants issued by VIH in its initial public offering, (ii) 6,147,440 warrants to purchase Class A ordinary shares of VIH that were issued in a private to the Sponsor in a private placement concurrently with the initial public offering, and (iii) 208,200,000 Bakkt Opco Common Units owned by the Flow- Through Sellers that are exchangeable (together with the cancellation of an equal number of shares of voting, non-economic Class V common stock) into Class A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1" w:name="toc108105_21"/>
      <w:bookmarkEnd w:id="81"/>
      <w:r>
        <w:rPr>
          <w:rFonts w:ascii="Times New Roman" w:hAnsi="Times New Roman"/>
          <w:b/>
          <w:sz w:val="20"/>
        </w:rPr>
        <w:t xml:space="preserve">INFORMATION ABOUT VIH </w:t>
      </w:r>
    </w:p>
    <w:p>
      <w:pPr>
        <w:pStyle w:val="TextBody"/>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the Company, we, us or our refer to VIH prior to the consummation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VPC Impact Acquisition Holdings is a blank check company incorporated on July 31, 2020 as a Cayman Islands exempted company incorporated for the purpose of effecting a merger, share exchange, asset acquisition, share purchase, reorganization or similar Business Combination, one or more businesses or entities. VIH has neither engaged in any operations nor generated any revenue to date. Based on VIHs business activities, it is a shell company as defined under the Exchange Act because it has no operations and nominal assets consisting almost entirely of cash. </w:t>
      </w:r>
    </w:p>
    <w:p>
      <w:pPr>
        <w:pStyle w:val="TextBody"/>
        <w:spacing w:before="360" w:after="0"/>
        <w:jc w:val="left"/>
        <w:rPr>
          <w:rFonts w:ascii="Times New Roman" w:hAnsi="Times New Roman"/>
          <w:b/>
          <w:i/>
          <w:sz w:val="20"/>
        </w:rPr>
      </w:pPr>
      <w:r>
        <w:rPr>
          <w:rFonts w:ascii="Times New Roman" w:hAnsi="Times New Roman"/>
          <w:b/>
          <w:i/>
          <w:sz w:val="20"/>
        </w:rPr>
        <w:t xml:space="preserve">Significant Activities Since Inception </w:t>
      </w:r>
    </w:p>
    <w:p>
      <w:pPr>
        <w:pStyle w:val="TextBody"/>
        <w:spacing w:before="120" w:after="0"/>
        <w:jc w:val="left"/>
        <w:rPr>
          <w:rFonts w:ascii="Times New Roman" w:hAnsi="Times New Roman"/>
          <w:sz w:val="20"/>
        </w:rPr>
      </w:pPr>
      <w:r>
        <w:rPr>
          <w:rFonts w:ascii="Times New Roman" w:hAnsi="Times New Roman"/>
          <w:sz w:val="20"/>
        </w:rPr>
        <w:t>On August 3, 2020, the Sponsor paid $25,000, or approximately $0.004 per share, to cover VIHs offering costs in consideration for 5,750,000 VIH Class B Ordinary Shares (the </w:t>
      </w:r>
      <w:r>
        <w:rPr>
          <w:rFonts w:ascii="Times New Roman" w:hAnsi="Times New Roman"/>
          <w:b/>
          <w:sz w:val="20"/>
        </w:rPr>
        <w:t>Founder Shares</w:t>
      </w:r>
      <w:r>
        <w:rPr>
          <w:rFonts w:ascii="Times New Roman" w:hAnsi="Times New Roman"/>
          <w:sz w:val="20"/>
        </w:rPr>
        <w:t xml:space="preserve">). The Founder Shares included an aggregate of 750,000 shares that were subject to forfeiture by the Sponsor to the extent the underwriters over-allotment option was not exercised in full or in part, so that the number of Founder Shares would collectively represent 20% of VIHs issued and outstanding shares upon the completion of the IPO. In September 2020, the Sponsor transferred an aggregate of 60,000 Founder Shares to members of the VIH Board, resulting in the Sponsor holding 5,690,000 Founder Shares. </w:t>
      </w:r>
    </w:p>
    <w:p>
      <w:pPr>
        <w:pStyle w:val="TextBody"/>
        <w:spacing w:before="240" w:after="0"/>
        <w:jc w:val="left"/>
        <w:rPr>
          <w:rFonts w:ascii="Times New Roman" w:hAnsi="Times New Roman"/>
          <w:sz w:val="20"/>
        </w:rPr>
      </w:pPr>
      <w:r>
        <w:rPr>
          <w:rFonts w:ascii="Times New Roman" w:hAnsi="Times New Roman"/>
          <w:sz w:val="20"/>
        </w:rPr>
        <w:t xml:space="preserve">On September 25, 2020, VIH consummated its IPO of 20,000,000 VIH Units. Each VIH Unit consists of one VIH Class A Ordinary Share and one-half of one Public Warrant, with each Public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6,147,440 Private Placement Warrants at a price of $1.00 per warrant in a private placement to the Sponsor, generating gross proceeds of $6,147,440.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IPO, a total of $207,372,020 ($10.00 per VIH Unit) of the net proceeds from the IPO and the sale of the Private Placement Warrants was placed in the Trust Account. The proceeds held in the Trust Account may be invested by the trustee only in U.S. government treasury obligations with a maturity of 185 days or less or in money market funds meeting certain conditions under Rule 2a-7 under the Investment Company Act, which invest only in direct U.S. government treasury obligations. As of March 29, 2021, funds in the Trust Account totaled $207,385,774.05. These funds will remain in the Trust Account, except for the withdrawal of interest to pay taxes, if any, until the earliest of (1) the completion of a business combination (including the closing of the Business Combination), (2) the Redemption of any Public Shares properly tendered in connection with a shareholder vote to amend the Cayman Constitutional Documents to modify the substance or timing of VIHs obligation to redeem 100% of the Public Shares if it does not complete a business combination by September 25, 2022, and (3) the Redemption of all of the Public Shares if VIH is unable to complete a business combination by September 25, 2022, subject to applicable law. </w:t>
      </w:r>
    </w:p>
    <w:p>
      <w:pPr>
        <w:pStyle w:val="TextBody"/>
        <w:spacing w:before="240" w:after="0"/>
        <w:jc w:val="left"/>
        <w:rPr>
          <w:rFonts w:ascii="Times New Roman" w:hAnsi="Times New Roman"/>
          <w:sz w:val="20"/>
        </w:rPr>
      </w:pPr>
      <w:r>
        <w:rPr>
          <w:rFonts w:ascii="Times New Roman" w:hAnsi="Times New Roman"/>
          <w:sz w:val="20"/>
        </w:rPr>
        <w:t xml:space="preserve">The VIH Units, VIH Class A Ordinary Shares and Public Warrants are currently listed on Nasdaq under the symbols VIHAU, VIH, and VIHAW,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Effecting a Business Combination </w:t>
      </w:r>
    </w:p>
    <w:p>
      <w:pPr>
        <w:pStyle w:val="TextBody"/>
        <w:spacing w:before="12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VIH is not presently engaged in, and VIH will not engage in, any substantive commercial business until it completes the Business Combination with Bakkt or another target business. </w:t>
      </w:r>
    </w:p>
    <w:p>
      <w:pPr>
        <w:pStyle w:val="TextBody"/>
        <w:spacing w:before="360" w:after="0"/>
        <w:jc w:val="left"/>
        <w:rPr>
          <w:rFonts w:ascii="Times New Roman" w:hAnsi="Times New Roman"/>
          <w:b/>
          <w:i/>
          <w:sz w:val="20"/>
        </w:rPr>
      </w:pPr>
      <w:r>
        <w:rPr>
          <w:rFonts w:ascii="Times New Roman" w:hAnsi="Times New Roman"/>
          <w:b/>
          <w:i/>
          <w:sz w:val="20"/>
        </w:rPr>
        <w:t xml:space="preserve">Fair Market Value of Target Business </w:t>
      </w:r>
    </w:p>
    <w:p>
      <w:pPr>
        <w:pStyle w:val="TextBody"/>
        <w:spacing w:before="120" w:after="0"/>
        <w:jc w:val="left"/>
        <w:rPr>
          <w:rFonts w:ascii="Times New Roman" w:hAnsi="Times New Roman"/>
          <w:sz w:val="20"/>
        </w:rPr>
      </w:pPr>
      <w:r>
        <w:rPr>
          <w:rFonts w:ascii="Times New Roman" w:hAnsi="Times New Roman"/>
          <w:sz w:val="20"/>
        </w:rPr>
        <w:t xml:space="preserve">Nasdaq listing rules require that VIH must consummate an initial business combination with one or more operating businesses or assets with a fair market value equal to at least 80% of the net assets held in the Trust Account (excluding the amount of any deferred underwriting discount held in trust) at the time of VIHs signing a definitive agreement in connection with its initial business combination. The VIH Board determined that this test was met in connection with the proposed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Shareholder Approval of the Proposed Transaction </w:t>
      </w:r>
    </w:p>
    <w:p>
      <w:pPr>
        <w:pStyle w:val="TextBody"/>
        <w:spacing w:before="120" w:after="0"/>
        <w:jc w:val="left"/>
        <w:rPr>
          <w:rFonts w:ascii="Times New Roman" w:hAnsi="Times New Roman"/>
          <w:sz w:val="20"/>
        </w:rPr>
      </w:pPr>
      <w:r>
        <w:rPr>
          <w:rFonts w:ascii="Times New Roman" w:hAnsi="Times New Roman"/>
          <w:sz w:val="20"/>
        </w:rPr>
        <w:t xml:space="preserve">VIH is seeking shareholder approval of the Proposed Transaction at the extraordinary general meeting to which this proxy statement/prospectus relates and, in connection with such extraordinary general meeting, holders of Public Shares may redeem their shares for cash in accordance with the procedures described in this proxy statement/prospectus. Such Redemption Rights will be effected under the Cayman Constitutional Documents and the laws of the Cayman Islands. Unlike other blank check companies in which the initial shareholders agree to vote their Founder Shares in accordance with the majority of the votes cast by the Public Shareholders in connection with an initial business combination, the Sponsor and its directors and officers have agreed pursuant to the Insider Letter Agreement (a) to vote (i) the Founder Shares (all of which are held by the Sponsor) and (ii) any other VIH Shares owned by the Sponsor or VIHs directors and officers, in favor of the Business Combination; and (b) not to redeem any VIH Shares in connection with a shareholder vote to approve a proposed initial business combination, including the Business Combination, or a vote to amend the provisions of the Cayman Constitutional Documents relating to shareholders rights or pre-business combination activity. If the Business Combination is not completed, then Public Shareholders electing to exercise their Redemption Rights will not receive such payments and their shares will not be redeemed. </w:t>
      </w:r>
    </w:p>
    <w:p>
      <w:pPr>
        <w:pStyle w:val="TextBody"/>
        <w:spacing w:before="240" w:after="0"/>
        <w:jc w:val="left"/>
        <w:rPr>
          <w:rFonts w:ascii="Times New Roman" w:hAnsi="Times New Roman"/>
          <w:sz w:val="20"/>
        </w:rPr>
      </w:pPr>
      <w:r>
        <w:rPr>
          <w:rFonts w:ascii="Times New Roman" w:hAnsi="Times New Roman"/>
          <w:sz w:val="20"/>
        </w:rPr>
        <w:t xml:space="preserve">VIH will complete the Business Combination (or any other proposed business combination, if the Business Combination is not completed) only if, among other conditions, VIH has raised, after giving effect to the Redemptions, Available Cash in an amount equal to at least $425,000,000. </w:t>
      </w:r>
    </w:p>
    <w:p>
      <w:pPr>
        <w:pStyle w:val="TextBody"/>
        <w:spacing w:before="240" w:after="0"/>
        <w:jc w:val="left"/>
        <w:rPr>
          <w:rFonts w:ascii="Times New Roman" w:hAnsi="Times New Roman"/>
          <w:sz w:val="20"/>
        </w:rPr>
      </w:pPr>
      <w:r>
        <w:rPr>
          <w:rFonts w:ascii="Times New Roman" w:hAnsi="Times New Roman"/>
          <w:sz w:val="20"/>
        </w:rPr>
        <w:t xml:space="preserve">To ensure that it can meet the Available Cash Condition at the Closing, VIH may seek additional equity financing in connection with the Business Combination involving the issuance of additional equity securities of VIH. In the event that VIH issues additional equity in connection with such equity financing or, in the event Bakkt waives the Available Cash Condition so that a larger portion of the Merger Consideration is payable in Bakkt Opco Common Units, the ownership percentage in the Company belonging to the Public Shareholders will be reduced. </w:t>
      </w:r>
    </w:p>
    <w:p>
      <w:pPr>
        <w:pStyle w:val="TextBody"/>
        <w:spacing w:before="240" w:after="0"/>
        <w:jc w:val="left"/>
        <w:rPr>
          <w:rFonts w:ascii="Times New Roman" w:hAnsi="Times New Roman"/>
          <w:sz w:val="20"/>
        </w:rPr>
      </w:pPr>
      <w:r>
        <w:rPr>
          <w:rFonts w:ascii="Times New Roman" w:hAnsi="Times New Roman"/>
          <w:sz w:val="20"/>
        </w:rPr>
        <w:t xml:space="preserve">Despite the Available Cash Condition, VIH may be able to complete the Business Combination even if a majority of the Public Shareholders do not agree with the Business Combination and have redeemed their shares or if VIH has entered into privately negotiated agreements for investors to sell their shares to the Sponsor, directors and officers, advisors or their affiliates. </w:t>
      </w:r>
    </w:p>
    <w:p>
      <w:pPr>
        <w:pStyle w:val="TextBody"/>
        <w:spacing w:before="240" w:after="0"/>
        <w:jc w:val="left"/>
        <w:rPr>
          <w:rFonts w:ascii="Times New Roman" w:hAnsi="Times New Roman"/>
          <w:sz w:val="20"/>
        </w:rPr>
      </w:pPr>
      <w:r>
        <w:rPr>
          <w:rFonts w:ascii="Times New Roman" w:hAnsi="Times New Roman"/>
          <w:sz w:val="20"/>
        </w:rPr>
        <w:t>Please refer to the section entitled </w:t>
      </w:r>
      <w:r>
        <w:rPr>
          <w:rFonts w:ascii="Times New Roman" w:hAnsi="Times New Roman"/>
          <w:i/>
          <w:sz w:val="20"/>
        </w:rPr>
        <w:t>Risk FactorsRisks Related to VIH</w:t>
      </w:r>
      <w:r>
        <w:rPr>
          <w:rFonts w:ascii="Times New Roman" w:hAnsi="Times New Roman"/>
          <w:sz w:val="20"/>
        </w:rPr>
        <w:t xml:space="preserve"> beginning on page 102 of this proxy statement/prospectus for more information. </w:t>
      </w:r>
    </w:p>
    <w:p>
      <w:pPr>
        <w:pStyle w:val="TextBody"/>
        <w:spacing w:before="360" w:after="0"/>
        <w:jc w:val="left"/>
        <w:rPr>
          <w:rFonts w:ascii="Times New Roman" w:hAnsi="Times New Roman"/>
          <w:b/>
          <w:i/>
          <w:sz w:val="20"/>
        </w:rPr>
      </w:pPr>
      <w:r>
        <w:rPr>
          <w:rFonts w:ascii="Times New Roman" w:hAnsi="Times New Roman"/>
          <w:b/>
          <w:i/>
          <w:sz w:val="20"/>
        </w:rPr>
        <w:t xml:space="preserve">Liquidation if No Business Combination </w:t>
      </w:r>
    </w:p>
    <w:p>
      <w:pPr>
        <w:pStyle w:val="TextBody"/>
        <w:spacing w:before="120" w:after="0"/>
        <w:jc w:val="left"/>
        <w:rPr>
          <w:rFonts w:ascii="Times New Roman" w:hAnsi="Times New Roman"/>
          <w:sz w:val="20"/>
        </w:rPr>
      </w:pPr>
      <w:r>
        <w:rPr>
          <w:rFonts w:ascii="Times New Roman" w:hAnsi="Times New Roman"/>
          <w:sz w:val="20"/>
        </w:rPr>
        <w:t xml:space="preserve">Unless VIH submits and VIH shareholders approve an extension, if the Business Combination (or combination with another target business) is not completed by September 25, 2022, such condition will trigger VIHs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automatic winding up, dissolution and liquidation pursuant to the terms of the Cayman Constitutional Documents. As a result, this has the same effect as if VIH had formally gone through a voluntary liquidation procedure under the Companies Act. Accordingly, no vote would be required from VIHs shareholders to commence such a voluntary winding up, dissolution and liquidation. </w:t>
      </w:r>
    </w:p>
    <w:p>
      <w:pPr>
        <w:pStyle w:val="TextBody"/>
        <w:spacing w:before="240" w:after="0"/>
        <w:jc w:val="left"/>
        <w:rPr>
          <w:rFonts w:ascii="Times New Roman" w:hAnsi="Times New Roman"/>
          <w:sz w:val="20"/>
        </w:rPr>
      </w:pPr>
      <w:r>
        <w:rPr>
          <w:rFonts w:ascii="Times New Roman" w:hAnsi="Times New Roman"/>
          <w:sz w:val="20"/>
        </w:rPr>
        <w:t xml:space="preserve">The amount in the Trust Account (less approximately $2,073.72 representing the aggregate nominal par value of the Public Shares) under the Companies Act will be treated as a share premium which is distributable under the Companies Act </w:t>
      </w:r>
      <w:r>
        <w:rPr>
          <w:rFonts w:ascii="Times New Roman" w:hAnsi="Times New Roman"/>
          <w:i/>
          <w:sz w:val="20"/>
        </w:rPr>
        <w:t>provided that</w:t>
      </w:r>
      <w:r>
        <w:rPr>
          <w:rFonts w:ascii="Times New Roman" w:hAnsi="Times New Roman"/>
          <w:sz w:val="20"/>
        </w:rPr>
        <w:t xml:space="preserve"> immediately following the date on which the proposed distribution is proposed to be made, VIH is able to pay its debts as they fall due in the ordinary course of business. If VIH is forced to liquidate the Trust Account, VIH anticipates that it would distribute to its Public Shareholders the amount in the Trust Account calculated as of the date that is two business days prior to the distribution date (including any accrued interest). Prior to such distribution, VIH would be required to assess all claims that may be potentially brought against it by its creditors for amounts they are actually owed and make provision for such amounts, as creditors take priority over the Public Shareholders with respect to amounts that are owed to them. VIH cannot assure you that it will properly assess all claims that may be potentially brought against it. As such, shareholders could potentially be liable for any claims of creditors to the extent of distributions received by them as an unlawful payment in the event VIH enters an insolvent liquidation. Furthermore, while VIH has obtained and it will continue to seek to have all vendors, service providers (other than its independent auditors), prospective target businesses or other entities with which it does business and prospective target businesses execute agreements with VIH waiving any right, title, interest or claim of any kind they may have in or to any monies held in the Trust Account, there is no guarantee that they will execute such agreements. Nor is there any guarantee that, even if such entities execute such agreements with VIH, they will not seek recourse against the Trust Account or that a court would conclude that such agreements are legally enforceable. </w:t>
      </w:r>
    </w:p>
    <w:p>
      <w:pPr>
        <w:pStyle w:val="TextBody"/>
        <w:spacing w:before="240" w:after="0"/>
        <w:jc w:val="left"/>
        <w:rPr>
          <w:rFonts w:ascii="Times New Roman" w:hAnsi="Times New Roman"/>
          <w:sz w:val="20"/>
        </w:rPr>
      </w:pPr>
      <w:r>
        <w:rPr>
          <w:rFonts w:ascii="Times New Roman" w:hAnsi="Times New Roman"/>
          <w:sz w:val="20"/>
        </w:rPr>
        <w:t xml:space="preserve">The Sponsor and VIHs directors and officers have agreed to waive their rights to participate in any liquidation of the Trust Account or other assets with respect to the Founder Shares held by them and to vote their Founder Shares in favor of any dissolution and plan of distribution which VIH submits to a vote of shareholders. There will be no distribution from the Trust Account with respect to VIHs warrants, which will expire worthless. </w:t>
      </w:r>
    </w:p>
    <w:p>
      <w:pPr>
        <w:pStyle w:val="TextBody"/>
        <w:spacing w:before="240" w:after="0"/>
        <w:jc w:val="left"/>
        <w:rPr>
          <w:rFonts w:ascii="Times New Roman" w:hAnsi="Times New Roman"/>
          <w:sz w:val="20"/>
        </w:rPr>
      </w:pPr>
      <w:r>
        <w:rPr>
          <w:rFonts w:ascii="Times New Roman" w:hAnsi="Times New Roman"/>
          <w:sz w:val="20"/>
        </w:rPr>
        <w:t xml:space="preserve">Pursuant to the Merger Agreement, Bakkt has agreed that it and its affiliates will not have any right, title, interest or claim of any kind in or to any monies in the Trust Account held for its Public Shareholders, and agreed not to, and waived any right to, make any claim against the Trust Account (including any distributions therefrom) except, in each case with respect to claims that Bakkt or its affiliates may have in the future against VIHs assets or funds that are not held in the Trust Account (other than distributions to the Public Shareholders) and claims against any other Person (or any affiliate thereof) that is party to an alternative business combination consummated by VIH. </w:t>
      </w:r>
    </w:p>
    <w:p>
      <w:pPr>
        <w:pStyle w:val="TextBody"/>
        <w:spacing w:before="240" w:after="0"/>
        <w:jc w:val="left"/>
        <w:rPr>
          <w:rFonts w:ascii="Times New Roman" w:hAnsi="Times New Roman"/>
          <w:sz w:val="20"/>
        </w:rPr>
      </w:pPr>
      <w:r>
        <w:rPr>
          <w:rFonts w:ascii="Times New Roman" w:hAnsi="Times New Roman"/>
          <w:sz w:val="20"/>
        </w:rPr>
        <w:t xml:space="preserve">If VIH is unable to complete the Business Combination and expends all of the net proceeds of the IPO, other than the proceeds deposited in the Trust Account and without taking into account interest, if any, earned on the Trust Account, the per-share distribution from the Trust Account would be approximately $10.00 based on the value of the Trust Account as of March 29, 2021. </w:t>
      </w:r>
    </w:p>
    <w:p>
      <w:pPr>
        <w:pStyle w:val="TextBody"/>
        <w:spacing w:before="240" w:after="0"/>
        <w:jc w:val="left"/>
        <w:rPr>
          <w:rFonts w:ascii="Times New Roman" w:hAnsi="Times New Roman"/>
          <w:sz w:val="20"/>
        </w:rPr>
      </w:pPr>
      <w:r>
        <w:rPr>
          <w:rFonts w:ascii="Times New Roman" w:hAnsi="Times New Roman"/>
          <w:sz w:val="20"/>
        </w:rPr>
        <w:t xml:space="preserve">The proceeds deposited in the Trust Account could, however, become subject to the claims of VIHs creditors which would be prior to the claims of the Public Shareholders. Although VIH has obtained and will continue to seek to have all vendors, including lenders for money borrowed, prospective target businesses or other entities VIH engages execute agreements with VIH waiving any right, title, interest or claim of any kind in or to any monies held in the Trust Account for the benefit of the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a claim against VIHs assets, including the funds held in the Trust Account. </w:t>
      </w:r>
    </w:p>
    <w:p>
      <w:pPr>
        <w:pStyle w:val="TextBody"/>
        <w:spacing w:before="240" w:after="0"/>
        <w:jc w:val="left"/>
        <w:rPr>
          <w:rFonts w:ascii="Times New Roman" w:hAnsi="Times New Roman"/>
          <w:sz w:val="20"/>
        </w:rPr>
      </w:pPr>
      <w:r>
        <w:rPr>
          <w:rFonts w:ascii="Times New Roman" w:hAnsi="Times New Roman"/>
          <w:sz w:val="20"/>
        </w:rPr>
        <w:t xml:space="preserve">The Sponsor has agreed that it will be liable to VIH if and to the extent any claims by a vendor for services rendered or products sold to us, or a prospective target business with which VIH has discussed entering into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transaction agreement, reduce the amount of funds in the Trust Account to below (a) $10.00 per Public Share (or such higher amount then held in trust) or (b)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VIHs indemnity of the underwriters of the IPO against certain liabilities, including liabilities under the Securities Act. Moreover, in the event that an executed waiver is deemed to be unenforceable against a third party, the Sponsor will not be responsible to the extent of any liability for such third-party claims. Additionally, if VIH is forced to file a bankruptcy case or an involuntary bankruptcy case is filed against it which is not dismissed, the proceeds held in the Trust Account could be subject to applicable bankruptcy law and may be included in VIHs bankruptcy estate and subject to the claims of third parties with priority over the claims of the shareholders. To the extent any bankruptcy claims deplete the Trust Account, VIH cannot assure you it will be able to return to the Public Shareholders at least $10.00 per Public Share (or such higher amount then held in trust). </w:t>
      </w:r>
    </w:p>
    <w:p>
      <w:pPr>
        <w:pStyle w:val="TextBody"/>
        <w:spacing w:before="360" w:after="0"/>
        <w:jc w:val="left"/>
        <w:rPr>
          <w:rFonts w:ascii="Times New Roman" w:hAnsi="Times New Roman"/>
          <w:b/>
          <w:i/>
          <w:sz w:val="20"/>
        </w:rPr>
      </w:pPr>
      <w:r>
        <w:rPr>
          <w:rFonts w:ascii="Times New Roman" w:hAnsi="Times New Roman"/>
          <w:b/>
          <w:i/>
          <w:sz w:val="20"/>
        </w:rPr>
        <w:t xml:space="preserve">Employees </w:t>
      </w:r>
    </w:p>
    <w:p>
      <w:pPr>
        <w:pStyle w:val="TextBody"/>
        <w:spacing w:before="120" w:after="0"/>
        <w:jc w:val="left"/>
        <w:rPr>
          <w:rFonts w:ascii="Times New Roman" w:hAnsi="Times New Roman"/>
          <w:sz w:val="20"/>
        </w:rPr>
      </w:pPr>
      <w:r>
        <w:rPr>
          <w:rFonts w:ascii="Times New Roman" w:hAnsi="Times New Roman"/>
          <w:sz w:val="20"/>
        </w:rPr>
        <w:t xml:space="preserve">VIH has three officers who are its only employees. These individuals are not obligated to devote any specific number of hours to VIHs matters and intend to devote only as much time as they deem necessary to its affairs. VIH does not intend to have any full-time employees prior to the completion of a business combination. Upon completion of the Proposed Transaction, the employment of these officers will terminate. </w:t>
      </w:r>
    </w:p>
    <w:p>
      <w:pPr>
        <w:pStyle w:val="TextBody"/>
        <w:spacing w:before="360" w:after="0"/>
        <w:jc w:val="left"/>
        <w:rPr>
          <w:rFonts w:ascii="Times New Roman" w:hAnsi="Times New Roman"/>
          <w:b/>
          <w:i/>
          <w:sz w:val="20"/>
        </w:rPr>
      </w:pPr>
      <w:r>
        <w:rPr>
          <w:rFonts w:ascii="Times New Roman" w:hAnsi="Times New Roman"/>
          <w:b/>
          <w:i/>
          <w:sz w:val="20"/>
        </w:rPr>
        <w:t xml:space="preserve">Facilities </w:t>
      </w:r>
    </w:p>
    <w:p>
      <w:pPr>
        <w:pStyle w:val="TextBody"/>
        <w:spacing w:before="120" w:after="0"/>
        <w:jc w:val="left"/>
        <w:rPr>
          <w:rFonts w:ascii="Times New Roman" w:hAnsi="Times New Roman"/>
          <w:sz w:val="20"/>
        </w:rPr>
      </w:pPr>
      <w:r>
        <w:rPr>
          <w:rFonts w:ascii="Times New Roman" w:hAnsi="Times New Roman"/>
          <w:sz w:val="20"/>
        </w:rPr>
        <w:t xml:space="preserve">VIH maintains its principal executive offices at 150 North Riverside Plaza, Suite 5200, Chicago, Illinois 60606. VIH considers its current office space, combined with the other office space otherwise available to its officers, adequate for its current operations. Upon completion of the Proposed Transaction, the principal executive offices of the Company will be located at [●]. </w:t>
      </w:r>
    </w:p>
    <w:p>
      <w:pPr>
        <w:pStyle w:val="TextBody"/>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There are no legal proceedings pending against VIH.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2" w:name="toc108105_22"/>
      <w:bookmarkEnd w:id="82"/>
      <w:r>
        <w:rPr>
          <w:rFonts w:ascii="Times New Roman" w:hAnsi="Times New Roman"/>
          <w:b/>
          <w:sz w:val="20"/>
        </w:rPr>
        <w:t xml:space="preserve">DIRECTORS, OFFICERS, EXECUTIVE </w:t>
      </w:r>
    </w:p>
    <w:p>
      <w:pPr>
        <w:pStyle w:val="TextBody"/>
        <w:spacing w:before="0" w:after="0"/>
        <w:jc w:val="center"/>
        <w:rPr>
          <w:rFonts w:ascii="Times New Roman" w:hAnsi="Times New Roman"/>
          <w:b/>
          <w:sz w:val="20"/>
        </w:rPr>
      </w:pPr>
      <w:r>
        <w:rPr>
          <w:rFonts w:ascii="Times New Roman" w:hAnsi="Times New Roman"/>
          <w:b/>
          <w:sz w:val="20"/>
        </w:rPr>
        <w:t xml:space="preserve">COMPENSATION AND CORPORATE GOVERNANCE OF VIH </w:t>
      </w:r>
    </w:p>
    <w:p>
      <w:pPr>
        <w:pStyle w:val="TextBody"/>
        <w:spacing w:before="0" w:after="0"/>
        <w:jc w:val="center"/>
        <w:rPr>
          <w:rFonts w:ascii="Times New Roman" w:hAnsi="Times New Roman"/>
          <w:b/>
          <w:sz w:val="20"/>
        </w:rPr>
      </w:pPr>
      <w:r>
        <w:rPr>
          <w:rFonts w:ascii="Times New Roman" w:hAnsi="Times New Roman"/>
          <w:b/>
          <w:sz w:val="20"/>
        </w:rPr>
        <w:t xml:space="preserve">PRIOR TO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Management and VIH Board </w:t>
      </w:r>
    </w:p>
    <w:p>
      <w:pPr>
        <w:pStyle w:val="TextBody"/>
        <w:spacing w:before="120" w:after="0"/>
        <w:jc w:val="left"/>
        <w:rPr>
          <w:rFonts w:ascii="Times New Roman" w:hAnsi="Times New Roman"/>
          <w:sz w:val="20"/>
        </w:rPr>
      </w:pPr>
      <w:r>
        <w:rPr>
          <w:rFonts w:ascii="Times New Roman" w:hAnsi="Times New Roman"/>
          <w:sz w:val="20"/>
        </w:rPr>
        <w:t xml:space="preserve">VIHs current directors and officers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54"/>
        <w:gridCol w:w="144"/>
        <w:gridCol w:w="425"/>
        <w:gridCol w:w="144"/>
        <w:gridCol w:w="6338"/>
      </w:tblGrid>
      <w:tr>
        <w:trPr/>
        <w:tc>
          <w:tcPr>
            <w:tcW w:w="315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6338" w:type="dxa"/>
            <w:tcBorders/>
            <w:shd w:fill="auto" w:val="clear"/>
            <w:vAlign w:val="center"/>
          </w:tcPr>
          <w:p>
            <w:pPr>
              <w:pStyle w:val="TableContents"/>
              <w:spacing w:before="0" w:after="283"/>
              <w:rPr>
                <w:sz w:val="4"/>
                <w:szCs w:val="4"/>
              </w:rPr>
            </w:pPr>
            <w:r>
              <w:rPr>
                <w:sz w:val="4"/>
                <w:szCs w:val="4"/>
              </w:rPr>
            </w:r>
          </w:p>
        </w:tc>
      </w:tr>
      <w:tr>
        <w:trPr/>
        <w:tc>
          <w:tcPr>
            <w:tcW w:w="31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w:t>
            </w:r>
          </w:p>
        </w:tc>
        <w:tc>
          <w:tcPr>
            <w:tcW w:w="144" w:type="dxa"/>
            <w:tcBorders/>
            <w:shd w:fill="auto" w:val="clear"/>
            <w:vAlign w:val="bottom"/>
          </w:tcPr>
          <w:p>
            <w:pPr>
              <w:pStyle w:val="TableContents"/>
              <w:spacing w:before="0" w:after="283"/>
              <w:rPr/>
            </w:pPr>
            <w:r>
              <w:rPr/>
              <w:t>  </w:t>
            </w:r>
          </w:p>
        </w:tc>
        <w:tc>
          <w:tcPr>
            <w:tcW w:w="425" w:type="dxa"/>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144" w:type="dxa"/>
            <w:tcBorders/>
            <w:shd w:fill="auto" w:val="clear"/>
            <w:vAlign w:val="bottom"/>
          </w:tcPr>
          <w:p>
            <w:pPr>
              <w:pStyle w:val="TableContents"/>
              <w:spacing w:before="0" w:after="283"/>
              <w:rPr/>
            </w:pPr>
            <w:r>
              <w:rPr/>
              <w:t>  </w:t>
            </w:r>
          </w:p>
        </w:tc>
        <w:tc>
          <w:tcPr>
            <w:tcW w:w="633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c>
          <w:tcPr>
            <w:tcW w:w="3154" w:type="dxa"/>
            <w:tcBorders/>
            <w:shd w:fill="CCEEFF" w:val="clear"/>
          </w:tcPr>
          <w:p>
            <w:pPr>
              <w:pStyle w:val="TableContents"/>
              <w:spacing w:before="0" w:after="0"/>
              <w:rPr>
                <w:rFonts w:ascii="Times New Roman" w:hAnsi="Times New Roman"/>
                <w:sz w:val="20"/>
              </w:rPr>
            </w:pPr>
            <w:r>
              <w:rPr>
                <w:rFonts w:ascii="Times New Roman" w:hAnsi="Times New Roman"/>
                <w:sz w:val="20"/>
              </w:rPr>
              <w:t>John Martin</w:t>
            </w:r>
          </w:p>
        </w:tc>
        <w:tc>
          <w:tcPr>
            <w:tcW w:w="14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61</w:t>
            </w:r>
          </w:p>
        </w:tc>
        <w:tc>
          <w:tcPr>
            <w:tcW w:w="144" w:type="dxa"/>
            <w:tcBorders/>
            <w:shd w:fill="CCEEFF" w:val="clear"/>
            <w:vAlign w:val="bottom"/>
          </w:tcPr>
          <w:p>
            <w:pPr>
              <w:pStyle w:val="TableContents"/>
              <w:spacing w:before="0" w:after="283"/>
              <w:rPr/>
            </w:pPr>
            <w:r>
              <w:rPr/>
              <w:t>  </w:t>
            </w:r>
          </w:p>
        </w:tc>
        <w:tc>
          <w:tcPr>
            <w:tcW w:w="6338" w:type="dxa"/>
            <w:tcBorders/>
            <w:shd w:fill="CCEEFF" w:val="clear"/>
            <w:vAlign w:val="bottom"/>
          </w:tcPr>
          <w:p>
            <w:pPr>
              <w:pStyle w:val="TableContents"/>
              <w:spacing w:before="0" w:after="283"/>
              <w:rPr/>
            </w:pPr>
            <w:r>
              <w:rPr/>
              <w:t>Chairman and Chief Executive Officer</w:t>
            </w:r>
          </w:p>
        </w:tc>
      </w:tr>
      <w:tr>
        <w:trPr/>
        <w:tc>
          <w:tcPr>
            <w:tcW w:w="3154" w:type="dxa"/>
            <w:tcBorders/>
            <w:shd w:fill="auto" w:val="clear"/>
          </w:tcPr>
          <w:p>
            <w:pPr>
              <w:pStyle w:val="TableContents"/>
              <w:spacing w:before="0" w:after="0"/>
              <w:rPr>
                <w:rFonts w:ascii="Times New Roman" w:hAnsi="Times New Roman"/>
                <w:sz w:val="20"/>
              </w:rPr>
            </w:pPr>
            <w:r>
              <w:rPr>
                <w:rFonts w:ascii="Times New Roman" w:hAnsi="Times New Roman"/>
                <w:sz w:val="20"/>
              </w:rPr>
              <w:t>Gordon Watson</w:t>
            </w:r>
          </w:p>
        </w:tc>
        <w:tc>
          <w:tcPr>
            <w:tcW w:w="14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42</w:t>
            </w:r>
          </w:p>
        </w:tc>
        <w:tc>
          <w:tcPr>
            <w:tcW w:w="144" w:type="dxa"/>
            <w:tcBorders/>
            <w:shd w:fill="auto" w:val="clear"/>
            <w:vAlign w:val="bottom"/>
          </w:tcPr>
          <w:p>
            <w:pPr>
              <w:pStyle w:val="TableContents"/>
              <w:spacing w:before="0" w:after="283"/>
              <w:rPr/>
            </w:pPr>
            <w:r>
              <w:rPr/>
              <w:t>  </w:t>
            </w:r>
          </w:p>
        </w:tc>
        <w:tc>
          <w:tcPr>
            <w:tcW w:w="6338" w:type="dxa"/>
            <w:tcBorders/>
            <w:shd w:fill="auto" w:val="clear"/>
            <w:vAlign w:val="bottom"/>
          </w:tcPr>
          <w:p>
            <w:pPr>
              <w:pStyle w:val="TableContents"/>
              <w:spacing w:before="0" w:after="283"/>
              <w:rPr/>
            </w:pPr>
            <w:r>
              <w:rPr/>
              <w:t>President Chief Operating Officer and Director</w:t>
            </w:r>
          </w:p>
        </w:tc>
      </w:tr>
      <w:tr>
        <w:trPr/>
        <w:tc>
          <w:tcPr>
            <w:tcW w:w="3154" w:type="dxa"/>
            <w:tcBorders/>
            <w:shd w:fill="CCEEFF" w:val="clear"/>
          </w:tcPr>
          <w:p>
            <w:pPr>
              <w:pStyle w:val="TableContents"/>
              <w:spacing w:before="0" w:after="0"/>
              <w:rPr>
                <w:rFonts w:ascii="Times New Roman" w:hAnsi="Times New Roman"/>
                <w:sz w:val="20"/>
              </w:rPr>
            </w:pPr>
            <w:r>
              <w:rPr>
                <w:rFonts w:ascii="Times New Roman" w:hAnsi="Times New Roman"/>
                <w:sz w:val="20"/>
              </w:rPr>
              <w:t>Olibia Stamatoglou</w:t>
            </w:r>
          </w:p>
        </w:tc>
        <w:tc>
          <w:tcPr>
            <w:tcW w:w="14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41</w:t>
            </w:r>
          </w:p>
        </w:tc>
        <w:tc>
          <w:tcPr>
            <w:tcW w:w="144" w:type="dxa"/>
            <w:tcBorders/>
            <w:shd w:fill="CCEEFF" w:val="clear"/>
            <w:vAlign w:val="bottom"/>
          </w:tcPr>
          <w:p>
            <w:pPr>
              <w:pStyle w:val="TableContents"/>
              <w:spacing w:before="0" w:after="283"/>
              <w:rPr/>
            </w:pPr>
            <w:r>
              <w:rPr/>
              <w:t>  </w:t>
            </w:r>
          </w:p>
        </w:tc>
        <w:tc>
          <w:tcPr>
            <w:tcW w:w="6338" w:type="dxa"/>
            <w:tcBorders/>
            <w:shd w:fill="CCEEFF" w:val="clear"/>
            <w:vAlign w:val="bottom"/>
          </w:tcPr>
          <w:p>
            <w:pPr>
              <w:pStyle w:val="TableContents"/>
              <w:spacing w:before="0" w:after="283"/>
              <w:rPr/>
            </w:pPr>
            <w:r>
              <w:rPr/>
              <w:t>Chief Financial Officer</w:t>
            </w:r>
          </w:p>
        </w:tc>
      </w:tr>
      <w:tr>
        <w:trPr/>
        <w:tc>
          <w:tcPr>
            <w:tcW w:w="3154" w:type="dxa"/>
            <w:tcBorders/>
            <w:shd w:fill="auto" w:val="clear"/>
          </w:tcPr>
          <w:p>
            <w:pPr>
              <w:pStyle w:val="TableContents"/>
              <w:spacing w:before="0" w:after="0"/>
              <w:rPr>
                <w:rFonts w:ascii="Times New Roman" w:hAnsi="Times New Roman"/>
                <w:sz w:val="20"/>
              </w:rPr>
            </w:pPr>
            <w:r>
              <w:rPr>
                <w:rFonts w:ascii="Times New Roman" w:hAnsi="Times New Roman"/>
                <w:sz w:val="20"/>
              </w:rPr>
              <w:t>Adrienne Harris</w:t>
            </w:r>
          </w:p>
        </w:tc>
        <w:tc>
          <w:tcPr>
            <w:tcW w:w="14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39</w:t>
            </w:r>
          </w:p>
        </w:tc>
        <w:tc>
          <w:tcPr>
            <w:tcW w:w="144" w:type="dxa"/>
            <w:tcBorders/>
            <w:shd w:fill="auto" w:val="clear"/>
            <w:vAlign w:val="bottom"/>
          </w:tcPr>
          <w:p>
            <w:pPr>
              <w:pStyle w:val="TableContents"/>
              <w:spacing w:before="0" w:after="283"/>
              <w:rPr/>
            </w:pPr>
            <w:r>
              <w:rPr/>
              <w:t>  </w:t>
            </w:r>
          </w:p>
        </w:tc>
        <w:tc>
          <w:tcPr>
            <w:tcW w:w="6338" w:type="dxa"/>
            <w:tcBorders/>
            <w:shd w:fill="auto" w:val="clear"/>
            <w:vAlign w:val="bottom"/>
          </w:tcPr>
          <w:p>
            <w:pPr>
              <w:pStyle w:val="TableContents"/>
              <w:spacing w:before="0" w:after="283"/>
              <w:rPr/>
            </w:pPr>
            <w:r>
              <w:rPr/>
              <w:t>Director</w:t>
            </w:r>
          </w:p>
        </w:tc>
      </w:tr>
      <w:tr>
        <w:trPr/>
        <w:tc>
          <w:tcPr>
            <w:tcW w:w="3154" w:type="dxa"/>
            <w:tcBorders/>
            <w:shd w:fill="CCEEFF" w:val="clear"/>
          </w:tcPr>
          <w:p>
            <w:pPr>
              <w:pStyle w:val="TableContents"/>
              <w:spacing w:before="0" w:after="0"/>
              <w:rPr>
                <w:rFonts w:ascii="Times New Roman" w:hAnsi="Times New Roman"/>
                <w:sz w:val="20"/>
              </w:rPr>
            </w:pPr>
            <w:r>
              <w:rPr>
                <w:rFonts w:ascii="Times New Roman" w:hAnsi="Times New Roman"/>
                <w:sz w:val="20"/>
              </w:rPr>
              <w:t>Kai Schmitz</w:t>
            </w:r>
          </w:p>
        </w:tc>
        <w:tc>
          <w:tcPr>
            <w:tcW w:w="14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52</w:t>
            </w:r>
          </w:p>
        </w:tc>
        <w:tc>
          <w:tcPr>
            <w:tcW w:w="144" w:type="dxa"/>
            <w:tcBorders/>
            <w:shd w:fill="CCEEFF" w:val="clear"/>
            <w:vAlign w:val="bottom"/>
          </w:tcPr>
          <w:p>
            <w:pPr>
              <w:pStyle w:val="TableContents"/>
              <w:spacing w:before="0" w:after="283"/>
              <w:rPr/>
            </w:pPr>
            <w:r>
              <w:rPr/>
              <w:t>  </w:t>
            </w:r>
          </w:p>
        </w:tc>
        <w:tc>
          <w:tcPr>
            <w:tcW w:w="6338" w:type="dxa"/>
            <w:tcBorders/>
            <w:shd w:fill="CCEEFF" w:val="clear"/>
            <w:vAlign w:val="bottom"/>
          </w:tcPr>
          <w:p>
            <w:pPr>
              <w:pStyle w:val="TableContents"/>
              <w:spacing w:before="0" w:after="283"/>
              <w:rPr/>
            </w:pPr>
            <w:r>
              <w:rPr/>
              <w:t>Director</w:t>
            </w:r>
          </w:p>
        </w:tc>
      </w:tr>
      <w:tr>
        <w:trPr/>
        <w:tc>
          <w:tcPr>
            <w:tcW w:w="3154" w:type="dxa"/>
            <w:tcBorders/>
            <w:shd w:fill="auto" w:val="clear"/>
          </w:tcPr>
          <w:p>
            <w:pPr>
              <w:pStyle w:val="TableContents"/>
              <w:spacing w:before="0" w:after="0"/>
              <w:rPr>
                <w:rFonts w:ascii="Times New Roman" w:hAnsi="Times New Roman"/>
                <w:sz w:val="20"/>
              </w:rPr>
            </w:pPr>
            <w:r>
              <w:rPr>
                <w:rFonts w:ascii="Times New Roman" w:hAnsi="Times New Roman"/>
                <w:sz w:val="20"/>
              </w:rPr>
              <w:t>Kurt Summers</w:t>
            </w:r>
          </w:p>
        </w:tc>
        <w:tc>
          <w:tcPr>
            <w:tcW w:w="14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41</w:t>
            </w:r>
          </w:p>
        </w:tc>
        <w:tc>
          <w:tcPr>
            <w:tcW w:w="144" w:type="dxa"/>
            <w:tcBorders/>
            <w:shd w:fill="auto" w:val="clear"/>
            <w:vAlign w:val="bottom"/>
          </w:tcPr>
          <w:p>
            <w:pPr>
              <w:pStyle w:val="TableContents"/>
              <w:spacing w:before="0" w:after="283"/>
              <w:rPr/>
            </w:pPr>
            <w:r>
              <w:rPr/>
              <w:t>  </w:t>
            </w:r>
          </w:p>
        </w:tc>
        <w:tc>
          <w:tcPr>
            <w:tcW w:w="6338" w:type="dxa"/>
            <w:tcBorders/>
            <w:shd w:fill="auto" w:val="clear"/>
            <w:vAlign w:val="bottom"/>
          </w:tcPr>
          <w:p>
            <w:pPr>
              <w:pStyle w:val="TableContents"/>
              <w:spacing w:before="0" w:after="283"/>
              <w:rPr/>
            </w:pPr>
            <w:r>
              <w:rPr/>
              <w:t>Director</w:t>
            </w:r>
          </w:p>
        </w:tc>
      </w:tr>
    </w:tbl>
    <w:p>
      <w:pPr>
        <w:pStyle w:val="TextBody"/>
        <w:spacing w:before="240" w:after="0"/>
        <w:jc w:val="left"/>
        <w:rPr>
          <w:rFonts w:ascii="Times New Roman" w:hAnsi="Times New Roman"/>
          <w:sz w:val="20"/>
        </w:rPr>
      </w:pPr>
      <w:r>
        <w:rPr>
          <w:rFonts w:ascii="Times New Roman" w:hAnsi="Times New Roman"/>
          <w:b/>
          <w:i/>
          <w:sz w:val="20"/>
        </w:rPr>
        <w:t>John Martin</w:t>
      </w:r>
      <w:r>
        <w:rPr>
          <w:rFonts w:ascii="Times New Roman" w:hAnsi="Times New Roman"/>
          <w:sz w:val="20"/>
        </w:rPr>
        <w:t xml:space="preserve"> has been the Chairman of the Board of Directors and Chief Executive Officer of VIH since its inception. Mr. Martin maintains over thirty years of investment experience and is a Senior Partner at Victory Park Capital Advisors, LLC (</w:t>
      </w:r>
      <w:r>
        <w:rPr>
          <w:rFonts w:ascii="Times New Roman" w:hAnsi="Times New Roman"/>
          <w:b/>
          <w:sz w:val="20"/>
        </w:rPr>
        <w:t>Victory Park</w:t>
      </w:r>
      <w:r>
        <w:rPr>
          <w:rFonts w:ascii="Times New Roman" w:hAnsi="Times New Roman"/>
          <w:sz w:val="20"/>
        </w:rPr>
        <w:t>).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w:t>
      </w:r>
      <w:r>
        <w:rPr>
          <w:rFonts w:ascii="Times New Roman" w:hAnsi="Times New Roman"/>
          <w:b/>
          <w:sz w:val="20"/>
        </w:rPr>
        <w:t>CPPIB</w:t>
      </w:r>
      <w:r>
        <w:rPr>
          <w:rFonts w:ascii="Times New Roman" w:hAnsi="Times New Roman"/>
          <w:sz w:val="20"/>
        </w:rPr>
        <w:t xml:space="preserve">)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 </w:t>
      </w:r>
    </w:p>
    <w:p>
      <w:pPr>
        <w:pStyle w:val="TextBody"/>
        <w:spacing w:before="240" w:after="0"/>
        <w:jc w:val="left"/>
        <w:rPr>
          <w:rFonts w:ascii="Times New Roman" w:hAnsi="Times New Roman"/>
          <w:sz w:val="20"/>
        </w:rPr>
      </w:pPr>
      <w:r>
        <w:rPr>
          <w:rFonts w:ascii="Times New Roman" w:hAnsi="Times New Roman"/>
          <w:b/>
          <w:i/>
          <w:sz w:val="20"/>
        </w:rPr>
        <w:t>Gordon Watson</w:t>
      </w:r>
      <w:r>
        <w:rPr>
          <w:rFonts w:ascii="Times New Roman" w:hAnsi="Times New Roman"/>
          <w:sz w:val="20"/>
        </w:rPr>
        <w:t xml:space="preserve"> has been President, Chief Operating Officer and Director of VIH since its inception. Mr. Watson joined Victory Park in 2014 and is currently a Partner. Mr. Watson is a member of Victory Parks investment committee and helps lead its Fintech investing team. Mr. Watson is the Investment Manager for VIH Specialty Lending Investments PLC (LSE: VSL), a Victory Park managed U.K. publicly listed investment trust focused on opportunities in the Fintech market.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 </w:t>
      </w:r>
    </w:p>
    <w:p>
      <w:pPr>
        <w:pStyle w:val="TextBody"/>
        <w:spacing w:before="240" w:after="0"/>
        <w:jc w:val="left"/>
        <w:rPr>
          <w:rFonts w:ascii="Times New Roman" w:hAnsi="Times New Roman"/>
          <w:sz w:val="20"/>
        </w:rPr>
      </w:pPr>
      <w:r>
        <w:rPr>
          <w:rFonts w:ascii="Times New Roman" w:hAnsi="Times New Roman"/>
          <w:b/>
          <w:i/>
          <w:sz w:val="20"/>
        </w:rPr>
        <w:t>Olibia Stamatoglou</w:t>
      </w:r>
      <w:r>
        <w:rPr>
          <w:rFonts w:ascii="Times New Roman" w:hAnsi="Times New Roman"/>
          <w:sz w:val="20"/>
        </w:rPr>
        <w:t xml:space="preserve"> has been Chief Financial Officer of VIH since its inception. Ms. Stamatoglou is the Chief Financial Officer and Chief Compliance Officer of Victory Park. Previously, Ms. Stamatoglou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Ms. Stamatoglou was recognized as one of Crains Notable Women in Finance for 2019. </w:t>
      </w:r>
    </w:p>
    <w:p>
      <w:pPr>
        <w:pStyle w:val="TextBody"/>
        <w:spacing w:before="240" w:after="0"/>
        <w:jc w:val="left"/>
        <w:rPr>
          <w:rFonts w:ascii="Times New Roman" w:hAnsi="Times New Roman"/>
          <w:sz w:val="20"/>
        </w:rPr>
      </w:pPr>
      <w:r>
        <w:rPr>
          <w:rFonts w:ascii="Times New Roman" w:hAnsi="Times New Roman"/>
          <w:b/>
          <w:i/>
          <w:sz w:val="20"/>
        </w:rPr>
        <w:t>Adrienne Harris</w:t>
      </w:r>
      <w:r>
        <w:rPr>
          <w:rFonts w:ascii="Times New Roman" w:hAnsi="Times New Roman"/>
          <w:sz w:val="20"/>
        </w:rPr>
        <w:t xml:space="preserve"> has been a director since September 2020. Ms. Harris is currently a Professor of the Practice and a Gates Foundation Senior Research Fellow with the Center for Finance, Law and Policy at the University of Michigan. Ms. Harris advises fintech companies, incumbent financial institutions and large venture capital firms, and currently serves on the Board of Directors of Financial Health Network, Beneficial State Bank, and Homie,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 From 2017 to 2019, Ms. Harris served as Chief Business Officer and General Counsel at States Title, Inc., where she currently serves as Advisor. From 2015 to 2017, Ms. Harris served as Special Assistant to the President for Economic Policy at the National 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 </w:t>
      </w:r>
    </w:p>
    <w:p>
      <w:pPr>
        <w:pStyle w:val="TextBody"/>
        <w:spacing w:before="240" w:after="0"/>
        <w:jc w:val="left"/>
        <w:rPr>
          <w:rFonts w:ascii="Times New Roman" w:hAnsi="Times New Roman"/>
          <w:sz w:val="20"/>
        </w:rPr>
      </w:pPr>
      <w:r>
        <w:rPr>
          <w:rFonts w:ascii="Times New Roman" w:hAnsi="Times New Roman"/>
          <w:b/>
          <w:i/>
          <w:sz w:val="20"/>
        </w:rPr>
        <w:t>Kai Schmitz</w:t>
      </w:r>
      <w:r>
        <w:rPr>
          <w:rFonts w:ascii="Times New Roman" w:hAnsi="Times New Roman"/>
          <w:sz w:val="20"/>
        </w:rPr>
        <w:t xml:space="preserve"> has been a director since September 2020. Mr. Schmitz is currently a Partner at Amadeus Capital, where he focuses on growth stage investments in Emerging Markets, 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 $600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 </w:t>
      </w:r>
    </w:p>
    <w:p>
      <w:pPr>
        <w:pStyle w:val="TextBody"/>
        <w:spacing w:before="240" w:after="0"/>
        <w:jc w:val="left"/>
        <w:rPr>
          <w:rFonts w:ascii="Times New Roman" w:hAnsi="Times New Roman"/>
          <w:sz w:val="20"/>
        </w:rPr>
      </w:pPr>
      <w:r>
        <w:rPr>
          <w:rFonts w:ascii="Times New Roman" w:hAnsi="Times New Roman"/>
          <w:b/>
          <w:i/>
          <w:sz w:val="20"/>
        </w:rPr>
        <w:t>Kurt Summers</w:t>
      </w:r>
      <w:r>
        <w:rPr>
          <w:rFonts w:ascii="Times New Roman" w:hAnsi="Times New Roman"/>
          <w:sz w:val="20"/>
        </w:rPr>
        <w:t xml:space="preserve"> has been a director since September 2020. Mr. Summers has twenty years of experience in both private and public sector finance. Mr. Summers is currently a Senior Advisor at 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 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 </w:t>
      </w:r>
    </w:p>
    <w:p>
      <w:pPr>
        <w:pStyle w:val="TextBody"/>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spacing w:before="120" w:after="0"/>
        <w:jc w:val="left"/>
        <w:rPr>
          <w:rFonts w:ascii="Times New Roman" w:hAnsi="Times New Roman"/>
          <w:b/>
          <w:i/>
          <w:sz w:val="20"/>
        </w:rPr>
      </w:pPr>
      <w:r>
        <w:rPr>
          <w:rFonts w:ascii="Times New Roman" w:hAnsi="Times New Roman"/>
          <w:b/>
          <w:i/>
          <w:sz w:val="20"/>
        </w:rPr>
        <w:t xml:space="preserve">Number, Terms of Office and Election of Officers and Directors </w:t>
      </w:r>
    </w:p>
    <w:p>
      <w:pPr>
        <w:pStyle w:val="TextBody"/>
        <w:spacing w:before="120" w:after="0"/>
        <w:jc w:val="left"/>
        <w:rPr>
          <w:rFonts w:ascii="Times New Roman" w:hAnsi="Times New Roman"/>
          <w:sz w:val="20"/>
        </w:rPr>
      </w:pPr>
      <w:r>
        <w:rPr>
          <w:rFonts w:ascii="Times New Roman" w:hAnsi="Times New Roman"/>
          <w:sz w:val="20"/>
        </w:rPr>
        <w:t xml:space="preserve">The VIH Board currently consists of five members. Holders of Public Shares do not have the right to vote on the election of directors during such time. These provisions of the Cayman Constitutional Documents may only be amended by a special resolution passed by at least 90% of the VIH Shares voting in an extraordinary general meeting. Each of the directors holds office for a two-year term. Subject to any other special rights applicable to the shareholders, any vacancies on the VIH Board may be filled by the affirmative vote of a majority of the directors present and voting at the meeting of the VIH Board or by a majority of the holders of the Founder Shares. </w:t>
      </w:r>
    </w:p>
    <w:p>
      <w:pPr>
        <w:pStyle w:val="TextBody"/>
        <w:spacing w:before="240" w:after="0"/>
        <w:jc w:val="left"/>
        <w:rPr>
          <w:rFonts w:ascii="Times New Roman" w:hAnsi="Times New Roman"/>
          <w:sz w:val="20"/>
        </w:rPr>
      </w:pPr>
      <w:r>
        <w:rPr>
          <w:rFonts w:ascii="Times New Roman" w:hAnsi="Times New Roman"/>
          <w:sz w:val="20"/>
        </w:rPr>
        <w:t xml:space="preserve">The officers of VIH are elected by the VIH Board and serve at the discretion of the VIH Board, rather than for specific terms of office. The VIH Board is authorized to appoint persons to the offices set forth in the Cayman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Constitutional Documents as it deems appropriate. The Cayman Constitutional Documents provide that the officers may consist of a Chairman, Chief Executive Officer, President, Chief Financial Officer, Vice Presidents, Secretary, Assistant Secretaries, Treasurer and such other offices as may be determined by the VIH Board. </w:t>
      </w:r>
    </w:p>
    <w:p>
      <w:pPr>
        <w:pStyle w:val="TextBody"/>
        <w:spacing w:before="240" w:after="0"/>
        <w:jc w:val="left"/>
        <w:rPr>
          <w:rFonts w:ascii="Times New Roman" w:hAnsi="Times New Roman"/>
          <w:sz w:val="20"/>
        </w:rPr>
      </w:pPr>
      <w:r>
        <w:rPr>
          <w:rFonts w:ascii="Times New Roman" w:hAnsi="Times New Roman"/>
          <w:sz w:val="20"/>
        </w:rPr>
        <w:t>The directors and officers following the Business Combination will be changed pursuant to the Merger Agreement as is described above under the section of this proxy statement/prospectus entitled </w:t>
      </w:r>
      <w:r>
        <w:rPr>
          <w:rFonts w:ascii="Times New Roman" w:hAnsi="Times New Roman"/>
          <w:i/>
          <w:sz w:val="20"/>
        </w:rPr>
        <w:t>Management of the Company Following the Business Combination</w:t>
      </w:r>
      <w:r>
        <w:rPr>
          <w:rFonts w:ascii="Times New Roman" w:hAnsi="Times New Roman"/>
          <w:sz w:val="20"/>
        </w:rPr>
        <w:t xml:space="preserve"> beginning on page 303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The Nasdaq listing standards require that a majority of the VIH Board be independent. An independent director is defined generally as a person who has no material relationship with the listed company (either directly or as a partner, shareholder or officer of an organization that has a relationship with the company). The VIH Board has determined that each of Adrienne Harris, Kai Schmitz and Kurt Summers is an independent director under applicable SEC and Nasdaq rules. The independent directors have regularly scheduled meetings at which only independent directors are present. </w:t>
      </w:r>
    </w:p>
    <w:p>
      <w:pPr>
        <w:pStyle w:val="TextBody"/>
        <w:spacing w:before="360" w:after="0"/>
        <w:jc w:val="left"/>
        <w:rPr>
          <w:rFonts w:ascii="Times New Roman" w:hAnsi="Times New Roman"/>
          <w:b/>
          <w:sz w:val="20"/>
        </w:rPr>
      </w:pPr>
      <w:r>
        <w:rPr>
          <w:rFonts w:ascii="Times New Roman" w:hAnsi="Times New Roman"/>
          <w:b/>
          <w:sz w:val="20"/>
        </w:rPr>
        <w:t xml:space="preserve">Officer and Director Compensation </w:t>
      </w:r>
    </w:p>
    <w:p>
      <w:pPr>
        <w:pStyle w:val="TextBody"/>
        <w:spacing w:before="120" w:after="0"/>
        <w:jc w:val="left"/>
        <w:rPr>
          <w:rFonts w:ascii="Times New Roman" w:hAnsi="Times New Roman"/>
          <w:sz w:val="20"/>
        </w:rPr>
      </w:pPr>
      <w:r>
        <w:rPr>
          <w:rFonts w:ascii="Times New Roman" w:hAnsi="Times New Roman"/>
          <w:sz w:val="20"/>
        </w:rPr>
        <w:t xml:space="preserve">None of the officers or directors of VIH has received any compensation for services rendered to VIH. Until the earlier of completion of an initial business combination and the liquidation of VIH, VIH will pay an affiliate of the Sponsor a total of $10,000 per month for office space, administrative and support services. The Sponsor, officers and directors, or any of their respective affiliates, will be reimbursed for any out-of-pocket expenses incurred in connection with activities on behalf of VIH, such as identifying potential target businesses and performing due diligence on suitable business combinations. The audit committee reviews on a quarterly basis all payments that were made to the Sponsor, officers, directors or VIHs or their affiliates.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the Company intends to adopt a non-employee director compensation policy and after the Closing, directors or members of the VIH management team who remain with the Company may be paid director compensation, consulting, management or other fees from the Company. All of these fees are fully disclosed to shareholders, to the extent then known, in this proxy statement/prospectus. However, it is unlikely the amount of such compensation will be known at the time such materials are distributed, because the directors of the post-combination business will be responsible for determining officer and director compensation. Any compensation to be paid to the officers will be determined by a compensation committee constituted solely by independent directors. </w:t>
      </w:r>
    </w:p>
    <w:p>
      <w:pPr>
        <w:pStyle w:val="TextBody"/>
        <w:spacing w:before="240" w:after="0"/>
        <w:jc w:val="left"/>
        <w:rPr>
          <w:rFonts w:ascii="Times New Roman" w:hAnsi="Times New Roman"/>
          <w:sz w:val="20"/>
        </w:rPr>
      </w:pPr>
      <w:r>
        <w:rPr>
          <w:rFonts w:ascii="Times New Roman" w:hAnsi="Times New Roman"/>
          <w:sz w:val="20"/>
        </w:rPr>
        <w:t xml:space="preserve">VIH does not intend to take any action to ensure that members of its management team maintain their positions with the Company after the completion of the Proposed Transaction, although it is possible that some or all of the officers and directors of VIH may negotiate employment or consulting arrangements to remain with the Company after the Business Combination. The existence or terms of any such employment or consulting arrangements to retain their positions with the Company may have influenced managements motivation in identifying or selecting Bakkt but VIH does not believe that the ability of its management to remain with the Company after the completion of the Proposed Transaction was a determining factor in the decision to proceed with the Business Combination. VIH is not party to any agreements with its officers or directors that provide for benefits upon termination of employment. </w:t>
      </w:r>
    </w:p>
    <w:p>
      <w:pPr>
        <w:pStyle w:val="TextBody"/>
        <w:spacing w:before="360" w:after="0"/>
        <w:jc w:val="left"/>
        <w:rPr>
          <w:rFonts w:ascii="Times New Roman" w:hAnsi="Times New Roman"/>
          <w:b/>
          <w:sz w:val="20"/>
        </w:rPr>
      </w:pPr>
      <w:r>
        <w:rPr>
          <w:rFonts w:ascii="Times New Roman" w:hAnsi="Times New Roman"/>
          <w:b/>
          <w:sz w:val="20"/>
        </w:rPr>
        <w:t xml:space="preserve">Committees of the VIH Board </w:t>
      </w:r>
    </w:p>
    <w:p>
      <w:pPr>
        <w:pStyle w:val="TextBody"/>
        <w:spacing w:before="120" w:after="0"/>
        <w:jc w:val="left"/>
        <w:rPr>
          <w:rFonts w:ascii="Times New Roman" w:hAnsi="Times New Roman"/>
          <w:sz w:val="20"/>
        </w:rPr>
      </w:pPr>
      <w:r>
        <w:rPr>
          <w:rFonts w:ascii="Times New Roman" w:hAnsi="Times New Roman"/>
          <w:sz w:val="20"/>
        </w:rPr>
        <w:t xml:space="preserve">The VIH Board currently has three standing committees: an audit committee, a compensation committee and a corporate governance committee. Each committee operates under a charter that has been approved by the VIH Board and has the composition and responsibilities described below.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VIH Board has established an Audit Committee. The members of the Audit Committee are Adrienne Harris, Kai Schmitz and Kurt Summers. Kai Schmitz serves as chairman of the audit committee. </w:t>
      </w:r>
    </w:p>
    <w:p>
      <w:pPr>
        <w:pStyle w:val="TextBody"/>
        <w:spacing w:before="240" w:after="0"/>
        <w:jc w:val="left"/>
        <w:rPr>
          <w:rFonts w:ascii="Times New Roman" w:hAnsi="Times New Roman"/>
          <w:sz w:val="20"/>
        </w:rPr>
      </w:pPr>
      <w:r>
        <w:rPr>
          <w:rFonts w:ascii="Times New Roman" w:hAnsi="Times New Roman"/>
          <w:sz w:val="20"/>
        </w:rPr>
        <w:t xml:space="preserve">Each member of the audit committee is financially literate and the VIH Board has determined that Mr. Summers qualifies as an audit committee financial expert as defined in applicable SEC rules. </w:t>
      </w:r>
    </w:p>
    <w:p>
      <w:pPr>
        <w:pStyle w:val="TextBody"/>
        <w:spacing w:before="240" w:after="0"/>
        <w:jc w:val="left"/>
        <w:rPr>
          <w:rFonts w:ascii="Times New Roman" w:hAnsi="Times New Roman"/>
          <w:sz w:val="20"/>
        </w:rPr>
      </w:pPr>
      <w:r>
        <w:rPr>
          <w:rFonts w:ascii="Times New Roman" w:hAnsi="Times New Roman"/>
          <w:sz w:val="20"/>
        </w:rPr>
        <w:t xml:space="preserve">VIH has adopted an audit committee charter, which details the principal functions of the audit committee,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assisting board oversight of (1) the integrity of VIHs financial statements, (2) VIHs compliance with legal and regulatory requirements, (3) VIHs independent registered public accounting firms qualifications and independence, and (4) the performance of VIHs internal audit function and independent registered public accounting firm; the appointment, compensation, retention, replacement, and oversight of the work of the independent registered public accounting firm and any other independent registered public accounting firm engaged by VIH;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pre-approving all audit and non-audit services to be provided by the independent auditors or any other registered public accounting firm engaged by VIH, and establishing pre-approval policies and procedures; reviewing and discussing with the independent registered public accounting firm all relationships the firm has with VIH in order to evaluate their continued independence;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meeting to review and discuss VIHs annual audited financial statements and quarterly financial statements with management and the independent auditor, including reviewing VIHs specific disclosures under Managements Discussion and Analysis of Financial Condition and Results of Operations; reviewing and approving any related party transaction required to be disclosed pursuant to Item 404 of Regulation S-K promulgated by the SEC prior to VIH entering into such transaction;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with management, the independent registered public accounting firm, and VIH legal advisors, as appropriate, any legal, regulatory or compliance matters, including any correspondence with regulators or government agencies and any employee complaints or published reports that raise material issues regarding VIHs financial statements or accounting policies and any significant changes in accounting standards or rules promulgated by the Financial Accounting Standards Board, the SEC or other regulatory authorities.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The VIH Board has established a Compensation Committee. The members of the Compensation Committee are Adrienne Harris and Kurt Summers. Mr. Summers serves as chairman of the compensation committee. VIH has adopted a compensation committee charter, which details the principal functions of the compensation committee,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on an annual basis the corporate goals and objectives relevant to the Chief Executive Officers compensation, evaluating the Chief Executive Officers performance in light of such goals and objectives and determining and approving the remuneration (if any) of the Chief Executive Officers based on such evaluation;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the VIH Board with respect to the compensation, and any incentive compensation and equity based plans that are subject to board approval of all other officers;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executive compensation policies and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implementing and administering incentive compensation equity-based remuneration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assisting management in complying with proxy statement and annual report disclosure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approving all special perquisites, special cash payments and other special compensation and benefit arrangements for officers and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producing a report on executive compensation to be included in the annual proxy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evaluating and recommending changes, if appropriate, to the remuneration for directors. </w:t>
            </w:r>
          </w:p>
        </w:tc>
      </w:tr>
    </w:tbl>
    <w:p>
      <w:pPr>
        <w:pStyle w:val="TextBody"/>
        <w:spacing w:before="240" w:after="0"/>
        <w:jc w:val="left"/>
        <w:rPr>
          <w:rFonts w:ascii="Times New Roman" w:hAnsi="Times New Roman"/>
          <w:sz w:val="20"/>
        </w:rPr>
      </w:pPr>
      <w:r>
        <w:rPr>
          <w:rFonts w:ascii="Times New Roman" w:hAnsi="Times New Roman"/>
          <w:sz w:val="20"/>
        </w:rPr>
        <w:t xml:space="preserve">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 </w:t>
      </w:r>
    </w:p>
    <w:p>
      <w:pPr>
        <w:pStyle w:val="TextBody"/>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The VIH Board has established a Nominating and Corporate Governance Committee. The members of the Nominating and Corporate Governance Committee are Adrienne Harris, Kai Schmitz and Kurt Summers. Ms. Harris serves as chair of the Nominating and Corporate Governance Committee. VIH has adopted a Nominating and Corporate Governance Committee charter, which details the principal functions of the Nominating and Corporate Governance Committee,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screening and reviewing individuals qualified to serve as directors, consistent with criteria approved by the VIH Board, and recommending to the VIH Board candidates for nomination for election at the annual general meeting or to fill vacancies on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the VIH Board and overseeing implementation of corporate governance guidelines;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coordinating and overseeing the annual self-evaluation of the VIH Board, its committees, individual directors and management in the governance of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on a regular basis our overall corporate governance and recommending improvements as and when necessary. </w:t>
            </w:r>
          </w:p>
        </w:tc>
      </w:tr>
    </w:tbl>
    <w:p>
      <w:pPr>
        <w:pStyle w:val="TextBody"/>
        <w:spacing w:before="240" w:after="0"/>
        <w:jc w:val="left"/>
        <w:rPr>
          <w:rFonts w:ascii="Times New Roman" w:hAnsi="Times New Roman"/>
          <w:sz w:val="20"/>
        </w:rPr>
      </w:pPr>
      <w:r>
        <w:rPr>
          <w:rFonts w:ascii="Times New Roman" w:hAnsi="Times New Roman"/>
          <w:sz w:val="20"/>
        </w:rPr>
        <w:t xml:space="preserve">The charter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 In general, in identifying and evaluating nominees for directors, the VIH Board considers educational background, diversity of professional experience, knowledge of VIHs business, integrity, professional reputation, independence, wisdom, and the ability to represent the best interests of VIH shareholders.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None of the officers of VIH currently serves, and in the past year has not served, (a) as a member of the compensation committee or the board of directors of another entity, one of whose officers served on the compensation committee, or (b) as a member of the compensation committee of another entity, one of whose officers served on the VIH Board. </w:t>
      </w:r>
    </w:p>
    <w:p>
      <w:pPr>
        <w:pStyle w:val="TextBody"/>
        <w:spacing w:before="360" w:after="0"/>
        <w:jc w:val="left"/>
        <w:rPr>
          <w:rFonts w:ascii="Times New Roman" w:hAnsi="Times New Roman"/>
          <w:b/>
          <w:sz w:val="20"/>
        </w:rPr>
      </w:pPr>
      <w:r>
        <w:rPr>
          <w:rFonts w:ascii="Times New Roman" w:hAnsi="Times New Roman"/>
          <w:b/>
          <w:sz w:val="20"/>
        </w:rPr>
        <w:t xml:space="preserve">Code of Ethics </w:t>
      </w:r>
    </w:p>
    <w:p>
      <w:pPr>
        <w:pStyle w:val="TextBody"/>
        <w:spacing w:before="120" w:after="0"/>
        <w:jc w:val="left"/>
        <w:rPr>
          <w:rFonts w:ascii="Times New Roman" w:hAnsi="Times New Roman"/>
          <w:sz w:val="20"/>
        </w:rPr>
      </w:pPr>
      <w:r>
        <w:rPr>
          <w:rFonts w:ascii="Times New Roman" w:hAnsi="Times New Roman"/>
          <w:sz w:val="20"/>
        </w:rPr>
        <w:t xml:space="preserve">VIH has adopted a Code of Ethics applicable to its directors, officers and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to Obtain the Code of Ethics and Committee Charters </w:t>
      </w:r>
    </w:p>
    <w:p>
      <w:pPr>
        <w:pStyle w:val="TextBody"/>
        <w:spacing w:before="120" w:after="0"/>
        <w:jc w:val="left"/>
        <w:rPr>
          <w:rFonts w:ascii="Times New Roman" w:hAnsi="Times New Roman"/>
          <w:sz w:val="20"/>
        </w:rPr>
      </w:pPr>
      <w:r>
        <w:rPr>
          <w:rFonts w:ascii="Times New Roman" w:hAnsi="Times New Roman"/>
          <w:sz w:val="20"/>
        </w:rPr>
        <w:t xml:space="preserve">VIH has filed copies of its Code of Ethics, Audit Committee charter, Compensation Committee charter and Nominating and Corporate Governance Committee charter as exhibits to its registration statement filed in connection with its IPO. You may review these documents by accessing its public filings at the SECs website at </w:t>
      </w:r>
      <w:r>
        <w:rPr>
          <w:rFonts w:ascii="Times New Roman" w:hAnsi="Times New Roman"/>
          <w:i/>
          <w:sz w:val="20"/>
        </w:rPr>
        <w:t>www.sec.gov</w:t>
      </w:r>
      <w:r>
        <w:rPr>
          <w:rFonts w:ascii="Times New Roman" w:hAnsi="Times New Roman"/>
          <w:sz w:val="20"/>
        </w:rPr>
        <w:t>. In addition, a copy of the Code of Ethics will be provided without charge upon request from us. See the section entitled </w:t>
      </w:r>
      <w:r>
        <w:rPr>
          <w:rFonts w:ascii="Times New Roman" w:hAnsi="Times New Roman"/>
          <w:i/>
          <w:sz w:val="20"/>
        </w:rPr>
        <w:t>Where You Can Find More Information</w:t>
      </w:r>
      <w:r>
        <w:rPr>
          <w:rFonts w:ascii="Times New Roman" w:hAnsi="Times New Roman"/>
          <w:sz w:val="20"/>
        </w:rPr>
        <w:t xml:space="preserve"> beginning on page 321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3" w:name="toc108105_23"/>
      <w:bookmarkEnd w:id="83"/>
      <w:r>
        <w:rPr>
          <w:rFonts w:ascii="Times New Roman" w:hAnsi="Times New Roman"/>
          <w:b/>
          <w:sz w:val="20"/>
        </w:rPr>
        <w:t xml:space="preserve">MANAGEMENTS DISCUSSION AND ANALYSIS OF FINANCIAL CONDITION </w:t>
      </w:r>
    </w:p>
    <w:p>
      <w:pPr>
        <w:pStyle w:val="TextBody"/>
        <w:spacing w:before="0" w:after="0"/>
        <w:jc w:val="center"/>
        <w:rPr>
          <w:rFonts w:ascii="Times New Roman" w:hAnsi="Times New Roman"/>
          <w:b/>
          <w:sz w:val="20"/>
        </w:rPr>
      </w:pPr>
      <w:r>
        <w:rPr>
          <w:rFonts w:ascii="Times New Roman" w:hAnsi="Times New Roman"/>
          <w:b/>
          <w:sz w:val="20"/>
        </w:rPr>
        <w:t xml:space="preserve">AND RESULTS OF OPERATIONS OF VIH </w:t>
      </w:r>
    </w:p>
    <w:p>
      <w:pPr>
        <w:pStyle w:val="TextBody"/>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spacing w:before="120" w:after="0"/>
        <w:jc w:val="left"/>
        <w:rPr>
          <w:rFonts w:ascii="Times New Roman" w:hAnsi="Times New Roman"/>
          <w:sz w:val="20"/>
        </w:rPr>
      </w:pPr>
      <w:r>
        <w:rPr>
          <w:rFonts w:ascii="Times New Roman" w:hAnsi="Times New Roman"/>
          <w:sz w:val="20"/>
        </w:rPr>
        <w:t xml:space="preserve">All statements other than statements of historical fact included in this section regarding VIHs financial position, business strategy and the plans and objectives of management for future operations, are forward-looking statements. When used in this section, words such as anticipate, believe, estimate, expect, intend and similar expressions, as they relate to us or VIHs management, identify forward-looking statements. Such forward-looking statements are based on the beliefs of management, as well as assumptions made by, and information currently available to, VIHs management. Actual results could differ materially from those contemplated by the forward- looking statements as a result of certain factors detailed in our filings with the SEC. All subsequent written or oral forward-looking statements attributable to us or persons acting on VIHs behalf are qualified in their entirety by this paragraph. </w:t>
      </w:r>
    </w:p>
    <w:p>
      <w:pPr>
        <w:pStyle w:val="TextBody"/>
        <w:spacing w:before="36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VIH is a blank check company incorporated on July 31, 2020 as a Cayman Islands exempted company incorporated for the purpose of effecting a Business Combination. VIH intends to effectuate its initial Business Combination using cash from the proceeds of the IPO and the private placement of the Private Placement Warrants, the proceeds of the sale of its securities in connection with an initial business combination (pursuant to forward purchase agreements or backstop agreements it may enter into in connection with an initial business combination), shares issued to the owners of the target, debt issued to bank or other lenders or the owners of the target, other securities issuances, or a combination of the foregoing IPO and sale of the private placement warrants, VIH shares, debt or a combination of cash, equity and debt. </w:t>
      </w:r>
    </w:p>
    <w:p>
      <w:pPr>
        <w:pStyle w:val="TextBody"/>
        <w:spacing w:before="240" w:after="0"/>
        <w:jc w:val="left"/>
        <w:rPr>
          <w:rFonts w:ascii="Times New Roman" w:hAnsi="Times New Roman"/>
          <w:sz w:val="20"/>
        </w:rPr>
      </w:pPr>
      <w:r>
        <w:rPr>
          <w:rFonts w:ascii="Times New Roman" w:hAnsi="Times New Roman"/>
          <w:sz w:val="20"/>
        </w:rPr>
        <w:t xml:space="preserve">VIH expects to continue to incur significant costs in the pursuit of its acquisition plans. VIH cannot assure you that its plans to complete a Business Combination will be successful. </w:t>
      </w:r>
    </w:p>
    <w:p>
      <w:pPr>
        <w:pStyle w:val="TextBody"/>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spacing w:before="120" w:after="0"/>
        <w:jc w:val="left"/>
        <w:rPr>
          <w:rFonts w:ascii="Times New Roman" w:hAnsi="Times New Roman"/>
          <w:i/>
          <w:sz w:val="20"/>
        </w:rPr>
      </w:pPr>
      <w:r>
        <w:rPr>
          <w:rFonts w:ascii="Times New Roman" w:hAnsi="Times New Roman"/>
          <w:i/>
          <w:sz w:val="20"/>
        </w:rPr>
        <w:t xml:space="preserve">Agreement For Business Combination </w:t>
      </w:r>
    </w:p>
    <w:p>
      <w:pPr>
        <w:pStyle w:val="TextBody"/>
        <w:spacing w:before="120" w:after="0"/>
        <w:jc w:val="left"/>
        <w:rPr>
          <w:rFonts w:ascii="Times New Roman" w:hAnsi="Times New Roman"/>
          <w:sz w:val="20"/>
        </w:rPr>
      </w:pPr>
      <w:r>
        <w:rPr>
          <w:rFonts w:ascii="Times New Roman" w:hAnsi="Times New Roman"/>
          <w:sz w:val="20"/>
        </w:rPr>
        <w:t xml:space="preserve">On January 11, 2021, VIH entered into the Merger Agreement, as amended by the Amendment to Agreement and Plan of Merger, dated as of March 30, 2021, with the Merger Sub and Bakkt. The Merger Agreement provides that, among other things and upon the terms and subject to the conditions thereof, the following Proposed Transaction: (i) at the Closing, in accordance with the DLLCA, the Merger with and into Bakkt will occur, the separate corporate existence of Merger Sub will cease and Bakkt will be the surviving limited liability company, to be renamed Bakkt Opco Holdings, LLC; (ii) immediately prior to the closing of the PIPE Investment (as defined below) and the effective time of the Merger, in connection with the Domestication described below, the Company will be renamed Bakkt Holdings, Inc.; and (iii) as a result of the Merger, the aggregate consideration to be received in respect of the Merger by all of the Bakkt interest holders will be an aggregate of 208,200,000 Bakkt Opco Units and 208,200,000 shares of class V common stock of Bakkt PubCo, which will be non-economic, voting shares of Bakkt Pubco. </w:t>
      </w:r>
    </w:p>
    <w:p>
      <w:pPr>
        <w:pStyle w:val="TextBody"/>
        <w:spacing w:before="240" w:after="0"/>
        <w:jc w:val="left"/>
        <w:rPr>
          <w:rFonts w:ascii="Times New Roman" w:hAnsi="Times New Roman"/>
          <w:sz w:val="20"/>
        </w:rPr>
      </w:pPr>
      <w:r>
        <w:rPr>
          <w:rFonts w:ascii="Times New Roman" w:hAnsi="Times New Roman"/>
          <w:sz w:val="20"/>
        </w:rPr>
        <w:t xml:space="preserve">The board of directors of VIH has unanimously (i) approved and declared advisable the Merger Agreement, the Proposed Transaction and the other transactions contemplated thereby and (ii) resolved to recommend approval of the Merger Agreement and related matters by the shareholders of VIH. </w:t>
      </w:r>
    </w:p>
    <w:p>
      <w:pPr>
        <w:pStyle w:val="TextBody"/>
        <w:spacing w:before="240" w:after="0"/>
        <w:jc w:val="left"/>
        <w:rPr>
          <w:rFonts w:ascii="Times New Roman" w:hAnsi="Times New Roman"/>
          <w:sz w:val="20"/>
        </w:rPr>
      </w:pPr>
      <w:r>
        <w:rPr>
          <w:rFonts w:ascii="Times New Roman" w:hAnsi="Times New Roman"/>
          <w:sz w:val="20"/>
        </w:rPr>
        <w:t xml:space="preserve">Prior to the Closing, subject to the approval of our shareholders, and in accordance with the DGCL, the CICA and VIHs amended and restated memorandum and articles of association, VIH will effect a Domestication and be renamed Bakkt Holdings, Inc.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Bakkt Equity Holders. </w:t>
      </w:r>
    </w:p>
    <w:p>
      <w:pPr>
        <w:pStyle w:val="TextBody"/>
        <w:spacing w:before="240" w:after="0"/>
        <w:jc w:val="left"/>
        <w:rPr>
          <w:rFonts w:ascii="Times New Roman" w:hAnsi="Times New Roman"/>
          <w:sz w:val="20"/>
        </w:rPr>
      </w:pPr>
      <w:r>
        <w:rPr>
          <w:rFonts w:ascii="Times New Roman" w:hAnsi="Times New Roman"/>
          <w:sz w:val="20"/>
        </w:rPr>
        <w:t xml:space="preserve">On January 11, 2021, concurrently with the execution of the Merger Agreement, we entered into subscription agreements the PIPE Investors which include certain existing equity holders of the Company and Bakkt), pursuant to, and on the terms and subject to the conditions of which, the PIPE Investors, which include certain existing equity holders of the Company and Bakkt, have collectively subscribed for 32,500,000 Bakkt Pubco Class A Shares for an aggregate purchase price equal to $325,000,000 (the PIPE Investment). </w:t>
      </w:r>
    </w:p>
    <w:p>
      <w:pPr>
        <w:pStyle w:val="TextBody"/>
        <w:spacing w:before="240" w:after="0"/>
        <w:jc w:val="left"/>
        <w:rPr>
          <w:rFonts w:ascii="Times New Roman" w:hAnsi="Times New Roman"/>
          <w:sz w:val="20"/>
        </w:rPr>
      </w:pPr>
      <w:r>
        <w:rPr>
          <w:rFonts w:ascii="Times New Roman" w:hAnsi="Times New Roman"/>
          <w:sz w:val="20"/>
        </w:rPr>
        <w:t xml:space="preserve">The consummation of the proposed business combination described herein is subject to certain conditions as further described in the Merger Agreement. </w:t>
      </w:r>
    </w:p>
    <w:p>
      <w:pPr>
        <w:pStyle w:val="TextBody"/>
        <w:spacing w:before="240" w:after="0"/>
        <w:jc w:val="left"/>
        <w:rPr>
          <w:rFonts w:ascii="Times New Roman" w:hAnsi="Times New Roman"/>
          <w:sz w:val="20"/>
        </w:rPr>
      </w:pPr>
      <w:r>
        <w:rPr>
          <w:rFonts w:ascii="Times New Roman" w:hAnsi="Times New Roman"/>
          <w:sz w:val="20"/>
        </w:rPr>
        <w:t xml:space="preserve">For more information about the Merger Agreement and the proposed business combination, see VIHs Current Report on Form 8-K filed with the SEC on January 11, 2021 (File No. 001-39544).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VIH has neither engaged in any operations (other than searching for a Business Combination after its IPO) nor generated any revenues to date. VIHs only activities from inception to December 31, 2020 were organizational activities, those necessary to prepare for the IPO, described below, and, after the IPO, identifying a target company for a business combination. VIH does not expect to generate any operating revenues until after the completion of the Business Combination. VIH generates non-operating income in the form of interest income on marketable securities held in the Trust Account. VIH incurs expenses as a result of being a public company (for legal, financial reporting, accounting and auditing compliance), as well as for due diligence expenses in connection with completing a Business Combination. </w:t>
      </w:r>
    </w:p>
    <w:p>
      <w:pPr>
        <w:pStyle w:val="TextBody"/>
        <w:spacing w:before="240" w:after="0"/>
        <w:jc w:val="left"/>
        <w:rPr>
          <w:rFonts w:ascii="Times New Roman" w:hAnsi="Times New Roman"/>
          <w:sz w:val="20"/>
        </w:rPr>
      </w:pPr>
      <w:r>
        <w:rPr>
          <w:rFonts w:ascii="Times New Roman" w:hAnsi="Times New Roman"/>
          <w:sz w:val="20"/>
        </w:rPr>
        <w:t xml:space="preserve">For the period from July 31, 2020 (inception) through December 31, 2020, VIH had a net loss of $1,002,669, which consisted of formation and operating expenses of $1,006,862, offset by interest earned on marketable securities held in the Trust Account of $4,193. </w:t>
      </w:r>
    </w:p>
    <w:p>
      <w:pPr>
        <w:pStyle w:val="TextBody"/>
        <w:spacing w:before="360" w:after="0"/>
        <w:jc w:val="left"/>
        <w:rPr>
          <w:rFonts w:ascii="Times New Roman" w:hAnsi="Times New Roman"/>
          <w:b/>
          <w:sz w:val="20"/>
        </w:rPr>
      </w:pPr>
      <w:bookmarkStart w:id="84" w:name="14f"/>
      <w:bookmarkEnd w:id="84"/>
      <w:r>
        <w:rPr>
          <w:rFonts w:ascii="Times New Roman" w:hAnsi="Times New Roman"/>
          <w:b/>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Until the consummation of the IPO, VIHs only source of liquidity was an initial purchase of VIH Shares by the Sponsor and loans from the Sponsor. </w:t>
      </w:r>
    </w:p>
    <w:p>
      <w:pPr>
        <w:pStyle w:val="TextBody"/>
        <w:spacing w:before="240" w:after="0"/>
        <w:jc w:val="left"/>
        <w:rPr>
          <w:rFonts w:ascii="Times New Roman" w:hAnsi="Times New Roman"/>
          <w:sz w:val="20"/>
        </w:rPr>
      </w:pPr>
      <w:r>
        <w:rPr>
          <w:rFonts w:ascii="Times New Roman" w:hAnsi="Times New Roman"/>
          <w:sz w:val="20"/>
        </w:rPr>
        <w:t xml:space="preserve">On September 25, 2020, VIH consummated its IPO of 20,000,000 VIH Units, at a price of $10.00 per VIH Unit, generating gross proceeds of $200,000,000. Simultaneously with the closing of the IPO, VIH consummated the sale of 6,000,000 Private Placement Warrants to the Sponsor at a price of $1.00 per Private Placement Warrant generating gross proceeds of $6,000,000. </w:t>
      </w:r>
    </w:p>
    <w:p>
      <w:pPr>
        <w:pStyle w:val="TextBody"/>
        <w:spacing w:before="240" w:after="0"/>
        <w:jc w:val="left"/>
        <w:rPr>
          <w:rFonts w:ascii="Times New Roman" w:hAnsi="Times New Roman"/>
          <w:sz w:val="20"/>
        </w:rPr>
      </w:pPr>
      <w:r>
        <w:rPr>
          <w:rFonts w:ascii="Times New Roman" w:hAnsi="Times New Roman"/>
          <w:sz w:val="20"/>
        </w:rPr>
        <w:t xml:space="preserve">Following the IPO and the sale of the Private Placement Warrants, a total of $200,000,000 was placed in the Trust Account, and VIH had $1,205,178 of cash held outside of the Trust Account, after payment of costs related to the IPO, and available for working capital purposes. VIH incurred $11,501,146 in transaction costs, including $4,000,000 of underwriting fees, $7,000,000 of deferred underwriting fees and $501,146 of other offering costs. </w:t>
      </w:r>
    </w:p>
    <w:p>
      <w:pPr>
        <w:pStyle w:val="TextBody"/>
        <w:spacing w:before="0" w:after="0"/>
        <w:jc w:val="left"/>
        <w:rPr>
          <w:rFonts w:ascii="Times New Roman" w:hAnsi="Times New Roman"/>
          <w:sz w:val="20"/>
        </w:rPr>
      </w:pPr>
      <w:r>
        <w:rPr>
          <w:rFonts w:ascii="Times New Roman" w:hAnsi="Times New Roman"/>
          <w:sz w:val="20"/>
        </w:rPr>
        <w:t xml:space="preserve">On October 1, 2020, in connection with the underwriters election to partially exercise of their over-allotment option, VIH consummated the sale of an additional 737,202 VIH Units and the sale of an additional 147,440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Private Placement Warrants, generating total gross proceeds of $7,519,460. A total of $7,372,020 of the net proceeds (including $258,021 of deferred underwriting fees) was deposited into the Trust Account, bringing the aggregate proceeds held in the Trust Account to $207,372,020. We incurred $11,906,606 in transaction costs, including $4,147,440 of underwriting fees, $7,258,021 of deferred underwriting fees and $501,146 of other offering costs. </w:t>
      </w:r>
    </w:p>
    <w:p>
      <w:pPr>
        <w:pStyle w:val="TextBody"/>
        <w:spacing w:before="240" w:after="0"/>
        <w:jc w:val="left"/>
        <w:rPr>
          <w:rFonts w:ascii="Times New Roman" w:hAnsi="Times New Roman"/>
          <w:sz w:val="20"/>
        </w:rPr>
      </w:pPr>
      <w:r>
        <w:rPr>
          <w:rFonts w:ascii="Times New Roman" w:hAnsi="Times New Roman"/>
          <w:sz w:val="20"/>
        </w:rPr>
        <w:t xml:space="preserve">For the period from July 31, 2020 (inception) through December 31, 2020, net cash used in operating activities was $341,800, which consisted of VIHs net loss of $1,002,669, interest earned on investments of $4,193, formation expenses paid by the Sponsor of $6,606 and changes in operating assets and liabilities, which used $658,456 of cash from operating activities. </w:t>
      </w:r>
    </w:p>
    <w:p>
      <w:pPr>
        <w:pStyle w:val="TextBody"/>
        <w:spacing w:before="240" w:after="0"/>
        <w:jc w:val="left"/>
        <w:rPr>
          <w:rFonts w:ascii="Times New Roman" w:hAnsi="Times New Roman"/>
          <w:sz w:val="20"/>
        </w:rPr>
      </w:pPr>
      <w:r>
        <w:rPr>
          <w:rFonts w:ascii="Times New Roman" w:hAnsi="Times New Roman"/>
          <w:sz w:val="20"/>
        </w:rPr>
        <w:t xml:space="preserve">On December 31, 2020, VIH had investments held in the Trust Account of $207,376,213. VIH intends to use substantially all of the funds held in the Trust Account, including any amounts representing interest earned on the Trust Account, which interest shall be net of taxes payable and excluding deferred underwriting commissions, to complete a Business Combination. VIH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 </w:t>
      </w:r>
    </w:p>
    <w:p>
      <w:pPr>
        <w:pStyle w:val="TextBody"/>
        <w:spacing w:before="240" w:after="0"/>
        <w:jc w:val="left"/>
        <w:rPr>
          <w:rFonts w:ascii="Times New Roman" w:hAnsi="Times New Roman"/>
          <w:sz w:val="20"/>
        </w:rPr>
      </w:pPr>
      <w:r>
        <w:rPr>
          <w:rFonts w:ascii="Times New Roman" w:hAnsi="Times New Roman"/>
          <w:sz w:val="20"/>
        </w:rPr>
        <w:t xml:space="preserve">On December 31, 2020, VIH had cash of $1,177,678 held outside of the Trust Account. VIH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w:t>
      </w:r>
    </w:p>
    <w:p>
      <w:pPr>
        <w:pStyle w:val="TextBody"/>
        <w:spacing w:before="240" w:after="0"/>
        <w:jc w:val="left"/>
        <w:rPr>
          <w:rFonts w:ascii="Times New Roman" w:hAnsi="Times New Roman"/>
          <w:sz w:val="20"/>
        </w:rPr>
      </w:pPr>
      <w:r>
        <w:rPr>
          <w:rFonts w:ascii="Times New Roman" w:hAnsi="Times New Roman"/>
          <w:sz w:val="20"/>
        </w:rPr>
        <w:t xml:space="preserve">In order to fund working capital deficiencies or finance transaction costs in connection with a Business Combination, the Sponsor or an affiliate of the Sponsor or certain of VIHs officers and directors may, but are not obligated to, loan VIH funds, as may be required. If VIH completes a Business Combination, VIH may repay such loaned amounts out of the proceeds of the Trust Account released to VIH. In the event that a Business Combination does not close, VIH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The warrants would be identical to the Private Placement Warrants. </w:t>
      </w:r>
    </w:p>
    <w:p>
      <w:pPr>
        <w:pStyle w:val="TextBody"/>
        <w:spacing w:before="240" w:after="0"/>
        <w:jc w:val="left"/>
        <w:rPr>
          <w:rFonts w:ascii="Times New Roman" w:hAnsi="Times New Roman"/>
          <w:sz w:val="20"/>
        </w:rPr>
      </w:pPr>
      <w:r>
        <w:rPr>
          <w:rFonts w:ascii="Times New Roman" w:hAnsi="Times New Roman"/>
          <w:sz w:val="20"/>
        </w:rPr>
        <w:t xml:space="preserve">VIH does not believe it will need to raise additional funds in order to meet the expenditures required for operating its business. However, if VIHs estimate of the costs of identifying a target business, undertaking in-depth due diligence and negotiating a Business Combination are less than the actual amount necessary to do so, VIH may have insufficient funds available to operate its business prior to the initial Business Combination. Moreover, VIH may need to obtain additional financing either to complete the Business Combination or because VIH becomes obligated to redeem a significant number of its Public Shares upon completion of the Proposed Transaction, in which case VIH may issue additional securities or incur debt in connection with such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Off-Balance Sheet Financing Arrangements </w:t>
      </w:r>
    </w:p>
    <w:p>
      <w:pPr>
        <w:pStyle w:val="TextBody"/>
        <w:spacing w:before="120" w:after="0"/>
        <w:jc w:val="left"/>
        <w:rPr>
          <w:rFonts w:ascii="Times New Roman" w:hAnsi="Times New Roman"/>
          <w:sz w:val="20"/>
        </w:rPr>
      </w:pPr>
      <w:r>
        <w:rPr>
          <w:rFonts w:ascii="Times New Roman" w:hAnsi="Times New Roman"/>
          <w:sz w:val="20"/>
        </w:rPr>
        <w:t xml:space="preserve">VIH has no obligations, assets or liabilities, which would be considered off-balance sheet arrangements as of December 31, 2020. VIH does not participate in transactions that create relationships with unconsolidated entities or financial partnerships, often referred to as variable interest entities, which would have been established for the purpose of facilitating off-balance sheet arrangements. VIH has not entered into any off-balance sheet financing arrangements, established any special purpose entities, guaranteed any debt or commitments of other entities, or purchased any non-financial assets.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Contractual Obligations </w:t>
      </w:r>
    </w:p>
    <w:p>
      <w:pPr>
        <w:pStyle w:val="TextBody"/>
        <w:spacing w:before="120" w:after="0"/>
        <w:jc w:val="left"/>
        <w:rPr>
          <w:rFonts w:ascii="Times New Roman" w:hAnsi="Times New Roman"/>
          <w:sz w:val="20"/>
        </w:rPr>
      </w:pPr>
      <w:r>
        <w:rPr>
          <w:rFonts w:ascii="Times New Roman" w:hAnsi="Times New Roman"/>
          <w:sz w:val="20"/>
        </w:rPr>
        <w:t xml:space="preserve">VIH does not have any long-term debt obligations, capital lease obligations, operating lease obligations, purchase obligations or long-term liabilities, other than an agreement to pay the Sponsor a monthly fee of $10,000 for office space, utilities, secretarial and administrative support services, provided to VIH. VIH began incurring these fees on September 25, 2020 and will continue to incur these fees monthly until the earlier of the completion of a Business Combination and VIHs liquidation. </w:t>
      </w:r>
    </w:p>
    <w:p>
      <w:pPr>
        <w:pStyle w:val="TextBody"/>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underwriters were paid a cash underwriting discount of $0.20 per VIH Unit, or $4,147,440.40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VIH completes a business combination, subject to the terms of the underwriting agreement. </w:t>
      </w:r>
    </w:p>
    <w:p>
      <w:pPr>
        <w:pStyle w:val="TextBody"/>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spacing w:before="120" w:after="0"/>
        <w:jc w:val="left"/>
        <w:rPr>
          <w:rFonts w:ascii="Times New Roman" w:hAnsi="Times New Roman"/>
          <w:sz w:val="20"/>
        </w:rPr>
      </w:pPr>
      <w:r>
        <w:rPr>
          <w:rFonts w:ascii="Times New Roman" w:hAnsi="Times New Roman"/>
          <w:sz w:val="20"/>
        </w:rPr>
        <w:t xml:space="preserve">The preparation of condensed financial statements and related disclosures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 </w:t>
      </w:r>
    </w:p>
    <w:p>
      <w:pPr>
        <w:pStyle w:val="TextBody"/>
        <w:spacing w:before="360" w:after="0"/>
        <w:jc w:val="left"/>
        <w:rPr>
          <w:rFonts w:ascii="Times New Roman" w:hAnsi="Times New Roman"/>
          <w:b/>
          <w:i/>
          <w:sz w:val="20"/>
        </w:rPr>
      </w:pPr>
      <w:r>
        <w:rPr>
          <w:rFonts w:ascii="Times New Roman" w:hAnsi="Times New Roman"/>
          <w:b/>
          <w:i/>
          <w:sz w:val="20"/>
        </w:rPr>
        <w:t xml:space="preserve">VIH Class A Ordinary Shares Subject to Possible Redemption </w:t>
      </w:r>
    </w:p>
    <w:p>
      <w:pPr>
        <w:pStyle w:val="TextBody"/>
        <w:spacing w:before="120" w:after="0"/>
        <w:jc w:val="left"/>
        <w:rPr>
          <w:rFonts w:ascii="Times New Roman" w:hAnsi="Times New Roman"/>
          <w:sz w:val="20"/>
        </w:rPr>
      </w:pPr>
      <w:r>
        <w:rPr>
          <w:rFonts w:ascii="Times New Roman" w:hAnsi="Times New Roman"/>
          <w:sz w:val="20"/>
        </w:rPr>
        <w:t xml:space="preserve">VIH accounts for its VIH Class A Ordinary Shares subject to possible redemption in accordance with the guidance in ASC Topic 480 Distinguishing Liabilities from Equity. VIH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VIH Shares feature certain Redemption Rights that are considered to be outside of VIHs control and subject to occurrence of uncertain future events. Accordingly, VIH Class A Ordinary Shares subject to possible redemption is presented as temporary equity, outside of the shareholders equity section of VIHs condensed balance sheet. </w:t>
      </w:r>
    </w:p>
    <w:p>
      <w:pPr>
        <w:pStyle w:val="TextBody"/>
        <w:spacing w:before="360" w:after="0"/>
        <w:jc w:val="left"/>
        <w:rPr>
          <w:rFonts w:ascii="Times New Roman" w:hAnsi="Times New Roman"/>
          <w:b/>
          <w:i/>
          <w:sz w:val="20"/>
        </w:rPr>
      </w:pPr>
      <w:r>
        <w:rPr>
          <w:rFonts w:ascii="Times New Roman" w:hAnsi="Times New Roman"/>
          <w:b/>
          <w:i/>
          <w:sz w:val="20"/>
        </w:rPr>
        <w:t xml:space="preserve">Net Gain (Loss) Per Ordinary Share </w:t>
      </w:r>
    </w:p>
    <w:p>
      <w:pPr>
        <w:pStyle w:val="TextBody"/>
        <w:spacing w:before="120" w:after="0"/>
        <w:jc w:val="left"/>
        <w:rPr>
          <w:rFonts w:ascii="Times New Roman" w:hAnsi="Times New Roman"/>
          <w:sz w:val="20"/>
        </w:rPr>
      </w:pPr>
      <w:r>
        <w:rPr>
          <w:rFonts w:ascii="Times New Roman" w:hAnsi="Times New Roman"/>
          <w:sz w:val="20"/>
        </w:rPr>
        <w:t xml:space="preserve">We apply the two-class method in calculating earnings per share. Net income per ordinary share, basic and diluted for Class A redeemable ordinary shares is calculated by dividing the interest income earned on the Trust Account by the weighted average number of redeemable VIH Class A Ordinary Shares outstanding since original issuance. Net loss per common share, basic and diluted for non-redeemable VIH Class B Ordinary Shares is calculated by dividing the net income (loss), less income attributable to redeemable VIH Class A Ordinary Shares, by the weighted average number of non-redeemable VIH Class B Ordinary Shares outstanding for the periods presented. </w:t>
      </w:r>
    </w:p>
    <w:p>
      <w:pPr>
        <w:pStyle w:val="TextBody"/>
        <w:spacing w:before="360" w:after="0"/>
        <w:jc w:val="left"/>
        <w:rPr>
          <w:rFonts w:ascii="Times New Roman" w:hAnsi="Times New Roman"/>
          <w:b/>
          <w:i/>
          <w:sz w:val="20"/>
        </w:rPr>
      </w:pPr>
      <w:r>
        <w:rPr>
          <w:rFonts w:ascii="Times New Roman" w:hAnsi="Times New Roman"/>
          <w:b/>
          <w:i/>
          <w:sz w:val="20"/>
        </w:rPr>
        <w:t xml:space="preserve">Recent Accounting Standards </w:t>
      </w:r>
    </w:p>
    <w:p>
      <w:pPr>
        <w:pStyle w:val="TextBody"/>
        <w:spacing w:before="120" w:after="0"/>
        <w:jc w:val="left"/>
        <w:rPr>
          <w:rFonts w:ascii="Times New Roman" w:hAnsi="Times New Roman"/>
          <w:sz w:val="20"/>
        </w:rPr>
      </w:pPr>
      <w:r>
        <w:rPr>
          <w:rFonts w:ascii="Times New Roman" w:hAnsi="Times New Roman"/>
          <w:sz w:val="20"/>
        </w:rPr>
        <w:t xml:space="preserve">Management does not believe that any other recently issued, but not yet effective, accounting pronouncements, if currently adopted, would have a material effect on VIHs financial statements. </w:t>
      </w:r>
    </w:p>
    <w:p>
      <w:pPr>
        <w:pStyle w:val="TextBody"/>
        <w:spacing w:before="360" w:after="0"/>
        <w:jc w:val="left"/>
        <w:rPr>
          <w:rFonts w:ascii="Times New Roman" w:hAnsi="Times New Roman"/>
          <w:sz w:val="20"/>
        </w:rPr>
      </w:pPr>
      <w:r>
        <w:rPr>
          <w:rFonts w:ascii="Times New Roman" w:hAnsi="Times New Roman"/>
          <w:b/>
          <w:sz w:val="20"/>
        </w:rPr>
        <w:t>JOBS Act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Jumpstart Our Business Startups Act of 2012 (the JOBS Act) contains provisions that, among other things, relax certain reporting requirements for qualifying public companies. VIH qualifies as an emerging growth company and under the JOBS Act is allowed to comply with new or revised accounting pronouncements based on the effective date for private (not publicly traded) companies. VIH is electing to delay the adoption of new or revised accounting standards, and as a result, VIH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 </w:t>
      </w:r>
    </w:p>
    <w:p>
      <w:pPr>
        <w:pStyle w:val="TextBody"/>
        <w:spacing w:before="240" w:after="0"/>
        <w:jc w:val="left"/>
        <w:rPr>
          <w:rFonts w:ascii="Times New Roman" w:hAnsi="Times New Roman"/>
          <w:sz w:val="20"/>
        </w:rPr>
      </w:pPr>
      <w:r>
        <w:rPr>
          <w:rFonts w:ascii="Times New Roman" w:hAnsi="Times New Roman"/>
          <w:sz w:val="20"/>
        </w:rPr>
        <w:t xml:space="preserve">Additionally, VIH is in the process of evaluating the benefits of relying on the other reduced reporting requirements provided by the JOBS Act. Subject to certain conditions set forth in the JOBS Act, if, as an emerging growth company, VIH chooses to rely on such exemptions VIH may not be required to, among other things, (i) provide an auditors attestation report on its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 </w:t>
      </w:r>
    </w:p>
    <w:p>
      <w:pPr>
        <w:pStyle w:val="TextBody"/>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spacing w:before="120" w:after="0"/>
        <w:jc w:val="left"/>
        <w:rPr>
          <w:rFonts w:ascii="Times New Roman" w:hAnsi="Times New Roman"/>
          <w:sz w:val="20"/>
        </w:rPr>
      </w:pPr>
      <w:r>
        <w:rPr>
          <w:rFonts w:ascii="Times New Roman" w:hAnsi="Times New Roman"/>
          <w:sz w:val="20"/>
        </w:rPr>
        <w:t xml:space="preserve">We are a smaller reporting company as defined by Rule 12b-2 of the Exchange Act and are not required to provide the information otherwise required under this item. </w:t>
      </w:r>
    </w:p>
    <w:p>
      <w:pPr>
        <w:pStyle w:val="TextBody"/>
        <w:spacing w:before="360" w:after="0"/>
        <w:jc w:val="left"/>
        <w:rPr>
          <w:rFonts w:ascii="Times New Roman" w:hAnsi="Times New Roman"/>
          <w:b/>
          <w:i/>
          <w:sz w:val="20"/>
        </w:rPr>
      </w:pPr>
      <w:r>
        <w:rPr>
          <w:rFonts w:ascii="Times New Roman" w:hAnsi="Times New Roman"/>
          <w:b/>
          <w:i/>
          <w:sz w:val="20"/>
        </w:rPr>
        <w:t xml:space="preserve">Holders of VIH Securities </w:t>
      </w:r>
    </w:p>
    <w:p>
      <w:pPr>
        <w:pStyle w:val="TextBody"/>
        <w:spacing w:before="120" w:after="0"/>
        <w:jc w:val="left"/>
        <w:rPr>
          <w:rFonts w:ascii="Times New Roman" w:hAnsi="Times New Roman"/>
          <w:sz w:val="20"/>
        </w:rPr>
      </w:pPr>
      <w:r>
        <w:rPr>
          <w:rFonts w:ascii="Times New Roman" w:hAnsi="Times New Roman"/>
          <w:sz w:val="20"/>
        </w:rPr>
        <w:t xml:space="preserve">As of [March 19], 2021, there was one holder of record of the VIH Units, one holder of record of the VIH Class A Ordinary Shares, four holders of record of the VIH Class B Ordinary Shares and two holders of record of the VIH Warrants. VIH believes the number of beneficial holders of the VIH Class A Ordinary Shares to be in excess of 300 persons.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5" w:name="toc108105_24"/>
      <w:bookmarkEnd w:id="85"/>
      <w:r>
        <w:rPr>
          <w:rFonts w:ascii="Times New Roman" w:hAnsi="Times New Roman"/>
          <w:b/>
          <w:sz w:val="20"/>
        </w:rPr>
        <w:t xml:space="preserve">DESCRIPTION OF VIHS AND THE COMPANYS SECURITIES </w:t>
      </w:r>
    </w:p>
    <w:p>
      <w:pPr>
        <w:pStyle w:val="TextBody"/>
        <w:spacing w:before="360" w:after="0"/>
        <w:jc w:val="left"/>
        <w:rPr>
          <w:rFonts w:ascii="Times New Roman" w:hAnsi="Times New Roman"/>
          <w:b/>
          <w:sz w:val="20"/>
        </w:rPr>
      </w:pPr>
      <w:r>
        <w:rPr>
          <w:rFonts w:ascii="Times New Roman" w:hAnsi="Times New Roman"/>
          <w:b/>
          <w:sz w:val="20"/>
        </w:rPr>
        <w:t xml:space="preserve">Description of VIH Capital Stock Prior to the Business Combination </w:t>
      </w:r>
    </w:p>
    <w:p>
      <w:pPr>
        <w:pStyle w:val="TextBody"/>
        <w:spacing w:before="12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VIH is authorized to issue 221,000,000 shares, consisting of 200,000,000 VIH Class A Ordinary Shares, par value $0.0001 per share, 20,000,000 VIH Class B Ordinary Shares, par value $0.0001 per share, and 1,000,000 preference shares, par value $0.0001 per share. As of the Record Date, 20,737,202 VIH Class A Ordinary Shares are outstanding, held by shareholders of record and 5,184,300 VIH Class B Ordinary Shares are outstanding, held by shareholders of record, and no preference shares are outstanding. </w:t>
      </w:r>
    </w:p>
    <w:p>
      <w:pPr>
        <w:pStyle w:val="TextBody"/>
        <w:spacing w:before="360" w:after="0"/>
        <w:jc w:val="left"/>
        <w:rPr>
          <w:rFonts w:ascii="Times New Roman" w:hAnsi="Times New Roman"/>
          <w:b/>
          <w:i/>
          <w:sz w:val="20"/>
        </w:rPr>
      </w:pPr>
      <w:r>
        <w:rPr>
          <w:rFonts w:ascii="Times New Roman" w:hAnsi="Times New Roman"/>
          <w:b/>
          <w:i/>
          <w:sz w:val="20"/>
        </w:rPr>
        <w:t xml:space="preserve">VIH Units </w:t>
      </w:r>
    </w:p>
    <w:p>
      <w:pPr>
        <w:pStyle w:val="TextBody"/>
        <w:spacing w:before="120" w:after="0"/>
        <w:jc w:val="left"/>
        <w:rPr>
          <w:rFonts w:ascii="Times New Roman" w:hAnsi="Times New Roman"/>
          <w:sz w:val="20"/>
        </w:rPr>
      </w:pPr>
      <w:r>
        <w:rPr>
          <w:rFonts w:ascii="Times New Roman" w:hAnsi="Times New Roman"/>
          <w:sz w:val="20"/>
        </w:rPr>
        <w:t xml:space="preserve">Each VIH Unit consists of one VIH Class A Ordinary Share and one-half of one Public Warrant. Each Public Warrant entitles the holder to purchase one VIH Class A Ordinary Share at a price of $11.50 per share, subject to adjustment as described in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Ordinary Shares </w:t>
      </w:r>
    </w:p>
    <w:p>
      <w:pPr>
        <w:pStyle w:val="TextBody"/>
        <w:spacing w:before="120" w:after="0"/>
        <w:jc w:val="left"/>
        <w:rPr>
          <w:rFonts w:ascii="Times New Roman" w:hAnsi="Times New Roman"/>
          <w:sz w:val="20"/>
        </w:rPr>
      </w:pPr>
      <w:r>
        <w:rPr>
          <w:rFonts w:ascii="Times New Roman" w:hAnsi="Times New Roman"/>
          <w:sz w:val="20"/>
        </w:rPr>
        <w:t xml:space="preserve">Except for the holders of the VIH Class B Ordinary Shares, who are each entitled to ten votes for each VIH Class B Ordinary Share of which they are a holder when voting on the Domestication Proposal, VIHs shareholders of record are entitled to one vote for each VIH Share held on all matters to be voted on by shareholders. In connection with any vote held to approve an initial business combination, the Sponsor, as well as VIHs directors and officers, have agreed to vote their respective Founder Shares and any other VIH Shares held by them in favor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Prior to the Closing, only holders of the VIH Class B Ordinary Shares are eligible to vote for the appointment of directors. Directors may only be appointed by an ordinary resolution, being the affirmative vote of the holders of a majority of the VIH Class B Ordinary Shares who, being present in person or by proxy and entitled to vote, vote at a meeting. </w:t>
      </w:r>
    </w:p>
    <w:p>
      <w:pPr>
        <w:pStyle w:val="TextBody"/>
        <w:spacing w:before="240" w:after="0"/>
        <w:jc w:val="left"/>
        <w:rPr>
          <w:rFonts w:ascii="Times New Roman" w:hAnsi="Times New Roman"/>
          <w:sz w:val="20"/>
        </w:rPr>
      </w:pPr>
      <w:r>
        <w:rPr>
          <w:rFonts w:ascii="Times New Roman" w:hAnsi="Times New Roman"/>
          <w:sz w:val="20"/>
        </w:rPr>
        <w:t xml:space="preserve">Pursuant to the Cayman Constitutional Documents, if VIH does not complete a business combination by September 25, 2022, it will trigger VIHs automatic winding up, dissolution and liquidation, unless VIH submits and its shareholders approve an extension. The Sponsor and the directors and officers of VIH have agreed to waive their rights to share in any distribution from the Trust Account with respect to their Founder Shares upon VIHs winding up, dissolution and liquidation. </w:t>
      </w:r>
    </w:p>
    <w:p>
      <w:pPr>
        <w:pStyle w:val="TextBody"/>
        <w:spacing w:before="240" w:after="0"/>
        <w:jc w:val="left"/>
        <w:rPr>
          <w:rFonts w:ascii="Times New Roman" w:hAnsi="Times New Roman"/>
          <w:sz w:val="20"/>
        </w:rPr>
      </w:pPr>
      <w:r>
        <w:rPr>
          <w:rFonts w:ascii="Times New Roman" w:hAnsi="Times New Roman"/>
          <w:sz w:val="20"/>
        </w:rPr>
        <w:t xml:space="preserve">VIHs shareholders have no conversion, preemptive or other subscription rights and there are no sinking fund or redemption provisions applicable to the shares, except that Public Shareholders have the right to have their shares redeemed for cash if they vote on the Business Combination, properly demand Redemption of their shares as described in this proxy statement/prospectus and the Business Combination is completed. Public Shareholders who redeem their shares still have the right to exercise the warrants that they received as part of the VIH Units. </w:t>
      </w:r>
    </w:p>
    <w:p>
      <w:pPr>
        <w:pStyle w:val="TextBody"/>
        <w:spacing w:before="240" w:after="0"/>
        <w:jc w:val="left"/>
        <w:rPr>
          <w:rFonts w:ascii="Times New Roman" w:hAnsi="Times New Roman"/>
          <w:sz w:val="20"/>
        </w:rPr>
      </w:pPr>
      <w:r>
        <w:rPr>
          <w:rFonts w:ascii="Times New Roman" w:hAnsi="Times New Roman"/>
          <w:sz w:val="20"/>
        </w:rPr>
        <w:t>For additional information with respect to the Redemption Rights of VIHs shareholders, see the section entitled </w:t>
      </w:r>
      <w:r>
        <w:rPr>
          <w:rFonts w:ascii="Times New Roman" w:hAnsi="Times New Roman"/>
          <w:i/>
          <w:sz w:val="20"/>
        </w:rPr>
        <w:t>Questions and AnswersQ. Do I have Redemption Rights with respect to my VIH Shares?</w:t>
      </w:r>
      <w:r>
        <w:rPr>
          <w:rFonts w:ascii="Times New Roman" w:hAnsi="Times New Roman"/>
          <w:sz w:val="20"/>
        </w:rPr>
        <w:t xml:space="preserve"> beginning on page 17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Preference Shares </w:t>
      </w:r>
    </w:p>
    <w:p>
      <w:pPr>
        <w:pStyle w:val="TextBody"/>
        <w:spacing w:before="120" w:after="0"/>
        <w:jc w:val="left"/>
        <w:rPr>
          <w:rFonts w:ascii="Times New Roman" w:hAnsi="Times New Roman"/>
          <w:sz w:val="20"/>
        </w:rPr>
      </w:pPr>
      <w:r>
        <w:rPr>
          <w:rFonts w:ascii="Times New Roman" w:hAnsi="Times New Roman"/>
          <w:sz w:val="20"/>
        </w:rPr>
        <w:t xml:space="preserve">The Cayman Constitutional Documents authorize the issuance of 1,000,000 preference shares, with such designation, rights and preferences as may be determined from time to time by the VIH Board. Accordingly, the VIH Board is empowered, without shareholder approval, to issue preference shares with dividend, liquidation,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redemption, voting or other rights which could adversely affect the voting power or other rights of the holders of shares. However, the underwriting agreement for the IPO prohibits it, prior to a business combination, from issuing preference shares which participate in any manner in the proceeds of the Trust Account, or which vote as a class with the VIH Shares on a business combination. VIH may issue some or all of the preference shares to effect a business combination, but is not issuing any preference shares in connection with the Business Combination. In addition, the preference shares could be utilized as a method of discouraging, delaying or preventing a change in control of VIH. Although VIH does not currently intend to issue any preference shares, it cannot assure you that it will not do so in the future. </w:t>
      </w:r>
    </w:p>
    <w:p>
      <w:pPr>
        <w:pStyle w:val="TextBody"/>
        <w:spacing w:before="360" w:after="0"/>
        <w:jc w:val="left"/>
        <w:rPr>
          <w:rFonts w:ascii="Times New Roman" w:hAnsi="Times New Roman"/>
          <w:b/>
          <w:i/>
          <w:sz w:val="20"/>
        </w:rPr>
      </w:pPr>
      <w:bookmarkStart w:id="86" w:name="6f"/>
      <w:bookmarkEnd w:id="86"/>
      <w:r>
        <w:rPr>
          <w:rFonts w:ascii="Times New Roman" w:hAnsi="Times New Roman"/>
          <w:b/>
          <w:i/>
          <w:sz w:val="20"/>
        </w:rPr>
        <w:t xml:space="preserve">Warrants </w:t>
      </w:r>
    </w:p>
    <w:p>
      <w:pPr>
        <w:pStyle w:val="TextBody"/>
        <w:spacing w:before="120" w:after="0"/>
        <w:jc w:val="left"/>
        <w:rPr>
          <w:rFonts w:ascii="Times New Roman" w:hAnsi="Times New Roman"/>
          <w:sz w:val="20"/>
        </w:rPr>
      </w:pPr>
      <w:r>
        <w:rPr>
          <w:rFonts w:ascii="Times New Roman" w:hAnsi="Times New Roman"/>
          <w:sz w:val="20"/>
        </w:rPr>
        <w:t xml:space="preserve">As of the Record Date, 16,526,041 warrants were outstanding, including 10,368,601 Public Warrants and 6,147,440 Private Placement Warrants. Each Public Warrant entitles the registered holder to purchase one VIH Class A Ordinary Share at a price of $11.50 per full share, subject to adjustment as discussed below, at any time commencing upon the later of 12 months from the closing of the IPO or 30 days after the completion of a business combination. Pursuant to the Warrant Agreement, a Public Warrant Holder may exercise its warrants only for a whole number of shares. This means that only an even number of warrants may be exercised at any given time by a Public Warrant Holder. However, except as set forth below, no Public Warrants will be exercisable for cash unless VIH has an effective and current registration statement covering the VIH Class A Ordinary Shares issuable upon exercise of the Public Warrants and a current prospectus relating to such VIH Shares. Notwithstanding the foregoing, if a registration statement covering the VIH Class A Ordinary Shares issuable upon exercise of the Public Warrants is not effective within 60 business days from the completion of the initial business combination, Public Warrant Holders may, until such time as there is an effective registration statement and during any period when VIH will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The Public Warrants will expire at 5:00 p.m., Eastern Time on the earlier to occur of: (a) five years from the completion of an initial business combination, (b) the liquidation of VIH, if VIH fails to complete a business combination, or (c) the redemption date as fixed by VIH pursuant to the Warrant Agreement, if VIH elects to redeem all warrants. </w:t>
      </w:r>
    </w:p>
    <w:p>
      <w:pPr>
        <w:pStyle w:val="TextBody"/>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except that the Private Placement Warrants (including the VIH Shares issuable upon exercise of the Private Placement Warrants) will (a) not be transferable, assignable or salable until 30 days after the completion of VIHs initial business combination, (b) be exercisable for cash (even if a registration statement covering the VIH Shares issuable upon exercise of such warrants is not effective) or on a cashless basis, at the holders option and (c) not be redeemable by VIH, in each case so long as they are still held by the initial purchasers or their respective affiliates. </w:t>
      </w:r>
    </w:p>
    <w:p>
      <w:pPr>
        <w:pStyle w:val="TextBody"/>
        <w:spacing w:before="240" w:after="0"/>
        <w:jc w:val="left"/>
        <w:rPr>
          <w:rFonts w:ascii="Times New Roman" w:hAnsi="Times New Roman"/>
          <w:sz w:val="20"/>
        </w:rPr>
      </w:pPr>
      <w:r>
        <w:rPr>
          <w:rFonts w:ascii="Times New Roman" w:hAnsi="Times New Roman"/>
          <w:sz w:val="20"/>
        </w:rPr>
        <w:t xml:space="preserve">VIH may call the warrants for redemption (excluding the Private Placement Warrants), in whole and not in part, at a price of $0.01 per warrant: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any time while the VIH Warrants are exercisable;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Public Warrant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reported last sale price of the shares of the VIH Class A Ordinary Shares equals or exceeds $18.00 per share, for any 20 trading days within a 30-day trading period ending on the third business day prior to the notice of redemption to Public Warrant 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VIH Class A Ordinary Shares underlying such VIH Warrants at the redemption date and for the entire 30-day trading period referred to above and continuing each day thereafter until the date of redemption. </w:t>
            </w:r>
          </w:p>
        </w:tc>
      </w:tr>
    </w:tbl>
    <w:p>
      <w:pPr>
        <w:pStyle w:val="TextBody"/>
        <w:spacing w:before="240" w:after="0"/>
        <w:jc w:val="left"/>
        <w:rPr>
          <w:rFonts w:ascii="Times New Roman" w:hAnsi="Times New Roman"/>
          <w:sz w:val="20"/>
        </w:rPr>
      </w:pPr>
      <w:r>
        <w:rPr>
          <w:rFonts w:ascii="Times New Roman" w:hAnsi="Times New Roman"/>
          <w:sz w:val="20"/>
        </w:rPr>
        <w:t xml:space="preserve">VIH may call the warrants for redemption (excluding the Private Placement Warrants), in whole and not in part, at a price of $0.10 per warrant: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any time while the VIH Warrants are exercisable;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Public Warrant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holders will be able to exercise their VIH Warrants on a cashless basis prior to redemption and receive that number of shares determined by reference to the table below, based on the redemption date and the fair market value (as defined below) of the VIH Class A Ordinary Shares except as otherwise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reported last sale price of the shares of the VIH Class A Ordinary Shares equals or exceeds $10.00 per share, for any 20 trading days within a 30-day trading period ending on the third business day prior to the notice of redemption to Public Warrant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closing price of the VIH Class A Ordinary Shares for any 20 trading days within a 30-trading day period ending on the third trading day prior to the date on which the notice of redemption is sent to the Public Warrant Holders is less than $18.00 per share, the Private Placement Warrants must be concurrently called for redemption on the same terms as the outstanding Public Warrants;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VIH Class A Ordinary Shares underlying such VIH Warrants at the redemption date and for the entire 30-day trading period referred to above and continuing each day thereafter until the date of redemption. </w:t>
            </w:r>
          </w:p>
        </w:tc>
      </w:tr>
    </w:tbl>
    <w:p>
      <w:pPr>
        <w:pStyle w:val="TextBody"/>
        <w:spacing w:before="240" w:after="0"/>
        <w:jc w:val="left"/>
        <w:rPr>
          <w:rFonts w:ascii="Times New Roman" w:hAnsi="Times New Roman"/>
          <w:sz w:val="20"/>
        </w:rPr>
      </w:pPr>
      <w:r>
        <w:rPr>
          <w:rFonts w:ascii="Times New Roman" w:hAnsi="Times New Roman"/>
          <w:sz w:val="20"/>
        </w:rPr>
        <w:t xml:space="preserve">Beginning on the date the notice of redemption is given and until the warrants are redeemed or exercised, holders may elect to exercise their warrants on a cashless basis. The numbers in the table below represent the number of VIH Class A Ordinary Shares that a warrant holder will receive upon such cashless exercise in connection with a redemption by VIH pursuant to this redemption feature, based on the fair market value of the VIH Class A Ordinary Shares on the corresponding redemption date (assuming holders elect to exercise their warrants and such warrants are not redeemed for $0.10 per warrant), determined for these purposes based on the volume-weighted average price of the VIH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VIH will provide warrant holders with the final fair market value no later than one business day after the 10-trading day period described above ends.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71"/>
        <w:gridCol w:w="130"/>
        <w:gridCol w:w="65"/>
        <w:gridCol w:w="664"/>
        <w:gridCol w:w="60"/>
        <w:gridCol w:w="130"/>
        <w:gridCol w:w="65"/>
        <w:gridCol w:w="615"/>
        <w:gridCol w:w="60"/>
        <w:gridCol w:w="130"/>
        <w:gridCol w:w="65"/>
        <w:gridCol w:w="615"/>
        <w:gridCol w:w="60"/>
        <w:gridCol w:w="129"/>
        <w:gridCol w:w="65"/>
        <w:gridCol w:w="615"/>
        <w:gridCol w:w="60"/>
        <w:gridCol w:w="130"/>
        <w:gridCol w:w="65"/>
        <w:gridCol w:w="615"/>
        <w:gridCol w:w="60"/>
        <w:gridCol w:w="130"/>
        <w:gridCol w:w="65"/>
        <w:gridCol w:w="615"/>
        <w:gridCol w:w="60"/>
        <w:gridCol w:w="129"/>
        <w:gridCol w:w="65"/>
        <w:gridCol w:w="615"/>
        <w:gridCol w:w="60"/>
        <w:gridCol w:w="130"/>
        <w:gridCol w:w="65"/>
        <w:gridCol w:w="615"/>
        <w:gridCol w:w="60"/>
        <w:gridCol w:w="130"/>
        <w:gridCol w:w="65"/>
        <w:gridCol w:w="664"/>
        <w:gridCol w:w="68"/>
      </w:tblGrid>
      <w:tr>
        <w:trPr/>
        <w:tc>
          <w:tcPr>
            <w:tcW w:w="227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27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736" w:type="dxa"/>
            <w:gridSpan w:val="34"/>
            <w:tcBorders>
              <w:bottom w:val="single" w:sz="8" w:space="0" w:color="000000"/>
            </w:tcBorders>
            <w:shd w:fill="auto" w:val="clear"/>
            <w:tcMar>
              <w:bottom w:w="28" w:type="dxa"/>
            </w:tcMar>
            <w:vAlign w:val="bottom"/>
          </w:tcPr>
          <w:p>
            <w:pPr>
              <w:pStyle w:val="TableContents"/>
              <w:spacing w:before="0" w:after="283"/>
              <w:jc w:val="center"/>
              <w:rPr>
                <w:b/>
              </w:rPr>
            </w:pPr>
            <w:r>
              <w:rPr>
                <w:b/>
              </w:rPr>
              <w:t>Redemption Fair Market Value of Ordinary Shares</w:t>
              <w:br/>
              <w:t>(period to expiration of warrants)</w:t>
            </w:r>
          </w:p>
        </w:tc>
        <w:tc>
          <w:tcPr>
            <w:tcW w:w="68" w:type="dxa"/>
            <w:tcBorders/>
            <w:shd w:fill="auto" w:val="clear"/>
            <w:vAlign w:val="bottom"/>
          </w:tcPr>
          <w:p>
            <w:pPr>
              <w:pStyle w:val="TableContents"/>
              <w:spacing w:before="0" w:after="283"/>
              <w:rPr/>
            </w:pPr>
            <w:r>
              <w:rPr/>
              <w:t> </w:t>
            </w:r>
          </w:p>
        </w:tc>
      </w:tr>
      <w:tr>
        <w:trPr/>
        <w:tc>
          <w:tcPr>
            <w:tcW w:w="227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Redemption Date</w:t>
            </w:r>
          </w:p>
        </w:tc>
        <w:tc>
          <w:tcPr>
            <w:tcW w:w="130" w:type="dxa"/>
            <w:tcBorders/>
            <w:shd w:fill="auto" w:val="clear"/>
            <w:vAlign w:val="bottom"/>
          </w:tcPr>
          <w:p>
            <w:pPr>
              <w:pStyle w:val="TableContents"/>
              <w:spacing w:before="0" w:after="283"/>
              <w:rPr/>
            </w:pPr>
            <w:r>
              <w:rPr/>
              <w:t>  </w:t>
            </w:r>
          </w:p>
        </w:tc>
        <w:tc>
          <w:tcPr>
            <w:tcW w:w="729"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SYMBOL" w:hAnsi="SYMBOL"/>
              </w:rPr>
              <w:t>£</w:t>
            </w:r>
            <w:r>
              <w:rPr>
                <w:b/>
              </w:rPr>
              <w:t>$10.00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$11.00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$12.00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$13.00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$14.00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$15.00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$16.00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$17.00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29"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SYMBOL" w:hAnsi="SYMBOL"/>
              </w:rPr>
              <w:t>³</w:t>
            </w:r>
            <w:r>
              <w:rPr>
                <w:b/>
              </w:rPr>
              <w:t>$18.00</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60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0.261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0.281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0.297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0.311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0.324</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0.348</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0.358</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57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0.257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0.277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0.294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0.310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0.324</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0.337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0.348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0.358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54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0.272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0.291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0.307</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0.347</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0.357</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51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0.246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0.268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0.287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0.304</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0.320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0.333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0.346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0.357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48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0.241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0.263</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0.283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0.301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0.317</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0.344</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0.356</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45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0.235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0.258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0.279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0.298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0.315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0.330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0.343</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0.356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42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0.228</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0.274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0.294</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0.312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0.342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0.355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39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0.221</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0.246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0.269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0.290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0.309</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0.325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0.340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0.354</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36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0.213</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0.239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0.263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0.285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0.305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0.353</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33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0.205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0.232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0.257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0.280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0.301</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0.320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0.337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0.352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30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0.196</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0.224</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0.250</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0.274</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0.297</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0.316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0.351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27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0.185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0.214</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0.242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0.268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0.291</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0.313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0.332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0.350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24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0.173</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0.204</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0.233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0.260</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0.285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0.308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0.348</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21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0.161</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0.193</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0.223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0.252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0.279</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0.304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0.326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0.347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18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0.146</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0.179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0.211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0.242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0.271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0.298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0.345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15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0.130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0.164</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0.197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0.262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0.291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0.317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0.342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12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0.111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0.146</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0.181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0.216</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0.250</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0.282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0.312</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9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0.090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0.125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0.162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0.199</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0.237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0.272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0.305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0.336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6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0.065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0.099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0.137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0.178</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0.219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0.259</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0.296</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0.331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r>
        <w:trPr/>
        <w:tc>
          <w:tcPr>
            <w:tcW w:w="2271" w:type="dxa"/>
            <w:tcBorders/>
            <w:shd w:fill="auto" w:val="clear"/>
          </w:tcPr>
          <w:p>
            <w:pPr>
              <w:pStyle w:val="TableContents"/>
              <w:spacing w:before="0" w:after="0"/>
              <w:rPr>
                <w:rFonts w:ascii="Times New Roman" w:hAnsi="Times New Roman"/>
                <w:sz w:val="20"/>
              </w:rPr>
            </w:pPr>
            <w:r>
              <w:rPr>
                <w:rFonts w:ascii="Times New Roman" w:hAnsi="Times New Roman"/>
                <w:sz w:val="20"/>
              </w:rPr>
              <w:t>3 months</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0.034</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0.065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0.104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0.150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0.197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0.243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0.286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0.326</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0.361</w:t>
            </w:r>
          </w:p>
        </w:tc>
        <w:tc>
          <w:tcPr>
            <w:tcW w:w="68" w:type="dxa"/>
            <w:tcBorders/>
            <w:shd w:fill="auto" w:val="clear"/>
            <w:vAlign w:val="bottom"/>
          </w:tcPr>
          <w:p>
            <w:pPr>
              <w:pStyle w:val="TableContents"/>
              <w:spacing w:before="0" w:after="283"/>
              <w:rPr/>
            </w:pPr>
            <w:r>
              <w:rPr/>
              <w:t> </w:t>
            </w:r>
          </w:p>
        </w:tc>
      </w:tr>
      <w:tr>
        <w:trPr/>
        <w:tc>
          <w:tcPr>
            <w:tcW w:w="2271" w:type="dxa"/>
            <w:tcBorders/>
            <w:shd w:fill="CCEEFF" w:val="clear"/>
          </w:tcPr>
          <w:p>
            <w:pPr>
              <w:pStyle w:val="TableContents"/>
              <w:spacing w:before="0" w:after="0"/>
              <w:rPr>
                <w:rFonts w:ascii="Times New Roman" w:hAnsi="Times New Roman"/>
                <w:sz w:val="20"/>
              </w:rPr>
            </w:pPr>
            <w:r>
              <w:rPr>
                <w:rFonts w:ascii="Times New Roman" w:hAnsi="Times New Roman"/>
                <w:sz w:val="20"/>
              </w:rPr>
              <w:t>0 months</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0.042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0.115</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0.179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0.233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0.281</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pPr>
            <w:r>
              <w:rPr/>
              <w:t>0.323</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0.361</w:t>
            </w:r>
          </w:p>
        </w:tc>
        <w:tc>
          <w:tcPr>
            <w:tcW w:w="68"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VIH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VIH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VIH Class A Ordinary Shares for each whole warrant. For an example where the exact fair market value and redemption date are not as set forth in the table above, if the volume-weighted average price of the VIH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VIH Class A Ordinary Shares for each whole warrant. In no event will the warrants be exercisable on a cashless basis in connection with this redemption feature for more than 0.361 VIH Class A Ordinary Shares per warrant (subject to adjustment). Finally, as reflected in the table above, if the warrants are out of the money and about to expire, they cannot be exercised on a cashless basis in connection with a redemption by VIH pursuant to this redemption feature, since they will not be exercisable for any VIH Class A Ordinary Shares. </w:t>
      </w:r>
    </w:p>
    <w:p>
      <w:pPr>
        <w:pStyle w:val="TextBody"/>
        <w:spacing w:before="240" w:after="0"/>
        <w:jc w:val="left"/>
        <w:rPr>
          <w:rFonts w:ascii="Times New Roman" w:hAnsi="Times New Roman"/>
          <w:sz w:val="20"/>
        </w:rPr>
      </w:pPr>
      <w:r>
        <w:rPr>
          <w:rFonts w:ascii="Times New Roman" w:hAnsi="Times New Roman"/>
          <w:sz w:val="20"/>
        </w:rPr>
        <w:t xml:space="preserve">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w:t>
      </w:r>
    </w:p>
    <w:p>
      <w:pPr>
        <w:pStyle w:val="TextBody"/>
        <w:spacing w:before="240" w:after="0"/>
        <w:jc w:val="left"/>
        <w:rPr>
          <w:rFonts w:ascii="Times New Roman" w:hAnsi="Times New Roman"/>
          <w:sz w:val="20"/>
        </w:rPr>
      </w:pPr>
      <w:r>
        <w:rPr>
          <w:rFonts w:ascii="Times New Roman" w:hAnsi="Times New Roman"/>
          <w:sz w:val="20"/>
        </w:rPr>
        <w:t xml:space="preserve">The redemption criteria for the warrants have been established at a price which is intended to provide Public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 </w:t>
      </w:r>
    </w:p>
    <w:p>
      <w:pPr>
        <w:pStyle w:val="TextBody"/>
        <w:spacing w:before="240" w:after="0"/>
        <w:jc w:val="left"/>
        <w:rPr>
          <w:rFonts w:ascii="Times New Roman" w:hAnsi="Times New Roman"/>
          <w:sz w:val="20"/>
        </w:rPr>
      </w:pPr>
      <w:r>
        <w:rPr>
          <w:rFonts w:ascii="Times New Roman" w:hAnsi="Times New Roman"/>
          <w:sz w:val="20"/>
        </w:rPr>
        <w:t xml:space="preserve">If VIH (or after the business combination, the Company) calls the warrants for redemption as described above, its management will have the option to require all holders that wish to exercise warrants to do so on a cashless basis. In such event, each holder would pay the exercise price by surrendering the warrants for that number of VIH Class A Ordinary Shares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VIH Class A Ordinary Shares for the 10 trading days ending on the third trading day prior to the date on which the notice of redemption is sent to the holders of warrants. Whether VIH will exercise its option to require all holders to exercise their warrants on a cashless basis will depend on a variety of factors including the price of the VIH Class A Ordinary Shares at the time the VIH Warrants are called for redemption, VIHs cash needs at such time and concerns regarding dilutive share issuances. </w:t>
      </w:r>
    </w:p>
    <w:p>
      <w:pPr>
        <w:pStyle w:val="TextBody"/>
        <w:spacing w:before="240" w:after="0"/>
        <w:jc w:val="left"/>
        <w:rPr>
          <w:rFonts w:ascii="Times New Roman" w:hAnsi="Times New Roman"/>
          <w:sz w:val="20"/>
        </w:rPr>
      </w:pPr>
      <w:r>
        <w:rPr>
          <w:rFonts w:ascii="Times New Roman" w:hAnsi="Times New Roman"/>
          <w:sz w:val="20"/>
        </w:rPr>
        <w:t xml:space="preserve">The warrants are issued under a Warrant Agreement between Continental Stock Transfer &amp; Trust Company, as warrant agent and VIH.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exercise price and number of VIH Class A Ordinary Shares issuable on exercise of the warrants may be adjusted in certain circumstances including in the event of a share dividend, extraordinary dividend or VIHs recapitalization, reorganization, merger or consolidation. However, the warrants will not be adjusted for issuances of VIH Class A Ordinary Shares at a price below their respective exercise prices. VIH is also permitted, in its sole discretion, to lower the exercise price (but not below the par value of a VIH Class A Ordinary Share) at any time prior to the expiration date for a period of not less than 15 business days;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VIH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 </w:t>
      </w:r>
    </w:p>
    <w:p>
      <w:pPr>
        <w:pStyle w:val="TextBody"/>
        <w:spacing w:before="240" w:after="0"/>
        <w:jc w:val="left"/>
        <w:rPr>
          <w:rFonts w:ascii="Times New Roman" w:hAnsi="Times New Roman"/>
          <w:sz w:val="20"/>
        </w:rPr>
      </w:pPr>
      <w:r>
        <w:rPr>
          <w:rFonts w:ascii="Times New Roman" w:hAnsi="Times New Roman"/>
          <w:sz w:val="20"/>
        </w:rPr>
        <w:t xml:space="preserve">The VIH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VIH, for the number of warrants being exercised. The Public Warrant Holder will not have the rights or privileges of holders of VIH Class A Ordinary Shares and any voting rights until they exercise their VIH Warrants and receive VIH Class A Ordinary Shares. After the issuance of VIH Class A Ordinary Shares upon exercise of the VIH Warrants, each holder will be entitled to one vote for each share held of record on all matters to be voted on by shareholders. </w:t>
      </w:r>
    </w:p>
    <w:p>
      <w:pPr>
        <w:pStyle w:val="TextBody"/>
        <w:spacing w:before="240" w:after="0"/>
        <w:jc w:val="left"/>
        <w:rPr>
          <w:rFonts w:ascii="Times New Roman" w:hAnsi="Times New Roman"/>
          <w:sz w:val="20"/>
        </w:rPr>
      </w:pPr>
      <w:r>
        <w:rPr>
          <w:rFonts w:ascii="Times New Roman" w:hAnsi="Times New Roman"/>
          <w:sz w:val="20"/>
        </w:rPr>
        <w:t xml:space="preserve">Except as described above, no Public Warrants will be exercisable and VIH will not be obligated to issue VIH Class A Ordinary Shares unless at the time a holder seeks to exercise such VIH Warrant, a prospectus relating to the VIH Class A Ordinary Shares issuable upon exercise of the VIH Warrants is current and the VIH Class A Ordinary Shares has been registered or qualified or deemed to be exempt under the securities laws of the state of residence of the holder of the VIH Warrants. Under the terms of the Warrant Agreement, VIH has agreed to use its best efforts to meet these conditions and to maintain a current prospectus relating to the VIH Class A Ordinary Shares issuable upon exercise of the VIH Warrants until the expiration of the VIH Warrants. However, VIH cannot assure you that it will be able to do so and, if it does not maintain a current prospectus relating to the VIH Class A Ordinary Shares issuable upon exercise of the warrants, holders will be unable to exercise their VIH Warrants and VIH will not be required to settle any such VIH Warrant. If the prospectus relating to the VIH Class A Ordinary Shares issuable upon the exercise of the VIH Warrants is not current or if the VIH Class A Ordinary Shares is not qualified or exempt from qualification in the jurisdictions in which the holders of the VIH Warrants reside, VIH will not be required to net cash settle or cash settle the warrant exercise, the warrants may have no value, the market for the warrants may be limited and the warrants may expire worthless. </w:t>
      </w:r>
    </w:p>
    <w:p>
      <w:pPr>
        <w:pStyle w:val="TextBody"/>
        <w:spacing w:before="240" w:after="0"/>
        <w:jc w:val="left"/>
        <w:rPr>
          <w:rFonts w:ascii="Times New Roman" w:hAnsi="Times New Roman"/>
          <w:sz w:val="20"/>
        </w:rPr>
      </w:pPr>
      <w:r>
        <w:rPr>
          <w:rFonts w:ascii="Times New Roman" w:hAnsi="Times New Roman"/>
          <w:sz w:val="20"/>
        </w:rPr>
        <w:t xml:space="preserve">Public Warrant Holders may elect, at their sole option and discretion, to be subject to a restriction on the exercise of their VIH Warrants such that an electing Public Warrant Holder (and his, her or its affiliates) would not be able to exercise their VIH Warrants to the extent that, after giving effect to such exercise, such holder (and his, her or its affiliates) would beneficially own in excess of 4.9% or 9.8% (as specified by the holder) of the VIH Class A Ordinary Shares outstanding. Notwithstanding the foregoing, any person who acquires a warrant with the purpose or effect of changing or influencing the control of VIH, or in connection with or as a participant in any transaction having such purpose or effect, immediately upon such acquisition will be deemed to be the beneficial owner of the underlying VIH Class A Ordinary Shares and not be able to take advantage of this provision. </w:t>
      </w:r>
    </w:p>
    <w:p>
      <w:pPr>
        <w:pStyle w:val="TextBody"/>
        <w:spacing w:before="240" w:after="0"/>
        <w:jc w:val="left"/>
        <w:rPr>
          <w:rFonts w:ascii="Times New Roman" w:hAnsi="Times New Roman"/>
          <w:sz w:val="20"/>
        </w:rPr>
      </w:pPr>
      <w:r>
        <w:rPr>
          <w:rFonts w:ascii="Times New Roman" w:hAnsi="Times New Roman"/>
          <w:sz w:val="20"/>
        </w:rPr>
        <w:t xml:space="preserve">No fractional shares will be issued upon exercise of the VIH Warrants. If, upon exercise of the VIH Warrants, a holder would be entitled to receive a fractional interest in a share (as a result of a subsequent share dividend payable in shares of common stock, or by a split up of the VIH Class A Ordinary Shares or other similar event), VIH will, upon exercise, round up or down to the nearest whole number the number of VIH Class A Ordinary Shares to be issued to the Public Warrant Holder. </w:t>
      </w:r>
    </w:p>
    <w:p>
      <w:pPr>
        <w:pStyle w:val="TextBody"/>
        <w:spacing w:before="240" w:after="0"/>
        <w:jc w:val="left"/>
        <w:rPr>
          <w:rFonts w:ascii="Times New Roman" w:hAnsi="Times New Roman"/>
          <w:sz w:val="20"/>
        </w:rPr>
      </w:pPr>
      <w:r>
        <w:rPr>
          <w:rFonts w:ascii="Times New Roman" w:hAnsi="Times New Roman"/>
          <w:sz w:val="20"/>
        </w:rPr>
        <w:t xml:space="preserve">In addition to the Public Warrants and Private Placement Warrants discussed above, pursuant to the Warrant Agreement, the Sponsor or an affiliate of the Sponsor or certain of VIHs officers and directors may, but are not obligated to, loan VIH funds as may be required, of which up to $1,500,000 of such loans may be convertible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into up to an additional 1,500,000 warrants at a price of $1.00 per warrant. However, pursuant to the Merger Agreement, VIH is subject to certain restrictions in respect of any equity issuances prior to the completion of the Proposed Transaction. For more information, see the section entitled </w:t>
      </w:r>
      <w:r>
        <w:rPr>
          <w:rFonts w:ascii="Times New Roman" w:hAnsi="Times New Roman"/>
          <w:i/>
          <w:sz w:val="20"/>
        </w:rPr>
        <w:t>The Business Combination ProposalCovenants and Agreements</w:t>
      </w:r>
      <w:r>
        <w:rPr>
          <w:rFonts w:ascii="Times New Roman" w:hAnsi="Times New Roman"/>
          <w:sz w:val="20"/>
        </w:rPr>
        <w:t xml:space="preserve"> beginning on page 123 of this proxy statement/prospectus. </w:t>
      </w:r>
    </w:p>
    <w:p>
      <w:pPr>
        <w:pStyle w:val="TextBody"/>
        <w:spacing w:before="360" w:after="0"/>
        <w:jc w:val="left"/>
        <w:rPr>
          <w:rFonts w:ascii="Times New Roman" w:hAnsi="Times New Roman"/>
          <w:b/>
          <w:i/>
          <w:sz w:val="20"/>
        </w:rPr>
      </w:pPr>
      <w:bookmarkStart w:id="87" w:name="13f"/>
      <w:bookmarkEnd w:id="87"/>
      <w:r>
        <w:rPr>
          <w:rFonts w:ascii="Times New Roman" w:hAnsi="Times New Roman"/>
          <w:b/>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VIH has not paid any cash dividends on the VIH Shares to date and does not intend to pay cash dividends prior to the Business Combination. The payment of cash dividends in the future, including after the Business Combination, will be dependent upon the Companys revenues and earnings, if any, capital requirements and general financial condition subsequent to completion of the Proposed Transaction. The payment of any dividends subsequent to the Business Combination will be within the discretion of the Company Board. </w:t>
      </w:r>
    </w:p>
    <w:p>
      <w:pPr>
        <w:pStyle w:val="TextBody"/>
        <w:spacing w:before="360" w:after="0"/>
        <w:jc w:val="left"/>
        <w:rPr>
          <w:rFonts w:ascii="Times New Roman" w:hAnsi="Times New Roman"/>
          <w:b/>
          <w:i/>
          <w:sz w:val="20"/>
        </w:rPr>
      </w:pPr>
      <w:r>
        <w:rPr>
          <w:rFonts w:ascii="Times New Roman" w:hAnsi="Times New Roman"/>
          <w:b/>
          <w:i/>
          <w:sz w:val="20"/>
        </w:rPr>
        <w:t xml:space="preserve">Transfer Agent, Rights Agent and Warrant Agent </w:t>
      </w:r>
    </w:p>
    <w:p>
      <w:pPr>
        <w:pStyle w:val="TextBody"/>
        <w:spacing w:before="120" w:after="0"/>
        <w:jc w:val="left"/>
        <w:rPr>
          <w:rFonts w:ascii="Times New Roman" w:hAnsi="Times New Roman"/>
          <w:sz w:val="20"/>
        </w:rPr>
      </w:pPr>
      <w:r>
        <w:rPr>
          <w:rFonts w:ascii="Times New Roman" w:hAnsi="Times New Roman"/>
          <w:sz w:val="20"/>
        </w:rPr>
        <w:t xml:space="preserve">The Transfer Agent for VIH Shares and warrant agent for VIH Warrants is Continental Stock Transfer &amp; Trust Company, One State Street, 30th Floor, New York, NY 10004. </w:t>
      </w:r>
    </w:p>
    <w:p>
      <w:pPr>
        <w:pStyle w:val="TextBody"/>
        <w:spacing w:before="360" w:after="0"/>
        <w:jc w:val="left"/>
        <w:rPr>
          <w:rFonts w:ascii="Times New Roman" w:hAnsi="Times New Roman"/>
          <w:b/>
          <w:i/>
          <w:sz w:val="20"/>
        </w:rPr>
      </w:pPr>
      <w:r>
        <w:rPr>
          <w:rFonts w:ascii="Times New Roman" w:hAnsi="Times New Roman"/>
          <w:b/>
          <w:i/>
          <w:sz w:val="20"/>
        </w:rPr>
        <w:t xml:space="preserve">Listing of VIHs Securities </w:t>
      </w:r>
    </w:p>
    <w:p>
      <w:pPr>
        <w:pStyle w:val="TextBody"/>
        <w:spacing w:before="120" w:after="0"/>
        <w:jc w:val="left"/>
        <w:rPr>
          <w:rFonts w:ascii="Times New Roman" w:hAnsi="Times New Roman"/>
          <w:sz w:val="20"/>
        </w:rPr>
      </w:pPr>
      <w:r>
        <w:rPr>
          <w:rFonts w:ascii="Times New Roman" w:hAnsi="Times New Roman"/>
          <w:sz w:val="20"/>
        </w:rPr>
        <w:t xml:space="preserve">VIHs Units, VIH Class A Ordinary Shares and Warrants are listed on Nasdaq under the symbols VIHAU, VIH and VIHAW, respectively. At the Closing, the VIH Units will separate into their component Bakkt Pubco Class A Shares and Bakkt Pubco Warrants so that the VIH Units will no longer trade separately under VIHAU. VIH cannot assure you that the Companys securities will continue to be listed on Nasdaq as the Company might not in the future meet certain continued listing standards. </w:t>
      </w:r>
    </w:p>
    <w:p>
      <w:pPr>
        <w:pStyle w:val="TextBody"/>
        <w:spacing w:before="360" w:after="0"/>
        <w:jc w:val="left"/>
        <w:rPr>
          <w:rFonts w:ascii="Times New Roman" w:hAnsi="Times New Roman"/>
          <w:b/>
          <w:i/>
          <w:sz w:val="20"/>
        </w:rPr>
      </w:pPr>
      <w:r>
        <w:rPr>
          <w:rFonts w:ascii="Times New Roman" w:hAnsi="Times New Roman"/>
          <w:b/>
          <w:i/>
          <w:sz w:val="20"/>
        </w:rPr>
        <w:t xml:space="preserve">Certain Differences in Corporate Law </w:t>
      </w:r>
    </w:p>
    <w:p>
      <w:pPr>
        <w:pStyle w:val="TextBody"/>
        <w:spacing w:before="120" w:after="0"/>
        <w:jc w:val="left"/>
        <w:rPr>
          <w:rFonts w:ascii="Times New Roman" w:hAnsi="Times New Roman"/>
          <w:sz w:val="20"/>
        </w:rPr>
      </w:pPr>
      <w:r>
        <w:rPr>
          <w:rFonts w:ascii="Times New Roman" w:hAnsi="Times New Roman"/>
          <w:sz w:val="20"/>
        </w:rPr>
        <w:t>Companies incorporated in the Cayman Islands are governed by the Companies Act. The Companies Act differs from laws applicable to U.S. corporations and their shareholders. A description of the differences between the laws of the Cayman Islands and Delaware law are set forth in the section entitled </w:t>
      </w:r>
      <w:r>
        <w:rPr>
          <w:rFonts w:ascii="Times New Roman" w:hAnsi="Times New Roman"/>
          <w:i/>
          <w:sz w:val="20"/>
        </w:rPr>
        <w:t xml:space="preserve">The Domestication Proposal  Comparison of Shareholder Rights under Applicable Corporate Law Before and After the Domestication </w:t>
      </w:r>
      <w:r>
        <w:rPr>
          <w:rFonts w:ascii="Times New Roman" w:hAnsi="Times New Roman"/>
          <w:sz w:val="20"/>
        </w:rPr>
        <w:t xml:space="preserve">beginning on page 164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Cayman Constitutional Documents </w:t>
      </w:r>
    </w:p>
    <w:p>
      <w:pPr>
        <w:pStyle w:val="TextBody"/>
        <w:spacing w:before="120" w:after="0"/>
        <w:jc w:val="left"/>
        <w:rPr>
          <w:rFonts w:ascii="Times New Roman" w:hAnsi="Times New Roman"/>
          <w:sz w:val="20"/>
        </w:rPr>
      </w:pPr>
      <w:r>
        <w:rPr>
          <w:rFonts w:ascii="Times New Roman" w:hAnsi="Times New Roman"/>
          <w:sz w:val="20"/>
        </w:rPr>
        <w:t xml:space="preserve">The Cayman Constitutional Documents contain provisions designed to provide certain rights and protections to its shareholders prior to the completion of a Business Combination. The following are the material rights and protections contained in the Cayman Constitutional Documents: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of Public Shareholders to exercise Redemption Rights and redeem or have repurchased their shares in lieu of participating in a proposed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prohibition against completing a business combination unless VIH has net tangible assets of at least $5,000,001 upon completion of such business combination (or if the Advisory Organizational Documents Proposals are approved, immediately prior to the completion of such business combination without regard to the assets or liabilities of the target company of such business combination and its subsidiaries);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requirement that if VIH seeks shareholder approval of any business combination, the affirmative vote must be obtained of the holders of a majority of the outstanding VIH Shares, who, being present in person or by proxy and entitled to vote at the extraordinary general meeting, vote at the extraordinary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requirement that directors may call general meetings on their own accord;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prohibition, prior to a business combination, against VIH issuing (a) any VIH Shares or (b) any other securities which participate in or are otherwise entitled in any manner to any of the proceeds in the Trust Account or which vote as a class with the Public Shares on a business combination;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limitation on shareholders rights to receive a portion of the Trust Account. </w:t>
            </w:r>
          </w:p>
        </w:tc>
      </w:tr>
    </w:tbl>
    <w:p>
      <w:pPr>
        <w:pStyle w:val="TextBody"/>
        <w:spacing w:before="240" w:after="0"/>
        <w:jc w:val="left"/>
        <w:rPr>
          <w:rFonts w:ascii="Times New Roman" w:hAnsi="Times New Roman"/>
          <w:sz w:val="20"/>
        </w:rPr>
      </w:pPr>
      <w:r>
        <w:rPr>
          <w:rFonts w:ascii="Times New Roman" w:hAnsi="Times New Roman"/>
          <w:sz w:val="20"/>
        </w:rPr>
        <w:t xml:space="preserve">The Companies Act permits a company incorporated in the Cayman Islands to amend its memorandum and articles of association with the approval of a special resolution, being the approval of the holders of a majority of at least two-thirds of the VIH Shares, who, as of the Record Date being present in person or by proxy and entitled to vote at a general meeting, vote at the general meeting. A companys memorandum and articles of association may specify that the approval of a higher majority is required but, provided the approval of the required majority is obtained, any Cayman Islands company may amend its memorandum and articles of association regardless of whether its memorandum and articles of association provides otherwise. Accordingly, although VIH could amend any of the provisions relating to its structure and business plan which are contained in its Cayman Constitutional Documents, VIH views all of these provisions as binding obligations to its shareholders and neither VIH, nor its officers or directors, will take any action to amend or waive any of these provisions prior to the completion of an initial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Capital Stock of the Company after the Business Combination </w:t>
      </w:r>
    </w:p>
    <w:p>
      <w:pPr>
        <w:pStyle w:val="TextBody"/>
        <w:spacing w:before="120" w:after="0"/>
        <w:jc w:val="left"/>
        <w:rPr>
          <w:rFonts w:ascii="Times New Roman" w:hAnsi="Times New Roman"/>
          <w:sz w:val="20"/>
        </w:rPr>
      </w:pPr>
      <w:r>
        <w:rPr>
          <w:rFonts w:ascii="Times New Roman" w:hAnsi="Times New Roman"/>
          <w:sz w:val="20"/>
        </w:rPr>
        <w:t xml:space="preserve">The following summary sets forth the material terms of the Companys securities following the Closing. The following summary is not intended to be a complete summary of the rights and preferences of such securities, and is qualified by reference to the Proposed Certificate of Incorporation, a form of which is attached as </w:t>
      </w:r>
      <w:r>
        <w:rPr>
          <w:rFonts w:ascii="Times New Roman" w:hAnsi="Times New Roman"/>
          <w:i/>
          <w:sz w:val="20"/>
          <w:u w:val="single"/>
        </w:rPr>
        <w:t>Annex B-1</w:t>
      </w:r>
      <w:r>
        <w:rPr>
          <w:rFonts w:ascii="Times New Roman" w:hAnsi="Times New Roman"/>
          <w:sz w:val="20"/>
        </w:rPr>
        <w:t xml:space="preserve"> to this proxy statement/prospectus, and the Proposed By-Laws, a form of which is attached as </w:t>
      </w:r>
      <w:r>
        <w:rPr>
          <w:rFonts w:ascii="Times New Roman" w:hAnsi="Times New Roman"/>
          <w:i/>
          <w:sz w:val="20"/>
          <w:u w:val="single"/>
        </w:rPr>
        <w:t>Annex B-2</w:t>
      </w:r>
      <w:r>
        <w:rPr>
          <w:rFonts w:ascii="Times New Roman" w:hAnsi="Times New Roman"/>
          <w:sz w:val="20"/>
        </w:rPr>
        <w:t xml:space="preserve"> to this proxy statement/prospectus. We urge you to read the Proposed Certificate of Incorporation and Proposed By-Laws in their entirety for a complete description of the rights and preferences of the Companys securities following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will authorize the issuance of 1,001,000,000 shares, consisting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1,000,000 shares of preferred stock, par value $0.0001 per share (</w:t>
            </w:r>
            <w:r>
              <w:rPr>
                <w:rFonts w:ascii="Times New Roman" w:hAnsi="Times New Roman"/>
                <w:b/>
                <w:sz w:val="20"/>
              </w:rPr>
              <w:t>Bakkt Pubco</w:t>
            </w:r>
            <w:r>
              <w:rPr>
                <w:rFonts w:ascii="Times New Roman" w:hAnsi="Times New Roman"/>
                <w:sz w:val="20"/>
              </w:rPr>
              <w:t xml:space="preserve"> </w:t>
            </w:r>
            <w:r>
              <w:rPr>
                <w:rFonts w:ascii="Times New Roman" w:hAnsi="Times New Roman"/>
                <w:b/>
                <w:sz w:val="20"/>
              </w:rPr>
              <w:t>Preferred Stock</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1,000,000,000 shares of Bakkt Pubco Common Stock, which consists of (a) 750,000,000 Bakkt Pubco Class A Shares, and (b) 250,000,000 Bakkt Pubco Class V Shares. </w:t>
            </w:r>
          </w:p>
        </w:tc>
      </w:tr>
    </w:tbl>
    <w:p>
      <w:pPr>
        <w:pStyle w:val="TextBody"/>
        <w:spacing w:before="360" w:after="0"/>
        <w:jc w:val="left"/>
        <w:rPr>
          <w:rFonts w:ascii="Times New Roman" w:hAnsi="Times New Roman"/>
          <w:b/>
          <w:sz w:val="20"/>
        </w:rPr>
      </w:pPr>
      <w:r>
        <w:rPr>
          <w:rFonts w:ascii="Times New Roman" w:hAnsi="Times New Roman"/>
          <w:b/>
          <w:sz w:val="20"/>
        </w:rPr>
        <w:t xml:space="preserve">Bakkt Pubco Class A Common Stock </w:t>
      </w:r>
    </w:p>
    <w:p>
      <w:pPr>
        <w:pStyle w:val="TextBody"/>
        <w:spacing w:before="120" w:after="0"/>
        <w:jc w:val="left"/>
        <w:rPr>
          <w:rFonts w:ascii="Times New Roman" w:hAnsi="Times New Roman"/>
          <w:sz w:val="20"/>
        </w:rPr>
      </w:pPr>
      <w:r>
        <w:rPr>
          <w:rFonts w:ascii="Times New Roman" w:hAnsi="Times New Roman"/>
          <w:sz w:val="20"/>
        </w:rPr>
        <w:t xml:space="preserve">Upon completion of the Business Combination, we expect that there will be [266,621,502] shares of Bakkt Pubco Class A Common Stock outstanding, assuming that (a) no VIH Class A Ordinary Shares are redeemed in connection with the Business Combination and (b) none of the Bakkt Opco Common Units are exchanged for Bakkt Pubco Class A Common Stock. All shares of Bakkt Pubco Class A Common Stock are fully paid and non-assessable. In connection with the Business Combination, the VIH Class B Ordinary Shares held by the Sponsor will be converted into shares of Bakkt Pubco Class A Common Stock. </w:t>
      </w:r>
    </w:p>
    <w:p>
      <w:pPr>
        <w:pStyle w:val="TextBody"/>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Each holder of Bakkt Pubco Class A Common Stock is entitled to one vote for each share of Bakkt Pubco Class A Common Stock held of record by such holder on all matters on which stockholders generally are entitled to vote. The holders of Bakkt Pubco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See the section entitled </w:t>
      </w:r>
      <w:r>
        <w:rPr>
          <w:rFonts w:ascii="Times New Roman" w:hAnsi="Times New Roman"/>
          <w:i/>
          <w:sz w:val="20"/>
        </w:rPr>
        <w:t>Anti-Takeover Effects of the Proposed Certificate of Incorporation, the Proposed By-Laws and Certain Provisions of Delaware LawSupermajority Provisions</w:t>
      </w:r>
      <w:r>
        <w:rPr>
          <w:rFonts w:ascii="Times New Roman" w:hAnsi="Times New Roman"/>
          <w:sz w:val="20"/>
        </w:rPr>
        <w:t xml:space="preserve"> beginning on page 248 of this proxy statement/prospectus for the list of matters of the Company that will require approval of a supermajority of the then outstanding shares of the Companys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Subject to preferences that may be applicable to any outstanding Bakkt Pubco Preferred Stock, the holders of shares of Bakkt Pubco Class A Common Stock are entitled to receive ratably such dividends, if any, as may be declared from time to time by the Company Board out of funds legally available for such purposes. </w:t>
      </w:r>
    </w:p>
    <w:p>
      <w:pPr>
        <w:pStyle w:val="TextBody"/>
        <w:spacing w:before="240" w:after="0"/>
        <w:jc w:val="left"/>
        <w:rPr>
          <w:rFonts w:ascii="Times New Roman" w:hAnsi="Times New Roman"/>
          <w:sz w:val="20"/>
        </w:rPr>
      </w:pPr>
      <w:r>
        <w:rPr>
          <w:rFonts w:ascii="Times New Roman" w:hAnsi="Times New Roman"/>
          <w:b/>
          <w:i/>
          <w:sz w:val="20"/>
        </w:rPr>
        <w:t>Rights upon liquidation</w:t>
      </w:r>
      <w:r>
        <w:rPr>
          <w:rFonts w:ascii="Times New Roman" w:hAnsi="Times New Roman"/>
          <w:sz w:val="20"/>
        </w:rPr>
        <w:t xml:space="preserve">. In the event of any voluntary or involuntary liquidation, dissolution or winding up of the Companys affairs, the holders of Bakkt Pubco Class A Common Stock are entitled to share ratably in all assets remaining after payment of the Companys debts and other liabilities, subject to prior distribution rights of Bakkt Pubco Preferred Stock or any class or series of stock having a preference over the Bakkt Pubco Class A Common Stock, then outstanding, if any. </w:t>
      </w:r>
    </w:p>
    <w:p>
      <w:pPr>
        <w:pStyle w:val="TextBody"/>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Bakkt Pubco Class A Common Stock have no pre-emptive or conversion rights or other subscription rights. There are no redemption or sinking fund provisions applicable to the Bakkt Pubco Class A Common Stock. The rights, preferences and privileges of holders of the Bakkt Pubco Class A Common Stock will be subject to those of the holders of any shares of the Bakkt Pubco Preferred Stock the Company may issue in the future. </w:t>
      </w:r>
    </w:p>
    <w:p>
      <w:pPr>
        <w:pStyle w:val="TextBody"/>
        <w:spacing w:before="360" w:after="0"/>
        <w:jc w:val="left"/>
        <w:rPr>
          <w:rFonts w:ascii="Times New Roman" w:hAnsi="Times New Roman"/>
          <w:b/>
          <w:sz w:val="20"/>
        </w:rPr>
      </w:pPr>
      <w:r>
        <w:rPr>
          <w:rFonts w:ascii="Times New Roman" w:hAnsi="Times New Roman"/>
          <w:b/>
          <w:sz w:val="20"/>
        </w:rPr>
        <w:t xml:space="preserve">Bakkt Pubco Class V Common Stock </w:t>
      </w:r>
    </w:p>
    <w:p>
      <w:pPr>
        <w:pStyle w:val="TextBody"/>
        <w:spacing w:before="120" w:after="0"/>
        <w:jc w:val="left"/>
        <w:rPr>
          <w:rFonts w:ascii="Times New Roman" w:hAnsi="Times New Roman"/>
          <w:sz w:val="20"/>
        </w:rPr>
      </w:pPr>
      <w:r>
        <w:rPr>
          <w:rFonts w:ascii="Times New Roman" w:hAnsi="Times New Roman"/>
          <w:sz w:val="20"/>
        </w:rPr>
        <w:t xml:space="preserve">Upon completion of the Proposed Transaction, there will be approximately 250,000,000 shares of Bakkt Pubco Class V Common Stock outstanding. All shares of Bakkt Pubco Class V Common Stock to be issued in connection with the Business Combination will be fully paid and non-assessable. </w:t>
      </w:r>
    </w:p>
    <w:p>
      <w:pPr>
        <w:pStyle w:val="TextBody"/>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Except as set forth in the Voting Agreement, the holders of the Bakkt Pubco Class V Common Stock are entitled to one vote for each Bakkt Pubco Class V Share held of record by such holder, on all matters on which stockholders generally or holders of Bakkt Pubco Class V Common Stock as a separate class are entitled to vote (whether voting separately as a class or together with one or more classes of the Companys capital stock). The holders of Bakkt Pubco Class V Shares do not have cumulative voting rights in the election of directors. Holders of Bakkt Pubco Class V Shares will vote together with holders of the Bakkt Pubco Class A Shares as a single class on all matters presented to the Companys stockholders for their vote or approval. Generally, all matters to be voted on by stockholders must be approved by a majority (or, in the case of election of directors, by a plurality) of the votes entitled to be cast by all stockholders present in person or represented by proxy, voting together as a single class. See the section entitled </w:t>
      </w:r>
      <w:r>
        <w:rPr>
          <w:rFonts w:ascii="Times New Roman" w:hAnsi="Times New Roman"/>
          <w:i/>
          <w:sz w:val="20"/>
        </w:rPr>
        <w:t>Anti-Takeover Effects of the Proposed Certificate of Incorporation, the Proposed By-Laws and Certain Provisions of Delaware LawSupermajority Provisions</w:t>
      </w:r>
      <w:r>
        <w:rPr>
          <w:rFonts w:ascii="Times New Roman" w:hAnsi="Times New Roman"/>
          <w:sz w:val="20"/>
        </w:rPr>
        <w:t xml:space="preserve"> beginning on page 248 of this proxy statement/prospectus for the list of matters of the Company that will require approval of a supermajority of the then outstanding shares of the Companys stock. </w:t>
      </w:r>
    </w:p>
    <w:p>
      <w:pPr>
        <w:pStyle w:val="TextBody"/>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The holders of the Bakkt Pubco Class V Shares will not participate in any dividends declared by the Company Board. </w:t>
      </w:r>
    </w:p>
    <w:p>
      <w:pPr>
        <w:pStyle w:val="TextBody"/>
        <w:spacing w:before="240" w:after="0"/>
        <w:jc w:val="left"/>
        <w:rPr>
          <w:rFonts w:ascii="Times New Roman" w:hAnsi="Times New Roman"/>
          <w:sz w:val="20"/>
        </w:rPr>
      </w:pPr>
      <w:r>
        <w:rPr>
          <w:rFonts w:ascii="Times New Roman" w:hAnsi="Times New Roman"/>
          <w:b/>
          <w:i/>
          <w:sz w:val="20"/>
        </w:rPr>
        <w:t>Rights upon liquidation</w:t>
      </w:r>
      <w:r>
        <w:rPr>
          <w:rFonts w:ascii="Times New Roman" w:hAnsi="Times New Roman"/>
          <w:sz w:val="20"/>
        </w:rPr>
        <w:t xml:space="preserve">. In the event of any voluntary or involuntary liquidation, dissolution or winding up of the Companys affairs, the holders of Bakkt Pubco Class V Shares are not entitled to receive any assets of the Company. </w:t>
      </w:r>
    </w:p>
    <w:p>
      <w:pPr>
        <w:pStyle w:val="TextBody"/>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Bakkt Pubco Class V Shares do not have pre-emptive, subscription, redemption or conversion rights. There will be no redemption or sinking fund provisions applicable to the Bakkt Pubco Class V Common Stock. </w:t>
      </w:r>
    </w:p>
    <w:p>
      <w:pPr>
        <w:pStyle w:val="TextBody"/>
        <w:spacing w:before="240" w:after="0"/>
        <w:jc w:val="left"/>
        <w:rPr>
          <w:rFonts w:ascii="Times New Roman" w:hAnsi="Times New Roman"/>
          <w:sz w:val="20"/>
        </w:rPr>
      </w:pPr>
      <w:r>
        <w:rPr>
          <w:rFonts w:ascii="Times New Roman" w:hAnsi="Times New Roman"/>
          <w:b/>
          <w:i/>
          <w:sz w:val="20"/>
        </w:rPr>
        <w:t>Issuance and Retirement of Bakkt Pubco Class</w:t>
      </w:r>
      <w:r>
        <w:rPr>
          <w:rFonts w:ascii="Times New Roman" w:hAnsi="Times New Roman"/>
          <w:sz w:val="20"/>
        </w:rPr>
        <w:t> </w:t>
      </w:r>
      <w:r>
        <w:rPr>
          <w:rFonts w:ascii="Times New Roman" w:hAnsi="Times New Roman"/>
          <w:b/>
          <w:i/>
          <w:sz w:val="20"/>
        </w:rPr>
        <w:t>V Common Stock</w:t>
      </w:r>
      <w:r>
        <w:rPr>
          <w:rFonts w:ascii="Times New Roman" w:hAnsi="Times New Roman"/>
          <w:sz w:val="20"/>
        </w:rPr>
        <w:t xml:space="preserve">. In the event that any outstanding share of Bakkt Pubco Class V Common Stock ceases to be held directly or indirectly by a holder of a Bakkt Opco Common Unit, such share will automatically be transferred to the Company for no consideration and will be retired. The Company will not issue additional Bakkt Pubco Class V Shares after the adoption of the Proposed Certificate of Incorporation other than in connection with the valid issuance or transfer of Bakkt Opco Common Units in accordance with the Surviving Company LLC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Bakkt Pubco Preferred Stock </w:t>
      </w:r>
    </w:p>
    <w:p>
      <w:pPr>
        <w:pStyle w:val="TextBody"/>
        <w:spacing w:before="120" w:after="0"/>
        <w:jc w:val="left"/>
        <w:rPr>
          <w:rFonts w:ascii="Times New Roman" w:hAnsi="Times New Roman"/>
          <w:sz w:val="20"/>
        </w:rPr>
      </w:pPr>
      <w:r>
        <w:rPr>
          <w:rFonts w:ascii="Times New Roman" w:hAnsi="Times New Roman"/>
          <w:sz w:val="20"/>
        </w:rPr>
        <w:t xml:space="preserve">No shares of Bakkt Pubco Preferred Stock will be issued or outstanding immediately after the completion of the Proposed Transaction. The Proposed Certificate of Incorporation will authorize the Company Board to establish one or more series of Bakkt Pubco Preferred Stock. Unless required by law or any stock exchange, the authorized shares of Bakkt Pubco Preferred Stock will be available for issuance without further action by the holders of Bakkt Pubco Common Stock. The Company Board has the discretion to determine the powers, preferences and relative, participating, optional and other special rights, including voting rights, dividend rights, conversion rights, redemption privileges and liquidation preferences, of each series of Bakkt Pubco Preferred Stock. </w:t>
      </w:r>
    </w:p>
    <w:p>
      <w:pPr>
        <w:pStyle w:val="TextBody"/>
        <w:spacing w:before="0" w:after="0"/>
        <w:jc w:val="left"/>
        <w:rPr>
          <w:rFonts w:ascii="Times New Roman" w:hAnsi="Times New Roman"/>
          <w:sz w:val="20"/>
        </w:rPr>
      </w:pPr>
      <w:r>
        <w:rPr>
          <w:rFonts w:ascii="Times New Roman" w:hAnsi="Times New Roman"/>
          <w:sz w:val="20"/>
        </w:rPr>
        <w:t xml:space="preserve">The issuance of Bakkt Pubco Preferred Stock may have the effect of delaying, deferring or preventing a change in control of the Company without further action by the stockholders. Additionally, the issuance of Bakkt Pubco Preferred Stock may adversely affect the holders of the Companys Shares by restricting dividends on the Bakkt Pubco Class A Common Stock, diluting the voting power of the Bakkt Pubco Class A Common Stock and the Bakkt Pubco Class V Common Stock or subordinating the liquidation rights of the Bakkt Pubco Class A Common Stock. As a result of these or other factors, the issuance of Bakkt Pubco Preferred Stock could have an adverse impact on the market price of the Bakkt Pubco Class A Common Stock. At present, we have no plans to issue any Bakkt Pubco Preferred Stock. </w:t>
      </w:r>
    </w:p>
    <w:p>
      <w:pPr>
        <w:pStyle w:val="TextBody"/>
        <w:spacing w:before="360" w:after="0"/>
        <w:jc w:val="left"/>
        <w:rPr>
          <w:rFonts w:ascii="Times New Roman" w:hAnsi="Times New Roman"/>
          <w:b/>
          <w:sz w:val="20"/>
        </w:rPr>
      </w:pPr>
      <w:r>
        <w:rPr>
          <w:rFonts w:ascii="Times New Roman" w:hAnsi="Times New Roman"/>
          <w:b/>
          <w:sz w:val="20"/>
        </w:rPr>
        <w:t xml:space="preserve">Warrants </w:t>
      </w:r>
    </w:p>
    <w:p>
      <w:pPr>
        <w:pStyle w:val="TextBody"/>
        <w:spacing w:before="120" w:after="0"/>
        <w:jc w:val="left"/>
        <w:rPr>
          <w:rFonts w:ascii="Times New Roman" w:hAnsi="Times New Roman"/>
          <w:sz w:val="20"/>
        </w:rPr>
      </w:pPr>
      <w:r>
        <w:rPr>
          <w:rFonts w:ascii="Times New Roman" w:hAnsi="Times New Roman"/>
          <w:sz w:val="20"/>
        </w:rPr>
        <w:t>As a result of and upon the effective time of the Domestication and the Business Combination, (a) each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issued and outstanding immediately prior to the Domestication will be automatically converted into one Bakkt Pubco Class A Share, and (d) each VIH Warrant will be automatically converted into a Bakkt Pubco Warrant on the same basis as the VIH Warrants. For more information on the terms of such warrants, see the above section entitled </w:t>
      </w:r>
      <w:r>
        <w:rPr>
          <w:rFonts w:ascii="Times New Roman" w:hAnsi="Times New Roman"/>
          <w:i/>
          <w:sz w:val="20"/>
        </w:rPr>
        <w:t>Description of VIH Capital Stock Prior to the Business CombinationWarrants</w:t>
      </w:r>
      <w:r>
        <w:rPr>
          <w:rFonts w:ascii="Times New Roman" w:hAnsi="Times New Roman"/>
          <w:sz w:val="20"/>
        </w:rPr>
        <w:t xml:space="preserve"> beginning on page 238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payment of future dividends on the shares of Bakkt Pubco Class A Common Stock will depend on the financial condition of the Company after the completion of the Proposed Transaction subject to the discretion of the Company Board. There can be no guarantee that cash dividends will be declared. The ability of the Company to declare dividends may be limited by the terms and conditions of other financing and other agreements entered into by the Company or any of its subsidiaries from time to time. </w:t>
      </w:r>
    </w:p>
    <w:p>
      <w:pPr>
        <w:pStyle w:val="TextBody"/>
        <w:spacing w:before="240" w:after="0"/>
        <w:jc w:val="left"/>
        <w:rPr>
          <w:rFonts w:ascii="Times New Roman" w:hAnsi="Times New Roman"/>
          <w:sz w:val="20"/>
        </w:rPr>
      </w:pPr>
      <w:r>
        <w:rPr>
          <w:rFonts w:ascii="Times New Roman" w:hAnsi="Times New Roman"/>
          <w:sz w:val="20"/>
        </w:rPr>
        <w:t xml:space="preserve">Upon completion of the Proposed Transaction, the Company will be a holding company with no material assets other than its interest in Bakkt. We intend to cause Bakkt to make distributions to holders of Bakkt Opco Common Units in amounts sufficient to cover applicable taxes and other obligations under the Tax Receivable Agreement as well as any cash dividends declared by us. </w:t>
      </w:r>
    </w:p>
    <w:p>
      <w:pPr>
        <w:pStyle w:val="TextBody"/>
        <w:spacing w:before="240" w:after="0"/>
        <w:jc w:val="left"/>
        <w:rPr>
          <w:rFonts w:ascii="Times New Roman" w:hAnsi="Times New Roman"/>
          <w:sz w:val="20"/>
        </w:rPr>
      </w:pPr>
      <w:r>
        <w:rPr>
          <w:rFonts w:ascii="Times New Roman" w:hAnsi="Times New Roman"/>
          <w:sz w:val="20"/>
        </w:rPr>
        <w:t xml:space="preserve">The Surviving Company LLC Agreement will provide that </w:t>
      </w:r>
      <w:r>
        <w:rPr>
          <w:rFonts w:ascii="Times New Roman" w:hAnsi="Times New Roman"/>
          <w:i/>
          <w:sz w:val="20"/>
        </w:rPr>
        <w:t>pro rata</w:t>
      </w:r>
      <w:r>
        <w:rPr>
          <w:rFonts w:ascii="Times New Roman" w:hAnsi="Times New Roman"/>
          <w:sz w:val="20"/>
        </w:rPr>
        <w:t xml:space="preserve"> cash distributions be made to holders of Bakkt Opco Common Units (including the Company), which we refer to as tax distributions. See the section entitled </w:t>
      </w:r>
      <w:r>
        <w:rPr>
          <w:rFonts w:ascii="Times New Roman" w:hAnsi="Times New Roman"/>
          <w:i/>
          <w:sz w:val="20"/>
        </w:rPr>
        <w:t>The Business Combination ProposalRelated AgreementsSurviving Company LLC Agreement</w:t>
      </w:r>
      <w:r>
        <w:rPr>
          <w:rFonts w:ascii="Times New Roman" w:hAnsi="Times New Roman"/>
          <w:sz w:val="20"/>
        </w:rPr>
        <w:t xml:space="preserve"> beginning on page 142 of this proxy statement/prospectus. The Company anticipates that amounts it will receive may, in certain periods, exceed the Companys actual tax liabilities and obligations to make payments under the Tax Receivable Agreement. The Company Board, in its sole discretion, will make any determination from time to time with respect to the use of any such excess cash so accumulated, which may include, among other uses,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 dividends, which may include special dividends, on the Bakkt Pubco Class A Common Stock; to fund repurchases of Bakkt Pubco Class A Common Stock; or any combination of the foregoing. We also expect, if necessary, to undertake ameliorative actions, which may include </w:t>
      </w:r>
      <w:r>
        <w:rPr>
          <w:rFonts w:ascii="Times New Roman" w:hAnsi="Times New Roman"/>
          <w:i/>
          <w:sz w:val="20"/>
        </w:rPr>
        <w:t>pro rata</w:t>
      </w:r>
      <w:r>
        <w:rPr>
          <w:rFonts w:ascii="Times New Roman" w:hAnsi="Times New Roman"/>
          <w:sz w:val="20"/>
        </w:rPr>
        <w:t xml:space="preserve"> or non-</w:t>
      </w:r>
      <w:r>
        <w:rPr>
          <w:rFonts w:ascii="Times New Roman" w:hAnsi="Times New Roman"/>
          <w:i/>
          <w:sz w:val="20"/>
        </w:rPr>
        <w:t>pro rata</w:t>
      </w:r>
      <w:r>
        <w:rPr>
          <w:rFonts w:ascii="Times New Roman" w:hAnsi="Times New Roman"/>
          <w:sz w:val="20"/>
        </w:rPr>
        <w:t xml:space="preserve"> reclassifications, combinations, subdivisions or adjustments of outstanding Bakkt Opco Common Units, to maintain one-for-one parity between Bakkt Opco Common Units and Bakkt Pubco Class A Shares. See the risk factor entitled </w:t>
      </w:r>
      <w:r>
        <w:rPr>
          <w:rFonts w:ascii="Times New Roman" w:hAnsi="Times New Roman"/>
          <w:i/>
          <w:sz w:val="20"/>
        </w:rPr>
        <w:t>Risk FactorsRisks Related to the Domestication and the Business Combination</w:t>
      </w:r>
      <w:r>
        <w:rPr>
          <w:rFonts w:ascii="Times New Roman" w:hAnsi="Times New Roman"/>
          <w:sz w:val="20"/>
        </w:rPr>
        <w:t xml:space="preserve"> beginning on page 54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In addition, Bakkt is generally prohibited under Delaware law from making a distribution to a member to the extent that, at the time of the distribution, after giving effect to the distribution, liabilities of Bakkt (with certain exceptions) exceed the fair value of its assets. Subsidiaries of Bakkt are generally subject to similar legal limitations on their ability to make distributions to Bakkt. </w:t>
      </w:r>
    </w:p>
    <w:p>
      <w:pPr>
        <w:pStyle w:val="TextBody"/>
        <w:spacing w:before="360" w:after="0"/>
        <w:jc w:val="left"/>
        <w:rPr>
          <w:rFonts w:ascii="Times New Roman" w:hAnsi="Times New Roman"/>
          <w:b/>
          <w:sz w:val="20"/>
        </w:rPr>
      </w:pPr>
      <w:bookmarkStart w:id="88" w:name="7c"/>
      <w:bookmarkEnd w:id="88"/>
      <w:r>
        <w:rPr>
          <w:rFonts w:ascii="Times New Roman" w:hAnsi="Times New Roman"/>
          <w:b/>
          <w:sz w:val="20"/>
        </w:rPr>
        <w:t xml:space="preserve">Anti-Takeover Effects of the Proposed Certificate of Incorporation, the Proposed By-Laws and Certain Provisions of Delaware Law </w:t>
      </w:r>
    </w:p>
    <w:p>
      <w:pPr>
        <w:pStyle w:val="TextBody"/>
        <w:spacing w:before="120" w:after="0"/>
        <w:jc w:val="left"/>
        <w:rPr>
          <w:rFonts w:ascii="Times New Roman" w:hAnsi="Times New Roman"/>
          <w:sz w:val="20"/>
        </w:rPr>
      </w:pPr>
      <w:r>
        <w:rPr>
          <w:rFonts w:ascii="Times New Roman" w:hAnsi="Times New Roman"/>
          <w:sz w:val="20"/>
        </w:rPr>
        <w:t>The Proposed Certificate of Incorporation, the Proposed By-Laws and the DGCL contain provisions, which are summarized in the following paragraphs, which are intended to enhance the likelihood of continuity and stability in the composition of the Company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Company Board to maximize stockholder value in connection with any unsolicited offer to acquire the Company.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Bakkt Pubco Class A Common Stock. The Proposed Certificate of Incorporation will provide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Bakkt Pubco Class V Common Stock, voting separately as a class, or, to the extent expressly permitted to do so by the certificate of designation relating to one or more series of Bakkt Pubco Preferred Stock, voting separately as a series or separately as a class with one or more other such series, may be taken without a meeting, without prior notice and without a vote, if a consent or consents, setting forth the action so taken, are signed by the holders of outstanding shares of the relevant class or series having not less than the minimum number of votes that would be necessary to authorize or take such action at a meeting at which all shares entitled to vote thereon were present and voted and are delivered to the Corporation in the manner forth in Section 228 of the DGCL. See also </w:t>
      </w:r>
      <w:r>
        <w:rPr>
          <w:rFonts w:ascii="Times New Roman" w:hAnsi="Times New Roman"/>
          <w:i/>
          <w:sz w:val="20"/>
        </w:rPr>
        <w:t>Risk Factors</w:t>
      </w:r>
      <w:r>
        <w:rPr>
          <w:rFonts w:ascii="Times New Roman" w:hAnsi="Times New Roman"/>
          <w:sz w:val="20"/>
        </w:rPr>
        <w:t xml:space="preserve">Risks Related to the Domestication and the Business Combination beginning on page 63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Authorized but Unissued Capital Stock </w:t>
      </w:r>
    </w:p>
    <w:p>
      <w:pPr>
        <w:pStyle w:val="TextBody"/>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NYSE, which would apply if and so long as the Bakkt Pubco Class A Common Stock remains listed on NYSE, require stockholder approval of certain issuances equal to or exceeding 20% of the then outstanding voting power or then outstanding number of shares of Bakkt Pubco Class A Common Stock. Additional shares that may be issued in the future may be used for a variety of corporate purposes, including future public offerings, to raise additional capital or to facilitate acquisitions. </w:t>
      </w:r>
    </w:p>
    <w:p>
      <w:pPr>
        <w:pStyle w:val="TextBody"/>
        <w:spacing w:before="240" w:after="0"/>
        <w:jc w:val="left"/>
        <w:rPr>
          <w:rFonts w:ascii="Times New Roman" w:hAnsi="Times New Roman"/>
          <w:sz w:val="20"/>
        </w:rPr>
      </w:pPr>
      <w:r>
        <w:rPr>
          <w:rFonts w:ascii="Times New Roman" w:hAnsi="Times New Roman"/>
          <w:sz w:val="20"/>
        </w:rPr>
        <w:t xml:space="preserve">One of the effects of the existence of unissued and unreserved Bakkt Pubco Common Stock may be to enable the Company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Bakkt Pubco Class A Common Stock at prices higher than prevailing market prices.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Election of Directors and Vacancies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will provide that the Company Board will determine the number of directors who will serve on the board. Subject to the Stockholders Agreement, the exact number of directors will be fixed from time to time by a majority of the Company Board. Upon adoption of the Proposed Certificate of Incorporation and the Stockholders Agreement, the Company Board will be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Company Board. </w:t>
      </w:r>
    </w:p>
    <w:p>
      <w:pPr>
        <w:pStyle w:val="TextBody"/>
        <w:spacing w:before="240" w:after="0"/>
        <w:jc w:val="left"/>
        <w:rPr>
          <w:rFonts w:ascii="Times New Roman" w:hAnsi="Times New Roman"/>
          <w:sz w:val="20"/>
        </w:rPr>
      </w:pPr>
      <w:r>
        <w:rPr>
          <w:rFonts w:ascii="Times New Roman" w:hAnsi="Times New Roman"/>
          <w:sz w:val="20"/>
        </w:rPr>
        <w:t>In addition, the Proposed Certificate of Incorporation will provide that any vacancy on the Company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the holders of Bakkt Pubco Preferred Stock. For more information on the Stockholders Agreement, see the section entitled </w:t>
      </w:r>
      <w:r>
        <w:rPr>
          <w:rFonts w:ascii="Times New Roman" w:hAnsi="Times New Roman"/>
          <w:i/>
          <w:sz w:val="20"/>
        </w:rPr>
        <w:t>The Business Combination ProposalRelated AgreementsStockholders Agreement</w:t>
      </w:r>
      <w:r>
        <w:rPr>
          <w:rFonts w:ascii="Times New Roman" w:hAnsi="Times New Roman"/>
          <w:sz w:val="20"/>
        </w:rPr>
        <w:t xml:space="preserve"> beginning on page 141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Business Combinations </w:t>
      </w:r>
    </w:p>
    <w:p>
      <w:pPr>
        <w:pStyle w:val="TextBody"/>
        <w:spacing w:before="120" w:after="0"/>
        <w:jc w:val="left"/>
        <w:rPr>
          <w:rFonts w:ascii="Times New Roman" w:hAnsi="Times New Roman"/>
          <w:sz w:val="20"/>
        </w:rPr>
      </w:pPr>
      <w:r>
        <w:rPr>
          <w:rFonts w:ascii="Times New Roman" w:hAnsi="Times New Roman"/>
          <w:sz w:val="20"/>
        </w:rPr>
        <w:t xml:space="preserve">The Company has elected not to be governed by Section 203 of the DGCL. Notwithstanding the foregoing, the Proposed Certificate of Incorporation will provide that the Company will not engage in any business combinations (as defined in the Proposed Certificate of Incorporation), at any point in time at which the Companys Shares are registered under Section 12(b) or 12(g) of the Exchange Act, with any interested stockholder (as defined in the Proposed Certificate of Incorporation) for a three-year period after the time that such person became an interested stockholder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such time, the Company Board approved either the business combination or the transaction which resulted in the stockholder becoming an interested stockholder;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Company Board and authorized at an annual or special meeting of stockholders, and not by written consent, by the affirmative vote of at least 66 2/3% of the outstanding voting stock of the Company which is not owned by the interested stockholder. </w:t>
            </w:r>
          </w:p>
        </w:tc>
      </w:tr>
    </w:tbl>
    <w:p>
      <w:pPr>
        <w:pStyle w:val="TextBody"/>
        <w:spacing w:before="240" w:after="0"/>
        <w:jc w:val="left"/>
        <w:rPr>
          <w:rFonts w:ascii="Times New Roman" w:hAnsi="Times New Roman"/>
          <w:sz w:val="20"/>
        </w:rPr>
      </w:pPr>
      <w:r>
        <w:rPr>
          <w:rFonts w:ascii="Times New Roman" w:hAnsi="Times New Roman"/>
          <w:sz w:val="20"/>
        </w:rPr>
        <w:t xml:space="preserve">Under the Proposed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Proposed Certificate of Incorporation will expressly exclude certain of the Companys stockholders with whom the Company will enter into the Stockholders Agreement, certain of their respective direct or indirect transferees, and their respective successors and affiliates from the definition of interested stockholder irrespective of the percentage ownership of the total voting power beneficially owned by them. Under certain circumstances, such provisions in the Proposed Certificate of Incorporation make it more difficult for a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who would be an interested stockholder to effect various business combinations with a corporation for a three-year period. Accordingly, such provisions in the Proposed Certificate of Incorporation could have an anti-takeover effect with respect to certain transactions which the Company Board does not approve in advance. Such provisions may encourage companies interested in acquiring the Company to negotiate in advance with the Company Board because the stockholder approval requirement would be avoided if the Company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 </w:t>
      </w:r>
    </w:p>
    <w:p>
      <w:pPr>
        <w:pStyle w:val="TextBody"/>
        <w:spacing w:before="360" w:after="0"/>
        <w:jc w:val="left"/>
        <w:rPr>
          <w:rFonts w:ascii="Times New Roman" w:hAnsi="Times New Roman"/>
          <w:i/>
          <w:sz w:val="20"/>
        </w:rPr>
      </w:pPr>
      <w:r>
        <w:rPr>
          <w:rFonts w:ascii="Times New Roman" w:hAnsi="Times New Roman"/>
          <w:i/>
          <w:sz w:val="20"/>
        </w:rPr>
        <w:t xml:space="preserve">Quorum </w:t>
      </w:r>
    </w:p>
    <w:p>
      <w:pPr>
        <w:pStyle w:val="TextBody"/>
        <w:spacing w:before="120" w:after="0"/>
        <w:jc w:val="left"/>
        <w:rPr>
          <w:rFonts w:ascii="Times New Roman" w:hAnsi="Times New Roman"/>
          <w:sz w:val="20"/>
        </w:rPr>
      </w:pPr>
      <w:r>
        <w:rPr>
          <w:rFonts w:ascii="Times New Roman" w:hAnsi="Times New Roman"/>
          <w:sz w:val="20"/>
        </w:rPr>
        <w:t xml:space="preserve">The Proposed By-Laws will provide that at any meeting of the Company Board, a majority of the total number of directors then in office constitutes a quorum for the transaction of business. </w:t>
      </w:r>
    </w:p>
    <w:p>
      <w:pPr>
        <w:pStyle w:val="TextBody"/>
        <w:spacing w:before="360" w:after="0"/>
        <w:jc w:val="left"/>
        <w:rPr>
          <w:rFonts w:ascii="Times New Roman" w:hAnsi="Times New Roman"/>
          <w:i/>
          <w:sz w:val="20"/>
        </w:rPr>
      </w:pPr>
      <w:r>
        <w:rPr>
          <w:rFonts w:ascii="Times New Roman" w:hAnsi="Times New Roman"/>
          <w:i/>
          <w:sz w:val="20"/>
        </w:rPr>
        <w:t xml:space="preserve">No Cumulative Voting </w:t>
      </w:r>
    </w:p>
    <w:p>
      <w:pPr>
        <w:pStyle w:val="TextBody"/>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expressly authorizes cumulative voting. The Proposed Certificate of Incorporation does not authorize cumulative voting. </w:t>
      </w:r>
    </w:p>
    <w:p>
      <w:pPr>
        <w:pStyle w:val="TextBody"/>
        <w:spacing w:before="360" w:after="0"/>
        <w:jc w:val="left"/>
        <w:rPr>
          <w:rFonts w:ascii="Times New Roman" w:hAnsi="Times New Roman"/>
          <w:i/>
          <w:sz w:val="20"/>
        </w:rPr>
      </w:pPr>
      <w:r>
        <w:rPr>
          <w:rFonts w:ascii="Times New Roman" w:hAnsi="Times New Roman"/>
          <w:i/>
          <w:sz w:val="20"/>
        </w:rPr>
        <w:t xml:space="preserve">General Stockholder Meetings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will provide that special meetings of stockholders may be called only by or at the direction of the Company Board, the Chairman of the Board or the Chief Executive Officer. </w:t>
      </w:r>
    </w:p>
    <w:p>
      <w:pPr>
        <w:pStyle w:val="TextBody"/>
        <w:spacing w:before="360" w:after="0"/>
        <w:jc w:val="left"/>
        <w:rPr>
          <w:rFonts w:ascii="Times New Roman" w:hAnsi="Times New Roman"/>
          <w:i/>
          <w:sz w:val="20"/>
        </w:rPr>
      </w:pPr>
      <w:r>
        <w:rPr>
          <w:rFonts w:ascii="Times New Roman" w:hAnsi="Times New Roman"/>
          <w:i/>
          <w:sz w:val="20"/>
        </w:rPr>
        <w:t xml:space="preserve">Requirements for Advance Notification of Stockholder Meetings, Nominations and Proposals </w:t>
      </w:r>
    </w:p>
    <w:p>
      <w:pPr>
        <w:pStyle w:val="TextBody"/>
        <w:spacing w:before="120" w:after="0"/>
        <w:jc w:val="left"/>
        <w:rPr>
          <w:rFonts w:ascii="Times New Roman" w:hAnsi="Times New Roman"/>
          <w:sz w:val="20"/>
        </w:rPr>
      </w:pPr>
      <w:r>
        <w:rPr>
          <w:rFonts w:ascii="Times New Roman" w:hAnsi="Times New Roman"/>
          <w:sz w:val="20"/>
        </w:rPr>
        <w:t xml:space="preserve">The Proposed By-Laws establish advance notice procedures with respect to stockholder proposals and the nomination of candidates for election as directors, other than nominations made by or at the direction of the Company Board or a committee of the Company Board. For any matter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following the adoption of the Proposed By-Laws, the date of the preceding annual meeting will be deemed to be [May 15, 2021]). The Proposed By-Laws allow the Company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 </w:t>
      </w:r>
    </w:p>
    <w:p>
      <w:pPr>
        <w:pStyle w:val="TextBody"/>
        <w:spacing w:before="360" w:after="0"/>
        <w:jc w:val="left"/>
        <w:rPr>
          <w:rFonts w:ascii="Times New Roman" w:hAnsi="Times New Roman"/>
          <w:i/>
          <w:sz w:val="20"/>
        </w:rPr>
      </w:pPr>
      <w:bookmarkStart w:id="89" w:name="4f"/>
      <w:bookmarkEnd w:id="89"/>
      <w:r>
        <w:rPr>
          <w:rFonts w:ascii="Times New Roman" w:hAnsi="Times New Roman"/>
          <w:i/>
          <w:sz w:val="20"/>
        </w:rPr>
        <w:t xml:space="preserve">Supermajority Provisions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and the Proposed By-Laws will provide that the Company Board is expressly authorized to make, alter, amend, change, add to, rescind or repeal, in whole or in part, the Proposed By-Laws without a stockholder vote in any matter not inconsistent with the laws of the State of Delaware or the Proposed Certificate of Incorporation and subject to the rights of the parties to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Proposed Certificate of Incorporation will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provide that the following provisions therein may be amended, altered, repealed or rescinded only by the affirmative vote of the holders of at least 66 2/3% in voting power all the then outstanding shares of the Companys stock entitled to vote thereon, voting together as a single class: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 regarding the Company Board being authorized to amend the Proposed By-Laws without a stockholder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providing for a classified Company Board (the election and term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filling vacancies on the Company Board and newly created directorships;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resignation and removal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calling special meetings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stockholder action by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eliminating monetary damages for breaches of fiduciary duty by a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the election not to be governed by Section 203 of the DGCL;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competition and corporate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regarding exclusivity of forum;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amendment provision requiring that the above provisions be amended only with a 66 2/3% supermajority vote. </w:t>
            </w:r>
          </w:p>
        </w:tc>
      </w:tr>
    </w:tbl>
    <w:p>
      <w:pPr>
        <w:pStyle w:val="TextBody"/>
        <w:spacing w:before="240" w:after="0"/>
        <w:jc w:val="left"/>
        <w:rPr>
          <w:rFonts w:ascii="Times New Roman" w:hAnsi="Times New Roman"/>
          <w:sz w:val="20"/>
        </w:rPr>
      </w:pPr>
      <w:r>
        <w:rPr>
          <w:rFonts w:ascii="Times New Roman" w:hAnsi="Times New Roman"/>
          <w:sz w:val="20"/>
        </w:rPr>
        <w:t xml:space="preserve">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Company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 </w:t>
      </w:r>
    </w:p>
    <w:p>
      <w:pPr>
        <w:pStyle w:val="TextBody"/>
        <w:spacing w:before="360" w:after="0"/>
        <w:jc w:val="left"/>
        <w:rPr>
          <w:rFonts w:ascii="Times New Roman" w:hAnsi="Times New Roman"/>
          <w:i/>
          <w:sz w:val="20"/>
        </w:rPr>
      </w:pPr>
      <w:r>
        <w:rPr>
          <w:rFonts w:ascii="Times New Roman" w:hAnsi="Times New Roman"/>
          <w:i/>
          <w:sz w:val="20"/>
        </w:rPr>
        <w:t xml:space="preserve">Exclusive Forum </w:t>
      </w:r>
    </w:p>
    <w:p>
      <w:pPr>
        <w:pStyle w:val="TextBody"/>
        <w:spacing w:before="120" w:after="0"/>
        <w:jc w:val="left"/>
        <w:rPr>
          <w:rFonts w:ascii="Times New Roman" w:hAnsi="Times New Roman"/>
          <w:sz w:val="20"/>
        </w:rPr>
      </w:pPr>
      <w:r>
        <w:rPr>
          <w:rFonts w:ascii="Times New Roman" w:hAnsi="Times New Roman"/>
          <w:sz w:val="20"/>
        </w:rPr>
        <w:t xml:space="preserve">The Proposed Certificate of Incorporation will provide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Proposed Certificate of Incorporation or the Proposed By-Laws or (ii) as to which the DGCL confers jurisdiction on the Court of Chancery of the State of Delaware or (d) any action to interpret, apply, enforce or determine the validity of the Proposed Certificate of Incorporation or the Proposed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Proposed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Conflicts of Interest </w:t>
      </w:r>
    </w:p>
    <w:p>
      <w:pPr>
        <w:pStyle w:val="TextBody"/>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The Proposed Certificate of Incorporation, to the maximum extent permitted from time to time by Delaware law, renounces any interest or expectancy that the Company has in, or right to be offered an opportunity to participate in, specified business opportunities that are from time to time presented to directors, principals, officers, employees, equityholders and other representatives of Sponsor and ICE, or the Companys non-employee directors or his or her affiliates. The Proposed Certificate of Incorporation also provides that, to the fullest extent permitted by law, none of directors, principals, officers, employees, equityholders and other representatives of Sponsor and ICE or the Companys non-employee directors or his or her affiliates will have any duty to refrain from (a) engaging in a corporate opportunity in the same or similar lines of business in which the Company or its affiliates will engage or propose to engage or (b) otherwise competing with the Company or its affiliates. In addition, to the fullest extent permitted by law, in the event that directors, principals, officers, employees, equityholders and other representatives of Sponsor and ICE or any of the Companys non-employee director or any of his or her affiliates acquires knowledge of a potential transaction or other business opportunity which may be a corporate opportunity for itself or himself or herself and the Company or its affiliates or stockholders, will not be liable to the Company or its stockholders or to any affiliates of the Company for breach of any duty as a stockholder, director or officer of the Company solely by reason of the fact that such person pursues or acquires such corporate opportunity of itself, himself or herself, or offers or directs such corporate opportunity to another person or does not present such corporate opportunity to the Company or any of its affiliates or stockholders. The Proposed Certificate of Incorporation does not renounce the Companys interest in any business opportunity that is expressly offered to a non-employee director solely in his or her capacity as a director or officer of the Company. No business opportunity will be deemed to be a potential corporate opportunity for the Company unless (i) it would be permitted to undertake the opportunity, financially, legally and contractually, (ii) the opportunity would be in line with the Companys business or (iii) the opportunity is one in which the Company has interest or reasonable expectancy. </w:t>
      </w:r>
    </w:p>
    <w:p>
      <w:pPr>
        <w:pStyle w:val="TextBody"/>
        <w:spacing w:before="360" w:after="0"/>
        <w:jc w:val="left"/>
        <w:rPr>
          <w:rFonts w:ascii="Times New Roman" w:hAnsi="Times New Roman"/>
          <w:i/>
          <w:sz w:val="20"/>
        </w:rPr>
      </w:pPr>
      <w:bookmarkStart w:id="90" w:name="19f"/>
      <w:bookmarkEnd w:id="90"/>
      <w:r>
        <w:rPr>
          <w:rFonts w:ascii="Times New Roman" w:hAnsi="Times New Roman"/>
          <w:i/>
          <w:sz w:val="20"/>
        </w:rPr>
        <w:t xml:space="preserve">Limitations on Liability and Indemnification of Officers and Directors </w:t>
      </w:r>
    </w:p>
    <w:p>
      <w:pPr>
        <w:pStyle w:val="TextBody"/>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to corporations and their stockholders for monetary damages for breaches of directors fiduciary duties, subject to certain exceptions. The Proposed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 </w:t>
      </w:r>
    </w:p>
    <w:p>
      <w:pPr>
        <w:pStyle w:val="TextBody"/>
        <w:spacing w:before="240" w:after="0"/>
        <w:jc w:val="left"/>
        <w:rPr>
          <w:rFonts w:ascii="Times New Roman" w:hAnsi="Times New Roman"/>
          <w:sz w:val="20"/>
        </w:rPr>
      </w:pPr>
      <w:r>
        <w:rPr>
          <w:rFonts w:ascii="Times New Roman" w:hAnsi="Times New Roman"/>
          <w:sz w:val="20"/>
        </w:rPr>
        <w:t xml:space="preserve">The Proposed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the Proposed Certificate of Incorporation and the Proposed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indemnification provisions. The Company believes that these provisions, liability insurance [and any indemnity agreements that may be entered into] are necessary to attract and retain talented and experienced directors and officers.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w:t>
      </w:r>
    </w:p>
    <w:p>
      <w:pPr>
        <w:pStyle w:val="TextBody"/>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the VIHs or Bakkts respective directors, officers or employees for which indemnification is sought. </w:t>
      </w:r>
    </w:p>
    <w:p>
      <w:pPr>
        <w:pStyle w:val="TextBody"/>
        <w:spacing w:before="360" w:after="0"/>
        <w:jc w:val="left"/>
        <w:rPr>
          <w:rFonts w:ascii="Times New Roman" w:hAnsi="Times New Roman"/>
          <w:b/>
          <w:i/>
          <w:sz w:val="20"/>
        </w:rPr>
      </w:pPr>
      <w:bookmarkStart w:id="91" w:name="37f"/>
      <w:bookmarkEnd w:id="91"/>
      <w:r>
        <w:rPr>
          <w:rFonts w:ascii="Times New Roman" w:hAnsi="Times New Roman"/>
          <w:b/>
          <w:i/>
          <w:sz w:val="20"/>
        </w:rPr>
        <w:t xml:space="preserve">Stockholder Registration Rights </w:t>
      </w:r>
    </w:p>
    <w:p>
      <w:pPr>
        <w:pStyle w:val="TextBody"/>
        <w:spacing w:before="120" w:after="0"/>
        <w:jc w:val="left"/>
        <w:rPr>
          <w:rFonts w:ascii="Times New Roman" w:hAnsi="Times New Roman"/>
          <w:sz w:val="20"/>
        </w:rPr>
      </w:pPr>
      <w:r>
        <w:rPr>
          <w:rFonts w:ascii="Times New Roman" w:hAnsi="Times New Roman"/>
          <w:sz w:val="20"/>
        </w:rPr>
        <w:t xml:space="preserve">Upon the completion of the Proposed Transaction, the Company will enter into a Registration Rights Agreement, a form of which is attached as </w:t>
      </w:r>
      <w:r>
        <w:rPr>
          <w:rFonts w:ascii="Times New Roman" w:hAnsi="Times New Roman"/>
          <w:i/>
          <w:sz w:val="20"/>
          <w:u w:val="single"/>
        </w:rPr>
        <w:t>Annex E</w:t>
      </w:r>
      <w:r>
        <w:rPr>
          <w:rFonts w:ascii="Times New Roman" w:hAnsi="Times New Roman"/>
          <w:sz w:val="20"/>
        </w:rPr>
        <w:t xml:space="preserve"> to this proxy statement/prospectus with ICE and the other Bakkt Equity Holders and the holders of the Founder Shares, Private Placement Warrants and warrants issued upon conversion of working capital loans (if any) pursuant to which such parties will have specified rights to require the Company to register all or a portion of their shares under the Securities Act. This Registration Rights Agreement will terminate and replace the registration rights agreement entered into by VIH with respect to the Founder Shares, Private Placement Warrants and warrants issued upon conversion of working capital loans (if any), at the closing of the IPO. See the section entitled </w:t>
      </w:r>
      <w:r>
        <w:rPr>
          <w:rFonts w:ascii="Times New Roman" w:hAnsi="Times New Roman"/>
          <w:i/>
          <w:sz w:val="20"/>
        </w:rPr>
        <w:t>The Business Combination ProposalRelated AgreementsRegistration Rights Agreement</w:t>
      </w:r>
      <w:r>
        <w:rPr>
          <w:rFonts w:ascii="Times New Roman" w:hAnsi="Times New Roman"/>
          <w:sz w:val="20"/>
        </w:rPr>
        <w:t> beginning on page 140 of this proxy statement/prospectus. In addition, in connection with the PIPE Investment, VIH has agreed to file a registration statement covering the shares purchased by the PIPE Investors. See the section entitled </w:t>
      </w:r>
      <w:r>
        <w:rPr>
          <w:rFonts w:ascii="Times New Roman" w:hAnsi="Times New Roman"/>
          <w:i/>
          <w:sz w:val="20"/>
        </w:rPr>
        <w:t>The Business Combination ProposalRelated AgreementsSubscription Agreement</w:t>
      </w:r>
      <w:r>
        <w:rPr>
          <w:rFonts w:ascii="Times New Roman" w:hAnsi="Times New Roman"/>
          <w:sz w:val="20"/>
        </w:rPr>
        <w:t xml:space="preserve"> beginning on page 145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the shares of Bakkt Pubco Class A Common Stock will be Continental Stock Transfer &amp; Trust Company. </w:t>
      </w:r>
    </w:p>
    <w:p>
      <w:pPr>
        <w:pStyle w:val="TextBody"/>
        <w:spacing w:before="360" w:after="0"/>
        <w:jc w:val="left"/>
        <w:rPr>
          <w:rFonts w:ascii="Times New Roman" w:hAnsi="Times New Roman"/>
          <w:b/>
          <w:i/>
          <w:sz w:val="20"/>
        </w:rPr>
      </w:pPr>
      <w:r>
        <w:rPr>
          <w:rFonts w:ascii="Times New Roman" w:hAnsi="Times New Roman"/>
          <w:b/>
          <w:i/>
          <w:sz w:val="20"/>
        </w:rPr>
        <w:t xml:space="preserve">Listing </w:t>
      </w:r>
    </w:p>
    <w:p>
      <w:pPr>
        <w:pStyle w:val="TextBody"/>
        <w:spacing w:before="120" w:after="0"/>
        <w:jc w:val="left"/>
        <w:rPr>
          <w:rFonts w:ascii="Times New Roman" w:hAnsi="Times New Roman"/>
          <w:sz w:val="20"/>
        </w:rPr>
      </w:pPr>
      <w:r>
        <w:rPr>
          <w:rFonts w:ascii="Times New Roman" w:hAnsi="Times New Roman"/>
          <w:sz w:val="20"/>
        </w:rPr>
        <w:t xml:space="preserve">The Company will apply to list the Bakkt Pubco Class A Common Stock on the NYSE under the symbol BKKT.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2" w:name="toc108105_25"/>
      <w:bookmarkEnd w:id="92"/>
      <w:r>
        <w:rPr>
          <w:rFonts w:ascii="Times New Roman" w:hAnsi="Times New Roman"/>
          <w:b/>
          <w:sz w:val="20"/>
        </w:rPr>
        <w:t xml:space="preserve">MARKET PRICE AND DIVIDENDS OF SECURITIES </w:t>
      </w:r>
    </w:p>
    <w:p>
      <w:pPr>
        <w:pStyle w:val="TextBody"/>
        <w:spacing w:before="240" w:after="0"/>
        <w:jc w:val="left"/>
        <w:rPr>
          <w:rFonts w:ascii="Times New Roman" w:hAnsi="Times New Roman"/>
          <w:b/>
          <w:sz w:val="20"/>
        </w:rPr>
      </w:pPr>
      <w:r>
        <w:rPr>
          <w:rFonts w:ascii="Times New Roman" w:hAnsi="Times New Roman"/>
          <w:b/>
          <w:sz w:val="20"/>
        </w:rPr>
        <w:t xml:space="preserve">Market Price of VIH Units, VIH Ordinary Shares and Public Warrants </w:t>
      </w:r>
    </w:p>
    <w:p>
      <w:pPr>
        <w:pStyle w:val="TextBody"/>
        <w:spacing w:before="120" w:after="0"/>
        <w:jc w:val="left"/>
        <w:rPr>
          <w:rFonts w:ascii="Times New Roman" w:hAnsi="Times New Roman"/>
          <w:sz w:val="20"/>
        </w:rPr>
      </w:pPr>
      <w:r>
        <w:rPr>
          <w:rFonts w:ascii="Times New Roman" w:hAnsi="Times New Roman"/>
          <w:sz w:val="20"/>
        </w:rPr>
        <w:t xml:space="preserve">The VIH Units, VIH Class A Ordinary Shares and Public Warrants are traded on Nasdaq under the symbols VIHAU, VIH and VIHAW, respectively. The VIH Units began public trading on September 23, 2020 and the VIH Class A Ordinary Shares and Public Warrants began public trading on November 13, 2020. </w:t>
      </w:r>
    </w:p>
    <w:p>
      <w:pPr>
        <w:pStyle w:val="TextBody"/>
        <w:spacing w:before="240" w:after="0"/>
        <w:jc w:val="left"/>
        <w:rPr>
          <w:rFonts w:ascii="Times New Roman" w:hAnsi="Times New Roman"/>
          <w:sz w:val="20"/>
        </w:rPr>
      </w:pPr>
      <w:r>
        <w:rPr>
          <w:rFonts w:ascii="Times New Roman" w:hAnsi="Times New Roman"/>
          <w:sz w:val="20"/>
        </w:rPr>
        <w:t xml:space="preserve">Market price information regarding the VIH Class B Ordinary Shares is not provided here because there is no established public trading market for the VIH Class B Ordinary Shares. </w:t>
      </w:r>
    </w:p>
    <w:p>
      <w:pPr>
        <w:pStyle w:val="TextBody"/>
        <w:spacing w:before="240" w:after="0"/>
        <w:jc w:val="left"/>
        <w:rPr>
          <w:rFonts w:ascii="Times New Roman" w:hAnsi="Times New Roman"/>
          <w:sz w:val="20"/>
        </w:rPr>
      </w:pPr>
      <w:r>
        <w:rPr>
          <w:rFonts w:ascii="Times New Roman" w:hAnsi="Times New Roman"/>
          <w:sz w:val="20"/>
        </w:rPr>
        <w:t xml:space="preserve">The closing price of the VIH Units, VIH Class A Ordinary Shares and Public Warrants on January 8, 2021, the last trading day before announcement of the execution of the Merger Agreement, was $18.25, $16.48 and $4.55, respectively. On January 7, 2021, the last trading date prior to the publication of the articles speculating about the Proposed Transaction, VIH Units, VIH Class A Ordinary Shares and Public Warrants closed at $11.06, $10.41 and $1.181, respectively. As of March 30, 2021, the last trading day immediately prior to the date of this proxy statement/prospectus, the closing price for each VIH Unit, VIH Class A Ordinary Share and Public Warrant was $14.00, $12.48, and $2.80, respectively. </w:t>
      </w:r>
    </w:p>
    <w:p>
      <w:pPr>
        <w:pStyle w:val="TextBody"/>
        <w:spacing w:before="240" w:after="0"/>
        <w:jc w:val="left"/>
        <w:rPr>
          <w:rFonts w:ascii="Times New Roman" w:hAnsi="Times New Roman"/>
          <w:sz w:val="20"/>
        </w:rPr>
      </w:pPr>
      <w:r>
        <w:rPr>
          <w:rFonts w:ascii="Times New Roman" w:hAnsi="Times New Roman"/>
          <w:sz w:val="20"/>
        </w:rPr>
        <w:t xml:space="preserve">Holders of the VIH Units, VIH Class A Ordinary Shares and Public Warrants should obtain current market quotations for their securities. The market price of VIHs securities could vary at any time before the Closing. </w:t>
      </w:r>
    </w:p>
    <w:p>
      <w:pPr>
        <w:pStyle w:val="TextBody"/>
        <w:spacing w:before="360" w:after="0"/>
        <w:jc w:val="left"/>
        <w:rPr>
          <w:rFonts w:ascii="Times New Roman" w:hAnsi="Times New Roman"/>
          <w:b/>
          <w:i/>
          <w:sz w:val="20"/>
        </w:rPr>
      </w:pPr>
      <w:r>
        <w:rPr>
          <w:rFonts w:ascii="Times New Roman" w:hAnsi="Times New Roman"/>
          <w:b/>
          <w:i/>
          <w:sz w:val="20"/>
        </w:rPr>
        <w:t xml:space="preserve">Dividends of VIH Securities </w:t>
      </w:r>
    </w:p>
    <w:p>
      <w:pPr>
        <w:pStyle w:val="TextBody"/>
        <w:spacing w:before="120" w:after="0"/>
        <w:jc w:val="left"/>
        <w:rPr>
          <w:rFonts w:ascii="Times New Roman" w:hAnsi="Times New Roman"/>
          <w:sz w:val="20"/>
        </w:rPr>
      </w:pPr>
      <w:r>
        <w:rPr>
          <w:rFonts w:ascii="Times New Roman" w:hAnsi="Times New Roman"/>
          <w:sz w:val="20"/>
        </w:rPr>
        <w:t>Please refer to the section entitled </w:t>
      </w:r>
      <w:r>
        <w:rPr>
          <w:rFonts w:ascii="Times New Roman" w:hAnsi="Times New Roman"/>
          <w:i/>
          <w:sz w:val="20"/>
        </w:rPr>
        <w:t>Description of VIHs and the Companys SecuritiesDescription of VIH Capital Stock Prior to the Business CombinationDividends</w:t>
      </w:r>
      <w:r>
        <w:rPr>
          <w:rFonts w:ascii="Times New Roman" w:hAnsi="Times New Roman"/>
          <w:sz w:val="20"/>
        </w:rPr>
        <w:t xml:space="preserve"> beginning on page 242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Bakkt </w:t>
      </w:r>
    </w:p>
    <w:p>
      <w:pPr>
        <w:pStyle w:val="TextBody"/>
        <w:spacing w:before="120" w:after="0"/>
        <w:jc w:val="left"/>
        <w:rPr>
          <w:rFonts w:ascii="Times New Roman" w:hAnsi="Times New Roman"/>
          <w:b/>
          <w:i/>
          <w:sz w:val="20"/>
        </w:rPr>
      </w:pPr>
      <w:r>
        <w:rPr>
          <w:rFonts w:ascii="Times New Roman" w:hAnsi="Times New Roman"/>
          <w:b/>
          <w:i/>
          <w:sz w:val="20"/>
        </w:rPr>
        <w:t xml:space="preserve">Market Price of Bakkt Securities </w:t>
      </w:r>
    </w:p>
    <w:p>
      <w:pPr>
        <w:pStyle w:val="TextBody"/>
        <w:spacing w:before="120" w:after="0"/>
        <w:jc w:val="left"/>
        <w:rPr>
          <w:rFonts w:ascii="Times New Roman" w:hAnsi="Times New Roman"/>
          <w:sz w:val="20"/>
        </w:rPr>
      </w:pPr>
      <w:r>
        <w:rPr>
          <w:rFonts w:ascii="Times New Roman" w:hAnsi="Times New Roman"/>
          <w:sz w:val="20"/>
        </w:rPr>
        <w:t>Market price information regarding Bakkt is not provided because there is no public market for Bakkts securities. See </w:t>
      </w:r>
      <w:r>
        <w:rPr>
          <w:rFonts w:ascii="Times New Roman" w:hAnsi="Times New Roman"/>
          <w:i/>
          <w:sz w:val="20"/>
        </w:rPr>
        <w:t>Managements Discussion and Analysis of Financial Condition and Results of Operations of BakktLiquidity and Capital Resources</w:t>
      </w:r>
      <w:r>
        <w:rPr>
          <w:rFonts w:ascii="Times New Roman" w:hAnsi="Times New Roman"/>
          <w:sz w:val="20"/>
        </w:rPr>
        <w:t xml:space="preserve"> beginning on page 233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Dividend Policy of the Company Following the Business Combination </w:t>
      </w:r>
    </w:p>
    <w:p>
      <w:pPr>
        <w:pStyle w:val="TextBody"/>
        <w:spacing w:before="120" w:after="0"/>
        <w:jc w:val="left"/>
        <w:rPr>
          <w:rFonts w:ascii="Times New Roman" w:hAnsi="Times New Roman"/>
          <w:sz w:val="20"/>
        </w:rPr>
      </w:pPr>
      <w:r>
        <w:rPr>
          <w:rFonts w:ascii="Times New Roman" w:hAnsi="Times New Roman"/>
          <w:sz w:val="20"/>
        </w:rPr>
        <w:t xml:space="preserve">The payment of cash dividends after the Business Combination, will be dependent upon the Companys revenues and earnings, if any, capital requirements and general financial condition subsequent to completion of the Proposed Transaction. The payment of any dividends subsequent to the Business Combination will be within the discretion of the Company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3" w:name="toc108105_26"/>
      <w:bookmarkEnd w:id="93"/>
      <w:r>
        <w:rPr>
          <w:rFonts w:ascii="Times New Roman" w:hAnsi="Times New Roman"/>
          <w:b/>
          <w:sz w:val="20"/>
        </w:rPr>
        <w:t xml:space="preserve">BENEFICIAL OWNERSHIP OF SECURITIES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(a) VIH as of March 29, 2021 (pre-Business Combination) and (b) the Company immediately following the Closing, assuming that no VIH Class A Ordinary Shares are redeemed, and alternatively that 10,737,202 VIH Class A Ordinary Shares are redeemed,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known by VIH to be the beneficial owner of more than 5% of the VIH Shares on March 29, 2021 (pre-Business Combination) or the beneficial owner of more than 5% of the shares of Bakkt Pubco Common Stock upon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VIHs officers and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who will become an officer or is nominated to become a director of the Company upon the Closing;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officers and directors of the Company as a group following the Closing. </w:t>
            </w:r>
          </w:p>
        </w:tc>
      </w:tr>
    </w:tbl>
    <w:p>
      <w:pPr>
        <w:pStyle w:val="TextBody"/>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w:t>
      </w:r>
    </w:p>
    <w:p>
      <w:pPr>
        <w:pStyle w:val="TextBody"/>
        <w:spacing w:before="240" w:after="0"/>
        <w:jc w:val="left"/>
        <w:rPr>
          <w:rFonts w:ascii="Times New Roman" w:hAnsi="Times New Roman"/>
          <w:sz w:val="20"/>
        </w:rPr>
      </w:pPr>
      <w:r>
        <w:rPr>
          <w:rFonts w:ascii="Times New Roman" w:hAnsi="Times New Roman"/>
          <w:sz w:val="20"/>
        </w:rPr>
        <w:t xml:space="preserve">The beneficial ownership of the VIH Shares pre-Business Combination is based on 25,921,502 VIH Shares issued and outstanding as of March 29, 2021. </w:t>
      </w:r>
    </w:p>
    <w:p>
      <w:pPr>
        <w:pStyle w:val="TextBody"/>
        <w:spacing w:before="240" w:after="0"/>
        <w:jc w:val="left"/>
        <w:rPr>
          <w:rFonts w:ascii="Times New Roman" w:hAnsi="Times New Roman"/>
          <w:sz w:val="20"/>
        </w:rPr>
      </w:pPr>
      <w:r>
        <w:rPr>
          <w:rFonts w:ascii="Times New Roman" w:hAnsi="Times New Roman"/>
          <w:sz w:val="20"/>
        </w:rPr>
        <w:t>The expected beneficial ownership of Bakkt Pubco Common Stock immediately following the Closing has been determined based on the following assumptions: (a) (i) assuming no redemptions, there will be an aggregate of 25,921,502 VIH Shares (including 5,184,300 Founder Shares) issued and outstanding immediately prior to the Closing and (ii) assuming the redemption of 10,737,202 VIH Shares, there will be an aggregate of 15,184,300 VIH Shares (including 5,184,300 Founder Shares) issued and outstanding immediately prior to the Closing, which shares will have been converted into shares of Bakkt Pubco Class A Common Stock upon Closing, (b) approximately 208,200,000 shares of Bakkt Pubco Class V Common Stock will have been issued upon the Closing, with each Bakkt Equity Holder receiving an amount of Bakkt Pubco Class V Shares and an equivalent amount of Bakkt Opco Common Units that such Bakkt Equity Holder would be entitled to receive if the Aggregate Merger Consideration were distributed by Bakkt Opco in a Deemed Liquidation pursuant to the terms of the Merger Agreement, (c) 32,500,000 shares of Bakkt Pubco Class A Common Stock will have been issued in connection with the PIPE Investment, and (d) each of the other assumptions set forth under the section entitled </w:t>
      </w:r>
      <w:r>
        <w:rPr>
          <w:rFonts w:ascii="Times New Roman" w:hAnsi="Times New Roman"/>
          <w:i/>
          <w:sz w:val="20"/>
        </w:rPr>
        <w:t>Frequently Used TermsShare Calculations and Ownership Percentages</w:t>
      </w:r>
      <w:r>
        <w:rPr>
          <w:rFonts w:ascii="Times New Roman" w:hAnsi="Times New Roman"/>
          <w:sz w:val="20"/>
        </w:rPr>
        <w:t xml:space="preserve"> beginning on page 7 of this proxy statement/prospectus. Immediately post Business Combination, (i) assuming no redemption, there will be an aggregate of 266,621,502 issued and outstanding Bakkt Pubco Class A Shares and Bakkt Pubco Class V Shares (collectively, the Bakkt Pubco Shares), and (ii) assuming the redemption of 10,737,202 VIH shares, there will be an aggregate of 255,884,300 issued and outstanding Bakkt Pubco Shares. </w:t>
      </w:r>
    </w:p>
    <w:p>
      <w:pPr>
        <w:pStyle w:val="TextBody"/>
        <w:spacing w:before="240" w:after="0"/>
        <w:jc w:val="left"/>
        <w:rPr>
          <w:rFonts w:ascii="Times New Roman" w:hAnsi="Times New Roman"/>
          <w:sz w:val="20"/>
        </w:rPr>
      </w:pPr>
      <w:r>
        <w:rPr>
          <w:rFonts w:ascii="Times New Roman" w:hAnsi="Times New Roman"/>
          <w:sz w:val="20"/>
        </w:rPr>
        <w:t xml:space="preserve">The beneficial ownership information below excludes the shares underlying the Public Warrants and the Private Placement Warrants (except as described in clause (c) of the provision in the immediately preceding paragraph), and the shares expected to be issued or reserved under the Bakkt Pubco Equity Incentive Plan.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we believe that all persons named in the table have sole voting and investment power with respect to all shares beneficially owned by them. Unless otherwise noted, the business address of each of the following entities or individuals is 150 North Riverside Plaza, Suite 5200 Chicago, Illinois 60606.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information in the table below for pre-Business Combination VIH Shares does not include shares underlying the Private Placement Warrants held or to be held by VIHs officers or the Sponsor because these securities are not exercisable within 60 days of this proxy statement/prospectus and are contingent upon the occurrence of the Closing. </w:t>
      </w:r>
    </w:p>
    <w:p>
      <w:pPr>
        <w:pStyle w:val="TextBody"/>
        <w:spacing w:before="0" w:after="0"/>
        <w:jc w:val="left"/>
        <w:rPr/>
      </w:pPr>
      <w:r>
        <w:rPr/>
        <w:t> </w:t>
      </w:r>
    </w:p>
    <w:tbl>
      <w:tblPr>
        <w:tblW w:w="12905" w:type="dxa"/>
        <w:jc w:val="center"/>
        <w:tblInd w:w="0" w:type="dxa"/>
        <w:tblCellMar>
          <w:top w:w="0" w:type="dxa"/>
          <w:left w:w="0" w:type="dxa"/>
          <w:bottom w:w="0" w:type="dxa"/>
          <w:right w:w="0" w:type="dxa"/>
        </w:tblCellMar>
      </w:tblPr>
      <w:tblGrid>
        <w:gridCol w:w="3275"/>
        <w:gridCol w:w="60"/>
        <w:gridCol w:w="89"/>
        <w:gridCol w:w="1101"/>
        <w:gridCol w:w="60"/>
        <w:gridCol w:w="60"/>
        <w:gridCol w:w="123"/>
        <w:gridCol w:w="692"/>
        <w:gridCol w:w="275"/>
        <w:gridCol w:w="60"/>
        <w:gridCol w:w="60"/>
        <w:gridCol w:w="800"/>
        <w:gridCol w:w="60"/>
        <w:gridCol w:w="60"/>
        <w:gridCol w:w="60"/>
        <w:gridCol w:w="980"/>
        <w:gridCol w:w="60"/>
        <w:gridCol w:w="60"/>
        <w:gridCol w:w="150"/>
        <w:gridCol w:w="800"/>
        <w:gridCol w:w="200"/>
        <w:gridCol w:w="60"/>
        <w:gridCol w:w="60"/>
        <w:gridCol w:w="800"/>
        <w:gridCol w:w="365"/>
        <w:gridCol w:w="60"/>
        <w:gridCol w:w="60"/>
        <w:gridCol w:w="980"/>
        <w:gridCol w:w="60"/>
        <w:gridCol w:w="60"/>
        <w:gridCol w:w="176"/>
        <w:gridCol w:w="939"/>
        <w:gridCol w:w="200"/>
      </w:tblGrid>
      <w:tr>
        <w:trPr/>
        <w:tc>
          <w:tcPr>
            <w:tcW w:w="3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3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10" w:type="dxa"/>
            <w:gridSpan w:val="22"/>
            <w:tcBorders>
              <w:bottom w:val="single" w:sz="8" w:space="0" w:color="000000"/>
            </w:tcBorders>
            <w:shd w:fill="auto" w:val="clear"/>
            <w:tcMar>
              <w:bottom w:w="28" w:type="dxa"/>
            </w:tcMar>
            <w:vAlign w:val="bottom"/>
          </w:tcPr>
          <w:p>
            <w:pPr>
              <w:pStyle w:val="TableContents"/>
              <w:spacing w:before="0" w:after="283"/>
              <w:jc w:val="center"/>
              <w:rPr>
                <w:b/>
              </w:rPr>
            </w:pPr>
            <w:r>
              <w:rPr>
                <w:b/>
              </w:rPr>
              <w:t>Bakkt Pubco Common Stock Post-Business Combination(2)(3)</w:t>
            </w:r>
          </w:p>
        </w:tc>
        <w:tc>
          <w:tcPr>
            <w:tcW w:w="200" w:type="dxa"/>
            <w:tcBorders/>
            <w:shd w:fill="auto" w:val="clear"/>
            <w:vAlign w:val="bottom"/>
          </w:tcPr>
          <w:p>
            <w:pPr>
              <w:pStyle w:val="TableContents"/>
              <w:spacing w:before="0" w:after="283"/>
              <w:rPr/>
            </w:pPr>
            <w:r>
              <w:rPr/>
              <w:t> </w:t>
            </w:r>
          </w:p>
        </w:tc>
      </w:tr>
      <w:tr>
        <w:trPr/>
        <w:tc>
          <w:tcPr>
            <w:tcW w:w="3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VIH Shares</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Assuming No Redemption</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6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Assuming Redemption of</w:t>
              <w:br/>
              <w:t>10,737,202 Shares</w:t>
            </w:r>
          </w:p>
        </w:tc>
        <w:tc>
          <w:tcPr>
            <w:tcW w:w="200" w:type="dxa"/>
            <w:tcBorders/>
            <w:shd w:fill="auto" w:val="clear"/>
            <w:vAlign w:val="bottom"/>
          </w:tcPr>
          <w:p>
            <w:pPr>
              <w:pStyle w:val="TableContents"/>
              <w:spacing w:before="0" w:after="283"/>
              <w:rPr/>
            </w:pPr>
            <w:r>
              <w:rPr/>
              <w:t> </w:t>
            </w:r>
          </w:p>
        </w:tc>
      </w:tr>
      <w:tr>
        <w:trPr/>
        <w:tc>
          <w:tcPr>
            <w:tcW w:w="3275" w:type="dxa"/>
            <w:tcBorders/>
            <w:shd w:fill="auto" w:val="clear"/>
            <w:vAlign w:val="bottom"/>
          </w:tcPr>
          <w:p>
            <w:pPr>
              <w:pStyle w:val="TableContents"/>
              <w:spacing w:before="0" w:after="283"/>
              <w:rPr>
                <w:b/>
              </w:rPr>
            </w:pPr>
            <w:r>
              <w:rPr>
                <w:b/>
              </w:rPr>
              <w:t>Name and Address of Beneficial Owner</w:t>
            </w:r>
          </w:p>
        </w:tc>
        <w:tc>
          <w:tcPr>
            <w:tcW w:w="60"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w:t>
              <w:br/>
              <w:t>Beneficially</w:t>
              <w:br/>
              <w:t>Owned(1)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Voting</w:t>
              <w:br/>
              <w:t>Control</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Bakkt</w:t>
              <w:br/>
              <w:t>Pubco</w:t>
              <w:br/>
              <w:t>Class A</w:t>
              <w:b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Bakkt</w:t>
              <w:br/>
              <w:t>Pubco</w:t>
              <w:br/>
              <w:t>Class V</w:t>
              <w:br/>
              <w:t>Shares(2)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Total</w:t>
              <w:br/>
              <w:t>Voting</w:t>
              <w:br/>
              <w:t>Power(3)</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Bakkt</w:t>
              <w:br/>
              <w:t>Pubco</w:t>
              <w:br/>
              <w:t>Class A</w:t>
              <w:br/>
              <w:t>Shares</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Bakkt</w:t>
              <w:br/>
              <w:t>Pubco</w:t>
              <w:br/>
              <w:t>Class V</w:t>
              <w:br/>
              <w:t>Shares(2)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Total</w:t>
              <w:br/>
              <w:t>Voting</w:t>
              <w:br/>
              <w:t>Power(3)</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VPC Impact Acquisition Holdings Sponsor, LLC(4)</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sz w:val="16"/>
              </w:rPr>
            </w:pPr>
            <w:r>
              <w:rPr>
                <w:sz w:val="16"/>
              </w:rPr>
              <w:t>5,124,300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sz w:val="16"/>
              </w:rPr>
            </w:pPr>
            <w:r>
              <w:rPr>
                <w:sz w:val="16"/>
              </w:rPr>
              <w:t>19.8</w:t>
            </w:r>
          </w:p>
        </w:tc>
        <w:tc>
          <w:tcPr>
            <w:tcW w:w="275"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5,124,300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2</w:t>
            </w:r>
          </w:p>
        </w:tc>
        <w:tc>
          <w:tcPr>
            <w:tcW w:w="200"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5,124,300</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6"/>
              </w:rPr>
            </w:pPr>
            <w:r>
              <w:rPr>
                <w:sz w:val="16"/>
              </w:rPr>
              <w:t>2</w:t>
            </w:r>
          </w:p>
        </w:tc>
        <w:tc>
          <w:tcPr>
            <w:tcW w:w="200" w:type="dxa"/>
            <w:tcBorders/>
            <w:shd w:fill="CCEEFF" w:val="clear"/>
            <w:vAlign w:val="bottom"/>
          </w:tcPr>
          <w:p>
            <w:pPr>
              <w:pStyle w:val="TableContents"/>
              <w:spacing w:before="0" w:after="283"/>
              <w:rPr>
                <w:sz w:val="16"/>
              </w:rPr>
            </w:pPr>
            <w:r>
              <w:rPr>
                <w:sz w:val="16"/>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John Martin</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sz w:val="16"/>
              </w:rPr>
            </w:pPr>
            <w:r>
              <w:rPr>
                <w:sz w:val="16"/>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Gordon Watson</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sz w:val="16"/>
              </w:rPr>
            </w:pPr>
            <w:r>
              <w:rPr>
                <w:sz w:val="16"/>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6"/>
              </w:rPr>
            </w:pPr>
            <w:r>
              <w:rPr>
                <w:sz w:val="16"/>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Olibia Stamatoglou</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Adrienne Harris</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20,000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20,000</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Kai Schmitz</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20,000</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Kurt Summers</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20,000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20,000</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All pre-Business Combination directors and officers as a group (6 individuals)</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60,000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0.2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60,000</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i/>
                <w:sz w:val="16"/>
              </w:rPr>
            </w:pPr>
            <w:r>
              <w:rPr>
                <w:rFonts w:ascii="Times New Roman" w:hAnsi="Times New Roman"/>
                <w:i/>
                <w:sz w:val="16"/>
              </w:rPr>
              <w:t>Greater than Five Percent Holders:</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1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sz w:val="4"/>
                <w:szCs w:val="4"/>
              </w:rPr>
            </w:pPr>
            <w:r>
              <w:rPr>
                <w:sz w:val="4"/>
                <w:szCs w:val="4"/>
              </w:rPr>
            </w:r>
          </w:p>
        </w:tc>
        <w:tc>
          <w:tcPr>
            <w:tcW w:w="692"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80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939"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Alpine Global Management, LLC(5)</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sz w:val="16"/>
              </w:rPr>
            </w:pPr>
            <w:r>
              <w:rPr>
                <w:sz w:val="16"/>
              </w:rPr>
              <w:t>2,813,820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sz w:val="16"/>
              </w:rPr>
            </w:pPr>
            <w:r>
              <w:rPr>
                <w:sz w:val="16"/>
              </w:rPr>
              <w:t>10.9</w:t>
            </w:r>
          </w:p>
        </w:tc>
        <w:tc>
          <w:tcPr>
            <w:tcW w:w="27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2,813,820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w:t>
            </w:r>
          </w:p>
        </w:tc>
        <w:tc>
          <w:tcPr>
            <w:tcW w:w="200"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2,813,820</w:t>
            </w:r>
          </w:p>
        </w:tc>
        <w:tc>
          <w:tcPr>
            <w:tcW w:w="365" w:type="dxa"/>
            <w:tcBorders/>
            <w:shd w:fill="auto" w:val="clear"/>
            <w:vAlign w:val="bottom"/>
          </w:tcPr>
          <w:p>
            <w:pPr>
              <w:pStyle w:val="TableContents"/>
              <w:spacing w:before="0" w:after="283"/>
              <w:rPr>
                <w:sz w:val="16"/>
              </w:rPr>
            </w:pPr>
            <w:r>
              <w:rPr>
                <w:sz w:val="16"/>
              </w:rPr>
              <w:t>(12)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sz w:val="16"/>
              </w:rPr>
            </w:pPr>
            <w:r>
              <w:rPr>
                <w:sz w:val="16"/>
              </w:rPr>
              <w:t>1.1</w:t>
            </w:r>
          </w:p>
        </w:tc>
        <w:tc>
          <w:tcPr>
            <w:tcW w:w="200" w:type="dxa"/>
            <w:tcBorders/>
            <w:shd w:fill="auto" w:val="clear"/>
            <w:vAlign w:val="bottom"/>
          </w:tcPr>
          <w:p>
            <w:pPr>
              <w:pStyle w:val="TableContents"/>
              <w:spacing w:before="0" w:after="283"/>
              <w:rPr>
                <w:sz w:val="16"/>
              </w:rPr>
            </w:pPr>
            <w:r>
              <w:rPr>
                <w:sz w:val="16"/>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Invesco Ltd.(6)</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sz w:val="16"/>
              </w:rPr>
            </w:pPr>
            <w:r>
              <w:rPr>
                <w:sz w:val="16"/>
              </w:rPr>
              <w:t>2,391,105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sz w:val="16"/>
              </w:rPr>
            </w:pPr>
            <w:r>
              <w:rPr>
                <w:sz w:val="16"/>
              </w:rPr>
              <w:t>9.2</w:t>
            </w:r>
          </w:p>
        </w:tc>
        <w:tc>
          <w:tcPr>
            <w:tcW w:w="275"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2,391,105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1</w:t>
            </w:r>
          </w:p>
        </w:tc>
        <w:tc>
          <w:tcPr>
            <w:tcW w:w="200"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2,391,105</w:t>
            </w:r>
          </w:p>
        </w:tc>
        <w:tc>
          <w:tcPr>
            <w:tcW w:w="365" w:type="dxa"/>
            <w:tcBorders/>
            <w:shd w:fill="CCEEFF" w:val="clear"/>
            <w:vAlign w:val="bottom"/>
          </w:tcPr>
          <w:p>
            <w:pPr>
              <w:pStyle w:val="TableContents"/>
              <w:spacing w:before="0" w:after="283"/>
              <w:rPr>
                <w:sz w:val="16"/>
              </w:rPr>
            </w:pPr>
            <w:r>
              <w:rPr>
                <w:sz w:val="16"/>
              </w:rPr>
              <w:t>(12)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6"/>
              </w:rPr>
            </w:pPr>
            <w:r>
              <w:rPr>
                <w:sz w:val="16"/>
              </w:rPr>
              <w:t>1</w:t>
            </w:r>
          </w:p>
        </w:tc>
        <w:tc>
          <w:tcPr>
            <w:tcW w:w="200" w:type="dxa"/>
            <w:tcBorders/>
            <w:shd w:fill="CCEEFF" w:val="clear"/>
            <w:vAlign w:val="bottom"/>
          </w:tcPr>
          <w:p>
            <w:pPr>
              <w:pStyle w:val="TableContents"/>
              <w:spacing w:before="0" w:after="283"/>
              <w:rPr>
                <w:sz w:val="16"/>
              </w:rPr>
            </w:pPr>
            <w:r>
              <w:rPr>
                <w:sz w:val="16"/>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Millennium Management LLC(7)</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sz w:val="16"/>
              </w:rPr>
            </w:pPr>
            <w:r>
              <w:rPr>
                <w:sz w:val="16"/>
              </w:rPr>
              <w:t>1,600,000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sz w:val="16"/>
              </w:rPr>
            </w:pPr>
            <w:r>
              <w:rPr>
                <w:sz w:val="16"/>
              </w:rPr>
              <w:t>6.2</w:t>
            </w:r>
          </w:p>
        </w:tc>
        <w:tc>
          <w:tcPr>
            <w:tcW w:w="27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1,600,000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1,600,000</w:t>
            </w:r>
          </w:p>
        </w:tc>
        <w:tc>
          <w:tcPr>
            <w:tcW w:w="365" w:type="dxa"/>
            <w:tcBorders/>
            <w:shd w:fill="auto" w:val="clear"/>
            <w:vAlign w:val="bottom"/>
          </w:tcPr>
          <w:p>
            <w:pPr>
              <w:pStyle w:val="TableContents"/>
              <w:spacing w:before="0" w:after="283"/>
              <w:rPr>
                <w:sz w:val="16"/>
              </w:rPr>
            </w:pPr>
            <w:r>
              <w:rPr>
                <w:sz w:val="16"/>
              </w:rPr>
              <w:t>(12)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Corbin Capital Partners Group,  LLC(8)</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sz w:val="16"/>
              </w:rPr>
            </w:pPr>
            <w:r>
              <w:rPr>
                <w:sz w:val="16"/>
              </w:rPr>
              <w:t>1,500,000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sz w:val="16"/>
              </w:rPr>
            </w:pPr>
            <w:r>
              <w:rPr>
                <w:sz w:val="16"/>
              </w:rPr>
              <w:t>5.8</w:t>
            </w:r>
          </w:p>
        </w:tc>
        <w:tc>
          <w:tcPr>
            <w:tcW w:w="275"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4,500,000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1.7</w:t>
            </w:r>
          </w:p>
        </w:tc>
        <w:tc>
          <w:tcPr>
            <w:tcW w:w="200"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4,500,000</w:t>
            </w:r>
          </w:p>
        </w:tc>
        <w:tc>
          <w:tcPr>
            <w:tcW w:w="365" w:type="dxa"/>
            <w:tcBorders/>
            <w:shd w:fill="CCEEFF" w:val="clear"/>
            <w:vAlign w:val="bottom"/>
          </w:tcPr>
          <w:p>
            <w:pPr>
              <w:pStyle w:val="TableContents"/>
              <w:spacing w:before="0" w:after="283"/>
              <w:rPr>
                <w:sz w:val="16"/>
              </w:rPr>
            </w:pPr>
            <w:r>
              <w:rPr>
                <w:sz w:val="16"/>
              </w:rPr>
              <w:t>(12)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6"/>
              </w:rPr>
            </w:pPr>
            <w:r>
              <w:rPr>
                <w:sz w:val="16"/>
              </w:rPr>
              <w:t>1.8</w:t>
            </w:r>
          </w:p>
        </w:tc>
        <w:tc>
          <w:tcPr>
            <w:tcW w:w="200" w:type="dxa"/>
            <w:tcBorders/>
            <w:shd w:fill="CCEEFF" w:val="clear"/>
            <w:vAlign w:val="bottom"/>
          </w:tcPr>
          <w:p>
            <w:pPr>
              <w:pStyle w:val="TableContents"/>
              <w:spacing w:before="0" w:after="283"/>
              <w:rPr>
                <w:sz w:val="16"/>
              </w:rPr>
            </w:pPr>
            <w:r>
              <w:rPr>
                <w:sz w:val="16"/>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Sculptor Capital LP(9)</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sz w:val="16"/>
              </w:rPr>
            </w:pPr>
            <w:r>
              <w:rPr>
                <w:sz w:val="16"/>
              </w:rPr>
              <w:t>1,404,800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sz w:val="16"/>
              </w:rPr>
            </w:pPr>
            <w:r>
              <w:rPr>
                <w:sz w:val="16"/>
              </w:rPr>
              <w:t>5.4</w:t>
            </w:r>
          </w:p>
        </w:tc>
        <w:tc>
          <w:tcPr>
            <w:tcW w:w="27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1,404,800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1,404,800</w:t>
            </w:r>
          </w:p>
        </w:tc>
        <w:tc>
          <w:tcPr>
            <w:tcW w:w="365" w:type="dxa"/>
            <w:tcBorders/>
            <w:shd w:fill="auto" w:val="clear"/>
            <w:vAlign w:val="bottom"/>
          </w:tcPr>
          <w:p>
            <w:pPr>
              <w:pStyle w:val="TableContents"/>
              <w:spacing w:before="0" w:after="283"/>
              <w:rPr>
                <w:sz w:val="16"/>
              </w:rPr>
            </w:pPr>
            <w:r>
              <w:rPr>
                <w:sz w:val="16"/>
              </w:rPr>
              <w:t>(12)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Empyrean Capital Overseas Master Fund, Ltd.(10)</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sz w:val="16"/>
              </w:rPr>
            </w:pPr>
            <w:r>
              <w:rPr>
                <w:sz w:val="16"/>
              </w:rPr>
              <w:t>1,208,580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sz w:val="16"/>
              </w:rPr>
            </w:pPr>
            <w:r>
              <w:rPr>
                <w:sz w:val="16"/>
              </w:rPr>
              <w:t>4.7</w:t>
            </w:r>
          </w:p>
        </w:tc>
        <w:tc>
          <w:tcPr>
            <w:tcW w:w="275"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4,208,580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1.6</w:t>
            </w:r>
          </w:p>
        </w:tc>
        <w:tc>
          <w:tcPr>
            <w:tcW w:w="200"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4,208,580</w:t>
            </w:r>
          </w:p>
        </w:tc>
        <w:tc>
          <w:tcPr>
            <w:tcW w:w="365" w:type="dxa"/>
            <w:tcBorders/>
            <w:shd w:fill="CCEEFF" w:val="clear"/>
            <w:vAlign w:val="bottom"/>
          </w:tcPr>
          <w:p>
            <w:pPr>
              <w:pStyle w:val="TableContents"/>
              <w:spacing w:before="0" w:after="283"/>
              <w:rPr>
                <w:sz w:val="16"/>
              </w:rPr>
            </w:pPr>
            <w:r>
              <w:rPr>
                <w:sz w:val="16"/>
              </w:rPr>
              <w:t>(12)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6"/>
              </w:rPr>
            </w:pPr>
            <w:r>
              <w:rPr>
                <w:sz w:val="16"/>
              </w:rPr>
              <w:t>1.6</w:t>
            </w:r>
          </w:p>
        </w:tc>
        <w:tc>
          <w:tcPr>
            <w:tcW w:w="200" w:type="dxa"/>
            <w:tcBorders/>
            <w:shd w:fill="CCEEFF" w:val="clear"/>
            <w:vAlign w:val="bottom"/>
          </w:tcPr>
          <w:p>
            <w:pPr>
              <w:pStyle w:val="TableContents"/>
              <w:spacing w:before="0" w:after="283"/>
              <w:rPr>
                <w:sz w:val="16"/>
              </w:rPr>
            </w:pPr>
            <w:r>
              <w:rPr>
                <w:sz w:val="16"/>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Point72 Asset Management, L.P.(11)</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sz w:val="16"/>
              </w:rPr>
            </w:pPr>
            <w:r>
              <w:rPr>
                <w:sz w:val="16"/>
              </w:rPr>
              <w:t>1,159,546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sz w:val="16"/>
              </w:rPr>
            </w:pPr>
            <w:r>
              <w:rPr>
                <w:sz w:val="16"/>
              </w:rPr>
              <w:t>4.5</w:t>
            </w:r>
          </w:p>
        </w:tc>
        <w:tc>
          <w:tcPr>
            <w:tcW w:w="27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1,159,546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sz w:val="16"/>
              </w:rPr>
            </w:pPr>
            <w:r>
              <w:rPr>
                <w:sz w:val="16"/>
              </w:rPr>
              <w:t>1,159,546</w:t>
            </w:r>
          </w:p>
        </w:tc>
        <w:tc>
          <w:tcPr>
            <w:tcW w:w="365" w:type="dxa"/>
            <w:tcBorders/>
            <w:shd w:fill="auto" w:val="clear"/>
            <w:vAlign w:val="bottom"/>
          </w:tcPr>
          <w:p>
            <w:pPr>
              <w:pStyle w:val="TableContents"/>
              <w:spacing w:before="0" w:after="283"/>
              <w:rPr>
                <w:sz w:val="16"/>
              </w:rPr>
            </w:pPr>
            <w:r>
              <w:rPr>
                <w:sz w:val="16"/>
              </w:rPr>
              <w:t>(12)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sz w:val="16"/>
              </w:rPr>
            </w:pPr>
            <w:r>
              <w:rPr>
                <w:sz w:val="16"/>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i/>
                <w:sz w:val="16"/>
              </w:rPr>
              <w:t>Director Nominees and Named Executive Officers of the Company Post-Business Combination</w:t>
            </w:r>
            <w:r>
              <w:rPr>
                <w:rFonts w:ascii="Times New Roman" w:hAnsi="Times New Roman"/>
                <w:sz w:val="16"/>
              </w:rPr>
              <w:t>(</w:t>
            </w:r>
            <w:r>
              <w:rPr>
                <w:rFonts w:ascii="Times New Roman" w:hAnsi="Times New Roman"/>
                <w:i/>
                <w:sz w:val="16"/>
              </w:rPr>
              <w:t>13</w:t>
            </w:r>
            <w:r>
              <w:rPr>
                <w:rFonts w:ascii="Times New Roman" w:hAnsi="Times New Roman"/>
                <w:sz w:val="16"/>
              </w:rPr>
              <w:t>)</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1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sz w:val="4"/>
                <w:szCs w:val="4"/>
              </w:rPr>
            </w:pPr>
            <w:r>
              <w:rPr>
                <w:sz w:val="4"/>
                <w:szCs w:val="4"/>
              </w:rPr>
            </w:r>
          </w:p>
        </w:tc>
        <w:tc>
          <w:tcPr>
            <w:tcW w:w="692"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80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939"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Gavin Michael(15)</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Gordon Watson(15)</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David C. Clifton(14)</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Michelle Goldberg(15)</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Adrienne Harris(15)</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20,000</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Kristyn Cook(15)</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Sean Collins(15)(16)</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500,000</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Andrew A. Main(15)</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Richard Lumb(15)</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Nicholas Cabrera</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110,987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110,987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Marc DAnnunzio</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513,668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513,668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Matthew Johnson</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91,111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91,111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sz w:val="16"/>
              </w:rPr>
              <w:t>Adam White</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1,209,013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1,209,013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rPr/>
            </w:pPr>
            <w:r>
              <w:rPr/>
              <w:t> </w:t>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All post-Business Combination Director Nominees and Executive Officers as a Group (19 persons):(18)</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20,207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520,000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1,924,779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520,000</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1,924,779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rPr/>
            </w:pPr>
            <w:r>
              <w:rPr/>
              <w:t> </w:t>
            </w:r>
          </w:p>
        </w:tc>
      </w:tr>
      <w:tr>
        <w:trPr/>
        <w:tc>
          <w:tcPr>
            <w:tcW w:w="3275" w:type="dxa"/>
            <w:tcBorders/>
            <w:shd w:fill="auto" w:val="clear"/>
          </w:tcPr>
          <w:p>
            <w:pPr>
              <w:pStyle w:val="TableContents"/>
              <w:spacing w:before="0" w:after="0"/>
              <w:rPr>
                <w:rFonts w:ascii="Times New Roman" w:hAnsi="Times New Roman"/>
                <w:sz w:val="16"/>
              </w:rPr>
            </w:pPr>
            <w:r>
              <w:rPr>
                <w:rFonts w:ascii="Times New Roman" w:hAnsi="Times New Roman"/>
                <w:i/>
                <w:sz w:val="16"/>
              </w:rPr>
              <w:t>Greater than Five Percent Holders</w:t>
            </w:r>
            <w:r>
              <w:rPr>
                <w:rFonts w:ascii="Times New Roman" w:hAnsi="Times New Roman"/>
                <w:sz w:val="16"/>
              </w:rPr>
              <w:t>:</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sz w:val="4"/>
                <w:szCs w:val="4"/>
              </w:rPr>
            </w:pPr>
            <w:r>
              <w:rPr>
                <w:sz w:val="4"/>
                <w:szCs w:val="4"/>
              </w:rPr>
            </w:r>
          </w:p>
        </w:tc>
        <w:tc>
          <w:tcPr>
            <w:tcW w:w="692"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r>
      <w:tr>
        <w:trPr/>
        <w:tc>
          <w:tcPr>
            <w:tcW w:w="3275" w:type="dxa"/>
            <w:tcBorders/>
            <w:shd w:fill="CCEEFF" w:val="clear"/>
          </w:tcPr>
          <w:p>
            <w:pPr>
              <w:pStyle w:val="TableContents"/>
              <w:spacing w:before="0" w:after="0"/>
              <w:rPr>
                <w:rFonts w:ascii="Times New Roman" w:hAnsi="Times New Roman"/>
                <w:sz w:val="16"/>
              </w:rPr>
            </w:pPr>
            <w:r>
              <w:rPr>
                <w:rFonts w:ascii="Times New Roman" w:hAnsi="Times New Roman"/>
                <w:sz w:val="16"/>
              </w:rPr>
              <w:t>Intercontinental Exchange</w:t>
              <w:br/>
              <w:t>Holdings, Inc. (13)(14) (17)</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sz w:val="16"/>
              </w:rPr>
            </w:pPr>
            <w:r>
              <w:rPr>
                <w:sz w:val="16"/>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5,000,000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168,755,823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30</w:t>
            </w:r>
          </w:p>
        </w:tc>
        <w:tc>
          <w:tcPr>
            <w:tcW w:w="200"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sz w:val="16"/>
              </w:rPr>
            </w:pPr>
            <w:r>
              <w:rPr>
                <w:sz w:val="16"/>
              </w:rPr>
              <w:t>5,000,000</w:t>
            </w:r>
          </w:p>
        </w:tc>
        <w:tc>
          <w:tcPr>
            <w:tcW w:w="3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6"/>
              </w:rPr>
            </w:pPr>
            <w:r>
              <w:rPr>
                <w:sz w:val="16"/>
              </w:rPr>
              <w:t>168,755,823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6"/>
              </w:rPr>
            </w:pPr>
            <w:r>
              <w:rPr>
                <w:sz w:val="16"/>
              </w:rPr>
              <w:t>30</w:t>
            </w:r>
          </w:p>
        </w:tc>
        <w:tc>
          <w:tcPr>
            <w:tcW w:w="200" w:type="dxa"/>
            <w:tcBorders/>
            <w:shd w:fill="CCEEFF" w:val="clear"/>
            <w:vAlign w:val="bottom"/>
          </w:tcPr>
          <w:p>
            <w:pPr>
              <w:pStyle w:val="TableContents"/>
              <w:spacing w:before="0" w:after="283"/>
              <w:rPr>
                <w:sz w:val="16"/>
              </w:rPr>
            </w:pPr>
            <w:r>
              <w:rPr>
                <w:sz w:val="16"/>
              </w:rPr>
              <w: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Interests shown include Founder Shares, which are VIH Class B Ordinary Shares. Such shares will automatically convert into Bakkt Pubco Class A Shares as a result of and upon the effective time of the Domestication on a one-for-one basis.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Bakkt Opco Common Unit, when coupled with one Bakkt Pubco Class V Share may be exchanged for one Bakkt Pubco Class A Share or the Cash Amount in accordance with and subject to the terms of the Surviving Company LLC Agreement and the Exchange Agreement.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percentage of voting power of the holders of Bakkt Pubco Class A Shares and Bakkt Pubco Class V Shares voting together as a single class.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VPC Impact Acquisition Holdings Sponsor, LLC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13G/A filed on February 24, 2021, Alpine Global Management, LLC is the holder of 2,813,820 Class A ordinary shares. The address of Alpine Global Management, LLC is 140 Broadway, 38th Floor, New York, NY 10005.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 filed on March 10, 2021, Invesco Ltd. in its capacity as a parent holding company to its investment advisers, may be deemed to beneficially own 2,391,105 Class A ordinary shares which are held of record by clients of Invesco Ltd. The address of Invesco Ltd. is 1555 Peachtree Street NE, Suite 1800, Atlanta, GA 30309.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13G/A filed on February 1, 2021, (i) Millenium Management LLC, a Delaware limited liability company (Millenium Management), Millennium Group Management LLC, a Delaware limited liability company (Millenium Group Management), Millenium International Management LP, a Delaware limited partnership (Millennium International Management) and Israel A. Englander, a United States citizen share voting control and investment discretion over part or all of an aggregate of 800,000 units, each consisting of 1 Class A ordinary share and one-half of one redeemable warrant and 800,000 Class A ordinary shares, of which (i) 800,000 Class A ordinary shares are held by Integrated Core Strategies (US) LLC, a Delaware limited liability company (Integrated Core Strategies) and (ii) 800,000 units are held by ICS Opportunities, Ltd., an exempted company organized under the laws of the Cayman Islands (ICS Opportunities). Millenium International Management is the investment manager to ICS Opportunities and may be deemed to have shared voting control and investment discretion over securities owned by ICS Opportunities. Millenium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 Millenium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Mr. Englander, currently serves as the sole voting trustee. Therefore, Mr. Englander may also be deemed to have shared voting control and investment discretion over securities owned by Integrated Core Strategies and ICS Opportunities. The address of each entity and Mr. Englander is c/o Millennium International Management LP, 666 Fifth Avenue, New York, New York 10103.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 filed on February 12, 2021, Corbin Capital Partners Group, LLC (CCPG) and Corbin Capital Partners, L.P. (CCP) may be deemed to be the beneficial owners of an aggregate of 1,500,00 Class A ordinary shares. The shares reported are held by Corbin ERISA Opportunity Fund, Ltd. (CEOF), a Cayman Islands exempted company, and Corbin Opportunity Fund, L.P. (COF), a Delaware limited partnership. CCPG is the general partner of CCP, which serves as investment advisor for both COF and CEOF. The address of the principal business office of each of CCPG and CCP is 590 Madison Avenue, 31st Floor, New York, NY 10022.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13G/A filed on February 5, 2021, Sculptor Capital LP (Sculptor), a Delaware limited partnership, as the principal investment manager to a number of investment funds and discretionary accounts (collectively, the Sculptor Accounts) may be deemed to beneficially own 1,404,800 Class A ordinary shares which are held by the Sculptor Accounts. Sculptor Capital Holding Corporation (SCHC), a Delaware corporation, serves as the general partner of Sculptor As such, SCHC may be deemed to control Sculptor and, therefore, may be deemed to be the beneficial owner of the Class A ordinary shares owned by the Sculptor Accounts. Sculptor Capital Management, Inc. (SCU), a Delaware limited liability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is a holding company that is the sole shareholder of SCHC. SCU is the sole shareholder of SCHC, and therefore may be deemed to be the beneficial owner of the Class A ordinary shares owned by the Sculptor Accounts. Sculptor Master Fund, Ltd. (SCMF), a Cayman Islands company and Sculptor Special Funding, LP (NRMD), a Cayman Islands exempted limited partnership, may also be deemed to share beneficial ownership over such Class A ordinary shares. The address of the principal business office of Sculptor, SCHC, and SCU is 9 West 57 Street, 39 Floor, New York, NY 10019. The address of the principal business office of SCMF and NRMD is c/o State Street (Cayman) Trust, Limited, P.O. Box 896, Suite 3307, Gardenia Court, 45 Market Street, Camana Bay, Grand Cayman, Cayman Islands KY1-1103.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 filed on December 18, 2020, Empyrean Capital Overseas Master Fund, Ltd. (Empyrean Fund) is the direct holder of 1,208,590 Class A ordinary shares. Empyrean Capital Partners, LP (Empyrean Capital), as the investment manager of Empyrean Fund, may be deemed to share voting and investment discretion over such securities. Mr. Meron, as the managing member of Empyrean Capital, LLC, the general partner of Empyrean Capital, may be deemed to share voting and investment discretion over such securities. The address of each is c/o Empyrean Capital Partners, LP, 10250 Constellation Boulevard, Suite 2950, Los Angeles, CA 90067.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According to a Schedule 13G filed on February 24, 2021, the reported shares are held by certain investment funds managed by Point72 Asset Management, L.P. (Point72 Asset Management). Point72 Capital Advisors, Inc. (Point72 Capital Advisors Inc.) may be deemed to share voting and dispositive power of the shares held by certain investment funds managed by Point72 Asset Management; and (iii) Steven A. Cohen (Mr. Cohen) may be deemed to share voting and dispositive power with respect to shares beneficially owned by Point72 Asset Management and Point72 Capital Advisors Inc. The address of the principal business office of Point72 Asset Management, Point72 Capital Advisors Inc., and Mr. Cohen is 72 Cummings Point Road, Stamford, CT 06902.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no redemptions by the holder.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Post-Business Combination amounts include 32,500,000 shares of Bakkt Pubco Class A Common Stock to be purchased by the PIPE Investors including Intercontinental Exchange Holdings, Inc. in the PIPE Investment (up to 500,000 of which may be allocated to other Bakkt Equity Holders).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business address of Intercontinental Exchange Holdings, Inc. and David C. Clifton is 5660 New Northside Drive, Atlanta, Georgia 30328.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business address of each of Gavin Michael, David C. Clifton, Michelle Goldberg, Kristyn Cook, Sean Collins, Andrew A. Martin, and Richard Lumb is 5900 Windward Parkway, Suite 450, Alpharetta, GA 30005.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Goldfinch Co-Invest IC LP will be the record owner of such shares following the closing of the Business Combination in connection with the PIPE Investment. Sean Collins, as a Managing Partner of Goldfinch Co-Invest I GP LLC, which is the General Partner of Goldfinch Co-Invest IC LP has voting and investment discretion over these shares and therefore may be deemed to beneficially own such shares.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Concurrently with the Closing, ICEH and Bakkt Pubco will enter into the Voting Agreement, pursuant to which, to the extent that ICEHs voting power as jointly calculated by ICEH and Bakkt Pubco and represented by the ICE Shares as of any record date for a Stockholder Matter exceeds 30% of the total voting power of all Bakkt Pubco Class A Shares and Bakkt Pubco Class V Shares that are issued and outstanding and entitled to vote as of the relevant record date, ICEH will irrevocably appoint a proxy, designated by the Company Board, to vote the Excess Shares in the same percentages for and against such Stockholder Matter as votes were cast for and against such Stockholder Matter by all stockholders of Bakkt Pubco other than ICEH. For additional information see </w:t>
            </w:r>
            <w:r>
              <w:rPr>
                <w:rFonts w:ascii="Times New Roman" w:hAnsi="Times New Roman"/>
                <w:i/>
                <w:sz w:val="20"/>
              </w:rPr>
              <w:t>The Business Combination ProposalRelated</w:t>
            </w:r>
            <w:r>
              <w:rPr>
                <w:rFonts w:ascii="Times New Roman" w:hAnsi="Times New Roman"/>
                <w:sz w:val="20"/>
              </w:rPr>
              <w:t xml:space="preserve"> </w:t>
            </w:r>
            <w:r>
              <w:rPr>
                <w:rFonts w:ascii="Times New Roman" w:hAnsi="Times New Roman"/>
                <w:i/>
                <w:sz w:val="20"/>
              </w:rPr>
              <w:t>AgreementsVoting Agreement</w:t>
            </w:r>
            <w:r>
              <w:rPr>
                <w:rFonts w:ascii="Times New Roman" w:hAnsi="Times New Roman"/>
                <w:sz w:val="20"/>
              </w:rPr>
              <w:t xml:space="preserve"> beginning on page 142 of this proxy statement/prospectus.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Includes one-third of the Bakkt Incentive Units held by the Director Nominees and Executive Officers as a group, in each case through Bakkt Management, that will become vested as of the Closing, a portion of which may be redeemed by any or all such Director Nominees and Executive Officers individually, effective as of immediately prior to the Closing, for the receipt, as of the Closing, of a cash payment. For additional information, please see </w:t>
            </w:r>
            <w:r>
              <w:rPr>
                <w:rFonts w:ascii="Times New Roman" w:hAnsi="Times New Roman"/>
                <w:i/>
                <w:sz w:val="20"/>
              </w:rPr>
              <w:t>The Business Combination ProposalTreatment of Bakkt Incentives Units and Bakkt Participation Units</w:t>
            </w:r>
            <w:r>
              <w:rPr>
                <w:rFonts w:ascii="Times New Roman" w:hAnsi="Times New Roman"/>
                <w:sz w:val="20"/>
              </w:rPr>
              <w:t xml:space="preserve"> of page 119.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4" w:name="toc108105_27"/>
      <w:bookmarkEnd w:id="94"/>
      <w:r>
        <w:rPr>
          <w:rFonts w:ascii="Times New Roman" w:hAnsi="Times New Roman"/>
          <w:b/>
          <w:sz w:val="20"/>
        </w:rPr>
        <w:t xml:space="preserve">CERTAIN RELATIONSHIPS AND RELATED PERSON TRANSACTIONS </w:t>
      </w:r>
    </w:p>
    <w:p>
      <w:pPr>
        <w:pStyle w:val="TextBody"/>
        <w:spacing w:before="240" w:after="0"/>
        <w:jc w:val="left"/>
        <w:rPr>
          <w:rFonts w:ascii="Times New Roman" w:hAnsi="Times New Roman"/>
          <w:b/>
          <w:sz w:val="20"/>
        </w:rPr>
      </w:pPr>
      <w:r>
        <w:rPr>
          <w:rFonts w:ascii="Times New Roman" w:hAnsi="Times New Roman"/>
          <w:b/>
          <w:sz w:val="20"/>
        </w:rPr>
        <w:t xml:space="preserve">VIH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In August 2021, the Sponsor purchased 5,750,000 Founder Shares for an aggregate purchase price of $25,000, or approximately $0.004 per share. In September 2020, the Sponsor transferred an aggregate of 60,000 Founder Shares to members of the VIH Board, resulting in the Sponsor holding 5,690,000 Founder Shares. As a result of the underwriters not exercising the over-allotment option in full in connection with the IPO, 585,700 Founder Shares were forfeited, resulting in an aggregate of 5,184,300 Founder Shares issued and outstanding. The Sponsor owns 19.8% of the issued and outstanding VIH Shares and has the right to elect all of VIHs directors prior to the initial business combination. Pursuant to the Insider Letter Agreement, the Sponsor, officers and directors have agreed to vote all VIH Shares owned by them (or 20% of the VIH Shares), including the Founder Shares, in favor of the Business Combination. If only the minimum number of VIH Shares required to establish a quorum were voted, only 6.25% (an aggregate of 1,296,077 Public Shares) of the Public Shares would need to be voted in favor of the Business Combination Proposal. </w:t>
      </w:r>
    </w:p>
    <w:p>
      <w:pPr>
        <w:pStyle w:val="TextBody"/>
        <w:spacing w:before="240" w:after="0"/>
        <w:jc w:val="left"/>
        <w:rPr>
          <w:rFonts w:ascii="Times New Roman" w:hAnsi="Times New Roman"/>
          <w:sz w:val="20"/>
        </w:rPr>
      </w:pPr>
      <w:r>
        <w:rPr>
          <w:rFonts w:ascii="Times New Roman" w:hAnsi="Times New Roman"/>
          <w:sz w:val="20"/>
        </w:rPr>
        <w:t>The Sponsor purchased an aggregate of 6,147,440 warrants (the </w:t>
      </w:r>
      <w:r>
        <w:rPr>
          <w:rFonts w:ascii="Times New Roman" w:hAnsi="Times New Roman"/>
          <w:b/>
          <w:sz w:val="20"/>
        </w:rPr>
        <w:t>Private Placement Warrants</w:t>
      </w:r>
      <w:r>
        <w:rPr>
          <w:rFonts w:ascii="Times New Roman" w:hAnsi="Times New Roman"/>
          <w:sz w:val="20"/>
        </w:rPr>
        <w:t xml:space="preserve">) at a price of $1.00 per warrant for an aggregate purchase price of $6,147,440 in a private placement that closed simultaneously with the closing of the IPO. Each Private Placement Warrant entitles the holder upon exercise to purchase one VIH Class A Ordinary Share at a price of $11.50 per share, subject to adjustment as provided herein. The Private Placement Warrants (including the VIH Class A Ordinary Shares that will be issuable upon exercise of the Private Placement Warrants) may not, subject to certain limited exceptions, be transferred, assigned or sold by it until 30 days after the completion of the initial business combination. VIH has entered into an Administrative Services Agreement with the Sponsor pursuant to which VIH pays a total of $10,000 per month for office space, administrative and support services to such affiliate. Upon completion of the initial business combination or the liquidation of VIH, VIH will cease paying these monthly fees. Accordingly, in the event the completion of the initial business combination takes the maximum 24 months, the Sponsor will be paid a total of $240,000 ($10,000 per month) for office space, administrative and support services and will be entitled to be reimbursed for any out-of-pocket expenses. </w:t>
      </w:r>
    </w:p>
    <w:p>
      <w:pPr>
        <w:pStyle w:val="TextBody"/>
        <w:spacing w:before="240" w:after="0"/>
        <w:jc w:val="left"/>
        <w:rPr>
          <w:rFonts w:ascii="Times New Roman" w:hAnsi="Times New Roman"/>
          <w:sz w:val="20"/>
        </w:rPr>
      </w:pPr>
      <w:r>
        <w:rPr>
          <w:rFonts w:ascii="Times New Roman" w:hAnsi="Times New Roman"/>
          <w:sz w:val="20"/>
        </w:rPr>
        <w:t xml:space="preserve">The Sponsor, officers and directors of VIH, or any of their respective affiliates, are entitled to reimbursement for any out-of-pocket expenses incurred in connection with activities on behalf of VIH, such as identifying potential target businesses and performing due diligence on suitable business combinations. The Audit Committee reviews on a quarterly basis all payments that were made to the Sponsor, officers, directors or their affiliates and determines which expenses and the amount of expenses that will be reimbursed. There is no cap or ceiling on the reimbursement of out-of-pocket expenses incurred by such persons in connection with activities on behalf of VIH. If VIH fails to complete a Business Combination within the required period, the Sponsor and VIHs officers and directors and their respective affiliates will not have any claim against the Trust Account for reimbursement. </w:t>
      </w:r>
    </w:p>
    <w:p>
      <w:pPr>
        <w:pStyle w:val="TextBody"/>
        <w:spacing w:before="240" w:after="0"/>
        <w:jc w:val="left"/>
        <w:rPr>
          <w:rFonts w:ascii="Times New Roman" w:hAnsi="Times New Roman"/>
          <w:sz w:val="20"/>
        </w:rPr>
      </w:pPr>
      <w:r>
        <w:rPr>
          <w:rFonts w:ascii="Times New Roman" w:hAnsi="Times New Roman"/>
          <w:sz w:val="20"/>
        </w:rPr>
        <w:t xml:space="preserve">The Sponsor loaned VIH $82,729, which was used for a portion of the expenses of the IPO. This loan was repaid upon the closing of the IPO. </w:t>
      </w:r>
    </w:p>
    <w:p>
      <w:pPr>
        <w:pStyle w:val="TextBody"/>
        <w:spacing w:before="240" w:after="0"/>
        <w:jc w:val="left"/>
        <w:rPr>
          <w:rFonts w:ascii="Times New Roman" w:hAnsi="Times New Roman"/>
          <w:sz w:val="20"/>
        </w:rPr>
      </w:pPr>
      <w:r>
        <w:rPr>
          <w:rFonts w:ascii="Times New Roman" w:hAnsi="Times New Roman"/>
          <w:sz w:val="20"/>
        </w:rPr>
        <w:t>Upon the completion of the Proposed Transaction, the Company will enter into a Registration Rights Agreement with ICE, the other Bakkt Equity Holders and the holders of the Founder Shares, Private Placement Warrants and warrants issued upon conversion of working capital loans (if any), pursuant to which such parties will have specified rights to require the Company to register all or a portion of their shares under the Securities Act. This Registration Rights Agreement will terminate and replace the registration rights entered into by VIH with respect to the Founder Shares, Private Placement Warrants and warrants issued upon conversion of working capital loans (if any), at the closing of VIHs IPO. For more information, please refer to the section entitled </w:t>
      </w:r>
      <w:r>
        <w:rPr>
          <w:rFonts w:ascii="Times New Roman" w:hAnsi="Times New Roman"/>
          <w:i/>
          <w:sz w:val="20"/>
        </w:rPr>
        <w:t>The Business Combination ProposalRelated AgreementsRegistration Rights Agreement</w:t>
      </w:r>
      <w:r>
        <w:rPr>
          <w:rFonts w:ascii="Times New Roman" w:hAnsi="Times New Roman"/>
          <w:sz w:val="20"/>
        </w:rPr>
        <w:t xml:space="preserve"> beginning on page 140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Bakkt Related Person Transactions </w:t>
      </w:r>
    </w:p>
    <w:p>
      <w:pPr>
        <w:pStyle w:val="TextBody"/>
        <w:spacing w:before="120" w:after="0"/>
        <w:jc w:val="left"/>
        <w:rPr>
          <w:rFonts w:ascii="Times New Roman" w:hAnsi="Times New Roman"/>
          <w:b/>
          <w:i/>
          <w:sz w:val="20"/>
        </w:rPr>
      </w:pPr>
      <w:r>
        <w:rPr>
          <w:rFonts w:ascii="Times New Roman" w:hAnsi="Times New Roman"/>
          <w:b/>
          <w:i/>
          <w:sz w:val="20"/>
        </w:rPr>
        <w:t xml:space="preserve">Intercompany Services Agreement </w:t>
      </w:r>
    </w:p>
    <w:p>
      <w:pPr>
        <w:pStyle w:val="TextBody"/>
        <w:spacing w:before="120" w:after="0"/>
        <w:jc w:val="left"/>
        <w:rPr>
          <w:rFonts w:ascii="Times New Roman" w:hAnsi="Times New Roman"/>
          <w:sz w:val="20"/>
        </w:rPr>
      </w:pPr>
      <w:r>
        <w:rPr>
          <w:rFonts w:ascii="Times New Roman" w:hAnsi="Times New Roman"/>
          <w:sz w:val="20"/>
        </w:rPr>
        <w:t>On December 19, 2018, Bakkt entered into an intercompany services agreement with ICE (as amended, the </w:t>
      </w:r>
      <w:r>
        <w:rPr>
          <w:rFonts w:ascii="Times New Roman" w:hAnsi="Times New Roman"/>
          <w:b/>
          <w:sz w:val="20"/>
        </w:rPr>
        <w:t>ISA</w:t>
      </w:r>
      <w:r>
        <w:rPr>
          <w:rFonts w:ascii="Times New Roman" w:hAnsi="Times New Roman"/>
          <w:sz w:val="20"/>
        </w:rPr>
        <w:t xml:space="preserve">), pursuant to which ICE agreed to provide certain services to Bakkt, including administrative, technology and data centre services in exchange for fees. The ISA is expected to remain in place for a limited time following the Closing. For the year ended December 31, 2019, expenses of $500,000 have been recorded by Bakkt in connection with the ISA. For the period year ended December 31, 2020, expenses of $3,082,000 have been recorded by Bakkt in connection with the ISA. </w:t>
      </w:r>
    </w:p>
    <w:p>
      <w:pPr>
        <w:pStyle w:val="TextBody"/>
        <w:spacing w:before="360" w:after="0"/>
        <w:jc w:val="left"/>
        <w:rPr>
          <w:rFonts w:ascii="Times New Roman" w:hAnsi="Times New Roman"/>
          <w:b/>
          <w:i/>
          <w:sz w:val="20"/>
        </w:rPr>
      </w:pPr>
      <w:r>
        <w:rPr>
          <w:rFonts w:ascii="Times New Roman" w:hAnsi="Times New Roman"/>
          <w:b/>
          <w:i/>
          <w:sz w:val="20"/>
        </w:rPr>
        <w:t xml:space="preserve">Triparty Agreement </w:t>
      </w:r>
    </w:p>
    <w:p>
      <w:pPr>
        <w:pStyle w:val="TextBody"/>
        <w:spacing w:before="120" w:after="0"/>
        <w:jc w:val="left"/>
        <w:rPr>
          <w:rFonts w:ascii="Times New Roman" w:hAnsi="Times New Roman"/>
          <w:sz w:val="20"/>
        </w:rPr>
      </w:pPr>
      <w:r>
        <w:rPr>
          <w:rFonts w:ascii="Times New Roman" w:hAnsi="Times New Roman"/>
          <w:sz w:val="20"/>
        </w:rPr>
        <w:t>On August 29, 2019, Bakkt Trust Company LLC (</w:t>
      </w:r>
      <w:r>
        <w:rPr>
          <w:rFonts w:ascii="Times New Roman" w:hAnsi="Times New Roman"/>
          <w:b/>
          <w:sz w:val="20"/>
        </w:rPr>
        <w:t>Bakkt Trust</w:t>
      </w:r>
      <w:r>
        <w:rPr>
          <w:rFonts w:ascii="Times New Roman" w:hAnsi="Times New Roman"/>
          <w:sz w:val="20"/>
        </w:rPr>
        <w:t>) entered into a digital currency trading, clearing, and warehouse services agreement (the </w:t>
      </w:r>
      <w:r>
        <w:rPr>
          <w:rFonts w:ascii="Times New Roman" w:hAnsi="Times New Roman"/>
          <w:b/>
          <w:sz w:val="20"/>
        </w:rPr>
        <w:t>Triparty Agreement</w:t>
      </w:r>
      <w:r>
        <w:rPr>
          <w:rFonts w:ascii="Times New Roman" w:hAnsi="Times New Roman"/>
          <w:sz w:val="20"/>
        </w:rPr>
        <w:t>) with ICE Futures U.S., Inc. (</w:t>
      </w:r>
      <w:r>
        <w:rPr>
          <w:rFonts w:ascii="Times New Roman" w:hAnsi="Times New Roman"/>
          <w:b/>
          <w:sz w:val="20"/>
        </w:rPr>
        <w:t>IFUS</w:t>
      </w:r>
      <w:r>
        <w:rPr>
          <w:rFonts w:ascii="Times New Roman" w:hAnsi="Times New Roman"/>
          <w:sz w:val="20"/>
        </w:rPr>
        <w:t>) and ICE Clear US, Inc. (</w:t>
      </w:r>
      <w:r>
        <w:rPr>
          <w:rFonts w:ascii="Times New Roman" w:hAnsi="Times New Roman"/>
          <w:b/>
          <w:sz w:val="20"/>
        </w:rPr>
        <w:t>ICUS</w:t>
      </w:r>
      <w:r>
        <w:rPr>
          <w:rFonts w:ascii="Times New Roman" w:hAnsi="Times New Roman"/>
          <w:sz w:val="20"/>
        </w:rPr>
        <w:t xml:space="preserve">), which the parties amended on December 5, 2019. Pursuant to the Triparty Agreement, IFUS provides services related to the listing for trading one or more digital currency futures and/or options contracts, ICUS provides clearing and related services for such contracts and Bakkt Trust provides certain warehouse, settlement and ancillary services relating to digital currencies. The Triparty Agreement is expected to remain in place following the Closing. </w:t>
      </w:r>
    </w:p>
    <w:p>
      <w:pPr>
        <w:pStyle w:val="TextBody"/>
        <w:spacing w:before="240" w:after="0"/>
        <w:jc w:val="left"/>
        <w:rPr>
          <w:rFonts w:ascii="Times New Roman" w:hAnsi="Times New Roman"/>
          <w:sz w:val="20"/>
        </w:rPr>
      </w:pPr>
      <w:r>
        <w:rPr>
          <w:rFonts w:ascii="Times New Roman" w:hAnsi="Times New Roman"/>
          <w:sz w:val="20"/>
        </w:rPr>
        <w:t xml:space="preserve">Pursuant to the Triparty Agreement, all revenues of IFUS and ICUS with respect to the trading and clearing of digital currency contracts, after deduction of any applicable rebates and liquidity payments, are remitted to Bakkt. </w:t>
      </w:r>
    </w:p>
    <w:p>
      <w:pPr>
        <w:pStyle w:val="TextBody"/>
        <w:spacing w:before="240" w:after="0"/>
        <w:jc w:val="left"/>
        <w:rPr>
          <w:rFonts w:ascii="Times New Roman" w:hAnsi="Times New Roman"/>
          <w:sz w:val="20"/>
        </w:rPr>
      </w:pPr>
      <w:r>
        <w:rPr>
          <w:rFonts w:ascii="Times New Roman" w:hAnsi="Times New Roman"/>
          <w:sz w:val="20"/>
        </w:rPr>
        <w:t>Bakkt entered into a digital currency trading, clearing and licensing agreement (the </w:t>
      </w:r>
      <w:r>
        <w:rPr>
          <w:rFonts w:ascii="Times New Roman" w:hAnsi="Times New Roman"/>
          <w:b/>
          <w:sz w:val="20"/>
        </w:rPr>
        <w:t>Singapore Triparty Agreement</w:t>
      </w:r>
      <w:r>
        <w:rPr>
          <w:rFonts w:ascii="Times New Roman" w:hAnsi="Times New Roman"/>
          <w:sz w:val="20"/>
        </w:rPr>
        <w:t>) on March 11, 2020, with ICE Futures Singapore (</w:t>
      </w:r>
      <w:r>
        <w:rPr>
          <w:rFonts w:ascii="Times New Roman" w:hAnsi="Times New Roman"/>
          <w:b/>
          <w:sz w:val="20"/>
        </w:rPr>
        <w:t>IFSG</w:t>
      </w:r>
      <w:r>
        <w:rPr>
          <w:rFonts w:ascii="Times New Roman" w:hAnsi="Times New Roman"/>
          <w:sz w:val="20"/>
        </w:rPr>
        <w:t>) and ICE Clear Singapore (</w:t>
      </w:r>
      <w:r>
        <w:rPr>
          <w:rFonts w:ascii="Times New Roman" w:hAnsi="Times New Roman"/>
          <w:b/>
          <w:sz w:val="20"/>
        </w:rPr>
        <w:t>ICSG</w:t>
      </w:r>
      <w:r>
        <w:rPr>
          <w:rFonts w:ascii="Times New Roman" w:hAnsi="Times New Roman"/>
          <w:sz w:val="20"/>
        </w:rPr>
        <w:t>), in connection with the Bakkt Bitcoin cash-settled futures contract traded on IFSG. Pursuant to the Singapore Triparty Agreement, IFSG provides services related to the listing for trading one or more cash-settled digital currency futures and/or options contracts (</w:t>
      </w:r>
      <w:r>
        <w:rPr>
          <w:rFonts w:ascii="Times New Roman" w:hAnsi="Times New Roman"/>
          <w:b/>
          <w:sz w:val="20"/>
        </w:rPr>
        <w:t>digital currency contracts</w:t>
      </w:r>
      <w:r>
        <w:rPr>
          <w:rFonts w:ascii="Times New Roman" w:hAnsi="Times New Roman"/>
          <w:sz w:val="20"/>
        </w:rPr>
        <w:t xml:space="preserve">), ICSG provides clearing and related services for such contracts, and Bakkt licenses certain trademarks and information and provides certain ancillary services relating to digital currencies. The Singapore Triparty Agreement is expected to remain in place following the Closing. Pursuant to the Singapore Triparty Agreement, 35% of the revenues of IFSG and ICSG with respect to the trading and clearing of digital currency contracts, after deduction of any applicable rebates and liquidity payments, are remitted to Bakkt. To date, no revenues have been generated under the Singapore Triparty Agreement. </w:t>
      </w:r>
    </w:p>
    <w:p>
      <w:pPr>
        <w:pStyle w:val="TextBody"/>
        <w:spacing w:before="360" w:after="0"/>
        <w:jc w:val="left"/>
        <w:rPr>
          <w:rFonts w:ascii="Times New Roman" w:hAnsi="Times New Roman"/>
          <w:b/>
          <w:i/>
          <w:sz w:val="20"/>
        </w:rPr>
      </w:pPr>
      <w:r>
        <w:rPr>
          <w:rFonts w:ascii="Times New Roman" w:hAnsi="Times New Roman"/>
          <w:b/>
          <w:i/>
          <w:sz w:val="20"/>
        </w:rPr>
        <w:t xml:space="preserve">Second Amended and Restated Limited Liability Company Agreement </w:t>
      </w:r>
    </w:p>
    <w:p>
      <w:pPr>
        <w:pStyle w:val="TextBody"/>
        <w:spacing w:before="120" w:after="0"/>
        <w:jc w:val="left"/>
        <w:rPr>
          <w:rFonts w:ascii="Times New Roman" w:hAnsi="Times New Roman"/>
          <w:sz w:val="20"/>
        </w:rPr>
      </w:pPr>
      <w:r>
        <w:rPr>
          <w:rFonts w:ascii="Times New Roman" w:hAnsi="Times New Roman"/>
          <w:sz w:val="20"/>
        </w:rPr>
        <w:t>ICE is party to the Second Amended and Restated Limited Liability Company Agreement of Bakkt, dated as of February 28, 2020 (the </w:t>
      </w:r>
      <w:r>
        <w:rPr>
          <w:rFonts w:ascii="Times New Roman" w:hAnsi="Times New Roman"/>
          <w:b/>
          <w:sz w:val="20"/>
        </w:rPr>
        <w:t>current Bakkt operating agreement</w:t>
      </w:r>
      <w:r>
        <w:rPr>
          <w:rFonts w:ascii="Times New Roman" w:hAnsi="Times New Roman"/>
          <w:sz w:val="20"/>
        </w:rPr>
        <w:t>). The current Bakkt operating agreement will be amended and restated to the Surviving Company LLC Agreement upon the Closing. Bakkt is majority owned by ICE, through ICEs ownership of 400,000,000 Class A voting units. For a description of the Surviving Company LLC Agreement, see the section entitled </w:t>
      </w:r>
      <w:r>
        <w:rPr>
          <w:rFonts w:ascii="Times New Roman" w:hAnsi="Times New Roman"/>
          <w:i/>
          <w:sz w:val="20"/>
        </w:rPr>
        <w:t>The Business Combination ProposalRelated Agreementsthe Surviving Company LLC Agreement</w:t>
      </w:r>
      <w:r>
        <w:rPr>
          <w:rFonts w:ascii="Times New Roman" w:hAnsi="Times New Roman"/>
          <w:sz w:val="20"/>
        </w:rPr>
        <w:t xml:space="preserve"> beginning on page 142 of this combined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Director and Officer Indemnification </w:t>
      </w:r>
    </w:p>
    <w:p>
      <w:pPr>
        <w:pStyle w:val="TextBody"/>
        <w:spacing w:before="120" w:after="0"/>
        <w:jc w:val="left"/>
        <w:rPr>
          <w:rFonts w:ascii="Times New Roman" w:hAnsi="Times New Roman"/>
          <w:sz w:val="20"/>
        </w:rPr>
      </w:pPr>
      <w:r>
        <w:rPr>
          <w:rFonts w:ascii="Times New Roman" w:hAnsi="Times New Roman"/>
          <w:sz w:val="20"/>
        </w:rPr>
        <w:t>The current Bakkt operating agreement provides for indemnification and advancement of expenses for its directors and officers to the fullest extent permitted by the DLLCA, subject to customary exceptions for gross negligence or willful misconduct. Following the Closing, Bakkt Pubco will enter into new indemnification agreements for each director of the Company Board and officer of Bakkt Pubco. See the section entitled </w:t>
      </w:r>
      <w:r>
        <w:rPr>
          <w:rFonts w:ascii="Times New Roman" w:hAnsi="Times New Roman"/>
          <w:i/>
          <w:sz w:val="20"/>
        </w:rPr>
        <w:t>Description of VIHs and the Companys SecuritiesAnti-Takeover Effects of the Proposed Certificate of Incorporation, the Proposed By-Laws and Certain Provisions of Delaware LawLimitations on Liability and Indemnification of Officers and Director</w:t>
      </w:r>
      <w:r>
        <w:rPr>
          <w:rFonts w:ascii="Times New Roman" w:hAnsi="Times New Roman"/>
          <w:sz w:val="20"/>
        </w:rPr>
        <w:t xml:space="preserve"> beginning on page 250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Post-Business Combination Arrangements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certain agreements were entered into or will be entered into pursuant to the Merger Agreement. The agreements described in this section, or forms of such agreements as they will be in effect substantially concurrently with the completion of the Proposed Transaction, are filed as exhibits to the registration statement of which this prospectus forms a part, and the following descriptions are qualified by reference thereto. These agreements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Surviving Company LLC Agreement (see the section entitled </w:t>
            </w:r>
            <w:r>
              <w:rPr>
                <w:rFonts w:ascii="Times New Roman" w:hAnsi="Times New Roman"/>
                <w:i/>
                <w:sz w:val="20"/>
              </w:rPr>
              <w:t>The Business Combination ProposalRelated AgreementsSurviving Company LLC Agreement</w:t>
            </w:r>
            <w:r>
              <w:rPr>
                <w:rFonts w:ascii="Times New Roman" w:hAnsi="Times New Roman"/>
                <w:sz w:val="20"/>
              </w:rPr>
              <w:t xml:space="preserve"> beginning on page 142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Exchange Agreement (see the section entitled </w:t>
            </w:r>
            <w:r>
              <w:rPr>
                <w:rFonts w:ascii="Times New Roman" w:hAnsi="Times New Roman"/>
                <w:i/>
                <w:sz w:val="20"/>
              </w:rPr>
              <w:t>The Business Combination ProposalRelated AgreementsExchange Agreement</w:t>
            </w:r>
            <w:r>
              <w:rPr>
                <w:rFonts w:ascii="Times New Roman" w:hAnsi="Times New Roman"/>
                <w:sz w:val="20"/>
              </w:rPr>
              <w:t xml:space="preserve"> beginning on page 143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Tax Receivable Agreement (see the section entitled </w:t>
            </w:r>
            <w:r>
              <w:rPr>
                <w:rFonts w:ascii="Times New Roman" w:hAnsi="Times New Roman"/>
                <w:i/>
                <w:sz w:val="20"/>
              </w:rPr>
              <w:t>The Business Combination ProposalRelated AgreementsTax Receivable Agreement</w:t>
            </w:r>
            <w:r>
              <w:rPr>
                <w:rFonts w:ascii="Times New Roman" w:hAnsi="Times New Roman"/>
                <w:sz w:val="20"/>
              </w:rPr>
              <w:t xml:space="preserve"> beginning on page 144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Voting Agreement (see the section entitled </w:t>
            </w:r>
            <w:r>
              <w:rPr>
                <w:rFonts w:ascii="Times New Roman" w:hAnsi="Times New Roman"/>
                <w:i/>
                <w:sz w:val="20"/>
              </w:rPr>
              <w:t>The Business Combination ProposalRelated AgreementsVoting Agreement</w:t>
            </w:r>
            <w:r>
              <w:rPr>
                <w:rFonts w:ascii="Times New Roman" w:hAnsi="Times New Roman"/>
                <w:sz w:val="20"/>
              </w:rPr>
              <w:t xml:space="preserve"> beginning on page 142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Support Agreement (see the section entitled </w:t>
            </w:r>
            <w:r>
              <w:rPr>
                <w:rFonts w:ascii="Times New Roman" w:hAnsi="Times New Roman"/>
                <w:i/>
                <w:sz w:val="20"/>
              </w:rPr>
              <w:t>The Business Combination ProposalRelated AgreementsBakkt Equity Holders Support Agreement</w:t>
            </w:r>
            <w:r>
              <w:rPr>
                <w:rFonts w:ascii="Times New Roman" w:hAnsi="Times New Roman"/>
                <w:sz w:val="20"/>
              </w:rPr>
              <w:t xml:space="preserve"> beginning on page 139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Insider Letter Agreement (see the section entitled </w:t>
            </w:r>
            <w:r>
              <w:rPr>
                <w:rFonts w:ascii="Times New Roman" w:hAnsi="Times New Roman"/>
                <w:i/>
                <w:sz w:val="20"/>
              </w:rPr>
              <w:t>The Business Combination ProposalRelated AgreementsInsider Letter Agreement</w:t>
            </w:r>
            <w:r>
              <w:rPr>
                <w:rFonts w:ascii="Times New Roman" w:hAnsi="Times New Roman"/>
                <w:sz w:val="20"/>
              </w:rPr>
              <w:t xml:space="preserve"> beginning on page 138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Subscription Agreements (see the section entitled </w:t>
            </w:r>
            <w:r>
              <w:rPr>
                <w:rFonts w:ascii="Times New Roman" w:hAnsi="Times New Roman"/>
                <w:i/>
                <w:sz w:val="20"/>
              </w:rPr>
              <w:t>The Business Combination ProposalRelated AgreementsSubscription Agreements</w:t>
            </w:r>
            <w:r>
              <w:rPr>
                <w:rFonts w:ascii="Times New Roman" w:hAnsi="Times New Roman"/>
                <w:sz w:val="20"/>
              </w:rPr>
              <w:t xml:space="preserve"> beginning on page 145 of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Stockholders Agreement (see the section entitled </w:t>
            </w:r>
            <w:r>
              <w:rPr>
                <w:rFonts w:ascii="Times New Roman" w:hAnsi="Times New Roman"/>
                <w:i/>
                <w:sz w:val="20"/>
              </w:rPr>
              <w:t>The Business Combination ProposalRelated AgreementsStockholders Agreement</w:t>
            </w:r>
            <w:r>
              <w:rPr>
                <w:rFonts w:ascii="Times New Roman" w:hAnsi="Times New Roman"/>
                <w:sz w:val="20"/>
              </w:rPr>
              <w:t xml:space="preserve"> beginning on page 141 of this proxy statement/prospectus);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Registration Rights Agreement (see the section entitled </w:t>
            </w:r>
            <w:r>
              <w:rPr>
                <w:rFonts w:ascii="Times New Roman" w:hAnsi="Times New Roman"/>
                <w:i/>
                <w:sz w:val="20"/>
              </w:rPr>
              <w:t>The Business Combination ProposalRelated AgreementsRegistration Rights Agreement</w:t>
            </w:r>
            <w:r>
              <w:rPr>
                <w:rFonts w:ascii="Times New Roman" w:hAnsi="Times New Roman"/>
                <w:sz w:val="20"/>
              </w:rPr>
              <w:t xml:space="preserve"> beginning on page 140 of this proxy statement/prospectus). </w:t>
            </w:r>
          </w:p>
        </w:tc>
      </w:tr>
    </w:tbl>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Cooperation Agreement (see the section entitled </w:t>
            </w:r>
            <w:r>
              <w:rPr>
                <w:rFonts w:ascii="Times New Roman" w:hAnsi="Times New Roman"/>
                <w:i/>
                <w:sz w:val="20"/>
              </w:rPr>
              <w:t>The Business Combination proposalMerger AgreementCovenants of VIH</w:t>
            </w:r>
            <w:r>
              <w:rPr>
                <w:rFonts w:ascii="Times New Roman" w:hAnsi="Times New Roman"/>
                <w:sz w:val="20"/>
              </w:rPr>
              <w:t xml:space="preserve"> beginning on page 127 of this proxy statement/prospectus). </w:t>
            </w:r>
          </w:p>
        </w:tc>
      </w:tr>
    </w:tbl>
    <w:p>
      <w:pPr>
        <w:pStyle w:val="TextBody"/>
        <w:spacing w:before="360" w:after="0"/>
        <w:jc w:val="left"/>
        <w:rPr>
          <w:rFonts w:ascii="Times New Roman" w:hAnsi="Times New Roman"/>
          <w:b/>
          <w:sz w:val="20"/>
        </w:rPr>
      </w:pPr>
      <w:r>
        <w:rPr>
          <w:rFonts w:ascii="Times New Roman" w:hAnsi="Times New Roman"/>
          <w:b/>
          <w:sz w:val="20"/>
        </w:rPr>
        <w:t xml:space="preserve">Statement of Policy Regarding Transactions with Related Persons </w:t>
      </w:r>
    </w:p>
    <w:p>
      <w:pPr>
        <w:pStyle w:val="TextBody"/>
        <w:spacing w:before="120" w:after="0"/>
        <w:jc w:val="left"/>
        <w:rPr>
          <w:rFonts w:ascii="Times New Roman" w:hAnsi="Times New Roman"/>
          <w:sz w:val="20"/>
        </w:rPr>
      </w:pPr>
      <w:r>
        <w:rPr>
          <w:rFonts w:ascii="Times New Roman" w:hAnsi="Times New Roman"/>
          <w:sz w:val="20"/>
        </w:rPr>
        <w:t>The Company will adopt a formal written policy that will be effective upon the Closing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Companys nominating and corporate governance committee, subject to certain exceptions. For more information, see the section entitled </w:t>
      </w:r>
      <w:r>
        <w:rPr>
          <w:rFonts w:ascii="Times New Roman" w:hAnsi="Times New Roman"/>
          <w:i/>
          <w:sz w:val="20"/>
        </w:rPr>
        <w:t>Management of the Company Following the Business CombinationRelated Person Policy of the Company</w:t>
      </w:r>
      <w:r>
        <w:rPr>
          <w:rFonts w:ascii="Times New Roman" w:hAnsi="Times New Roman"/>
          <w:sz w:val="20"/>
        </w:rPr>
        <w:t xml:space="preserve"> beginning on page 311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spacing w:before="120" w:after="0"/>
        <w:jc w:val="left"/>
        <w:rPr>
          <w:rFonts w:ascii="Times New Roman" w:hAnsi="Times New Roman"/>
          <w:sz w:val="20"/>
        </w:rPr>
      </w:pPr>
      <w:r>
        <w:rPr>
          <w:rFonts w:ascii="Times New Roman" w:hAnsi="Times New Roman"/>
          <w:sz w:val="20"/>
        </w:rPr>
        <w:t>The Proposed By-Laws will provide that the Company will be required to indemnify our directors and officers to the fullest extent permitted by the Delaware General Corporation Law (the </w:t>
      </w:r>
      <w:r>
        <w:rPr>
          <w:rFonts w:ascii="Times New Roman" w:hAnsi="Times New Roman"/>
          <w:b/>
          <w:sz w:val="20"/>
        </w:rPr>
        <w:t>DGCL</w:t>
      </w:r>
      <w:r>
        <w:rPr>
          <w:rFonts w:ascii="Times New Roman" w:hAnsi="Times New Roman"/>
          <w:sz w:val="20"/>
        </w:rPr>
        <w:t xml:space="preserve">). In addition, the Proposed Certificate of Incorporation will provide that our directors will not be liable for monetary damages for breach of fiduciary duty to the fullest extent permitted by the DGCL. </w:t>
      </w:r>
    </w:p>
    <w:p>
      <w:pPr>
        <w:pStyle w:val="TextBody"/>
        <w:spacing w:before="240" w:after="0"/>
        <w:jc w:val="left"/>
        <w:rPr>
          <w:rFonts w:ascii="Times New Roman" w:hAnsi="Times New Roman"/>
          <w:sz w:val="20"/>
        </w:rPr>
      </w:pPr>
      <w:r>
        <w:rPr>
          <w:rFonts w:ascii="Times New Roman" w:hAnsi="Times New Roman"/>
          <w:sz w:val="20"/>
        </w:rPr>
        <w:t xml:space="preserve">There is no pending litigation or proceeding naming any of VIHs or Bakkts respective directors or officers to which indemnification is being sought, and we are not aware of any pending or threatened litigation that may result in claims for indemnification by any director or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5" w:name="toc108105_28"/>
      <w:bookmarkEnd w:id="95"/>
      <w:r>
        <w:rPr>
          <w:rFonts w:ascii="Times New Roman" w:hAnsi="Times New Roman"/>
          <w:b/>
          <w:sz w:val="20"/>
        </w:rPr>
        <w:t xml:space="preserve">INFORMATION ABOUT BAKKT </w:t>
      </w:r>
    </w:p>
    <w:p>
      <w:pPr>
        <w:pStyle w:val="TextBody"/>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our, Bakkt or the Company refer collectively to Bakkt Holdings, LLC and its direct and indirect subsidiaries. </w:t>
      </w:r>
    </w:p>
    <w:p>
      <w:pPr>
        <w:pStyle w:val="TextBody"/>
        <w:spacing w:before="360" w:after="0"/>
        <w:jc w:val="left"/>
        <w:rPr>
          <w:rFonts w:ascii="Times New Roman" w:hAnsi="Times New Roman"/>
          <w:b/>
          <w:sz w:val="20"/>
        </w:rPr>
      </w:pPr>
      <w:r>
        <w:rPr>
          <w:rFonts w:ascii="Times New Roman" w:hAnsi="Times New Roman"/>
          <w:b/>
          <w:sz w:val="20"/>
        </w:rPr>
        <w:t xml:space="preserve">The Company </w:t>
      </w:r>
    </w:p>
    <w:p>
      <w:pPr>
        <w:pStyle w:val="TextBody"/>
        <w:spacing w:before="120" w:after="0"/>
        <w:jc w:val="left"/>
        <w:rPr>
          <w:rFonts w:ascii="Times New Roman" w:hAnsi="Times New Roman"/>
          <w:sz w:val="20"/>
        </w:rPr>
      </w:pPr>
      <w:r>
        <w:rPr>
          <w:rFonts w:ascii="Times New Roman" w:hAnsi="Times New Roman"/>
          <w:sz w:val="20"/>
        </w:rPr>
        <w:t xml:space="preserve">Bakkts mission is to power commerce by reimagining the digital asset ecosystem. </w:t>
      </w:r>
    </w:p>
    <w:p>
      <w:pPr>
        <w:pStyle w:val="TextBody"/>
        <w:spacing w:before="240" w:after="0"/>
        <w:jc w:val="left"/>
        <w:rPr>
          <w:rFonts w:ascii="Times New Roman" w:hAnsi="Times New Roman"/>
          <w:sz w:val="20"/>
        </w:rPr>
      </w:pPr>
      <w:r>
        <w:rPr>
          <w:rFonts w:ascii="Times New Roman" w:hAnsi="Times New Roman"/>
          <w:sz w:val="20"/>
        </w:rPr>
        <w:t xml:space="preserve">Digital assets  which include cryptocurrency, loyalty and rewards points, gift cards, in-game assets, and non-fungible tokens, or NFTs, which are unique digital assets that are not interchangeable,  comprise a growing $1.2 trillion marketplace. We are unlocking new ways to participate in the digital economy for consumers, enterprises, and financial institutions. We accomplish this by expanding access to and improving liquidity for digital assets. Bakkt is positioned at the center of this digital asset ecosystem, with over 500,000 early-access participating consumers, access to 250 merchant partners and nearly 100 institutional clients.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Consumers</w:t>
            </w:r>
            <w:r>
              <w:rPr>
                <w:rFonts w:ascii="Times New Roman" w:hAnsi="Times New Roman"/>
                <w:sz w:val="20"/>
              </w:rPr>
              <w:t xml:space="preserve">. We enable consumers to aggregate, manage, and spend all their digital assets in one place. Our scalable platform creates new opportunities to access cryptoassets, direct merchant offers, loyalty points and gift card discounts, increasing consumer spending power and powering the digital economy.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Enterprises.</w:t>
            </w:r>
            <w:r>
              <w:rPr>
                <w:rFonts w:ascii="Times New Roman" w:hAnsi="Times New Roman"/>
                <w:sz w:val="20"/>
              </w:rPr>
              <w:t xml:space="preserve"> We offer enterprises the ability to strengthen their loyalty programs by delivering new redemption options. We reduce financial liabilities associated with loyalty programs, lower payment processing costs, and drive increased brand loyalty to end customers. We also enable access to new sources of consumer spending power and loyalty programs that drive incremental commerce. Our payment channels allow enterprises to access improved payment settlement and processing economics.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Financial Institutions.</w:t>
            </w:r>
            <w:r>
              <w:rPr>
                <w:rFonts w:ascii="Times New Roman" w:hAnsi="Times New Roman"/>
                <w:sz w:val="20"/>
              </w:rPr>
              <w:t xml:space="preserve"> We provide financial institutions with infrastructure to access new markets and create new products. Our platform uniquely leverages the technology and infrastructure products of our majority investor, Intercontinental Exchange, Inc. (NYSE: ICE), to improve price discovery by offering a monthly bitcoin futures contract and to bring trust and transparency to the digital asset ecosystem. Our products provide greater regulatory clarity, better price discovery, and more effective risk management for financial institutions around the world. </w:t>
            </w:r>
          </w:p>
        </w:tc>
      </w:tr>
    </w:tbl>
    <w:p>
      <w:pPr>
        <w:pStyle w:val="TextBody"/>
        <w:spacing w:before="240" w:after="0"/>
        <w:jc w:val="left"/>
        <w:rPr>
          <w:rFonts w:ascii="Times New Roman" w:hAnsi="Times New Roman"/>
          <w:sz w:val="20"/>
        </w:rPr>
      </w:pPr>
      <w:r>
        <w:rPr>
          <w:rFonts w:ascii="Times New Roman" w:hAnsi="Times New Roman"/>
          <w:sz w:val="20"/>
        </w:rPr>
        <w:t xml:space="preserve">Our platform has three complementary aspects  a digital asset marketplace, a loyalty redemption service, and an alternative payment method  all of which are manifested in our consumer app. </w:t>
      </w:r>
    </w:p>
    <w:p>
      <w:pPr>
        <w:pStyle w:val="TextBody"/>
        <w:spacing w:before="240" w:after="0"/>
        <w:jc w:val="left"/>
        <w:rPr>
          <w:rFonts w:ascii="Times New Roman" w:hAnsi="Times New Roman"/>
          <w:sz w:val="20"/>
        </w:rPr>
      </w:pPr>
      <w:r>
        <w:rPr>
          <w:rFonts w:ascii="Times New Roman" w:hAnsi="Times New Roman"/>
          <w:b/>
          <w:i/>
          <w:sz w:val="20"/>
        </w:rPr>
        <w:t>Loyalty Redemption</w:t>
      </w:r>
      <w:r>
        <w:rPr>
          <w:rFonts w:ascii="Times New Roman" w:hAnsi="Times New Roman"/>
          <w:sz w:val="20"/>
        </w:rPr>
        <w:t>. Leveraging our acquisition of Bridge2 Solutions, our loyalty redemption capabilities support enterprises with leading loyalty and rewards programs (which we call </w:t>
      </w:r>
      <w:r>
        <w:rPr>
          <w:rFonts w:ascii="Times New Roman" w:hAnsi="Times New Roman"/>
          <w:b/>
          <w:sz w:val="20"/>
        </w:rPr>
        <w:t>loyalty partners</w:t>
      </w:r>
      <w:r>
        <w:rPr>
          <w:rFonts w:ascii="Times New Roman" w:hAnsi="Times New Roman"/>
          <w:sz w:val="20"/>
        </w:rPr>
        <w:t xml:space="preserve">), such as Citibank, Delta Air Lines, United Airlines, Choice Hotels, Wells Fargo Bank and Bank of America.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In a typical loyalty redemption relationship, we provide the hosted, white-labeled website where a loyalty partners customers can redeem their points for goods and services, and we also provide fulfillment services for several of those products through relationships with retailers like Best Buy. Our API connects into the databases where our loyalty partners maintain their points which then enables instantaneous redemption capabilities. </w:t>
      </w:r>
    </w:p>
    <w:p>
      <w:pPr>
        <w:pStyle w:val="TextBody"/>
        <w:spacing w:before="240" w:after="0"/>
        <w:jc w:val="left"/>
        <w:rPr>
          <w:rFonts w:ascii="Times New Roman" w:hAnsi="Times New Roman"/>
          <w:sz w:val="20"/>
        </w:rPr>
      </w:pPr>
      <w:r>
        <w:rPr>
          <w:rFonts w:ascii="Times New Roman" w:hAnsi="Times New Roman"/>
          <w:b/>
          <w:i/>
          <w:sz w:val="20"/>
        </w:rPr>
        <w:t>Alternative Payment Method</w:t>
      </w:r>
      <w:r>
        <w:rPr>
          <w:rFonts w:ascii="Times New Roman" w:hAnsi="Times New Roman"/>
          <w:sz w:val="20"/>
        </w:rPr>
        <w:t xml:space="preserve">. Our platform will deliver consumer choice and convenience with an alternative payment method that allows consumers to spend the value of their digital assets with merchants in our ecosystem and also enables merchants to gain access to consumers increased spending power, tapping into the trend for </w:t>
      </w:r>
    </w:p>
    <w:p>
      <w:pPr>
        <w:pStyle w:val="TextBody"/>
        <w:spacing w:before="0" w:after="0"/>
        <w:jc w:val="left"/>
        <w:rPr>
          <w:rFonts w:ascii="Times New Roman" w:hAnsi="Times New Roman"/>
          <w:sz w:val="20"/>
        </w:rPr>
      </w:pPr>
      <w:r>
        <w:rPr>
          <w:rFonts w:ascii="Times New Roman" w:hAnsi="Times New Roman"/>
          <w:sz w:val="20"/>
        </w:rPr>
        <w:t xml:space="preserve">alternative payment methods. Our platform will make different types of digital assets essentially fungible from the consumers perspective, regardless of the form they take (e.g. bitcoin, loyalty points, cash). While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transaction appears to the consumer as a direct conversion of the digital asset (e.g. bitcoin) to the desired good, service or other digital asset, the transaction occurs in two steps, with cash in the middle (e.g. the consumer sells her bitcoin to Bakkt at the current market price, and her wallet is credited with the cash value of that sale. Next, that amount of cash is credited to the merchant.) Merchants, such as Starbucks, that accept our alternative payment method can displace transactions off existing payment card infrastructure, which results in significant reductions in payment fees and, over time, faster settlement. For instance, our agreement with Starbucks, which enables Starbucks mobile app users to reload their Starbucks Card prepaid accounts using bitcoin and other balances held with Bakkt - which are credited to Starbucks as cash - provides significant cost savings to Starbucks compared with traditional payment cards. We are compensated by Starbucks for each such transaction that we process. </w:t>
      </w:r>
    </w:p>
    <w:p>
      <w:pPr>
        <w:pStyle w:val="TextBody"/>
        <w:spacing w:before="240" w:after="0"/>
        <w:jc w:val="left"/>
        <w:rPr>
          <w:rFonts w:ascii="Times New Roman" w:hAnsi="Times New Roman"/>
          <w:sz w:val="20"/>
        </w:rPr>
      </w:pPr>
      <w:r>
        <w:rPr>
          <w:rFonts w:ascii="Times New Roman" w:hAnsi="Times New Roman"/>
          <w:b/>
          <w:i/>
          <w:sz w:val="20"/>
        </w:rPr>
        <w:t>Digital Asset Marketplace</w:t>
      </w:r>
      <w:r>
        <w:rPr>
          <w:rFonts w:ascii="Times New Roman" w:hAnsi="Times New Roman"/>
          <w:sz w:val="20"/>
        </w:rPr>
        <w:t>. Our digital asset marketplace is designed to enable participants to seamlessly transact in digital assets, and has applications for consumers and enterprises, as well as institutional clients. ICE, our majority shareholder, has decades of experience building institutional products and solutions. We leveraged that expertise to build an institutional-grade custodian for Bitcoin, Bakkt Trust, which is regulated by the New York Department of Financial Services. This custodian, marketed as the Bakkt Warehouse, provides custody services that anchor the first end-to-end regulated and physically-delivered Bitcoin futures contracts, which are traded on ICE, and also provides bitcoin custody to institutions and high net-worth individuals on a standalone basis. Our custodian operates as the backbone of many of our consumer- and enterprise-focused offerings. For instance, it enables consumers to transact in bitcoin (and, in the second quarter of 2021, other cryptocurrencies) in real-time, enabling application at the point of sale. In addition, by the end of 2021, upon achieving the necessary regulatory approvals, we plan to add the ability to transact in securities such as equities, derivatives, and exchange-traded funds (</w:t>
      </w:r>
      <w:r>
        <w:rPr>
          <w:rFonts w:ascii="Times New Roman" w:hAnsi="Times New Roman"/>
          <w:b/>
          <w:sz w:val="20"/>
        </w:rPr>
        <w:t>ETFs</w:t>
      </w:r>
      <w:r>
        <w:rPr>
          <w:rFonts w:ascii="Times New Roman" w:hAnsi="Times New Roman"/>
          <w:sz w:val="20"/>
        </w:rPr>
        <w:t xml:space="preserve">). We believe that our institutional-grade infrastructure underpins our ability to expand and scale consumer solutions. </w:t>
      </w:r>
    </w:p>
    <w:p>
      <w:pPr>
        <w:pStyle w:val="TextBody"/>
        <w:spacing w:before="240" w:after="0"/>
        <w:jc w:val="left"/>
        <w:rPr>
          <w:rFonts w:ascii="Times New Roman" w:hAnsi="Times New Roman"/>
          <w:sz w:val="20"/>
        </w:rPr>
      </w:pPr>
      <w:r>
        <w:rPr>
          <w:rFonts w:ascii="Times New Roman" w:hAnsi="Times New Roman"/>
          <w:b/>
          <w:i/>
          <w:sz w:val="20"/>
        </w:rPr>
        <w:t>Consumer App</w:t>
      </w:r>
      <w:r>
        <w:rPr>
          <w:rFonts w:ascii="Times New Roman" w:hAnsi="Times New Roman"/>
          <w:sz w:val="20"/>
        </w:rPr>
        <w:t>. All of our platforms capabilities around trading, redemption and payment come together in a seamless customer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and, at a later date, equity securities and in-game assets. Bakkt hopes to expand the offering of cryptocurrencies on Bakkts app in the second quarter of 2021, though this timeline may change. The additions of these new cryptocurrencies to Bakkts app will be subject to certain policies and procedures requiring an internal risk assessment of such cryptocurrencies by Bakkt, including a consideration of conflicts of interest, the assessment of such cryptocurrency as to whether it is a security and other legal, operational and compliance-based considerations. The addition of new cryptocurrencies is further subject to NYSDFS approval of these policies and procedures or of such cryptocurrency, as applicable. In addition, Bakkt plans to add equity securities trading functionality for its customers on its platform in the future, and for that purpose, plans to submit an application to form a broker-dealer with the Financial Industry Regulatory Authority, Inc. (</w:t>
      </w:r>
      <w:r>
        <w:rPr>
          <w:rFonts w:ascii="Times New Roman" w:hAnsi="Times New Roman"/>
          <w:b/>
          <w:sz w:val="20"/>
        </w:rPr>
        <w:t>FINRA</w:t>
      </w:r>
      <w:r>
        <w:rPr>
          <w:rFonts w:ascii="Times New Roman" w:hAnsi="Times New Roman"/>
          <w:sz w:val="20"/>
        </w:rPr>
        <w:t xml:space="preserve">). However, Bakkt expects such process to be lengthy, and there can be no guarantee as to the timing of the application or that Bakkt will be successful in obtaining its broker-dealer license. For Bakkt to add equity trading securities functionality to its platform, it may also need to conduct its business through a licensed broker-dealer. </w:t>
      </w:r>
    </w:p>
    <w:p>
      <w:pPr>
        <w:pStyle w:val="TextBody"/>
        <w:spacing w:before="360" w:after="0"/>
        <w:jc w:val="left"/>
        <w:rPr>
          <w:rFonts w:ascii="Times New Roman" w:hAnsi="Times New Roman"/>
          <w:b/>
          <w:sz w:val="20"/>
        </w:rPr>
      </w:pPr>
      <w:r>
        <w:rPr>
          <w:rFonts w:ascii="Times New Roman" w:hAnsi="Times New Roman"/>
          <w:b/>
          <w:sz w:val="20"/>
        </w:rPr>
        <w:t xml:space="preserve">Our Opportunity </w:t>
      </w:r>
    </w:p>
    <w:p>
      <w:pPr>
        <w:pStyle w:val="TextBody"/>
        <w:spacing w:before="120" w:after="0"/>
        <w:jc w:val="left"/>
        <w:rPr>
          <w:rFonts w:ascii="Times New Roman" w:hAnsi="Times New Roman"/>
          <w:sz w:val="20"/>
        </w:rPr>
      </w:pPr>
      <w:r>
        <w:rPr>
          <w:rFonts w:ascii="Times New Roman" w:hAnsi="Times New Roman"/>
          <w:sz w:val="20"/>
        </w:rPr>
        <w:t xml:space="preserve">Bakkt operates at the intersection of several different types of digital assets, and is uniquely positioned to enable their broader adoption, use, and monetization by consumers, loyalty partners, merchants, and institutions. While each digital asset currently has its own adopters and use cases, the inherent potential of digital assets as a class remains largely unrealized. Our ecosystem is designed to be scalable and agile enough to quickly add additional functionalities and digital assets in a compliant manner, enabling the market to efficiently move to additional uses for these assets, benefiting consumers, loyalty partners, merchants and institutions. Given our ICE heritage, our systems have been built with security and regulatory compliance at their core.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Cryptocurrency </w:t>
      </w:r>
    </w:p>
    <w:p>
      <w:pPr>
        <w:pStyle w:val="TextBody"/>
        <w:spacing w:before="120" w:after="0"/>
        <w:jc w:val="left"/>
        <w:rPr>
          <w:rFonts w:ascii="Times New Roman" w:hAnsi="Times New Roman"/>
          <w:sz w:val="20"/>
        </w:rPr>
      </w:pPr>
      <w:r>
        <w:rPr>
          <w:rFonts w:ascii="Times New Roman" w:hAnsi="Times New Roman"/>
          <w:sz w:val="20"/>
        </w:rPr>
        <w:t xml:space="preserve">Since its inception in 2008, bitcoin and other cryptocurrencies have gained greater mainstream understanding and acceptance as digital assets. Bitcoin, in particular, has become a leading digital asset based on market capitalization and transaction volume. The lack of speed with which the bitcoin blockchain can process transactions and the public and private keys required to manage bitcoin have, to date, made it unattractive to the average consumer. However, significant advancements in the ecosystem have made Bitcoin more accessible, and there are a number of apps and services that reduce the complexities commonly associated with buying and storing cryptocurrency. In addition, asset managers, corporations and endowments continue to rebalance balance sheet assets and portfolio asset allocations, with bitcoin increasingly being viewed as an acceptable investment for a portion of such allocations. </w:t>
      </w:r>
    </w:p>
    <w:p>
      <w:pPr>
        <w:pStyle w:val="TextBody"/>
        <w:spacing w:before="240" w:after="0"/>
        <w:jc w:val="left"/>
        <w:rPr>
          <w:rFonts w:ascii="Times New Roman" w:hAnsi="Times New Roman"/>
          <w:sz w:val="20"/>
        </w:rPr>
      </w:pPr>
      <w:r>
        <w:rPr>
          <w:rFonts w:ascii="Times New Roman" w:hAnsi="Times New Roman"/>
          <w:sz w:val="20"/>
        </w:rPr>
        <w:t xml:space="preserve">Since 2008, thousands of other cryptocurrencies and cryptotokens have emerged on both public and private blockchains or other proprietary distributed ledger solutions. These include, but are not limited to, cryptoassets such as stablecoins whose value is tied to a basket of fiat currencies, and forks of bitcoin and other cryptocurrencies, which occur when developers and users make a conscious decision to stop adhering to protocol updates in order to create a new currency from the original blockchain, creating new versions of the cryptocurrency. Forks are a byproduct of the decentralized structure of the blockchain. </w:t>
      </w:r>
    </w:p>
    <w:p>
      <w:pPr>
        <w:pStyle w:val="TextBody"/>
        <w:spacing w:before="360" w:after="0"/>
        <w:jc w:val="left"/>
        <w:rPr>
          <w:rFonts w:ascii="Times New Roman" w:hAnsi="Times New Roman"/>
          <w:b/>
          <w:i/>
          <w:sz w:val="20"/>
        </w:rPr>
      </w:pPr>
      <w:r>
        <w:rPr>
          <w:rFonts w:ascii="Times New Roman" w:hAnsi="Times New Roman"/>
          <w:b/>
          <w:i/>
          <w:sz w:val="20"/>
        </w:rPr>
        <w:t xml:space="preserve">Loyalty and Rewards Points </w:t>
      </w:r>
    </w:p>
    <w:p>
      <w:pPr>
        <w:pStyle w:val="TextBody"/>
        <w:spacing w:before="120" w:after="0"/>
        <w:jc w:val="left"/>
        <w:rPr>
          <w:rFonts w:ascii="Times New Roman" w:hAnsi="Times New Roman"/>
          <w:sz w:val="20"/>
        </w:rPr>
      </w:pPr>
      <w:r>
        <w:rPr>
          <w:rFonts w:ascii="Times New Roman" w:hAnsi="Times New Roman"/>
          <w:sz w:val="20"/>
        </w:rPr>
        <w:t xml:space="preserve">Loyalty partners have displayed increasing interest in the pursuit of new strategies and programs that enable consumer empowerment and loyalty liability management while maintaining control over captive programs and the presumed attribution of long-term customer value and loyalty. Loyalty partners seek to improve consumer engagement by providing high perceived value to their consumers via points redemption. Traditional models for these points allowed consumers to redeem points for in-house products and services, such as airline seats and hotel rooms. The first evolution of the model afforded third party service providers an opportunity to provide redemption solutions for products, services and experiences that the loyalty partners could not source in-house. </w:t>
      </w:r>
    </w:p>
    <w:p>
      <w:pPr>
        <w:pStyle w:val="TextBody"/>
        <w:spacing w:before="240" w:after="0"/>
        <w:jc w:val="left"/>
        <w:rPr>
          <w:rFonts w:ascii="Times New Roman" w:hAnsi="Times New Roman"/>
          <w:sz w:val="20"/>
        </w:rPr>
      </w:pPr>
      <w:r>
        <w:rPr>
          <w:rFonts w:ascii="Times New Roman" w:hAnsi="Times New Roman"/>
          <w:sz w:val="20"/>
        </w:rPr>
        <w:t xml:space="preserve">Opening up redemption to external options was loyalty partners attempt to improve the perceived value of their programs and thereby increase consumer loyalty. However, the inflexibility and cost structures of these initial external redemption solutions made them unattractive for large-scale adoption. Loyalty partners continuously seek alternate methods or new programs designed to attract, retain and increase long-term consumer loyalty and value. In addition, based on our deep experience in the loyalty redemption market, we have increasingly experienced that digitally-savvy, informed and cost-conscious consumers continue to demand greater flexibility in the use cases for their accrued loyalty and rewards points. </w:t>
      </w:r>
    </w:p>
    <w:p>
      <w:pPr>
        <w:pStyle w:val="TextBody"/>
        <w:spacing w:before="360" w:after="0"/>
        <w:jc w:val="left"/>
        <w:rPr>
          <w:rFonts w:ascii="Times New Roman" w:hAnsi="Times New Roman"/>
          <w:b/>
          <w:i/>
          <w:sz w:val="20"/>
        </w:rPr>
      </w:pPr>
      <w:r>
        <w:rPr>
          <w:rFonts w:ascii="Times New Roman" w:hAnsi="Times New Roman"/>
          <w:b/>
          <w:i/>
          <w:sz w:val="20"/>
        </w:rPr>
        <w:t xml:space="preserve">Closed-Loop Gift Cards </w:t>
      </w:r>
    </w:p>
    <w:p>
      <w:pPr>
        <w:pStyle w:val="TextBody"/>
        <w:spacing w:before="120" w:after="0"/>
        <w:jc w:val="left"/>
        <w:rPr>
          <w:rFonts w:ascii="Times New Roman" w:hAnsi="Times New Roman"/>
          <w:sz w:val="20"/>
        </w:rPr>
      </w:pPr>
      <w:r>
        <w:rPr>
          <w:rFonts w:ascii="Times New Roman" w:hAnsi="Times New Roman"/>
          <w:sz w:val="20"/>
        </w:rPr>
        <w:t xml:space="preserve">Closed-loop gift cards, which are branded gift cards that may only be used at a specific merchant, retailer or restaurant, have experienced unprecedented growth over the last decade, and their popularity has increased even further as a result of the COVID-19 pandemic. Because closed-loop gift cards can only work within a merchants particular store, app, and/or website, they provide the specified merchant with a captive, low-cost source of payment acceptance. </w:t>
      </w:r>
    </w:p>
    <w:p>
      <w:pPr>
        <w:pStyle w:val="TextBody"/>
        <w:spacing w:before="240" w:after="0"/>
        <w:jc w:val="left"/>
        <w:rPr>
          <w:rFonts w:ascii="Times New Roman" w:hAnsi="Times New Roman"/>
          <w:sz w:val="20"/>
        </w:rPr>
      </w:pPr>
      <w:r>
        <w:rPr>
          <w:rFonts w:ascii="Times New Roman" w:hAnsi="Times New Roman"/>
          <w:sz w:val="20"/>
        </w:rPr>
        <w:t xml:space="preserve">Consumers favor gifting closed-loop gift cards rather than buying a product that a giftee may not enjoy. However, more than half of closed-loop gift card values purchased each year go unused, either because the destination retailer is not to the recipients liking, or because an outstanding balance remains on the card once a purchase has been made. This locked value stagnates and eventually is escheated to the state or federal government pursuant to applicable state or federal statutes, providing no value to the merchant or the consumer. Previous efforts to resolve this through secondary market gift card exchanges were rampant with fraud and were shut down because they disintermediated the gift card provider and provided insufficient regulatory safeguards for the consumer.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In-Game Assets </w:t>
      </w:r>
    </w:p>
    <w:p>
      <w:pPr>
        <w:pStyle w:val="TextBody"/>
        <w:spacing w:before="120" w:after="0"/>
        <w:jc w:val="left"/>
        <w:rPr>
          <w:rFonts w:ascii="Times New Roman" w:hAnsi="Times New Roman"/>
          <w:sz w:val="20"/>
        </w:rPr>
      </w:pPr>
      <w:r>
        <w:rPr>
          <w:rFonts w:ascii="Times New Roman" w:hAnsi="Times New Roman"/>
          <w:sz w:val="20"/>
        </w:rPr>
        <w:t xml:space="preserve">The gaming industry, led by Microsoft, Sony and Nintendo, has a value greater than the worldwide film industry and major league sports in North America combined. One-third of the surge in the value of this industry is due in large part to the in-game purchases consumers make for upgrades, skins, weapons and resources. </w:t>
      </w:r>
    </w:p>
    <w:p>
      <w:pPr>
        <w:pStyle w:val="TextBody"/>
        <w:spacing w:before="240" w:after="0"/>
        <w:jc w:val="left"/>
        <w:rPr>
          <w:rFonts w:ascii="Times New Roman" w:hAnsi="Times New Roman"/>
          <w:sz w:val="20"/>
        </w:rPr>
      </w:pPr>
      <w:r>
        <w:rPr>
          <w:rFonts w:ascii="Times New Roman" w:hAnsi="Times New Roman"/>
          <w:sz w:val="20"/>
        </w:rPr>
        <w:t xml:space="preserve">These digital assets, whether earned or purchased, are illiquid. When the consumer ceases playing the game, those assets stagnate, providing no value to the consumer or to the game publisher. Publishers and consumers both desire a mechanism to make these assets liquid through a neutral, third-party platform that will allow consumers to monetize their digital in-game assets and move in and out of specific games and brands while enabling publishers to build loyalty and a broader consumer base. </w:t>
      </w:r>
    </w:p>
    <w:p>
      <w:pPr>
        <w:pStyle w:val="TextBody"/>
        <w:spacing w:before="360" w:after="0"/>
        <w:jc w:val="left"/>
        <w:rPr>
          <w:rFonts w:ascii="Times New Roman" w:hAnsi="Times New Roman"/>
          <w:b/>
          <w:i/>
          <w:sz w:val="20"/>
        </w:rPr>
      </w:pPr>
      <w:r>
        <w:rPr>
          <w:rFonts w:ascii="Times New Roman" w:hAnsi="Times New Roman"/>
          <w:b/>
          <w:i/>
          <w:sz w:val="20"/>
        </w:rPr>
        <w:t xml:space="preserve">Equity Securities </w:t>
      </w:r>
    </w:p>
    <w:p>
      <w:pPr>
        <w:pStyle w:val="TextBody"/>
        <w:spacing w:before="120" w:after="0"/>
        <w:jc w:val="left"/>
        <w:rPr>
          <w:rFonts w:ascii="Times New Roman" w:hAnsi="Times New Roman"/>
          <w:sz w:val="20"/>
        </w:rPr>
      </w:pPr>
      <w:r>
        <w:rPr>
          <w:rFonts w:ascii="Times New Roman" w:hAnsi="Times New Roman"/>
          <w:sz w:val="20"/>
        </w:rPr>
        <w:t xml:space="preserve">The equity securities trading markets have been revolutionized by the proliferation of consumer-friendly mobile apps and the abandonment of trading fees. This in turn has enabled new generations and customer segments to embrace securities trading, often with the assistance and support of social media groups focused on the topic. </w:t>
      </w:r>
    </w:p>
    <w:p>
      <w:pPr>
        <w:pStyle w:val="TextBody"/>
        <w:spacing w:before="240" w:after="0"/>
        <w:jc w:val="left"/>
        <w:rPr>
          <w:rFonts w:ascii="Times New Roman" w:hAnsi="Times New Roman"/>
          <w:sz w:val="20"/>
        </w:rPr>
      </w:pPr>
      <w:r>
        <w:rPr>
          <w:rFonts w:ascii="Times New Roman" w:hAnsi="Times New Roman"/>
          <w:sz w:val="20"/>
        </w:rPr>
        <w:t xml:space="preserve">Bakkt believes that equity securities are at their core digital assets, as relatively few investors ever interact with equity securities in physical form. As such, we believe these assets will represent a natural fit with the other assets enabled within the Bakkt ecosystem. </w:t>
      </w:r>
    </w:p>
    <w:p>
      <w:pPr>
        <w:pStyle w:val="TextBody"/>
        <w:spacing w:before="360" w:after="0"/>
        <w:jc w:val="left"/>
        <w:rPr>
          <w:rFonts w:ascii="Times New Roman" w:hAnsi="Times New Roman"/>
          <w:b/>
          <w:sz w:val="20"/>
        </w:rPr>
      </w:pPr>
      <w:r>
        <w:rPr>
          <w:rFonts w:ascii="Times New Roman" w:hAnsi="Times New Roman"/>
          <w:b/>
          <w:sz w:val="20"/>
        </w:rPr>
        <w:t xml:space="preserve">Our Solution </w:t>
      </w:r>
    </w:p>
    <w:p>
      <w:pPr>
        <w:pStyle w:val="TextBody"/>
        <w:spacing w:before="120" w:after="0"/>
        <w:jc w:val="left"/>
        <w:rPr>
          <w:rFonts w:ascii="Times New Roman" w:hAnsi="Times New Roman"/>
          <w:sz w:val="20"/>
        </w:rPr>
      </w:pPr>
      <w:r>
        <w:rPr>
          <w:rFonts w:ascii="Times New Roman" w:hAnsi="Times New Roman"/>
          <w:sz w:val="20"/>
        </w:rPr>
        <w:t xml:space="preserve">Our solution uniquely brings together loyalty and commerce. Today, it is comprised of a digital asset marketplace, a loyalty redemption service, and an alternative payment method, all of which are embodied in a consumer app. We started with our digital asset marketplace and have continued to innovate and expand our platform. </w:t>
      </w:r>
    </w:p>
    <w:p>
      <w:pPr>
        <w:pStyle w:val="TextBody"/>
        <w:spacing w:before="360" w:after="0"/>
        <w:jc w:val="left"/>
        <w:rPr>
          <w:rFonts w:ascii="Times New Roman" w:hAnsi="Times New Roman"/>
          <w:b/>
          <w:i/>
          <w:sz w:val="20"/>
        </w:rPr>
      </w:pPr>
      <w:r>
        <w:rPr>
          <w:rFonts w:ascii="Times New Roman" w:hAnsi="Times New Roman"/>
          <w:b/>
          <w:i/>
          <w:sz w:val="20"/>
        </w:rPr>
        <w:t xml:space="preserve">Loyalty Redemption Service </w:t>
      </w:r>
    </w:p>
    <w:p>
      <w:pPr>
        <w:pStyle w:val="TextBody"/>
        <w:spacing w:before="120" w:after="0"/>
        <w:jc w:val="left"/>
        <w:rPr>
          <w:rFonts w:ascii="Times New Roman" w:hAnsi="Times New Roman"/>
          <w:sz w:val="20"/>
        </w:rPr>
      </w:pPr>
      <w:r>
        <w:rPr>
          <w:rFonts w:ascii="Times New Roman" w:hAnsi="Times New Roman"/>
          <w:sz w:val="20"/>
        </w:rPr>
        <w:t xml:space="preserve">Bakkts redemption service provides loyalty solutions to a significant portion of the leading loyalty programs in North America. Loyalty and rewards programs are effective in driving consumer payments behavior and incremental sales by tailoring offers and promotions. Loyalty redemption services are integral to the success of the loyalty partners program. Demand to grow and develop loyalty programs increases as loyalty partners seek to deepen relationships with consumers. Our services are intended to make it easy for consumers to understand how their loyalty points are earned and redeemed and feel confident in the transparency of value exchange, further increasing the loyalty benefit to the issuing loyalty partners. </w:t>
      </w:r>
    </w:p>
    <w:p>
      <w:pPr>
        <w:pStyle w:val="TextBody"/>
        <w:spacing w:before="240" w:after="0"/>
        <w:jc w:val="left"/>
        <w:rPr>
          <w:rFonts w:ascii="Times New Roman" w:hAnsi="Times New Roman"/>
          <w:sz w:val="20"/>
        </w:rPr>
      </w:pPr>
      <w:r>
        <w:rPr>
          <w:rFonts w:ascii="Times New Roman" w:hAnsi="Times New Roman"/>
          <w:sz w:val="20"/>
        </w:rPr>
        <w:t xml:space="preserve">The benefits of our platform for loyalty partners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Broad redemption options</w:t>
            </w:r>
            <w:r>
              <w:rPr>
                <w:rFonts w:ascii="Times New Roman" w:hAnsi="Times New Roman"/>
                <w:sz w:val="20"/>
              </w:rPr>
              <w:t xml:space="preserve">. We enable gift cards, electronics and other merchandise from leading merchants, and rewards, including travel packages and innovative and unique experiences (e.g., admission to branded events).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Access to exclusive brands</w:t>
            </w:r>
            <w:r>
              <w:rPr>
                <w:rFonts w:ascii="Times New Roman" w:hAnsi="Times New Roman"/>
                <w:sz w:val="20"/>
              </w:rPr>
              <w:t xml:space="preserve">. We have an exclusive partnership with a key electronics and entertainment provider that enables us to provide a branded experience to its store as a redemption option embedded within our site. Additional merchant benefits include product customizations, like engraving and real- time inventory management. We will seek to expand this model with other leading brands.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Balance sheet optimization</w:t>
            </w:r>
            <w:r>
              <w:rPr>
                <w:rFonts w:ascii="Times New Roman" w:hAnsi="Times New Roman"/>
                <w:sz w:val="20"/>
              </w:rPr>
              <w:t xml:space="preserve">. Our loyalty redemption services offer higher perceived value to the consumer and increased alternatives for them to spend their rewards points. This in turn allows the loyalty partner to control the cost of redemption and reduce financial liabilities.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Alternative Payment Method </w:t>
      </w:r>
    </w:p>
    <w:p>
      <w:pPr>
        <w:pStyle w:val="TextBody"/>
        <w:spacing w:before="120" w:after="0"/>
        <w:jc w:val="left"/>
        <w:rPr>
          <w:rFonts w:ascii="Times New Roman" w:hAnsi="Times New Roman"/>
          <w:sz w:val="20"/>
        </w:rPr>
      </w:pPr>
      <w:r>
        <w:rPr>
          <w:rFonts w:ascii="Times New Roman" w:hAnsi="Times New Roman"/>
          <w:sz w:val="20"/>
        </w:rPr>
        <w:t xml:space="preserve">Alternative payment methods include any form of payment other than cash, checks or traditional bank-issued credit or debit cards. Enabling these methods is becoming a necessity for merchants seeking to grow their business. As goods and services progress, consumers demand a more versatile shopping experience. Merchants are able to address this demand by accepting our alternative payment method. We integrate our alternative payment method directly with merchants, such as Starbucks, and through partners, such as payment service providers, merchant acquirers and checkout providers, to create a closed loop payment ecosystem. </w:t>
      </w:r>
    </w:p>
    <w:p>
      <w:pPr>
        <w:pStyle w:val="TextBody"/>
        <w:spacing w:before="240" w:after="0"/>
        <w:jc w:val="left"/>
        <w:rPr>
          <w:rFonts w:ascii="Times New Roman" w:hAnsi="Times New Roman"/>
          <w:sz w:val="20"/>
        </w:rPr>
      </w:pPr>
      <w:r>
        <w:rPr>
          <w:rFonts w:ascii="Times New Roman" w:hAnsi="Times New Roman"/>
          <w:sz w:val="20"/>
        </w:rPr>
        <w:t xml:space="preserve">The benefits of our platform as an alternative payment method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Lower cost of acceptance</w:t>
            </w:r>
            <w:r>
              <w:rPr>
                <w:rFonts w:ascii="Times New Roman" w:hAnsi="Times New Roman"/>
                <w:sz w:val="20"/>
              </w:rPr>
              <w:t xml:space="preserve">. We reduce cost of payments by displacing transactions off card infrastructure to gain lower payment fees and faster settlement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Reduced checkout abandonment and increased conversions</w:t>
            </w:r>
            <w:r>
              <w:rPr>
                <w:rFonts w:ascii="Times New Roman" w:hAnsi="Times New Roman"/>
                <w:sz w:val="20"/>
              </w:rPr>
              <w:t xml:space="preserve">. Consumers are attracted to the concept of choice, giving them more control and power over their purchasing and payments. When a consumer has the choice between multiple online merchants offering similar products, their user experienceincluding a merchants ability to accept their preferred form of paymentcan be an important factor in their decision-making process.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Increased ability to reach new consumers</w:t>
            </w:r>
            <w:r>
              <w:rPr>
                <w:rFonts w:ascii="Times New Roman" w:hAnsi="Times New Roman"/>
                <w:sz w:val="20"/>
              </w:rPr>
              <w:t xml:space="preserve">. We believe that our payment method will appeal to new consumer segmentse.g., crypto enthusiasts, rewards stackers and gamersby leveraging captive value in their digital assets. We enable merchants to grow their business by attracting these new consumer segments.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Hyper-personalized offers</w:t>
            </w:r>
            <w:r>
              <w:rPr>
                <w:rFonts w:ascii="Times New Roman" w:hAnsi="Times New Roman"/>
                <w:sz w:val="20"/>
              </w:rPr>
              <w:t xml:space="preserve">. We are developing our capability to deepen merchants understanding of what consumers want, which will help them offer tailored promotions and offers and improve their marketing efficiency, all while protecting consumer privacy.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Easy integration</w:t>
            </w:r>
            <w:r>
              <w:rPr>
                <w:rFonts w:ascii="Times New Roman" w:hAnsi="Times New Roman"/>
                <w:sz w:val="20"/>
              </w:rPr>
              <w:t xml:space="preserve">. Our direct API, designed for use by developers, allows for integration with retailer websites with minimal investment. The merchant settles in fiat currency while our platform enables the digital asset conversion and transfer. </w:t>
            </w:r>
          </w:p>
        </w:tc>
      </w:tr>
    </w:tbl>
    <w:p>
      <w:pPr>
        <w:pStyle w:val="TextBody"/>
        <w:spacing w:before="360" w:after="0"/>
        <w:jc w:val="left"/>
        <w:rPr>
          <w:rFonts w:ascii="Times New Roman" w:hAnsi="Times New Roman"/>
          <w:b/>
          <w:i/>
          <w:sz w:val="20"/>
        </w:rPr>
      </w:pPr>
      <w:r>
        <w:rPr>
          <w:rFonts w:ascii="Times New Roman" w:hAnsi="Times New Roman"/>
          <w:b/>
          <w:i/>
          <w:sz w:val="20"/>
        </w:rPr>
        <w:t xml:space="preserve">Digital Asset Marketplace </w:t>
      </w:r>
    </w:p>
    <w:p>
      <w:pPr>
        <w:pStyle w:val="TextBody"/>
        <w:spacing w:before="120" w:after="0"/>
        <w:jc w:val="left"/>
        <w:rPr>
          <w:rFonts w:ascii="Times New Roman" w:hAnsi="Times New Roman"/>
          <w:sz w:val="20"/>
        </w:rPr>
      </w:pPr>
      <w:r>
        <w:rPr>
          <w:rFonts w:ascii="Times New Roman" w:hAnsi="Times New Roman"/>
          <w:sz w:val="20"/>
        </w:rPr>
        <w:t xml:space="preserve">Our digital asset marketplace is designed and engineered to support both institutional and retail market segments. Our approach is predicated on security, regulatory compliance, and transparency; the absence of one or more of those features in other offerings has contributed to the relative slowness of institutional investors to embrace cryptocurrency investing. We believe our emphasis on these features will help drive institutional acceptance and adoption. Further, we believe that the increasing normalization of cryptocurrency investing among institutions should enable increased consumer acceptance of and interest in cryptocurrency, further enhancing the ability to capture and monetize consumer relationships. </w:t>
      </w:r>
    </w:p>
    <w:p>
      <w:pPr>
        <w:pStyle w:val="TextBody"/>
        <w:spacing w:before="240" w:after="0"/>
        <w:jc w:val="left"/>
        <w:rPr>
          <w:rFonts w:ascii="Times New Roman" w:hAnsi="Times New Roman"/>
          <w:sz w:val="20"/>
        </w:rPr>
      </w:pPr>
      <w:r>
        <w:rPr>
          <w:rFonts w:ascii="Times New Roman" w:hAnsi="Times New Roman"/>
          <w:sz w:val="20"/>
        </w:rPr>
        <w:t xml:space="preserve">Benefits for institutional and retail market segments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Institutional custody</w:t>
            </w:r>
            <w:r>
              <w:rPr>
                <w:rFonts w:ascii="Times New Roman" w:hAnsi="Times New Roman"/>
                <w:sz w:val="20"/>
              </w:rPr>
              <w:t xml:space="preserve">. Our Bakkt Warehouse provides custody for the monthly bitcoin futures contract. It also offers institutional-grade standalone bitcoin custody for investors seeking secure bitcoin storage and powers consumers ability to transact in bitcoin in our consumer app. We are extending this capability into other cryptocurrencies that, once added, will be the foundation upon which subsequent product offerings will be delivered.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Regulated futures and options</w:t>
            </w:r>
            <w:r>
              <w:rPr>
                <w:rFonts w:ascii="Times New Roman" w:hAnsi="Times New Roman"/>
                <w:sz w:val="20"/>
              </w:rPr>
              <w:t xml:space="preserve">. In conjunction with ICE, Bakkt offers a monthly bitcoin futures contract. This physically-delivered futures contract is end-to-end regulated and offers unmatched price discovery and transparency. Bakkt also offers bitcoin options based on this futures contract and a cash- settled Bitcoin futures contract traded on ICE Singapore.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Institutional-grade pricing execution engine</w:t>
            </w:r>
            <w:r>
              <w:rPr>
                <w:rFonts w:ascii="Times New Roman" w:hAnsi="Times New Roman"/>
                <w:sz w:val="20"/>
              </w:rPr>
              <w:t xml:space="preserve">. Our pricing execution engine supports institutional-grade Bitcoin trading for consumers. By managing the bitcoin in a closed-loop between us and the consumer directly, risk normally associated with deposit and withdrawal and the lethargic throughput of the blockchain is substantially reduced. This approach affords the consumer greater flexibility to spend, send and trade these assets within our ecosystem.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Consumer App </w:t>
      </w:r>
    </w:p>
    <w:p>
      <w:pPr>
        <w:pStyle w:val="TextBody"/>
        <w:spacing w:before="120" w:after="0"/>
        <w:jc w:val="left"/>
        <w:rPr>
          <w:rFonts w:ascii="Times New Roman" w:hAnsi="Times New Roman"/>
          <w:sz w:val="20"/>
        </w:rPr>
      </w:pPr>
      <w:r>
        <w:rPr>
          <w:rFonts w:ascii="Times New Roman" w:hAnsi="Times New Roman"/>
          <w:sz w:val="20"/>
        </w:rPr>
        <w:t xml:space="preserve">All of our platform capabilities around trading, redemption and payment come together in a seamless customer experience in Bakkts app, which we released for general launch in late March 2021. </w:t>
      </w:r>
    </w:p>
    <w:p>
      <w:pPr>
        <w:pStyle w:val="TextBody"/>
        <w:spacing w:before="0" w:after="0"/>
        <w:jc w:val="left"/>
        <w:rPr/>
      </w:pPr>
      <w:r>
        <w:rPr/>
        <w:t> </w:t>
      </w:r>
    </w:p>
    <w:p>
      <w:pPr>
        <w:pStyle w:val="TextBody"/>
        <w:spacing w:before="0" w:after="0"/>
        <w:jc w:val="center"/>
        <w:rPr/>
      </w:pPr>
      <w:r>
        <w:rPr/>
        <w:drawing>
          <wp:inline distT="0" distB="0" distL="0" distR="0">
            <wp:extent cx="553085" cy="6146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3085" cy="61468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benefits of the app for consumers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Personal, intuitive consumer experience</w:t>
            </w:r>
            <w:r>
              <w:rPr>
                <w:rFonts w:ascii="Times New Roman" w:hAnsi="Times New Roman"/>
                <w:sz w:val="20"/>
              </w:rPr>
              <w:t xml:space="preserve">. Our simple, end-to-end consumer experience makes it easy for consumers to aggregate and manage all of their supported digital assets in one place.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Seamlessly transact across asset classes</w:t>
            </w:r>
            <w:r>
              <w:rPr>
                <w:rFonts w:ascii="Times New Roman" w:hAnsi="Times New Roman"/>
                <w:sz w:val="20"/>
              </w:rPr>
              <w:t xml:space="preserve">. Consumers can quickly and simply aggregate, buy, sell, convert, spend and send digital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Enabling the use of digital assets for everyday spending</w:t>
            </w:r>
            <w:r>
              <w:rPr>
                <w:rFonts w:ascii="Times New Roman" w:hAnsi="Times New Roman"/>
                <w:sz w:val="20"/>
              </w:rPr>
              <w:t xml:space="preserve">. Consumers can use digital assets as a funding source for purchases, allowing them instant access to additional funds.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Ability to send and receive digital assets</w:t>
            </w:r>
            <w:r>
              <w:rPr>
                <w:rFonts w:ascii="Times New Roman" w:hAnsi="Times New Roman"/>
                <w:sz w:val="20"/>
              </w:rPr>
              <w:t xml:space="preserve">. Consumers can easily send their digital assets to, and receive digital assets from, other consumers in the app.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Increased value in loyalty</w:t>
            </w:r>
            <w:r>
              <w:rPr>
                <w:rFonts w:ascii="Times New Roman" w:hAnsi="Times New Roman"/>
                <w:sz w:val="20"/>
              </w:rPr>
              <w:t xml:space="preserve">. Consumers enjoy access to exclusive deals from merchants in the app, without having to register or remember any coupons, codes or vouchers. </w:t>
            </w:r>
          </w:p>
        </w:tc>
      </w:tr>
    </w:tbl>
    <w:p>
      <w:pPr>
        <w:pStyle w:val="TextBody"/>
        <w:spacing w:before="360" w:after="0"/>
        <w:jc w:val="left"/>
        <w:rPr>
          <w:rFonts w:ascii="Times New Roman" w:hAnsi="Times New Roman"/>
          <w:b/>
          <w:i/>
          <w:sz w:val="20"/>
        </w:rPr>
      </w:pPr>
      <w:r>
        <w:rPr>
          <w:rFonts w:ascii="Times New Roman" w:hAnsi="Times New Roman"/>
          <w:b/>
          <w:i/>
          <w:sz w:val="20"/>
        </w:rPr>
        <w:t xml:space="preserve">Strong Network Effects </w:t>
      </w:r>
    </w:p>
    <w:p>
      <w:pPr>
        <w:pStyle w:val="TextBody"/>
        <w:spacing w:before="120" w:after="0"/>
        <w:jc w:val="left"/>
        <w:rPr>
          <w:rFonts w:ascii="Times New Roman" w:hAnsi="Times New Roman"/>
          <w:sz w:val="20"/>
        </w:rPr>
      </w:pPr>
      <w:r>
        <w:rPr>
          <w:rFonts w:ascii="Times New Roman" w:hAnsi="Times New Roman"/>
          <w:sz w:val="20"/>
        </w:rPr>
        <w:t xml:space="preserve">We benefit from self-reinforcing network effects, meaning that the value of our network will increase exponentially as new merchants, loyalty partners, institutions and digital assets are added to the network. Examples of this effect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loyalty partners seek new ways to deepen consumer relationships, we believe that they will choose our platform and co-market our platform to their consumers.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more options there are in our digital asset marketplace, the more liquidity opportunities consumers will have, and the more reasons they will have to engage with the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larger the consumer base on our app becomes, the more instant liquidity will be available, and the more attractive the platform and payment method will become for merchants.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more merchants there are on our platform, the more opportunities consumers will have to transact on the platform. </w:t>
            </w:r>
          </w:p>
        </w:tc>
      </w:tr>
    </w:tbl>
    <w:p>
      <w:pPr>
        <w:pStyle w:val="TextBody"/>
        <w:spacing w:before="240" w:after="0"/>
        <w:jc w:val="left"/>
        <w:rPr>
          <w:rFonts w:ascii="Times New Roman" w:hAnsi="Times New Roman"/>
          <w:sz w:val="20"/>
        </w:rPr>
      </w:pPr>
      <w:r>
        <w:rPr>
          <w:rFonts w:ascii="Times New Roman" w:hAnsi="Times New Roman"/>
          <w:sz w:val="20"/>
        </w:rPr>
        <w:t xml:space="preserve">As consumers transact and the network grows, more revenue will be generated. More opportunities to generate targeted hyper-personalized rewards drive will further consumer engagement with the platform. </w:t>
      </w:r>
    </w:p>
    <w:p>
      <w:pPr>
        <w:pStyle w:val="TextBody"/>
        <w:spacing w:before="0" w:after="0"/>
        <w:jc w:val="left"/>
        <w:rPr/>
      </w:pPr>
      <w:r>
        <w:rPr/>
        <w:t> </w:t>
      </w:r>
    </w:p>
    <w:p>
      <w:pPr>
        <w:pStyle w:val="TextBody"/>
        <w:spacing w:before="0" w:after="0"/>
        <w:jc w:val="center"/>
        <w:rPr/>
      </w:pPr>
      <w:r>
        <w:rPr/>
        <w:drawing>
          <wp:inline distT="0" distB="0" distL="0" distR="0">
            <wp:extent cx="401955" cy="2990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1955" cy="29908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Go To Market Approach </w:t>
      </w:r>
    </w:p>
    <w:p>
      <w:pPr>
        <w:pStyle w:val="TextBody"/>
        <w:spacing w:before="120" w:after="0"/>
        <w:jc w:val="left"/>
        <w:rPr>
          <w:rFonts w:ascii="Times New Roman" w:hAnsi="Times New Roman"/>
          <w:sz w:val="20"/>
        </w:rPr>
      </w:pPr>
      <w:r>
        <w:rPr>
          <w:rFonts w:ascii="Times New Roman" w:hAnsi="Times New Roman"/>
          <w:sz w:val="20"/>
        </w:rPr>
        <w:t xml:space="preserve">Our go to market plans address opportunities in both the institutional and retail market segments. As we see growth in these segments, we will leverage our relationships to utilize co-marketing as the primary channel for consumer acquisition and engagement. </w:t>
      </w:r>
    </w:p>
    <w:p>
      <w:pPr>
        <w:pStyle w:val="TextBody"/>
        <w:spacing w:before="240" w:after="0"/>
        <w:jc w:val="left"/>
        <w:rPr>
          <w:rFonts w:ascii="Times New Roman" w:hAnsi="Times New Roman"/>
          <w:sz w:val="20"/>
        </w:rPr>
      </w:pPr>
      <w:r>
        <w:rPr>
          <w:rFonts w:ascii="Times New Roman" w:hAnsi="Times New Roman"/>
          <w:sz w:val="20"/>
        </w:rPr>
        <w:t xml:space="preserve">Our institutional client model involves direct engagement with institutions and is predicated on building products and supporting assets that are unique and appeal to the sector. Our institutional custody and trading plan is to add additional cryptocurrencies and additional futures contracts and evaluate other products including but not limited to an ETF and lending. We believe executing on this plan also will make our consumer offering more attractive </w:t>
      </w:r>
    </w:p>
    <w:p>
      <w:pPr>
        <w:pStyle w:val="TextBody"/>
        <w:spacing w:before="0" w:after="0"/>
        <w:jc w:val="left"/>
        <w:rPr>
          <w:rFonts w:ascii="Times New Roman" w:hAnsi="Times New Roman"/>
          <w:sz w:val="20"/>
        </w:rPr>
      </w:pPr>
      <w:r>
        <w:rPr>
          <w:rFonts w:ascii="Times New Roman" w:hAnsi="Times New Roman"/>
          <w:sz w:val="20"/>
        </w:rPr>
        <w:t xml:space="preserve">to a wider audience, increasing consumer app user engagement as users view our consumer app as an opportunity for value creation resulting in additional liquidity. </w:t>
      </w:r>
    </w:p>
    <w:p>
      <w:pPr>
        <w:pStyle w:val="TextBody"/>
        <w:spacing w:before="240" w:after="0"/>
        <w:jc w:val="left"/>
        <w:rPr>
          <w:rFonts w:ascii="Times New Roman" w:hAnsi="Times New Roman"/>
          <w:sz w:val="20"/>
        </w:rPr>
      </w:pPr>
      <w:r>
        <w:rPr>
          <w:rFonts w:ascii="Times New Roman" w:hAnsi="Times New Roman"/>
          <w:sz w:val="20"/>
        </w:rPr>
        <w:t xml:space="preserve">We continue to expand our loyalty redemption platform offering within existing clients and into new strategic opportunities. For example, while the spend in travel has been depressed by the COVID-19 pandemic, we gained market share by expanding our travel redemption business with two of the top five North American financial institutions ahead of the predicted rebound in late 2021 and 2022. Doing so has created two new strategic clients whose loyalty assets and consumer reach far outweigh the travel redemption revenue opportunity. We will continue to sell our loyalty redemption solutions to strategic targets to solve their loyalty liability issues and open up opportunities to partner with us on our consumer app user acquisition, engagement and digital asset strategy. </w:t>
      </w:r>
    </w:p>
    <w:p>
      <w:pPr>
        <w:pStyle w:val="TextBody"/>
        <w:spacing w:before="240" w:after="0"/>
        <w:jc w:val="left"/>
        <w:rPr>
          <w:rFonts w:ascii="Times New Roman" w:hAnsi="Times New Roman"/>
          <w:sz w:val="20"/>
        </w:rPr>
      </w:pPr>
      <w:r>
        <w:rPr>
          <w:rFonts w:ascii="Times New Roman" w:hAnsi="Times New Roman"/>
          <w:sz w:val="20"/>
        </w:rPr>
        <w:t xml:space="preserve">Our consumer acquisition strategy has two main efforts: co-marketing with strategic partners (merchants and loyalty partners) and direct to consumer marketing. Co-marketing with strategic partners is the focus of our go to market plan for the consumer app; we will continue to seek and secure co-marketing opportunities with premier brands with whom we partner on payments (merchants) and/or loyalty conversion (loyalty partners). Direct to consumer marketing represents a fraction of our expected user acquisition forecast and is supported by targeted advertising, user referral programs, blog posts and organic acquisition. </w:t>
      </w:r>
    </w:p>
    <w:p>
      <w:pPr>
        <w:pStyle w:val="TextBody"/>
        <w:spacing w:before="240" w:after="0"/>
        <w:jc w:val="left"/>
        <w:rPr>
          <w:rFonts w:ascii="Times New Roman" w:hAnsi="Times New Roman"/>
          <w:sz w:val="20"/>
        </w:rPr>
      </w:pPr>
      <w:r>
        <w:rPr>
          <w:rFonts w:ascii="Times New Roman" w:hAnsi="Times New Roman"/>
          <w:sz w:val="20"/>
        </w:rPr>
        <w:t xml:space="preserve">We have established a co-marketing relationship with Starbucks, to whom we provide our alternative payment method. We are engaged in a co-marketing effort to encourage Starbucks U.S. domestic users to sign up for our consumer app. We also have entered into a co-marketing relationship with Choice Hotels to provide incentives for their users to sign up for our consumer app to register their Choice Privileges points within the app and convert points into other supported assets. </w:t>
      </w:r>
    </w:p>
    <w:p>
      <w:pPr>
        <w:pStyle w:val="TextBody"/>
        <w:spacing w:before="240" w:after="0"/>
        <w:jc w:val="left"/>
        <w:rPr>
          <w:rFonts w:ascii="Times New Roman" w:hAnsi="Times New Roman"/>
          <w:sz w:val="20"/>
        </w:rPr>
      </w:pPr>
      <w:r>
        <w:rPr>
          <w:rFonts w:ascii="Times New Roman" w:hAnsi="Times New Roman"/>
          <w:sz w:val="20"/>
        </w:rPr>
        <w:t xml:space="preserve">We are actively pursuing additional co-marketing opportunities across a broad range of market segments, with a targeted approach to generate user acquisition, payment flow and bring large digital asset brands into our ecosystem. We believe these co-marketing efforts will generate network effects reinforcing our direct to consumer and organic growth efforts. </w:t>
      </w:r>
    </w:p>
    <w:p>
      <w:pPr>
        <w:pStyle w:val="TextBody"/>
        <w:spacing w:before="360" w:after="0"/>
        <w:jc w:val="left"/>
        <w:rPr>
          <w:rFonts w:ascii="Times New Roman" w:hAnsi="Times New Roman"/>
          <w:b/>
          <w:sz w:val="20"/>
        </w:rPr>
      </w:pPr>
      <w:r>
        <w:rPr>
          <w:rFonts w:ascii="Times New Roman" w:hAnsi="Times New Roman"/>
          <w:b/>
          <w:sz w:val="20"/>
        </w:rPr>
        <w:t xml:space="preserve">Technology </w:t>
      </w:r>
    </w:p>
    <w:p>
      <w:pPr>
        <w:pStyle w:val="TextBody"/>
        <w:spacing w:before="120" w:after="0"/>
        <w:jc w:val="left"/>
        <w:rPr>
          <w:rFonts w:ascii="Times New Roman" w:hAnsi="Times New Roman"/>
          <w:sz w:val="20"/>
        </w:rPr>
      </w:pPr>
      <w:r>
        <w:rPr>
          <w:rFonts w:ascii="Times New Roman" w:hAnsi="Times New Roman"/>
          <w:sz w:val="20"/>
        </w:rPr>
        <w:t>Our infrastructure allows consumers to redeem and convert, spend and pay, send and trade digital assets. This is enabled by our core platforms and infrastructure which provide loyalty integrations, virtual bank/credit cards, travel redemption, know your customer (</w:t>
      </w:r>
      <w:r>
        <w:rPr>
          <w:rFonts w:ascii="Times New Roman" w:hAnsi="Times New Roman"/>
          <w:b/>
          <w:sz w:val="20"/>
        </w:rPr>
        <w:t>KYC</w:t>
      </w:r>
      <w:r>
        <w:rPr>
          <w:rFonts w:ascii="Times New Roman" w:hAnsi="Times New Roman"/>
          <w:sz w:val="20"/>
        </w:rPr>
        <w:t>), anti-money laundering (</w:t>
      </w:r>
      <w:r>
        <w:rPr>
          <w:rFonts w:ascii="Times New Roman" w:hAnsi="Times New Roman"/>
          <w:b/>
          <w:sz w:val="20"/>
        </w:rPr>
        <w:t>AML</w:t>
      </w:r>
      <w:r>
        <w:rPr>
          <w:rFonts w:ascii="Times New Roman" w:hAnsi="Times New Roman"/>
          <w:sz w:val="20"/>
        </w:rPr>
        <w:t xml:space="preserve">), anti-fraud, digital asset exchange, and buy/sell trading. Our technology supports all components of the Bakkt platform: a digital asset marketplace, a loyalty redemption service, an alternative payment method, and our consumer app. </w:t>
      </w:r>
    </w:p>
    <w:p>
      <w:pPr>
        <w:pStyle w:val="TextBody"/>
        <w:spacing w:before="360" w:after="0"/>
        <w:jc w:val="left"/>
        <w:rPr>
          <w:rFonts w:ascii="Times New Roman" w:hAnsi="Times New Roman"/>
          <w:b/>
          <w:i/>
          <w:sz w:val="20"/>
        </w:rPr>
      </w:pPr>
      <w:r>
        <w:rPr>
          <w:rFonts w:ascii="Times New Roman" w:hAnsi="Times New Roman"/>
          <w:b/>
          <w:i/>
          <w:sz w:val="20"/>
        </w:rPr>
        <w:t xml:space="preserve">Loyalty Redemption Service </w:t>
      </w:r>
    </w:p>
    <w:p>
      <w:pPr>
        <w:pStyle w:val="TextBody"/>
        <w:spacing w:before="120" w:after="0"/>
        <w:jc w:val="left"/>
        <w:rPr>
          <w:rFonts w:ascii="Times New Roman" w:hAnsi="Times New Roman"/>
          <w:sz w:val="20"/>
        </w:rPr>
      </w:pPr>
      <w:r>
        <w:rPr>
          <w:rFonts w:ascii="Times New Roman" w:hAnsi="Times New Roman"/>
          <w:sz w:val="20"/>
        </w:rPr>
        <w:t>Our loyalty redemption service is provided as software as a service (</w:t>
      </w:r>
      <w:r>
        <w:rPr>
          <w:rFonts w:ascii="Times New Roman" w:hAnsi="Times New Roman"/>
          <w:b/>
          <w:sz w:val="20"/>
        </w:rPr>
        <w:t>SaaS</w:t>
      </w:r>
      <w:r>
        <w:rPr>
          <w:rFonts w:ascii="Times New Roman" w:hAnsi="Times New Roman"/>
          <w:sz w:val="20"/>
        </w:rPr>
        <w:t xml:space="preserve">) and powers rewards redemptions for leading loyalty programs. The SaaS storefronts that enable shopping with rewards for merchandise, travel, gift cards, event tickets and branded electronics products all are highly configurable. The service is built upon highly scalable proprietary technology and supports integrations with over 75 suppliers that curate and present over five million catalog items.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white-labeled loyalty redemption platform is delivered as a mobile-first, responsive web app, and can stand alone or be integrated into partners apps or sites. The platform is built for scale and handles hundreds of thousands of transactions in a typical day. </w:t>
      </w:r>
    </w:p>
    <w:p>
      <w:pPr>
        <w:pStyle w:val="TextBody"/>
        <w:spacing w:before="360" w:after="0"/>
        <w:jc w:val="left"/>
        <w:rPr>
          <w:rFonts w:ascii="Times New Roman" w:hAnsi="Times New Roman"/>
          <w:b/>
          <w:i/>
          <w:sz w:val="20"/>
        </w:rPr>
      </w:pPr>
      <w:r>
        <w:rPr>
          <w:rFonts w:ascii="Times New Roman" w:hAnsi="Times New Roman"/>
          <w:b/>
          <w:i/>
          <w:sz w:val="20"/>
        </w:rPr>
        <w:t xml:space="preserve">Proprietary Payments Platform </w:t>
      </w:r>
    </w:p>
    <w:p>
      <w:pPr>
        <w:pStyle w:val="TextBody"/>
        <w:spacing w:before="120" w:after="0"/>
        <w:jc w:val="left"/>
        <w:rPr>
          <w:rFonts w:ascii="Times New Roman" w:hAnsi="Times New Roman"/>
          <w:sz w:val="20"/>
        </w:rPr>
      </w:pPr>
      <w:r>
        <w:rPr>
          <w:rFonts w:ascii="Times New Roman" w:hAnsi="Times New Roman"/>
          <w:sz w:val="20"/>
        </w:rPr>
        <w:t xml:space="preserve">Our proprietary payments platform is a two-sided, fully integrated, cloud-based scalable payments platform. Transactions processed on this payments platform originate from direct integration with loyalty partners, our loyalty redemption service, or our proprietary cryptocurrency trading platform. </w:t>
      </w:r>
    </w:p>
    <w:p>
      <w:pPr>
        <w:pStyle w:val="TextBody"/>
        <w:spacing w:before="240" w:after="0"/>
        <w:jc w:val="left"/>
        <w:rPr>
          <w:rFonts w:ascii="Times New Roman" w:hAnsi="Times New Roman"/>
          <w:sz w:val="20"/>
        </w:rPr>
      </w:pPr>
      <w:r>
        <w:rPr>
          <w:rFonts w:ascii="Times New Roman" w:hAnsi="Times New Roman"/>
          <w:sz w:val="20"/>
        </w:rPr>
        <w:t xml:space="preserve">It is deployed using managed container services and managed databases in the cloud to scale on demand. With its cloud-first approach and containerization, our platform can scale horizontally to meet the demands of the </w:t>
      </w:r>
    </w:p>
    <w:p>
      <w:pPr>
        <w:pStyle w:val="TextBody"/>
        <w:spacing w:before="0" w:after="0"/>
        <w:jc w:val="left"/>
        <w:rPr>
          <w:rFonts w:ascii="Times New Roman" w:hAnsi="Times New Roman"/>
          <w:sz w:val="20"/>
        </w:rPr>
      </w:pPr>
      <w:r>
        <w:rPr>
          <w:rFonts w:ascii="Times New Roman" w:hAnsi="Times New Roman"/>
          <w:sz w:val="20"/>
        </w:rPr>
        <w:t xml:space="preserve">business or grow elastically to serve peak traffic. The platform contains an in-house risk and compliance engine as well as third party tools to manage rules and regulations related to KYC, AML and fraud monitoring. </w:t>
      </w:r>
    </w:p>
    <w:p>
      <w:pPr>
        <w:pStyle w:val="TextBody"/>
        <w:spacing w:before="240" w:after="0"/>
        <w:jc w:val="left"/>
        <w:rPr>
          <w:rFonts w:ascii="Times New Roman" w:hAnsi="Times New Roman"/>
          <w:sz w:val="20"/>
        </w:rPr>
      </w:pPr>
      <w:r>
        <w:rPr>
          <w:rFonts w:ascii="Times New Roman" w:hAnsi="Times New Roman"/>
          <w:sz w:val="20"/>
        </w:rPr>
        <w:t xml:space="preserve">Our payment APIs conform to industry standards and are used by merchants to accept our alternative payment method either in-app, in-store or online. We provide management portals for our merchants and our internal support staff. Merchants can use the management portal to administer all aspects of our payment method, including risk, fraud and settlement processing. </w:t>
      </w:r>
    </w:p>
    <w:p>
      <w:pPr>
        <w:pStyle w:val="TextBody"/>
        <w:spacing w:before="360" w:after="0"/>
        <w:jc w:val="left"/>
        <w:rPr>
          <w:rFonts w:ascii="Times New Roman" w:hAnsi="Times New Roman"/>
          <w:b/>
          <w:i/>
          <w:sz w:val="20"/>
        </w:rPr>
      </w:pPr>
      <w:r>
        <w:rPr>
          <w:rFonts w:ascii="Times New Roman" w:hAnsi="Times New Roman"/>
          <w:b/>
          <w:i/>
          <w:sz w:val="20"/>
        </w:rPr>
        <w:t xml:space="preserve">Digital Asset Marketplace </w:t>
      </w:r>
    </w:p>
    <w:p>
      <w:pPr>
        <w:pStyle w:val="TextBody"/>
        <w:spacing w:before="120" w:after="0"/>
        <w:jc w:val="left"/>
        <w:rPr>
          <w:rFonts w:ascii="Times New Roman" w:hAnsi="Times New Roman"/>
          <w:sz w:val="20"/>
        </w:rPr>
      </w:pPr>
      <w:r>
        <w:rPr>
          <w:rFonts w:ascii="Times New Roman" w:hAnsi="Times New Roman"/>
          <w:sz w:val="20"/>
        </w:rPr>
        <w:t xml:space="preserve">Our digital asset marketplace is an enterprise grade cryptocurrency custody and trading platform. It is primarily comprised of our custody platform, the Bakkt Warehouse and our institutional-grade pricing execution engine. </w:t>
      </w:r>
    </w:p>
    <w:p>
      <w:pPr>
        <w:pStyle w:val="TextBody"/>
        <w:spacing w:before="240" w:after="0"/>
        <w:jc w:val="left"/>
        <w:rPr>
          <w:rFonts w:ascii="Times New Roman" w:hAnsi="Times New Roman"/>
          <w:sz w:val="20"/>
        </w:rPr>
      </w:pPr>
      <w:r>
        <w:rPr>
          <w:rFonts w:ascii="Times New Roman" w:hAnsi="Times New Roman"/>
          <w:sz w:val="20"/>
        </w:rPr>
        <w:t xml:space="preserve">The custody platform is purpose-built from the ground up to safeguard digital assets on behalf of our institutional clients. Multi-signature wallet policies, hardware security modules and offline storage of private key material, blockchain surveillance and bank-style AML / KYC compliance all are integrated into the core of the platform. The Bakkt Warehouse is integrated with ICEs futures exchange for ease of trading, clearing, and delivery. The Warehouse is hosted in geographically dispersed data centers owned by ICE. </w:t>
      </w:r>
    </w:p>
    <w:p>
      <w:pPr>
        <w:pStyle w:val="TextBody"/>
        <w:spacing w:before="240" w:after="0"/>
        <w:jc w:val="left"/>
        <w:rPr>
          <w:rFonts w:ascii="Times New Roman" w:hAnsi="Times New Roman"/>
          <w:sz w:val="20"/>
        </w:rPr>
      </w:pPr>
      <w:r>
        <w:rPr>
          <w:rFonts w:ascii="Times New Roman" w:hAnsi="Times New Roman"/>
          <w:sz w:val="20"/>
        </w:rPr>
        <w:t xml:space="preserve">Our pricing execution engine is an automated trading system that facilitates the purchase and sale of cryptocurrencies by consumers. The pricing execution engine is built to maximize availability of funds and mitigate risk, such as pricing discrepancies, short term volatility and market liquidity, both for Bakkt and our consumers, using proprietary risk algorithms and external market data. The pricing execution engine is deployed using the cloud to scale on demand. </w:t>
      </w:r>
    </w:p>
    <w:p>
      <w:pPr>
        <w:pStyle w:val="TextBody"/>
        <w:spacing w:before="360" w:after="0"/>
        <w:jc w:val="left"/>
        <w:rPr>
          <w:rFonts w:ascii="Times New Roman" w:hAnsi="Times New Roman"/>
          <w:b/>
          <w:i/>
          <w:sz w:val="20"/>
        </w:rPr>
      </w:pPr>
      <w:r>
        <w:rPr>
          <w:rFonts w:ascii="Times New Roman" w:hAnsi="Times New Roman"/>
          <w:b/>
          <w:i/>
          <w:sz w:val="20"/>
        </w:rPr>
        <w:t xml:space="preserve">Consumer App </w:t>
      </w:r>
    </w:p>
    <w:p>
      <w:pPr>
        <w:pStyle w:val="TextBody"/>
        <w:spacing w:before="120" w:after="0"/>
        <w:jc w:val="left"/>
        <w:rPr>
          <w:rFonts w:ascii="Times New Roman" w:hAnsi="Times New Roman"/>
          <w:sz w:val="20"/>
        </w:rPr>
      </w:pPr>
      <w:r>
        <w:rPr>
          <w:rFonts w:ascii="Times New Roman" w:hAnsi="Times New Roman"/>
          <w:sz w:val="20"/>
        </w:rPr>
        <w:t xml:space="preserve">Our consumer app is a digital wallet, a merchant payment method and an asset conversion service for loyalty, rewards and cryptocurrencies. Our app is delivered as a native iOS and Android app and provides a simple, personal intuitive customer experience that takes advantage of the unique features of each operating system. </w:t>
      </w:r>
    </w:p>
    <w:p>
      <w:pPr>
        <w:pStyle w:val="TextBody"/>
        <w:spacing w:before="360" w:after="0"/>
        <w:jc w:val="left"/>
        <w:rPr>
          <w:rFonts w:ascii="Times New Roman" w:hAnsi="Times New Roman"/>
          <w:b/>
          <w:sz w:val="20"/>
        </w:rPr>
      </w:pPr>
      <w:r>
        <w:rPr>
          <w:rFonts w:ascii="Times New Roman" w:hAnsi="Times New Roman"/>
          <w:b/>
          <w:sz w:val="20"/>
        </w:rPr>
        <w:t xml:space="preserve">Our Competitive Strengths </w:t>
      </w:r>
    </w:p>
    <w:p>
      <w:pPr>
        <w:pStyle w:val="TextBody"/>
        <w:spacing w:before="120" w:after="0"/>
        <w:jc w:val="left"/>
        <w:rPr>
          <w:rFonts w:ascii="Times New Roman" w:hAnsi="Times New Roman"/>
          <w:sz w:val="20"/>
        </w:rPr>
      </w:pPr>
      <w:r>
        <w:rPr>
          <w:rFonts w:ascii="Times New Roman" w:hAnsi="Times New Roman"/>
          <w:sz w:val="20"/>
        </w:rPr>
        <w:t xml:space="preserve">We believe that our business model will provide us several competitive advantages, including: </w:t>
      </w:r>
    </w:p>
    <w:p>
      <w:pPr>
        <w:pStyle w:val="TextBody"/>
        <w:spacing w:before="240" w:after="0"/>
        <w:jc w:val="left"/>
        <w:rPr>
          <w:rFonts w:ascii="Times New Roman" w:hAnsi="Times New Roman"/>
          <w:sz w:val="20"/>
        </w:rPr>
      </w:pPr>
      <w:r>
        <w:rPr>
          <w:rFonts w:ascii="Times New Roman" w:hAnsi="Times New Roman"/>
          <w:b/>
          <w:i/>
          <w:sz w:val="20"/>
        </w:rPr>
        <w:t>Liquidity for Captive Digital Assets</w:t>
      </w:r>
      <w:r>
        <w:rPr>
          <w:rFonts w:ascii="Times New Roman" w:hAnsi="Times New Roman"/>
          <w:sz w:val="20"/>
        </w:rPr>
        <w:t xml:space="preserve">. We believe our platform is unique in the digital asset space, enabling the aggregation of a broad range of digital assets, enhancing consumer spending power by creating liquidity for captive digital assets, and adding value for all key stakeholders within the payments and digital assets ecosystem. </w:t>
      </w:r>
    </w:p>
    <w:p>
      <w:pPr>
        <w:pStyle w:val="TextBody"/>
        <w:spacing w:before="240" w:after="0"/>
        <w:jc w:val="left"/>
        <w:rPr>
          <w:rFonts w:ascii="Times New Roman" w:hAnsi="Times New Roman"/>
          <w:sz w:val="20"/>
        </w:rPr>
      </w:pPr>
      <w:r>
        <w:rPr>
          <w:rFonts w:ascii="Times New Roman" w:hAnsi="Times New Roman"/>
          <w:b/>
          <w:i/>
          <w:sz w:val="20"/>
        </w:rPr>
        <w:t>Powerful Partnerships and Integrations</w:t>
      </w:r>
      <w:r>
        <w:rPr>
          <w:rFonts w:ascii="Times New Roman" w:hAnsi="Times New Roman"/>
          <w:sz w:val="20"/>
        </w:rPr>
        <w:t>. We have deep relationships with, and connections into, a significant portion of the premier loyalty partners in North America. We believe these connections will provide self-</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reinforcing network effects such as loyalty partners co-marketing our platform to their customers to deepen customer loyalty, increased merchant participation to attract loyalty customers and other consumers, and increased consumer participation to take advantage of increased liquidity opportunities. </w:t>
      </w:r>
    </w:p>
    <w:p>
      <w:pPr>
        <w:pStyle w:val="TextBody"/>
        <w:spacing w:before="240" w:after="0"/>
        <w:jc w:val="left"/>
        <w:rPr>
          <w:rFonts w:ascii="Times New Roman" w:hAnsi="Times New Roman"/>
          <w:sz w:val="20"/>
        </w:rPr>
      </w:pPr>
      <w:r>
        <w:rPr>
          <w:rFonts w:ascii="Times New Roman" w:hAnsi="Times New Roman"/>
          <w:b/>
          <w:i/>
          <w:sz w:val="20"/>
        </w:rPr>
        <w:t>Digital Asset-Native Architecture</w:t>
      </w:r>
      <w:r>
        <w:rPr>
          <w:rFonts w:ascii="Times New Roman" w:hAnsi="Times New Roman"/>
          <w:sz w:val="20"/>
        </w:rPr>
        <w:t xml:space="preserve">. Our platform architecture is engineered to natively support digital assets across a wide range of classes, with scalability and strong regulatory and compliance controls, providing competitive differentiation. Rather than being a legacy payment technology trying to support new assets, our platform meets all of the regulatory requirements to accumulate digital assets in a secure environment. </w:t>
      </w:r>
    </w:p>
    <w:p>
      <w:pPr>
        <w:pStyle w:val="TextBody"/>
        <w:spacing w:before="240" w:after="0"/>
        <w:jc w:val="left"/>
        <w:rPr>
          <w:rFonts w:ascii="Times New Roman" w:hAnsi="Times New Roman"/>
          <w:sz w:val="20"/>
        </w:rPr>
      </w:pPr>
      <w:r>
        <w:rPr>
          <w:rFonts w:ascii="Times New Roman" w:hAnsi="Times New Roman"/>
          <w:b/>
          <w:i/>
          <w:sz w:val="20"/>
        </w:rPr>
        <w:t>Diversified Revenue Streams</w:t>
      </w:r>
      <w:r>
        <w:rPr>
          <w:rFonts w:ascii="Times New Roman" w:hAnsi="Times New Roman"/>
          <w:sz w:val="20"/>
        </w:rPr>
        <w:t xml:space="preserve">. We believe that further growth of our diversified revenue streams should provide a path to positive cash flow with no additional capital required post-financing. Across the platform, we have multiple opportunities to generate and grow revenue through a diverse set of fees and charges, including but not limited to merchant discount rates, transaction fees, subscription fees and a margin we add to the price at which a consumer buys or sells cryptoassets to cover risks such as pricing discrepancies, short term volatility and market liquidity. </w:t>
      </w:r>
    </w:p>
    <w:p>
      <w:pPr>
        <w:pStyle w:val="TextBody"/>
        <w:spacing w:before="240" w:after="0"/>
        <w:jc w:val="left"/>
        <w:rPr>
          <w:rFonts w:ascii="Times New Roman" w:hAnsi="Times New Roman"/>
          <w:sz w:val="20"/>
        </w:rPr>
      </w:pPr>
      <w:r>
        <w:rPr>
          <w:rFonts w:ascii="Times New Roman" w:hAnsi="Times New Roman"/>
          <w:b/>
          <w:i/>
          <w:sz w:val="20"/>
        </w:rPr>
        <w:t>Trusted Platform</w:t>
      </w:r>
      <w:r>
        <w:rPr>
          <w:rFonts w:ascii="Times New Roman" w:hAnsi="Times New Roman"/>
          <w:sz w:val="20"/>
        </w:rPr>
        <w:t xml:space="preserve">. Our approach, which prioritizes technology, privacy, security and compliance, is informed by our teams decades of collective experience. We believe these pillars, when applied to the rapidly evolving </w:t>
      </w:r>
    </w:p>
    <w:p>
      <w:pPr>
        <w:pStyle w:val="TextBody"/>
        <w:spacing w:before="0" w:after="0"/>
        <w:jc w:val="left"/>
        <w:rPr>
          <w:rFonts w:ascii="Times New Roman" w:hAnsi="Times New Roman"/>
          <w:sz w:val="20"/>
        </w:rPr>
      </w:pPr>
      <w:r>
        <w:rPr>
          <w:rFonts w:ascii="Times New Roman" w:hAnsi="Times New Roman"/>
          <w:sz w:val="20"/>
        </w:rPr>
        <w:t xml:space="preserve">digital asset space, provide confidence to consumers, merchants, institutions and loyalty partners that participate in our ecosystem. </w:t>
      </w:r>
    </w:p>
    <w:p>
      <w:pPr>
        <w:pStyle w:val="TextBody"/>
        <w:spacing w:before="360" w:after="0"/>
        <w:jc w:val="left"/>
        <w:rPr>
          <w:rFonts w:ascii="Times New Roman" w:hAnsi="Times New Roman"/>
          <w:b/>
          <w:sz w:val="20"/>
        </w:rPr>
      </w:pPr>
      <w:r>
        <w:rPr>
          <w:rFonts w:ascii="Times New Roman" w:hAnsi="Times New Roman"/>
          <w:b/>
          <w:sz w:val="20"/>
        </w:rPr>
        <w:t xml:space="preserve">Our Growth Strategies </w:t>
      </w:r>
    </w:p>
    <w:p>
      <w:pPr>
        <w:pStyle w:val="TextBody"/>
        <w:spacing w:before="120" w:after="0"/>
        <w:jc w:val="left"/>
        <w:rPr>
          <w:rFonts w:ascii="Times New Roman" w:hAnsi="Times New Roman"/>
          <w:sz w:val="20"/>
        </w:rPr>
      </w:pPr>
      <w:r>
        <w:rPr>
          <w:rFonts w:ascii="Times New Roman" w:hAnsi="Times New Roman"/>
          <w:sz w:val="20"/>
        </w:rPr>
        <w:t xml:space="preserve">We believe we are well positioned for future growth by leveraging our operational infrastructure, expertise and institutional and consumer approach and that our platform, partners and products will result in repeat use from our consumers. Our growth strategies include the following: </w:t>
      </w:r>
    </w:p>
    <w:p>
      <w:pPr>
        <w:pStyle w:val="TextBody"/>
        <w:spacing w:before="240" w:after="0"/>
        <w:jc w:val="left"/>
        <w:rPr>
          <w:rFonts w:ascii="Times New Roman" w:hAnsi="Times New Roman"/>
          <w:sz w:val="20"/>
        </w:rPr>
      </w:pPr>
      <w:r>
        <w:rPr>
          <w:rFonts w:ascii="Times New Roman" w:hAnsi="Times New Roman"/>
          <w:b/>
          <w:i/>
          <w:sz w:val="20"/>
        </w:rPr>
        <w:t>Increasing the Breadth and Depth of Digital Assets Supported</w:t>
      </w:r>
      <w:r>
        <w:rPr>
          <w:rFonts w:ascii="Times New Roman" w:hAnsi="Times New Roman"/>
          <w:sz w:val="20"/>
        </w:rPr>
        <w:t xml:space="preserve">. We plan to add more and varied digital assets to our platform. This includes additional loyalty points, cryptocurrencies, in-game assets, and securities such as equities, derivatives, ETFs and other institutionally-focused products. </w:t>
      </w:r>
    </w:p>
    <w:p>
      <w:pPr>
        <w:pStyle w:val="TextBody"/>
        <w:spacing w:before="240" w:after="0"/>
        <w:jc w:val="left"/>
        <w:rPr>
          <w:rFonts w:ascii="Times New Roman" w:hAnsi="Times New Roman"/>
          <w:sz w:val="20"/>
        </w:rPr>
      </w:pPr>
      <w:r>
        <w:rPr>
          <w:rFonts w:ascii="Times New Roman" w:hAnsi="Times New Roman"/>
          <w:b/>
          <w:i/>
          <w:sz w:val="20"/>
        </w:rPr>
        <w:t>Adding Co-Branded Partnerships</w:t>
      </w:r>
      <w:r>
        <w:rPr>
          <w:rFonts w:ascii="Times New Roman" w:hAnsi="Times New Roman"/>
          <w:sz w:val="20"/>
        </w:rPr>
        <w:t xml:space="preserve">. We plan to establish co-branded partnerships with leading payment ecosystem participants. We believe that these solutions will broaden the reach of the Bakkt platform, generate revenue, and generate additional consumers at a favorable cost of customer acquisition. In addition, we believe these partnerships could provide the opportunity for Bakkt to become the market platform for digital asset aggregation and liquidity. </w:t>
      </w:r>
    </w:p>
    <w:p>
      <w:pPr>
        <w:pStyle w:val="TextBody"/>
        <w:spacing w:before="240" w:after="0"/>
        <w:jc w:val="left"/>
        <w:rPr>
          <w:rFonts w:ascii="Times New Roman" w:hAnsi="Times New Roman"/>
          <w:sz w:val="20"/>
        </w:rPr>
      </w:pPr>
      <w:r>
        <w:rPr>
          <w:rFonts w:ascii="Times New Roman" w:hAnsi="Times New Roman"/>
          <w:b/>
          <w:i/>
          <w:sz w:val="20"/>
        </w:rPr>
        <w:t>Adding Additional Cryptocurrency-Based Products</w:t>
      </w:r>
      <w:r>
        <w:rPr>
          <w:rFonts w:ascii="Times New Roman" w:hAnsi="Times New Roman"/>
          <w:sz w:val="20"/>
        </w:rPr>
        <w:t xml:space="preserve">. We believe our institutional-grade cryptocurrency custody solution provides an attractive foundation for the expansion of new products and services for retail and institutional investors, for example, cryptolending services and cryptoasset collateralization. By increasing the acceptance of cryptocurrency investing in the institutional space, we believe that these additional products can thereby further interest in cryptocurrency generally among consumers, benefiting our platform. </w:t>
      </w:r>
    </w:p>
    <w:p>
      <w:pPr>
        <w:pStyle w:val="TextBody"/>
        <w:spacing w:before="240" w:after="0"/>
        <w:jc w:val="left"/>
        <w:rPr>
          <w:rFonts w:ascii="Times New Roman" w:hAnsi="Times New Roman"/>
          <w:sz w:val="20"/>
        </w:rPr>
      </w:pPr>
      <w:r>
        <w:rPr>
          <w:rFonts w:ascii="Times New Roman" w:hAnsi="Times New Roman"/>
          <w:b/>
          <w:i/>
          <w:sz w:val="20"/>
        </w:rPr>
        <w:t>Increasing Merchant Participation</w:t>
      </w:r>
      <w:r>
        <w:rPr>
          <w:rFonts w:ascii="Times New Roman" w:hAnsi="Times New Roman"/>
          <w:sz w:val="20"/>
        </w:rPr>
        <w:t xml:space="preserve">. We plan to increase merchant participation by enhancing existing service offerings to help merchants grow their businesses and improve margins. These offerings may leverage direct merchant payments, anonymized consumer analytics, curated rewards and offers, and other services as warranted and appropriate for the expanded digital assets available within the platform. </w:t>
      </w:r>
    </w:p>
    <w:p>
      <w:pPr>
        <w:pStyle w:val="TextBody"/>
        <w:spacing w:before="240" w:after="0"/>
        <w:jc w:val="left"/>
        <w:rPr>
          <w:rFonts w:ascii="Times New Roman" w:hAnsi="Times New Roman"/>
          <w:sz w:val="20"/>
        </w:rPr>
      </w:pPr>
      <w:r>
        <w:rPr>
          <w:rFonts w:ascii="Times New Roman" w:hAnsi="Times New Roman"/>
          <w:b/>
          <w:i/>
          <w:sz w:val="20"/>
        </w:rPr>
        <w:t>Expanding Internationally</w:t>
      </w:r>
      <w:r>
        <w:rPr>
          <w:rFonts w:ascii="Times New Roman" w:hAnsi="Times New Roman"/>
          <w:sz w:val="20"/>
        </w:rPr>
        <w:t xml:space="preserve">. We expect to expand our platform into new markets. While the exact sequence and identity of additional markets are yet to be determined, we presently anticipate expanding next into Australia, Canada, and the United Kingdom. Ultimately, the decision as to where to expand will be driven by client and consumer demand and the regulatory environment in those markets.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Supporting NFT Development</w:t>
      </w:r>
      <w:r>
        <w:rPr>
          <w:rFonts w:ascii="Times New Roman" w:hAnsi="Times New Roman"/>
          <w:i/>
          <w:sz w:val="20"/>
        </w:rPr>
        <w:t xml:space="preserve">. </w:t>
      </w:r>
      <w:r>
        <w:rPr>
          <w:rFonts w:ascii="Times New Roman" w:hAnsi="Times New Roman"/>
          <w:sz w:val="20"/>
        </w:rPr>
        <w:t xml:space="preserve">Bakkts core platform can support and promote non-fungible token (NFT) markets as they grow and develop across custody, liquidity, and asset management. Bakkt can deliver a secure, transparent, and scalable model for all NFT participants, including artists/creators, retailers, consumers, investors, and financial institutions. </w:t>
      </w:r>
    </w:p>
    <w:p>
      <w:pPr>
        <w:pStyle w:val="TextBody"/>
        <w:spacing w:before="240" w:after="0"/>
        <w:jc w:val="left"/>
        <w:rPr>
          <w:rFonts w:ascii="Times New Roman" w:hAnsi="Times New Roman"/>
          <w:sz w:val="20"/>
        </w:rPr>
      </w:pPr>
      <w:r>
        <w:rPr>
          <w:rFonts w:ascii="Times New Roman" w:hAnsi="Times New Roman"/>
          <w:b/>
          <w:i/>
          <w:sz w:val="20"/>
        </w:rPr>
        <w:t>Forming Loyalty Coalitions</w:t>
      </w:r>
      <w:r>
        <w:rPr>
          <w:rFonts w:ascii="Times New Roman" w:hAnsi="Times New Roman"/>
          <w:i/>
          <w:sz w:val="20"/>
        </w:rPr>
        <w:t xml:space="preserve">. </w:t>
      </w:r>
      <w:r>
        <w:rPr>
          <w:rFonts w:ascii="Times New Roman" w:hAnsi="Times New Roman"/>
          <w:sz w:val="20"/>
        </w:rPr>
        <w:t xml:space="preserve">As Bakkt builds a suite of integrated loyalty partners and a large active consumer population, we can create deeper partnerships across merchants with Bakkt at the center of these loyalty coalitions. As loyalty programs seek new ways to leverage customer data and behaviors to deliver value, our broad reach and access to multiple areas of consumer behaviors will allow for deeper loyalty program engagement. </w:t>
      </w:r>
    </w:p>
    <w:p>
      <w:pPr>
        <w:pStyle w:val="TextBody"/>
        <w:spacing w:before="240" w:after="0"/>
        <w:jc w:val="left"/>
        <w:rPr>
          <w:rFonts w:ascii="Times New Roman" w:hAnsi="Times New Roman"/>
          <w:sz w:val="20"/>
        </w:rPr>
      </w:pPr>
      <w:r>
        <w:rPr>
          <w:rFonts w:ascii="Times New Roman" w:hAnsi="Times New Roman"/>
          <w:b/>
          <w:i/>
          <w:sz w:val="20"/>
        </w:rPr>
        <w:t>Powering Central Bank Digital Currencies</w:t>
      </w:r>
      <w:r>
        <w:rPr>
          <w:rFonts w:ascii="Times New Roman" w:hAnsi="Times New Roman"/>
          <w:sz w:val="20"/>
        </w:rPr>
        <w:t xml:space="preserve">. Governments around the world are actively exploring central bank digital currencies (CBDCs). Given our strategic relationship with ICE, and that ICE Clear Credit LLC has been designated as a systemically important financial market utility by the U.S. Financial Stability Oversight Council, Bakkt is uniquely positioned to support the creation of CBDCs. Our platform provides the capability to aid in the design, development, and operation of CBDCs for the U.S. and other countries, positioning Bakkt as a key potential partner in the development of disruptive new payment systems. </w:t>
      </w:r>
    </w:p>
    <w:p>
      <w:pPr>
        <w:pStyle w:val="TextBody"/>
        <w:spacing w:before="360" w:after="0"/>
        <w:jc w:val="left"/>
        <w:rPr>
          <w:rFonts w:ascii="Times New Roman" w:hAnsi="Times New Roman"/>
          <w:b/>
          <w:sz w:val="20"/>
        </w:rPr>
      </w:pPr>
      <w:r>
        <w:rPr>
          <w:rFonts w:ascii="Times New Roman" w:hAnsi="Times New Roman"/>
          <w:b/>
          <w:sz w:val="20"/>
        </w:rPr>
        <w:t xml:space="preserve">Competition </w:t>
      </w:r>
    </w:p>
    <w:p>
      <w:pPr>
        <w:pStyle w:val="TextBody"/>
        <w:spacing w:before="120" w:after="0"/>
        <w:jc w:val="left"/>
        <w:rPr>
          <w:rFonts w:ascii="Times New Roman" w:hAnsi="Times New Roman"/>
          <w:sz w:val="20"/>
        </w:rPr>
      </w:pPr>
      <w:r>
        <w:rPr>
          <w:rFonts w:ascii="Times New Roman" w:hAnsi="Times New Roman"/>
          <w:sz w:val="20"/>
        </w:rPr>
        <w:t xml:space="preserve">The global loyalty, rewards, payment and investment industries are highly competitive, rapidly changing and highly innovative. </w:t>
      </w:r>
    </w:p>
    <w:p>
      <w:pPr>
        <w:pStyle w:val="TextBody"/>
        <w:spacing w:before="240" w:after="0"/>
        <w:jc w:val="left"/>
        <w:rPr>
          <w:rFonts w:ascii="Times New Roman" w:hAnsi="Times New Roman"/>
          <w:sz w:val="20"/>
        </w:rPr>
      </w:pPr>
      <w:r>
        <w:rPr>
          <w:rFonts w:ascii="Times New Roman" w:hAnsi="Times New Roman"/>
          <w:sz w:val="20"/>
        </w:rPr>
        <w:t xml:space="preserve">Although we do not believe that we have any single direct competitor for the full range of products we will provide through our platform, we compete or, upon introduction of certain services, will compete at multiple levels, including competition with other: (i) cryptoasset exchanges; (ii) peer-to-peer payment systems; </w:t>
      </w:r>
    </w:p>
    <w:p>
      <w:pPr>
        <w:pStyle w:val="TextBody"/>
        <w:spacing w:before="0" w:after="0"/>
        <w:jc w:val="left"/>
        <w:rPr>
          <w:rFonts w:ascii="Times New Roman" w:hAnsi="Times New Roman"/>
          <w:sz w:val="20"/>
        </w:rPr>
      </w:pPr>
      <w:r>
        <w:rPr>
          <w:rFonts w:ascii="Times New Roman" w:hAnsi="Times New Roman"/>
          <w:sz w:val="20"/>
        </w:rPr>
        <w:t xml:space="preserve">(iii) loyalty programs redemption solutions; (iv) alternative payment method platforms; (v) app-based platforms for the services we provide; and (vi) equity securities trading apps. </w:t>
      </w:r>
    </w:p>
    <w:p>
      <w:pPr>
        <w:pStyle w:val="TextBody"/>
        <w:spacing w:before="240" w:after="0"/>
        <w:jc w:val="left"/>
        <w:rPr>
          <w:rFonts w:ascii="Times New Roman" w:hAnsi="Times New Roman"/>
          <w:sz w:val="20"/>
        </w:rPr>
      </w:pPr>
      <w:r>
        <w:rPr>
          <w:rFonts w:ascii="Times New Roman" w:hAnsi="Times New Roman"/>
          <w:sz w:val="20"/>
        </w:rPr>
        <w:t xml:space="preserve">We compete primarily on the basis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attract, retain, and engage loyalty partners, institutions, merchants and consumers on our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demonstrate to loyalty partners and merchants that they may achieve incremental sales by using and offering our services to consumers;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strength of our integrated solution over other potential coalitions of disparate point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consumer confidence in the safety, security, privacy and control of their information on our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develop products and services across multiple commerce channels, including mobile payments, payments at the retail point of sale, cryptoassets, and loyalty/rewards points;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system reliability, regulatory compliance and data security. </w:t>
            </w:r>
          </w:p>
        </w:tc>
      </w:tr>
    </w:tbl>
    <w:p>
      <w:pPr>
        <w:pStyle w:val="TextBody"/>
        <w:spacing w:before="240" w:after="0"/>
        <w:jc w:val="left"/>
        <w:rPr>
          <w:rFonts w:ascii="Times New Roman" w:hAnsi="Times New Roman"/>
          <w:sz w:val="20"/>
        </w:rPr>
      </w:pPr>
      <w:r>
        <w:rPr>
          <w:rFonts w:ascii="Times New Roman" w:hAnsi="Times New Roman"/>
          <w:sz w:val="20"/>
        </w:rPr>
        <w:t>In addition to the discussion in this section, see </w:t>
      </w:r>
      <w:r>
        <w:rPr>
          <w:rFonts w:ascii="Times New Roman" w:hAnsi="Times New Roman"/>
          <w:i/>
          <w:sz w:val="20"/>
        </w:rPr>
        <w:t>Risk FactorsRisks Related to Bakkts BusinessBakkt faces substantial and increasingly intense competition worldwide in the global loyalty, rewards, payment and investment industries</w:t>
      </w:r>
      <w:r>
        <w:rPr>
          <w:rFonts w:ascii="Times New Roman" w:hAnsi="Times New Roman"/>
          <w:sz w:val="20"/>
        </w:rPr>
        <w:t xml:space="preserve"> beginning on page 73 of this proxy statement/prospectus for further discussion of the potential impact of competition on our business. </w:t>
      </w:r>
    </w:p>
    <w:p>
      <w:pPr>
        <w:pStyle w:val="TextBody"/>
        <w:spacing w:before="360" w:after="0"/>
        <w:jc w:val="left"/>
        <w:rPr>
          <w:rFonts w:ascii="Times New Roman" w:hAnsi="Times New Roman"/>
          <w:b/>
          <w:sz w:val="20"/>
        </w:rPr>
      </w:pPr>
      <w:r>
        <w:rPr>
          <w:rFonts w:ascii="Times New Roman" w:hAnsi="Times New Roman"/>
          <w:b/>
          <w:sz w:val="20"/>
        </w:rPr>
        <w:t xml:space="preserve">Cybersecurity </w:t>
      </w:r>
    </w:p>
    <w:p>
      <w:pPr>
        <w:pStyle w:val="TextBody"/>
        <w:spacing w:before="120" w:after="0"/>
        <w:jc w:val="left"/>
        <w:rPr>
          <w:rFonts w:ascii="Times New Roman" w:hAnsi="Times New Roman"/>
          <w:sz w:val="20"/>
        </w:rPr>
      </w:pPr>
      <w:r>
        <w:rPr>
          <w:rFonts w:ascii="Times New Roman" w:hAnsi="Times New Roman"/>
          <w:sz w:val="20"/>
        </w:rPr>
        <w:t>Each of our products is designed, deployed and managed using industry best practices to protect our consumers sensitive personally identifiable information (</w:t>
      </w:r>
      <w:r>
        <w:rPr>
          <w:rFonts w:ascii="Times New Roman" w:hAnsi="Times New Roman"/>
          <w:b/>
          <w:sz w:val="20"/>
        </w:rPr>
        <w:t>PII</w:t>
      </w:r>
      <w:r>
        <w:rPr>
          <w:rFonts w:ascii="Times New Roman" w:hAnsi="Times New Roman"/>
          <w:sz w:val="20"/>
        </w:rPr>
        <w:t xml:space="preserve">) or other data we store or manage. We maintain a comprehensive cyber security program, managed by a dedicated team of security professionals, leveraging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multiple layers of defenses to protect consumer data and digital assets, including cryptocurrency that we keep in custody. For example, we operate a combination of certain physical, technical, and administrative controls, such as the use of biometrics, hardware security modules, Shamirs secret sharing (a process of breaking up an encryption key into parts managed by different resources who must come together and share the shards for the key to work), 24x7 monitoring, armed guards, strict separation of duties and other controls to protect and restrict the movement of cryptoassets to and from the Bakkt Warehouse. Additionally, we regularly utilize outside consultants, independent penetration testing firms and external auditors to provide added assurance that our products are appropriately secured and resilient against modern cyber threats. We currently maintain active AICPA SOC 2 Type 2 certifications for our consumer app as well as our loyalty platform, and maintain active PCI-DSS certificates of compliance for the portions of our infrastructure where cardholder data is stored or processed. Finally, because we also access, store, collect, use, transmit, or may otherwise process certain types of data, including PII, we are subject to specific federal and state privacy and information security laws, rules, and regulations that govern how we and others must provide sufficient data privacy and data protection to consumer data. Accordingly, we maintain a privacy program designed to effectively respond to consumer data subject requests, or regulatory requests, in accordance with applicable laws or regulations, including the California Consumer Privacy Act (</w:t>
      </w:r>
      <w:r>
        <w:rPr>
          <w:rFonts w:ascii="Times New Roman" w:hAnsi="Times New Roman"/>
          <w:b/>
          <w:sz w:val="20"/>
        </w:rPr>
        <w:t>CCPA</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 </w:t>
      </w:r>
    </w:p>
    <w:p>
      <w:pPr>
        <w:pStyle w:val="TextBody"/>
        <w:spacing w:before="240" w:after="0"/>
        <w:jc w:val="left"/>
        <w:rPr>
          <w:rFonts w:ascii="Times New Roman" w:hAnsi="Times New Roman"/>
          <w:sz w:val="20"/>
        </w:rPr>
      </w:pPr>
      <w:r>
        <w:rPr>
          <w:rFonts w:ascii="Times New Roman" w:hAnsi="Times New Roman"/>
          <w:sz w:val="20"/>
        </w:rPr>
        <w:t>For additional information regarding some of the risks relating to our intellectual property, including costs of protecting our intellectual property, see the information in </w:t>
      </w:r>
      <w:r>
        <w:rPr>
          <w:rFonts w:ascii="Times New Roman" w:hAnsi="Times New Roman"/>
          <w:i/>
          <w:sz w:val="20"/>
        </w:rPr>
        <w:t>Risk Factors</w:t>
      </w:r>
      <w:r>
        <w:rPr>
          <w:rFonts w:ascii="Times New Roman" w:hAnsi="Times New Roman"/>
          <w:sz w:val="20"/>
        </w:rPr>
        <w:t> under the captions </w:t>
      </w:r>
      <w:r>
        <w:rPr>
          <w:rFonts w:ascii="Times New Roman" w:hAnsi="Times New Roman"/>
          <w:i/>
          <w:sz w:val="20"/>
        </w:rPr>
        <w:t>If Bakkt fails to promote, protect, and maintain its brand in a cost-effective manner, Bakkt may lose market share and Bakkts revenue may decrease</w:t>
      </w:r>
      <w:r>
        <w:rPr>
          <w:rFonts w:ascii="Times New Roman" w:hAnsi="Times New Roman"/>
          <w:sz w:val="20"/>
        </w:rPr>
        <w:t> beginning on page 74 of this proxy statement/prospectus and </w:t>
      </w:r>
      <w:r>
        <w:rPr>
          <w:rFonts w:ascii="Times New Roman" w:hAnsi="Times New Roman"/>
          <w:i/>
          <w:sz w:val="20"/>
        </w:rPr>
        <w:t>Bakkt may be unable to sufficiently protect its proprietary rights and may encounter disputes from time to time relating to its use of the intellectual property of third parties</w:t>
      </w:r>
      <w:r>
        <w:rPr>
          <w:rFonts w:ascii="Times New Roman" w:hAnsi="Times New Roman"/>
          <w:sz w:val="20"/>
        </w:rPr>
        <w:t xml:space="preserve"> beginning on page 90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Regulation </w:t>
      </w:r>
    </w:p>
    <w:p>
      <w:pPr>
        <w:pStyle w:val="TextBody"/>
        <w:spacing w:before="120" w:after="0"/>
        <w:jc w:val="left"/>
        <w:rPr>
          <w:rFonts w:ascii="Times New Roman" w:hAnsi="Times New Roman"/>
          <w:sz w:val="20"/>
        </w:rPr>
      </w:pPr>
      <w:r>
        <w:rPr>
          <w:rFonts w:ascii="Times New Roman" w:hAnsi="Times New Roman"/>
          <w:sz w:val="20"/>
        </w:rPr>
        <w:t xml:space="preserve">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It is also possible that current or future laws or regulations could be enacted, interpreted or applied in a manner that would prohibit, alter, or impair our existing or planned products and services, or that could require costly, time-consuming, or otherwise burdensome compliance measures.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Regulation of Our Payments Business </w:t>
      </w:r>
    </w:p>
    <w:p>
      <w:pPr>
        <w:pStyle w:val="TextBody"/>
        <w:spacing w:before="120" w:after="0"/>
        <w:jc w:val="left"/>
        <w:rPr>
          <w:rFonts w:ascii="Times New Roman" w:hAnsi="Times New Roman"/>
          <w:sz w:val="20"/>
        </w:rPr>
      </w:pPr>
      <w:r>
        <w:rPr>
          <w:rFonts w:ascii="Times New Roman" w:hAnsi="Times New Roman"/>
          <w:sz w:val="20"/>
        </w:rPr>
        <w:t>Bakkt Marketplace, a Bakkt subsidiary, maintains a money transmitter license in each jurisdiction in which we operate that requires such a license for its activities, or we have otherwise established with the applicable licensing body that a money transmitter license is not required at this time. We will comply with new license requirements as they arise. Bakkt Marketplace is also registered as a Money Services Business with the U.S. Department of Treasurys Financial Crimes Enforcement Network (</w:t>
      </w:r>
      <w:r>
        <w:rPr>
          <w:rFonts w:ascii="Times New Roman" w:hAnsi="Times New Roman"/>
          <w:b/>
          <w:sz w:val="20"/>
        </w:rPr>
        <w:t>FinCEN</w:t>
      </w:r>
      <w:r>
        <w:rPr>
          <w:rFonts w:ascii="Times New Roman" w:hAnsi="Times New Roman"/>
          <w:sz w:val="20"/>
        </w:rPr>
        <w:t xml:space="preserve">). These licenses and registrations subject us to, among other things, record-keeping requirements, reporting requirements, bonding requirements, limitations on the investment of customer funds, and examination by state and federal regulatory agencies. </w:t>
      </w:r>
    </w:p>
    <w:p>
      <w:pPr>
        <w:pStyle w:val="TextBody"/>
        <w:spacing w:before="360" w:after="0"/>
        <w:jc w:val="left"/>
        <w:rPr>
          <w:rFonts w:ascii="Times New Roman" w:hAnsi="Times New Roman"/>
          <w:b/>
          <w:i/>
          <w:sz w:val="20"/>
        </w:rPr>
      </w:pPr>
      <w:r>
        <w:rPr>
          <w:rFonts w:ascii="Times New Roman" w:hAnsi="Times New Roman"/>
          <w:b/>
          <w:i/>
          <w:sz w:val="20"/>
        </w:rPr>
        <w:t xml:space="preserve">Regulation of Our Virtual Currency Business </w:t>
      </w:r>
    </w:p>
    <w:p>
      <w:pPr>
        <w:pStyle w:val="TextBody"/>
        <w:spacing w:before="120" w:after="0"/>
        <w:jc w:val="left"/>
        <w:rPr>
          <w:rFonts w:ascii="Times New Roman" w:hAnsi="Times New Roman"/>
          <w:sz w:val="20"/>
        </w:rPr>
      </w:pPr>
      <w:r>
        <w:rPr>
          <w:rFonts w:ascii="Times New Roman" w:hAnsi="Times New Roman"/>
          <w:sz w:val="20"/>
        </w:rPr>
        <w:t xml:space="preserve">We provide cryptocurrency custody services through Bakkt Trust, a limited purpose trust company that is chartered under the New York Banking Law and subject to the supervision and oversight of the New York Department of Financial Services. Consequently, we must comply with laws, rules and regulations promulgated pursuant to the New York Banking Law with respect to the cryptocurrency custody we provide through Bakkt Trust, including those related to capitalization, corporate governance, anti-money laundering, disclosure, reporting and examination, as well as supervisory guidance and requirements. Bakkt Trust is also registered with FinCEN as a financial institution. </w:t>
      </w:r>
    </w:p>
    <w:p>
      <w:pPr>
        <w:pStyle w:val="TextBody"/>
        <w:spacing w:before="240" w:after="0"/>
        <w:jc w:val="left"/>
        <w:rPr>
          <w:rFonts w:ascii="Times New Roman" w:hAnsi="Times New Roman"/>
          <w:sz w:val="20"/>
        </w:rPr>
      </w:pPr>
      <w:r>
        <w:rPr>
          <w:rFonts w:ascii="Times New Roman" w:hAnsi="Times New Roman"/>
          <w:sz w:val="20"/>
        </w:rPr>
        <w:t>We are subject in certain jurisdictions to licensing and regulatory requirements as a result of offering our consumers the ability to aggregate, buy, sell, convert, spend and send virtual currency through our consumer app.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Bakkts subsidiary, Bakkt Marketplace, also received a Virtual Currency Business Activity License (</w:t>
      </w:r>
      <w:r>
        <w:rPr>
          <w:rFonts w:ascii="Times New Roman" w:hAnsi="Times New Roman"/>
          <w:b/>
          <w:sz w:val="20"/>
        </w:rPr>
        <w:t>BitLicense</w:t>
      </w:r>
      <w:r>
        <w:rPr>
          <w:rFonts w:ascii="Times New Roman" w:hAnsi="Times New Roman"/>
          <w:sz w:val="20"/>
        </w:rPr>
        <w:t xml:space="preserve">) from the NYSDFS in the first quarter of 2021. This subjects it to NYSDFS oversight with respect to such business activities conducted in New York State and with New York residents. </w:t>
      </w:r>
    </w:p>
    <w:p>
      <w:pPr>
        <w:pStyle w:val="TextBody"/>
        <w:spacing w:before="240" w:after="0"/>
        <w:jc w:val="left"/>
        <w:rPr>
          <w:rFonts w:ascii="Times New Roman" w:hAnsi="Times New Roman"/>
          <w:sz w:val="20"/>
        </w:rPr>
      </w:pPr>
      <w:r>
        <w:rPr>
          <w:rFonts w:ascii="Times New Roman" w:hAnsi="Times New Roman"/>
          <w:sz w:val="20"/>
        </w:rPr>
        <w:t xml:space="preserve">The laws and regulations applicable to virtual currency and other digital assets are evolving and subject to interpretation and change. For instance, the SEC has indicated that it considers certain cryptocurrencies to possibly constitute securities, but has yet to issue any formal regulation on this point, though the SEC has put forth some guidance on overarching frameworks and relevant factors to consider in this analysis. Therefore, our virtual currency and digital asset services offered through our consumer app or our limited purpose trust company may become subject to regulation by other authorities and / or may subject us to additional requirements. </w:t>
      </w:r>
    </w:p>
    <w:p>
      <w:pPr>
        <w:pStyle w:val="TextBody"/>
        <w:spacing w:before="360" w:after="0"/>
        <w:jc w:val="left"/>
        <w:rPr>
          <w:rFonts w:ascii="Times New Roman" w:hAnsi="Times New Roman"/>
          <w:b/>
          <w:i/>
          <w:sz w:val="20"/>
        </w:rPr>
      </w:pPr>
      <w:r>
        <w:rPr>
          <w:rFonts w:ascii="Times New Roman" w:hAnsi="Times New Roman"/>
          <w:b/>
          <w:i/>
          <w:sz w:val="20"/>
        </w:rPr>
        <w:t xml:space="preserve">Privacy and Information Security Regulations </w:t>
      </w:r>
    </w:p>
    <w:p>
      <w:pPr>
        <w:pStyle w:val="TextBody"/>
        <w:spacing w:before="120" w:after="0"/>
        <w:jc w:val="left"/>
        <w:rPr>
          <w:rFonts w:ascii="Times New Roman" w:hAnsi="Times New Roman"/>
          <w:sz w:val="20"/>
        </w:rPr>
      </w:pPr>
      <w:r>
        <w:rPr>
          <w:rFonts w:ascii="Times New Roman" w:hAnsi="Times New Roman"/>
          <w:sz w:val="20"/>
        </w:rPr>
        <w:t xml:space="preserve">Aspects of our operations or business are subject to privacy and data protection regulation in the United States and elsewhere. Accordingly, we publish our privacy policies and terms of service, which describe our practices concerning the use,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 Regulatory authorities around the world are considering numerous legislative and regulatory proposals concerning privacy and data protection. In addition, the interpretation and application of these privacy and data protection laws in the United States and elsewhere are often uncertain and in a state of flux. </w:t>
      </w:r>
    </w:p>
    <w:p>
      <w:pPr>
        <w:pStyle w:val="TextBody"/>
        <w:spacing w:before="360" w:after="0"/>
        <w:jc w:val="left"/>
        <w:rPr>
          <w:rFonts w:ascii="Times New Roman" w:hAnsi="Times New Roman"/>
          <w:b/>
          <w:i/>
          <w:sz w:val="20"/>
        </w:rPr>
      </w:pPr>
      <w:r>
        <w:rPr>
          <w:rFonts w:ascii="Times New Roman" w:hAnsi="Times New Roman"/>
          <w:b/>
          <w:i/>
          <w:sz w:val="20"/>
        </w:rPr>
        <w:t xml:space="preserve">Consumer Protection Regulation </w:t>
      </w:r>
    </w:p>
    <w:p>
      <w:pPr>
        <w:pStyle w:val="TextBody"/>
        <w:spacing w:before="120" w:after="0"/>
        <w:jc w:val="left"/>
        <w:rPr>
          <w:rFonts w:ascii="Times New Roman" w:hAnsi="Times New Roman"/>
          <w:sz w:val="20"/>
        </w:rPr>
      </w:pPr>
      <w:r>
        <w:rPr>
          <w:rFonts w:ascii="Times New Roman" w:hAnsi="Times New Roman"/>
          <w:sz w:val="20"/>
        </w:rPr>
        <w:t xml:space="preserve">The Consumer Financial Protection Bureau and other federal and state regulatory agencies, including the Federal Trade Commission, broadly regulate financial products, enforce consumer protection laws applicable to credit,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deposit, and payments, and other similar products, and prohibit unfair and deceptive practices. Such agencies have broad consumer protection mandates, and they promulgate, interpret, and enforce laws, rules and regulations, including with respect to unfair, deceptive, and abusive acts and practices (</w:t>
      </w:r>
      <w:r>
        <w:rPr>
          <w:rFonts w:ascii="Times New Roman" w:hAnsi="Times New Roman"/>
          <w:b/>
          <w:sz w:val="20"/>
        </w:rPr>
        <w:t>UDAAP</w:t>
      </w:r>
      <w:r>
        <w:rPr>
          <w:rFonts w:ascii="Times New Roman" w:hAnsi="Times New Roman"/>
          <w:sz w:val="20"/>
        </w:rPr>
        <w:t xml:space="preserve">) that may impact or apply to our business. </w:t>
      </w:r>
    </w:p>
    <w:p>
      <w:pPr>
        <w:pStyle w:val="TextBody"/>
        <w:spacing w:before="240" w:after="0"/>
        <w:jc w:val="left"/>
        <w:rPr>
          <w:rFonts w:ascii="Times New Roman" w:hAnsi="Times New Roman"/>
          <w:sz w:val="20"/>
        </w:rPr>
      </w:pPr>
      <w:r>
        <w:rPr>
          <w:rFonts w:ascii="Times New Roman" w:hAnsi="Times New Roman"/>
          <w:sz w:val="20"/>
        </w:rPr>
        <w:t xml:space="preserve">For example, under federal and state financial privacy laws and regulations, we must provide notice to consumers of our policies on sharing non-public information with third parties, among other requirements. In addition, under the Electronic Fund Transfer Act, we may be required to disclose the terms of our electronic fund transfer </w:t>
      </w:r>
    </w:p>
    <w:p>
      <w:pPr>
        <w:pStyle w:val="TextBody"/>
        <w:spacing w:before="0" w:after="0"/>
        <w:jc w:val="left"/>
        <w:rPr>
          <w:rFonts w:ascii="Times New Roman" w:hAnsi="Times New Roman"/>
          <w:sz w:val="20"/>
        </w:rPr>
      </w:pPr>
      <w:r>
        <w:rPr>
          <w:rFonts w:ascii="Times New Roman" w:hAnsi="Times New Roman"/>
          <w:sz w:val="20"/>
        </w:rPr>
        <w:t xml:space="preserve">services to consumers prior to their use of the service, among other requirements. </w:t>
      </w:r>
    </w:p>
    <w:p>
      <w:pPr>
        <w:pStyle w:val="TextBody"/>
        <w:spacing w:before="360" w:after="0"/>
        <w:jc w:val="left"/>
        <w:rPr>
          <w:rFonts w:ascii="Times New Roman" w:hAnsi="Times New Roman"/>
          <w:b/>
          <w:i/>
          <w:sz w:val="20"/>
        </w:rPr>
      </w:pPr>
      <w:r>
        <w:rPr>
          <w:rFonts w:ascii="Times New Roman" w:hAnsi="Times New Roman"/>
          <w:b/>
          <w:i/>
          <w:sz w:val="20"/>
        </w:rPr>
        <w:t xml:space="preserve">Anti-Money Laundering and Counter-Terrorism Regulation </w:t>
      </w:r>
    </w:p>
    <w:p>
      <w:pPr>
        <w:pStyle w:val="TextBody"/>
        <w:spacing w:before="120" w:after="0"/>
        <w:jc w:val="left"/>
        <w:rPr>
          <w:rFonts w:ascii="Times New Roman" w:hAnsi="Times New Roman"/>
          <w:sz w:val="20"/>
        </w:rPr>
      </w:pPr>
      <w:r>
        <w:rPr>
          <w:rFonts w:ascii="Times New Roman" w:hAnsi="Times New Roman"/>
          <w:sz w:val="20"/>
        </w:rPr>
        <w:t xml:space="preserve">We are subject to AML laws and regulations in the United States, including those of FinCEN, as well as laws designed to prevent the use of the financial systems to facilitate terrorist activities. We have implemented a comprehensive AML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the U.S. Department of the Treasurys Office of Foreign Assets Controls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 </w:t>
      </w:r>
    </w:p>
    <w:p>
      <w:pPr>
        <w:pStyle w:val="TextBody"/>
        <w:spacing w:before="360" w:after="0"/>
        <w:jc w:val="left"/>
        <w:rPr>
          <w:rFonts w:ascii="Times New Roman" w:hAnsi="Times New Roman"/>
          <w:b/>
          <w:i/>
          <w:sz w:val="20"/>
        </w:rPr>
      </w:pPr>
      <w:r>
        <w:rPr>
          <w:rFonts w:ascii="Times New Roman" w:hAnsi="Times New Roman"/>
          <w:b/>
          <w:i/>
          <w:sz w:val="20"/>
        </w:rPr>
        <w:t xml:space="preserve">Indirect Regulatory Requirements </w:t>
      </w:r>
    </w:p>
    <w:p>
      <w:pPr>
        <w:pStyle w:val="TextBody"/>
        <w:spacing w:before="120" w:after="0"/>
        <w:jc w:val="left"/>
        <w:rPr>
          <w:rFonts w:ascii="Times New Roman" w:hAnsi="Times New Roman"/>
          <w:sz w:val="20"/>
        </w:rPr>
      </w:pPr>
      <w:r>
        <w:rPr>
          <w:rFonts w:ascii="Times New Roman" w:hAnsi="Times New Roman"/>
          <w:sz w:val="20"/>
        </w:rPr>
        <w:t xml:space="preserve">We maintain relationships with certain partners, including banks and other financial institutions in the United </w:t>
      </w:r>
    </w:p>
    <w:p>
      <w:pPr>
        <w:pStyle w:val="TextBody"/>
        <w:spacing w:before="0" w:after="0"/>
        <w:jc w:val="left"/>
        <w:rPr>
          <w:rFonts w:ascii="Times New Roman" w:hAnsi="Times New Roman"/>
          <w:sz w:val="20"/>
        </w:rPr>
      </w:pPr>
      <w:r>
        <w:rPr>
          <w:rFonts w:ascii="Times New Roman" w:hAnsi="Times New Roman"/>
          <w:sz w:val="20"/>
        </w:rPr>
        <w:t xml:space="preserve">States, that are regulated by state, local and federal agencies. Because of these relationships, we may be subject to indirect regulation or examination by these institutions regulators. Knowing these indirect regulatory requirements may exist, we seek to account for them in our commercial agreements. </w:t>
      </w:r>
    </w:p>
    <w:p>
      <w:pPr>
        <w:pStyle w:val="TextBody"/>
        <w:spacing w:before="360" w:after="0"/>
        <w:jc w:val="left"/>
        <w:rPr>
          <w:rFonts w:ascii="Times New Roman" w:hAnsi="Times New Roman"/>
          <w:b/>
          <w:sz w:val="20"/>
        </w:rPr>
      </w:pPr>
      <w:r>
        <w:rPr>
          <w:rFonts w:ascii="Times New Roman" w:hAnsi="Times New Roman"/>
          <w:b/>
          <w:sz w:val="20"/>
        </w:rPr>
        <w:t xml:space="preserve">Properties and Employees </w:t>
      </w:r>
    </w:p>
    <w:p>
      <w:pPr>
        <w:pStyle w:val="TextBody"/>
        <w:spacing w:before="120" w:after="0"/>
        <w:jc w:val="left"/>
        <w:rPr>
          <w:rFonts w:ascii="Times New Roman" w:hAnsi="Times New Roman"/>
          <w:sz w:val="20"/>
        </w:rPr>
      </w:pPr>
      <w:r>
        <w:rPr>
          <w:rFonts w:ascii="Times New Roman" w:hAnsi="Times New Roman"/>
          <w:sz w:val="20"/>
        </w:rPr>
        <w:t xml:space="preserve">We lease facilities under operating leases in Alpharetta, Georgia, our corporate headquarters, and Scottsdale, Arizona, our principal customer service center, totaling approximately 49,100 square feet with expiration dates through April 2023. Additionally, ICE provides us with approximately 800 square feet in its facilities in Sandy Springs, Georgia and Chicago, Illinois pursuant to an intercompany agreement. To meet new customer requirements for our customer service center operations, we intend to lease an additional approximately 29,000 square feet in 2021. We also intend to open an office in New York, New York in 2021 under an operating lease for approximately 7,500 square feet. We do not own any real property. </w:t>
      </w:r>
    </w:p>
    <w:p>
      <w:pPr>
        <w:pStyle w:val="TextBody"/>
        <w:spacing w:before="240" w:after="0"/>
        <w:jc w:val="left"/>
        <w:rPr>
          <w:rFonts w:ascii="Times New Roman" w:hAnsi="Times New Roman"/>
          <w:sz w:val="20"/>
        </w:rPr>
      </w:pPr>
      <w:r>
        <w:rPr>
          <w:rFonts w:ascii="Times New Roman" w:hAnsi="Times New Roman"/>
          <w:sz w:val="20"/>
        </w:rPr>
        <w:t xml:space="preserve">As of December 31, 2020, we had a total of 324 employees, all of whom were located in the United States. None of our employees are represented by a labor union or covered by a collective bargaining agreement. We have not experienced any work stoppages, and we consider our relations with our employees to be good. We also engage temporary employees and consultants as needed to support our operations.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6" w:name="toc108105_29"/>
      <w:bookmarkEnd w:id="96"/>
      <w:r>
        <w:rPr>
          <w:rFonts w:ascii="Times New Roman" w:hAnsi="Times New Roman"/>
          <w:b/>
          <w:sz w:val="20"/>
        </w:rPr>
        <w:t xml:space="preserve">MANAGEMENTS DISCUSSION AND ANALYSIS OF FINANCIAL CONDITION AND RESULTS OF OPERATIONS OF BAKKT </w:t>
      </w:r>
    </w:p>
    <w:p>
      <w:pPr>
        <w:pStyle w:val="TextBody"/>
        <w:spacing w:before="24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our consolidated financial statements and the related notes and other financial information included elsewhere in this proxy statement/prospectus. Such forward-looking statements are based on the beliefs of Bakkts management, as well as assumptions made by, and information currently available to, Bakkts management. Actual results could differ materially from those contemplated by the forward-looking statements as a result of certain factors detailed elsewhere in this proxy statement/prospectus. All subsequent written or oral forward-looking statements attributable to us or persons acting on Bakkts behalf are qualified in their entirety by this paragraph. Unless the context otherwise requires, all references in this section to we, us, our, Bakkt or the Company refer collectively to Bakkt Holdings, LLC and its direct and indirect subsidiaries.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Bakkts mission is to power commerce by reimagining the digital asset ecosystem. Digital assets  which include cryptocurrency, loyalty and rewards points, gift cards, in-game assets, and non-fungible tokens, or NFTs  comprise a growing $1.2 trillion marketplace. We are unlocking new ways to participate in the digital economy for consumers, enterprises, and financial institutions. We accomplish this by expanding access to, and improving liquidity for, digital assets. Bakkt is positioned at the center of this digital asset ecosystem, with over 500,000 early-access participating consumers, access to 250 merchant partners and nearly 100 institutional clients. </w:t>
      </w:r>
    </w:p>
    <w:p>
      <w:pPr>
        <w:pStyle w:val="TextBody"/>
        <w:spacing w:before="240" w:after="0"/>
        <w:jc w:val="left"/>
        <w:rPr>
          <w:rFonts w:ascii="Times New Roman" w:hAnsi="Times New Roman"/>
          <w:sz w:val="20"/>
        </w:rPr>
      </w:pPr>
      <w:r>
        <w:rPr>
          <w:rFonts w:ascii="Times New Roman" w:hAnsi="Times New Roman"/>
          <w:sz w:val="20"/>
        </w:rPr>
        <w:t xml:space="preserve">Our platform has three complementary aspects  a digital asset marketplace, a loyalty redemption service, and an alternative payment method  all of which are manifested in our consumer app.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Loyalty Redemption</w:t>
            </w:r>
            <w:r>
              <w:rPr>
                <w:rFonts w:ascii="Times New Roman" w:hAnsi="Times New Roman"/>
                <w:sz w:val="20"/>
              </w:rPr>
              <w:t>. Leveraging our acquisition of Bridge2 Solutions, our loyalty redemption capabilities support enterprises with leading loyalty and rewards programs (which we call </w:t>
            </w:r>
            <w:r>
              <w:rPr>
                <w:rFonts w:ascii="Times New Roman" w:hAnsi="Times New Roman"/>
                <w:b/>
                <w:sz w:val="20"/>
              </w:rPr>
              <w:t>loyalty partners</w:t>
            </w:r>
            <w:r>
              <w:rPr>
                <w:rFonts w:ascii="Times New Roman" w:hAnsi="Times New Roman"/>
                <w:sz w:val="20"/>
              </w:rPr>
              <w:t xml:space="preserve">), such as Citibank, Delta Air Lines, United Airlines, Choice Hotels, Wells Fargo Bank and Bank of America.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Alternative Payment Method</w:t>
            </w:r>
            <w:r>
              <w:rPr>
                <w:rFonts w:ascii="Times New Roman" w:hAnsi="Times New Roman"/>
                <w:sz w:val="20"/>
              </w:rPr>
              <w:t xml:space="preserve">. Our platform will deliver consumer choice and convenience with an alternative payment method that allows 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Digital Asset Marketplace.</w:t>
            </w:r>
            <w:r>
              <w:rPr>
                <w:rFonts w:ascii="Times New Roman" w:hAnsi="Times New Roman"/>
                <w:sz w:val="20"/>
              </w:rPr>
              <w:t xml:space="preserve"> Our digital asset marketplace is designed to enable participants to seamlessly transact in digital assets, and has applications for consumers and enterprises, as well as institutional clients. ICE, our majority 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first end-to-end regulated and physically-delivered bitcoin futures contracts, which are traded on affiliates of our majority investor, ICE, and also provides bitcoin custody to institutions and high net-worth individuals on a standalone basis as approved by the NYSDFS. Our custodian also operates as the backbone of many of our consumer- and enterprise-focused offerings. For instance, it enables consumers to transact in bitcoin (and, in the second quarter of 2021, other cryptocurrencies, subject to necessary regulatory approvals) in real-time. In addition, by the end of 2021, contingent upon achieving the necessary regulatory approvals and/or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vAlign w:val="center"/>
          </w:tcPr>
          <w:p>
            <w:pPr>
              <w:pStyle w:val="TableContents"/>
              <w:spacing w:before="0" w:after="283"/>
              <w:rPr/>
            </w:pPr>
            <w:r>
              <w:rPr/>
              <w:t> </w:t>
            </w:r>
          </w:p>
        </w:tc>
        <w:tc>
          <w:tcPr>
            <w:tcW w:w="9291"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partnering with an existing licensed broker-dealer, we plan to add the ability to transact in securities such as equities, derivatives, and ETFs. We believe that our institutional-grade infrastructure underpins our ability to expand and scale consumer solutions. </w:t>
            </w:r>
          </w:p>
        </w:tc>
      </w:tr>
    </w:tbl>
    <w:p>
      <w:pPr>
        <w:pStyle w:val="TextBody"/>
        <w:spacing w:before="240" w:after="0"/>
        <w:jc w:val="left"/>
        <w:rPr>
          <w:rFonts w:ascii="Times New Roman" w:hAnsi="Times New Roman"/>
          <w:sz w:val="20"/>
        </w:rPr>
      </w:pPr>
      <w:r>
        <w:rPr>
          <w:rFonts w:ascii="Times New Roman" w:hAnsi="Times New Roman"/>
          <w:b/>
          <w:i/>
          <w:sz w:val="20"/>
        </w:rPr>
        <w:t>Consumer App</w:t>
      </w:r>
      <w:r>
        <w:rPr>
          <w:rFonts w:ascii="Times New Roman" w:hAnsi="Times New Roman"/>
          <w:sz w:val="20"/>
        </w:rPr>
        <w:t xml:space="preserve">. All of our platforms capabilities around trading, redemption and payment come together in a seamless customer experience in our consumer app, which was made broadly available in March 2021. Our app enables consumers to see their digital assets  initially including bitcoin, cash, loyalty and rewards points, and closed-loop gift cards  in one place, and to transact easily with those assets. We plan to extend the functionality of our app by adding more merchants and loyalty partners, and additional digital assets, such as additional cryptocurrencies, and, at a later date, equities, derivatives, and ETFs, and in-game assets. We plan to expand our offering to certain additional cryptocurrencies in the second quarter of 2021, subject to an internal risk assessment and regulatory approval by NYSDFS. We also plan to offer equity securities trading through our platform in the future and may do so by partnering with an existing licensed broker-dealer, or by obtaining our own broker-dealer license. </w:t>
      </w:r>
    </w:p>
    <w:p>
      <w:pPr>
        <w:pStyle w:val="TextBody"/>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spacing w:before="120" w:after="0"/>
        <w:jc w:val="left"/>
        <w:rPr>
          <w:rFonts w:ascii="Times New Roman" w:hAnsi="Times New Roman"/>
          <w:b/>
          <w:i/>
          <w:sz w:val="20"/>
        </w:rPr>
      </w:pPr>
      <w:r>
        <w:rPr>
          <w:rFonts w:ascii="Times New Roman" w:hAnsi="Times New Roman"/>
          <w:b/>
          <w:i/>
          <w:sz w:val="20"/>
        </w:rPr>
        <w:t xml:space="preserve">Attractiveness of Platform </w:t>
      </w:r>
    </w:p>
    <w:p>
      <w:pPr>
        <w:pStyle w:val="TextBody"/>
        <w:spacing w:before="120" w:after="0"/>
        <w:jc w:val="left"/>
        <w:rPr>
          <w:rFonts w:ascii="Times New Roman" w:hAnsi="Times New Roman"/>
          <w:sz w:val="20"/>
        </w:rPr>
      </w:pPr>
      <w:r>
        <w:rPr>
          <w:rFonts w:ascii="Times New Roman" w:hAnsi="Times New Roman"/>
          <w:sz w:val="20"/>
        </w:rPr>
        <w:t xml:space="preserve">Bakkts business model primarily generates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sale of cryptoassets. Bakkt will look to grow its base of active and transacting users to grow these revenue streams. </w:t>
      </w:r>
    </w:p>
    <w:p>
      <w:pPr>
        <w:pStyle w:val="TextBody"/>
        <w:spacing w:before="240" w:after="0"/>
        <w:jc w:val="left"/>
        <w:rPr>
          <w:rFonts w:ascii="Times New Roman" w:hAnsi="Times New Roman"/>
          <w:sz w:val="20"/>
        </w:rPr>
      </w:pPr>
      <w:r>
        <w:rPr>
          <w:rFonts w:ascii="Times New Roman" w:hAnsi="Times New Roman"/>
          <w:sz w:val="20"/>
        </w:rPr>
        <w:t xml:space="preserve">In addition, growing partners on Bakkts platform will be key to success and ability to grow revenue streams. We will seek to grow our relationships with existing partners, as well as attract new loyalty and enterprise partners, in turn creating further opportunity for user growth and transaction usage on our platform. </w:t>
      </w:r>
    </w:p>
    <w:p>
      <w:pPr>
        <w:pStyle w:val="TextBody"/>
        <w:spacing w:before="360" w:after="0"/>
        <w:jc w:val="left"/>
        <w:rPr>
          <w:rFonts w:ascii="Times New Roman" w:hAnsi="Times New Roman"/>
          <w:b/>
          <w:i/>
          <w:sz w:val="20"/>
        </w:rPr>
      </w:pPr>
      <w:r>
        <w:rPr>
          <w:rFonts w:ascii="Times New Roman" w:hAnsi="Times New Roman"/>
          <w:b/>
          <w:i/>
          <w:sz w:val="20"/>
        </w:rPr>
        <w:t xml:space="preserve">Regulations in U.S. markets </w:t>
      </w:r>
    </w:p>
    <w:p>
      <w:pPr>
        <w:pStyle w:val="TextBody"/>
        <w:spacing w:before="120" w:after="0"/>
        <w:jc w:val="left"/>
        <w:rPr>
          <w:rFonts w:ascii="Times New Roman" w:hAnsi="Times New Roman"/>
          <w:sz w:val="20"/>
        </w:rPr>
      </w:pPr>
      <w:r>
        <w:rPr>
          <w:rFonts w:ascii="Times New Roman" w:hAnsi="Times New Roman"/>
          <w:sz w:val="20"/>
        </w:rPr>
        <w:t>We are subject to many complex, uncertain and overlapping local, state and federal laws, rules, regulations, policies and legal interpretations (collectively, </w:t>
      </w:r>
      <w:r>
        <w:rPr>
          <w:rFonts w:ascii="Times New Roman" w:hAnsi="Times New Roman"/>
          <w:b/>
          <w:sz w:val="20"/>
        </w:rPr>
        <w:t>laws and regulations</w:t>
      </w:r>
      <w:r>
        <w:rPr>
          <w:rFonts w:ascii="Times New Roman" w:hAnsi="Times New Roman"/>
          <w:sz w:val="20"/>
        </w:rPr>
        <w:t xml:space="preserve">) in the markets in which we operate. These laws and regulations govern, among other things, consumer protection, privacy and data protection, labor and employment, anti-money laundering, money transmission, competition, and marketing and communications practices, to name a few. These laws and regulations will likely have evolving interpretations and applications, and it can often be difficult to predict how such laws and regulations may be applied to our business, particularly as we introduce new products and services and expand into new jurisdictions. </w:t>
      </w:r>
    </w:p>
    <w:p>
      <w:pPr>
        <w:pStyle w:val="TextBody"/>
        <w:spacing w:before="240" w:after="0"/>
        <w:jc w:val="left"/>
        <w:rPr>
          <w:rFonts w:ascii="Times New Roman" w:hAnsi="Times New Roman"/>
          <w:sz w:val="20"/>
        </w:rPr>
      </w:pPr>
      <w:r>
        <w:rPr>
          <w:rFonts w:ascii="Times New Roman" w:hAnsi="Times New Roman"/>
          <w:sz w:val="20"/>
        </w:rPr>
        <w:t xml:space="preserve">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 </w:t>
      </w:r>
    </w:p>
    <w:p>
      <w:pPr>
        <w:pStyle w:val="TextBody"/>
        <w:spacing w:before="240" w:after="0"/>
        <w:jc w:val="left"/>
        <w:rPr>
          <w:rFonts w:ascii="Times New Roman" w:hAnsi="Times New Roman"/>
          <w:sz w:val="20"/>
        </w:rPr>
      </w:pPr>
      <w:r>
        <w:rPr>
          <w:rFonts w:ascii="Times New Roman" w:hAnsi="Times New Roman"/>
          <w:sz w:val="20"/>
        </w:rPr>
        <w:t xml:space="preserve">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 </w:t>
      </w:r>
    </w:p>
    <w:p>
      <w:pPr>
        <w:pStyle w:val="TextBody"/>
        <w:spacing w:before="240" w:after="0"/>
        <w:jc w:val="left"/>
        <w:rPr>
          <w:rFonts w:ascii="Times New Roman" w:hAnsi="Times New Roman"/>
          <w:b/>
          <w:i/>
          <w:sz w:val="20"/>
        </w:rPr>
      </w:pPr>
      <w:r>
        <w:rPr>
          <w:rFonts w:ascii="Times New Roman" w:hAnsi="Times New Roman"/>
          <w:b/>
          <w:i/>
          <w:sz w:val="20"/>
        </w:rPr>
        <w:t xml:space="preserve">COVID-19 Impacts </w:t>
      </w:r>
    </w:p>
    <w:p>
      <w:pPr>
        <w:pStyle w:val="TextBody"/>
        <w:spacing w:before="120" w:after="0"/>
        <w:jc w:val="left"/>
        <w:rPr>
          <w:rFonts w:ascii="Times New Roman" w:hAnsi="Times New Roman"/>
          <w:sz w:val="20"/>
        </w:rPr>
      </w:pPr>
      <w:r>
        <w:rPr>
          <w:rFonts w:ascii="Times New Roman" w:hAnsi="Times New Roman"/>
          <w:sz w:val="20"/>
        </w:rPr>
        <w:t xml:space="preserve">In March 2020, the World Health Organization declared the COVID-19 outbreak a global pandemic. The COVID-19 pandemic has adversely affected global economic activity and contributed to significant declines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volatility in financial markets. Bakkt operates in geographic locations that have been impacted by COVID-19 and that are subject to various mandated public health ordinances, which have impacted the business operations of Bakkt and its customers. The COVID-19 pandemic has had a material adverse impact on Bakkts business through December 31, 2020, primarily in that it has (i) decreased revenue from our loyalty and travel businesses, and (ii) impacted our ability to expand our relationships with existing loyalty partners, and to conclude relationships with new loyalty partners, whose businesses similarly have been adversely affected by the pandemic. A continuation of the pandemic could have a continued material adverse impact on economic and market conditions. </w:t>
      </w:r>
    </w:p>
    <w:p>
      <w:pPr>
        <w:pStyle w:val="TextBody"/>
        <w:spacing w:before="360" w:after="0"/>
        <w:jc w:val="left"/>
        <w:rPr>
          <w:rFonts w:ascii="Times New Roman" w:hAnsi="Times New Roman"/>
          <w:b/>
          <w:sz w:val="20"/>
        </w:rPr>
      </w:pPr>
      <w:r>
        <w:rPr>
          <w:rFonts w:ascii="Times New Roman" w:hAnsi="Times New Roman"/>
          <w:b/>
          <w:sz w:val="20"/>
        </w:rPr>
        <w:t xml:space="preserve">Our Corporate Structure </w:t>
      </w:r>
    </w:p>
    <w:p>
      <w:pPr>
        <w:pStyle w:val="TextBody"/>
        <w:spacing w:before="120" w:after="0"/>
        <w:jc w:val="left"/>
        <w:rPr>
          <w:rFonts w:ascii="Times New Roman" w:hAnsi="Times New Roman"/>
          <w:sz w:val="20"/>
        </w:rPr>
      </w:pPr>
      <w:r>
        <w:rPr>
          <w:rFonts w:ascii="Times New Roman" w:hAnsi="Times New Roman"/>
          <w:sz w:val="20"/>
        </w:rPr>
        <w:t>We formed Bakkt Trust and Bakkt Marketplace as subsidiaries and acquired DACC Technologies, Inc., Digital Asset Custody Company, Inc. (collectively with DACC Technologies, Inc., DACC), and Bakkt Clearing, LLC (Bakkt Clearing), formerly known as Rosenthal Collins Group L.L.C. during the year ended December 31, 2019. We acquired Bridge2 Solutions, LLC and its related companies (collectively, </w:t>
      </w:r>
      <w:r>
        <w:rPr>
          <w:rFonts w:ascii="Times New Roman" w:hAnsi="Times New Roman"/>
          <w:b/>
          <w:sz w:val="20"/>
        </w:rPr>
        <w:t>Bridge2 Solutions</w:t>
      </w:r>
      <w:r>
        <w:rPr>
          <w:rFonts w:ascii="Times New Roman" w:hAnsi="Times New Roman"/>
          <w:sz w:val="20"/>
        </w:rPr>
        <w:t xml:space="preserve">) in February 2020. </w:t>
      </w:r>
    </w:p>
    <w:p>
      <w:pPr>
        <w:pStyle w:val="TextBody"/>
        <w:spacing w:before="240" w:after="0"/>
        <w:jc w:val="left"/>
        <w:rPr>
          <w:rFonts w:ascii="Times New Roman" w:hAnsi="Times New Roman"/>
          <w:sz w:val="20"/>
        </w:rPr>
      </w:pPr>
      <w:r>
        <w:rPr>
          <w:rFonts w:ascii="Times New Roman" w:hAnsi="Times New Roman"/>
          <w:sz w:val="20"/>
        </w:rPr>
        <w:t xml:space="preserve">Bakkt Trust is a New York limited-purpose trust company that is chartered by and subject to the supervision and oversight of the NYSDFS. In September 2019, Bakkt Trust, along with IFUS and ICUS, both of which are wholly-owned subsidiaries of ICE, brought to market the first institutional-grade, regulated infrastructure for trading, clearing, and custody services for bitcoin. Bakkt Trust acts as a qualified custodian for bitcoin, which enables Bakkt Trust to offer the only end-to-end regulated, physically-delivered bitcoin futures and options contracts available in the United States. In addition, Bakkt Trust has been approved by the NYSDFS to, and does, offer non-trading-related, standalone custody of bitcoin to institutional customers and select individual investors in cryptoassets, subject to the NYSDFS regulatory oversight. </w:t>
      </w:r>
    </w:p>
    <w:p>
      <w:pPr>
        <w:pStyle w:val="TextBody"/>
        <w:spacing w:before="240" w:after="0"/>
        <w:jc w:val="left"/>
        <w:rPr>
          <w:rFonts w:ascii="Times New Roman" w:hAnsi="Times New Roman"/>
          <w:sz w:val="20"/>
        </w:rPr>
      </w:pPr>
      <w:r>
        <w:rPr>
          <w:rFonts w:ascii="Times New Roman" w:hAnsi="Times New Roman"/>
          <w:sz w:val="20"/>
        </w:rPr>
        <w:t xml:space="preserve">Bakkt Marketplace has created an integrated platform that enables consumers and institutions to transact in digital assets. Bakkt Marketplace users will use a consumer app that will enable them to purchase, sell, convert and or spend digital assets. Users also can use the app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w:t>
      </w:r>
    </w:p>
    <w:p>
      <w:pPr>
        <w:pStyle w:val="TextBody"/>
        <w:spacing w:before="240" w:after="0"/>
        <w:jc w:val="left"/>
        <w:rPr>
          <w:rFonts w:ascii="Times New Roman" w:hAnsi="Times New Roman"/>
          <w:sz w:val="20"/>
        </w:rPr>
      </w:pPr>
      <w:r>
        <w:rPr>
          <w:rFonts w:ascii="Times New Roman" w:hAnsi="Times New Roman"/>
          <w:sz w:val="20"/>
        </w:rPr>
        <w:t xml:space="preserve">Bakkt Clearing is registered as a futures commission merchant (FCM) with the Commodity Futures Trading Commission (CFTC) and a member of the National Futures Association (NFA). </w:t>
      </w:r>
    </w:p>
    <w:p>
      <w:pPr>
        <w:pStyle w:val="TextBody"/>
        <w:spacing w:before="240" w:after="0"/>
        <w:jc w:val="left"/>
        <w:rPr>
          <w:rFonts w:ascii="Times New Roman" w:hAnsi="Times New Roman"/>
          <w:sz w:val="20"/>
        </w:rPr>
      </w:pPr>
      <w:r>
        <w:rPr>
          <w:rFonts w:ascii="Times New Roman" w:hAnsi="Times New Roman"/>
          <w:sz w:val="20"/>
        </w:rPr>
        <w:t xml:space="preserve">Bakkt acquired Bridge2 Solutions on February 21, 2020 in order to expand our loyalty conversion offerings within Bakkts digital asset marketplace. We accounted for the acquisition of Bridge2 Solutions as a common control transaction under ASC 805, as Bridge2 Solutions (and its holding company, B2S Holdings, Inc.) was initially acquired by ICE prior to being acquired by Bakkt. The acquisition of Bridge2 Solutions qualifies as a significant acquisition under the amended Rule 3-05 of Regulation S-X, which Bakkt has elected to early adpot. As such, Bakkt has included the historical financial statements of Bridge2 Solutions for the years ended December 31, 2018 and December 31, 2019, in this proxy statement/prospectus. We also evaluated if Bakkt or Bridge2 Solutions is the predecessor for accounting purposes. In connection therewith, we considered the application of Rule 405 of Regulation C, the interpretive guidance of the staff of the SEC, including factors for registrants to consider in determining the predecessor, and analyzed the following: (1) the order in which the entities were acquired, (2) the size of the entities, (3) the fair value of the entities, (4) the historical and ongoing management structure, and (5) how management discusses our business in this proxy statement/prospectus. In considering the foregoing principles of predecessor determination in light of our specific facts and circumstances, we determined that Bakkt is the predecessor for accounting purposes.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January 11, 2021, Bakkt entered into the Merger Agreement to combine with VIH. The Business Combination values the combined company at an enterprise value of approximately $2.1 billion and is expected to result in at least $425 million of cash on Bakkt Pubcos balance sheet, reflecting a contribution of up to $207 million of cash held in the Trust Account (prior to any redemptions) and a $325 million concurrent private placement of Bakkt Pubco Class A Common Stock, priced at $10.00 per share, including a $50 million commitment from ICE. At the Closing, VIH will be renamed Bakkt Holdings, Inc. and will be listed on the NYSE under the ticker symbol BKKT. </w:t>
      </w:r>
    </w:p>
    <w:p>
      <w:pPr>
        <w:pStyle w:val="TextBody"/>
        <w:spacing w:before="240" w:after="0"/>
        <w:jc w:val="left"/>
        <w:rPr>
          <w:rFonts w:ascii="Times New Roman" w:hAnsi="Times New Roman"/>
          <w:sz w:val="20"/>
        </w:rPr>
      </w:pPr>
      <w:r>
        <w:rPr>
          <w:rFonts w:ascii="Times New Roman" w:hAnsi="Times New Roman"/>
          <w:sz w:val="20"/>
        </w:rPr>
        <w:t xml:space="preserve">The Company intends to use the funds available after the business combination to (i) increase the its sales and marketing efforts, (ii) expand its research and product development efforts, and (iii) maintain and expand its technology infrastructure and operational support. In addition, the Company may in the future enter into arrangements to acquire or invest in complementary businesses, services, technologies or intellectual property rights. However, Bakkt has no agreements or commitments with respect to any such acquisitions or investments at this time. </w:t>
      </w:r>
    </w:p>
    <w:p>
      <w:pPr>
        <w:pStyle w:val="TextBody"/>
        <w:spacing w:before="240" w:after="0"/>
        <w:jc w:val="left"/>
        <w:rPr>
          <w:rFonts w:ascii="Times New Roman" w:hAnsi="Times New Roman"/>
          <w:sz w:val="20"/>
        </w:rPr>
      </w:pPr>
      <w:r>
        <w:rPr>
          <w:rFonts w:ascii="Times New Roman" w:hAnsi="Times New Roman"/>
          <w:sz w:val="20"/>
        </w:rPr>
        <w:t xml:space="preserve">The Companys expected uses of the available funds following the business combination are based upon Bakkts present plans, objectives and business condition. As of the date of this proxy statement/prospectus, the Company cannot predict with certainty all of the particular uses for the available funds following the business combination, and management has not estimated the amount of funds, or the range of funds, to be used for any particular purpose. As a result, the Companys management will retain broad discretion over the available funds following the business combination, and investors will be relying on the Companys managements judgment regarding the application of the net proceeds. </w:t>
      </w:r>
    </w:p>
    <w:p>
      <w:pPr>
        <w:pStyle w:val="TextBody"/>
        <w:spacing w:before="360" w:after="0"/>
        <w:jc w:val="left"/>
        <w:rPr>
          <w:rFonts w:ascii="Times New Roman" w:hAnsi="Times New Roman"/>
          <w:b/>
          <w:i/>
          <w:sz w:val="20"/>
        </w:rPr>
      </w:pPr>
      <w:r>
        <w:rPr>
          <w:rFonts w:ascii="Times New Roman" w:hAnsi="Times New Roman"/>
          <w:b/>
          <w:i/>
          <w:sz w:val="20"/>
        </w:rPr>
        <w:t xml:space="preserve">Our Relationship with ICE </w:t>
      </w:r>
    </w:p>
    <w:p>
      <w:pPr>
        <w:pStyle w:val="TextBody"/>
        <w:spacing w:before="120" w:after="0"/>
        <w:jc w:val="left"/>
        <w:rPr>
          <w:rFonts w:ascii="Times New Roman" w:hAnsi="Times New Roman"/>
          <w:sz w:val="20"/>
        </w:rPr>
      </w:pPr>
      <w:r>
        <w:rPr>
          <w:rFonts w:ascii="Times New Roman" w:hAnsi="Times New Roman"/>
          <w:sz w:val="20"/>
        </w:rPr>
        <w:t xml:space="preserve">We are an indirect majority-owned subsidiary of ICE. Class A voting units are held by ICE and Class B and Class C voting units are held by ICE and minority investors.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this platform, ICE and minority investors to date have contributed capital and assets valued at approximately $483 million, leveraging ICEs leading competency of creating and operating market infrastructure. Upon our formation, ICE made a cash capital contribution and granted us the right to access ICEs existing futures and clearing platforms.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The results of operations presented below should be reviewed in conjunction with the consolidated financial statements and notes included elsewhere in this prospectus. The following table sets forth our consolidated results of operations for the periods shown: </w:t>
      </w:r>
    </w:p>
    <w:p>
      <w:pPr>
        <w:pStyle w:val="TextBody"/>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490"/>
        <w:gridCol w:w="464"/>
        <w:gridCol w:w="215"/>
        <w:gridCol w:w="814"/>
        <w:gridCol w:w="155"/>
        <w:gridCol w:w="464"/>
        <w:gridCol w:w="215"/>
        <w:gridCol w:w="779"/>
        <w:gridCol w:w="159"/>
      </w:tblGrid>
      <w:tr>
        <w:trPr/>
        <w:tc>
          <w:tcPr>
            <w:tcW w:w="449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642"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w:t>
            </w:r>
          </w:p>
        </w:tc>
        <w:tc>
          <w:tcPr>
            <w:tcW w:w="159" w:type="dxa"/>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0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9" w:type="dxa"/>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642" w:type="dxa"/>
            <w:gridSpan w:val="6"/>
            <w:tcBorders/>
            <w:shd w:fill="auto" w:val="clear"/>
            <w:vAlign w:val="bottom"/>
          </w:tcPr>
          <w:p>
            <w:pPr>
              <w:pStyle w:val="TableContents"/>
              <w:spacing w:before="0" w:after="283"/>
              <w:jc w:val="center"/>
              <w:rPr>
                <w:b/>
              </w:rPr>
            </w:pPr>
            <w:r>
              <w:rPr>
                <w:b/>
              </w:rPr>
              <w:t>(in thousands)</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8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Net revenues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814" w:type="dxa"/>
            <w:tcBorders/>
            <w:shd w:fill="auto" w:val="clear"/>
            <w:vAlign w:val="bottom"/>
          </w:tcPr>
          <w:p>
            <w:pPr>
              <w:pStyle w:val="TableContents"/>
              <w:spacing w:before="0" w:after="283"/>
              <w:jc w:val="right"/>
              <w:rPr/>
            </w:pPr>
            <w:r>
              <w:rPr/>
              <w:t>28,495</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881</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17</w:t>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Total revenues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28,495</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(864</w:t>
            </w:r>
          </w:p>
        </w:tc>
        <w:tc>
          <w:tcPr>
            <w:tcW w:w="159" w:type="dxa"/>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8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Compensation and benefits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43,141</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23,237</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services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5,751</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4,150</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Technology and communication</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9,741</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4,256</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8,219</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2,617</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Acquisition-related expenses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13,372</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731</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8,159</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324</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Affiliate expenses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3,082</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500</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15,292</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expenses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857</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107,614</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35,815</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Operating loss</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(79,119</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(36,679</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 net</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123</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3,280</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 (expense), net</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(218</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224</w:t>
            </w:r>
          </w:p>
        </w:tc>
        <w:tc>
          <w:tcPr>
            <w:tcW w:w="159" w:type="dxa"/>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Loss before income taxes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(79,214</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(33,175</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 benefit</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814" w:type="dxa"/>
            <w:tcBorders/>
            <w:shd w:fill="auto" w:val="clear"/>
            <w:vAlign w:val="bottom"/>
          </w:tcPr>
          <w:p>
            <w:pPr>
              <w:pStyle w:val="TableContents"/>
              <w:spacing w:before="0" w:after="283"/>
              <w:jc w:val="right"/>
              <w:rPr/>
            </w:pPr>
            <w:r>
              <w:rPr/>
              <w:t>391</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199</w:t>
            </w:r>
          </w:p>
        </w:tc>
        <w:tc>
          <w:tcPr>
            <w:tcW w:w="159" w:type="dxa"/>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814" w:type="dxa"/>
            <w:tcBorders/>
            <w:shd w:fill="CCEEFF" w:val="clear"/>
            <w:vAlign w:val="bottom"/>
          </w:tcPr>
          <w:p>
            <w:pPr>
              <w:pStyle w:val="TableContents"/>
              <w:spacing w:before="0" w:after="283"/>
              <w:jc w:val="right"/>
              <w:rPr/>
            </w:pPr>
            <w:r>
              <w:rPr/>
              <w:t>79,605</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779" w:type="dxa"/>
            <w:tcBorders/>
            <w:shd w:fill="CCEEFF" w:val="clear"/>
            <w:vAlign w:val="bottom"/>
          </w:tcPr>
          <w:p>
            <w:pPr>
              <w:pStyle w:val="TableContents"/>
              <w:spacing w:before="0" w:after="283"/>
              <w:jc w:val="right"/>
              <w:rPr/>
            </w:pPr>
            <w:r>
              <w:rPr/>
              <w:t>32,976</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tcPr>
          <w:p>
            <w:pPr>
              <w:pStyle w:val="TableContents"/>
              <w:spacing w:before="0" w:after="0"/>
              <w:rPr>
                <w:rFonts w:ascii="Times New Roman" w:hAnsi="Times New Roman"/>
                <w:sz w:val="20"/>
              </w:rPr>
            </w:pPr>
            <w:r>
              <w:rPr>
                <w:rFonts w:ascii="Times New Roman" w:hAnsi="Times New Roman"/>
                <w:sz w:val="20"/>
              </w:rPr>
              <w:t>Currency translation adjustment, net of tax</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191</w:t>
            </w:r>
          </w:p>
        </w:tc>
        <w:tc>
          <w:tcPr>
            <w:tcW w:w="15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490" w:type="dxa"/>
            <w:tcBorders/>
            <w:shd w:fill="CCEEFF" w:val="clear"/>
          </w:tcPr>
          <w:p>
            <w:pPr>
              <w:pStyle w:val="TableContents"/>
              <w:spacing w:before="0" w:after="0"/>
              <w:rPr>
                <w:rFonts w:ascii="Times New Roman" w:hAnsi="Times New Roman"/>
                <w:sz w:val="20"/>
              </w:rPr>
            </w:pPr>
            <w:r>
              <w:rPr>
                <w:rFonts w:ascii="Times New Roman" w:hAnsi="Times New Roman"/>
                <w:sz w:val="20"/>
              </w:rPr>
              <w:t>Comprehensive loss</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814" w:type="dxa"/>
            <w:tcBorders/>
            <w:shd w:fill="CCEEFF" w:val="clear"/>
            <w:vAlign w:val="bottom"/>
          </w:tcPr>
          <w:p>
            <w:pPr>
              <w:pStyle w:val="TableContents"/>
              <w:spacing w:before="0" w:after="283"/>
              <w:jc w:val="right"/>
              <w:rPr/>
            </w:pPr>
            <w:r>
              <w:rPr/>
              <w:t>79,414</w:t>
            </w:r>
          </w:p>
        </w:tc>
        <w:tc>
          <w:tcPr>
            <w:tcW w:w="15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779" w:type="dxa"/>
            <w:tcBorders/>
            <w:shd w:fill="CCEEFF" w:val="clear"/>
            <w:vAlign w:val="bottom"/>
          </w:tcPr>
          <w:p>
            <w:pPr>
              <w:pStyle w:val="TableContents"/>
              <w:spacing w:before="0" w:after="283"/>
              <w:jc w:val="right"/>
              <w:rPr/>
            </w:pPr>
            <w:r>
              <w:rPr/>
              <w:t>32,976</w:t>
            </w:r>
          </w:p>
        </w:tc>
        <w:tc>
          <w:tcPr>
            <w:tcW w:w="159" w:type="dxa"/>
            <w:tcBorders/>
            <w:shd w:fill="CCEEFF"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81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779"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Revenue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053"/>
        <w:gridCol w:w="265"/>
        <w:gridCol w:w="140"/>
        <w:gridCol w:w="746"/>
        <w:gridCol w:w="60"/>
        <w:gridCol w:w="265"/>
        <w:gridCol w:w="140"/>
        <w:gridCol w:w="471"/>
        <w:gridCol w:w="155"/>
        <w:gridCol w:w="265"/>
        <w:gridCol w:w="185"/>
        <w:gridCol w:w="912"/>
        <w:gridCol w:w="155"/>
        <w:gridCol w:w="264"/>
        <w:gridCol w:w="83"/>
        <w:gridCol w:w="1129"/>
        <w:gridCol w:w="284"/>
      </w:tblGrid>
      <w:tr>
        <w:trPr/>
        <w:tc>
          <w:tcPr>
            <w:tcW w:w="305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305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497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84" w:type="dxa"/>
            <w:tcBorders/>
            <w:shd w:fill="auto" w:val="clear"/>
            <w:vAlign w:val="bottom"/>
          </w:tcPr>
          <w:p>
            <w:pPr>
              <w:pStyle w:val="TableContents"/>
              <w:spacing w:before="0" w:after="283"/>
              <w:rPr/>
            </w:pPr>
            <w:r>
              <w:rPr/>
              <w:t> </w:t>
            </w:r>
          </w:p>
        </w:tc>
      </w:tr>
      <w:tr>
        <w:trPr/>
        <w:tc>
          <w:tcPr>
            <w:tcW w:w="305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84" w:type="dxa"/>
            <w:tcBorders/>
            <w:shd w:fill="auto" w:val="clear"/>
            <w:vAlign w:val="bottom"/>
          </w:tcPr>
          <w:p>
            <w:pPr>
              <w:pStyle w:val="TableContents"/>
              <w:spacing w:before="0" w:after="283"/>
              <w:rPr/>
            </w:pPr>
            <w:r>
              <w:rPr/>
              <w:t> </w:t>
            </w:r>
          </w:p>
        </w:tc>
      </w:tr>
      <w:tr>
        <w:trPr/>
        <w:tc>
          <w:tcPr>
            <w:tcW w:w="305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39" w:type="dxa"/>
            <w:gridSpan w:val="10"/>
            <w:tcBorders/>
            <w:shd w:fill="auto" w:val="clear"/>
            <w:vAlign w:val="bottom"/>
          </w:tcPr>
          <w:p>
            <w:pPr>
              <w:pStyle w:val="TableContents"/>
              <w:spacing w:before="0" w:after="283"/>
              <w:jc w:val="center"/>
              <w:rPr>
                <w:b/>
              </w:rPr>
            </w:pPr>
            <w:r>
              <w:rPr>
                <w:b/>
              </w:rPr>
              <w:t>(dollars in thousands)</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r>
      <w:tr>
        <w:trPr/>
        <w:tc>
          <w:tcPr>
            <w:tcW w:w="3053" w:type="dxa"/>
            <w:tcBorders/>
            <w:shd w:fill="CCEEFF" w:val="clear"/>
          </w:tcPr>
          <w:p>
            <w:pPr>
              <w:pStyle w:val="TableContents"/>
              <w:spacing w:before="0" w:after="0"/>
              <w:rPr>
                <w:rFonts w:ascii="Times New Roman" w:hAnsi="Times New Roman"/>
                <w:sz w:val="20"/>
              </w:rPr>
            </w:pPr>
            <w:r>
              <w:rPr>
                <w:rFonts w:ascii="Times New Roman" w:hAnsi="Times New Roman"/>
                <w:sz w:val="20"/>
              </w:rPr>
              <w:t>Net Revenues</w:t>
            </w:r>
          </w:p>
        </w:tc>
        <w:tc>
          <w:tcPr>
            <w:tcW w:w="2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46" w:type="dxa"/>
            <w:tcBorders/>
            <w:shd w:fill="CCEEFF" w:val="clear"/>
            <w:vAlign w:val="bottom"/>
          </w:tcPr>
          <w:p>
            <w:pPr>
              <w:pStyle w:val="TableContents"/>
              <w:spacing w:before="0" w:after="283"/>
              <w:jc w:val="right"/>
              <w:rPr/>
            </w:pPr>
            <w:r>
              <w:rPr/>
              <w:t>28,495</w:t>
            </w:r>
          </w:p>
        </w:tc>
        <w:tc>
          <w:tcPr>
            <w:tcW w:w="60"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(881</w:t>
            </w:r>
          </w:p>
        </w:tc>
        <w:tc>
          <w:tcPr>
            <w:tcW w:w="15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912" w:type="dxa"/>
            <w:tcBorders/>
            <w:shd w:fill="CCEEFF" w:val="clear"/>
            <w:vAlign w:val="bottom"/>
          </w:tcPr>
          <w:p>
            <w:pPr>
              <w:pStyle w:val="TableContents"/>
              <w:spacing w:before="0" w:after="283"/>
              <w:jc w:val="right"/>
              <w:rPr/>
            </w:pPr>
            <w:r>
              <w:rPr/>
              <w:t>29,376</w:t>
            </w:r>
          </w:p>
        </w:tc>
        <w:tc>
          <w:tcPr>
            <w:tcW w:w="15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3,334.4</w:t>
            </w:r>
          </w:p>
        </w:tc>
        <w:tc>
          <w:tcPr>
            <w:tcW w:w="284" w:type="dxa"/>
            <w:tcBorders/>
            <w:shd w:fill="CCEEFF" w:val="clear"/>
            <w:vAlign w:val="bottom"/>
          </w:tcPr>
          <w:p>
            <w:pPr>
              <w:pStyle w:val="TableContents"/>
              <w:spacing w:before="0" w:after="283"/>
              <w:rPr/>
            </w:pPr>
            <w:r>
              <w:rPr/>
              <w:t>% </w:t>
            </w:r>
          </w:p>
        </w:tc>
      </w:tr>
      <w:tr>
        <w:trPr/>
        <w:tc>
          <w:tcPr>
            <w:tcW w:w="3053" w:type="dxa"/>
            <w:tcBorders/>
            <w:shd w:fill="auto" w:val="clear"/>
          </w:tcPr>
          <w:p>
            <w:pPr>
              <w:pStyle w:val="TableContents"/>
              <w:spacing w:before="0" w:after="0"/>
              <w:rPr>
                <w:rFonts w:ascii="Times New Roman" w:hAnsi="Times New Roman"/>
                <w:sz w:val="20"/>
              </w:rPr>
            </w:pPr>
            <w:r>
              <w:rPr>
                <w:rFonts w:ascii="Times New Roman" w:hAnsi="Times New Roman"/>
                <w:sz w:val="20"/>
              </w:rPr>
              <w:t>Other</w:t>
            </w:r>
          </w:p>
        </w:tc>
        <w:tc>
          <w:tcPr>
            <w:tcW w:w="2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N/A</w:t>
            </w:r>
          </w:p>
        </w:tc>
        <w:tc>
          <w:tcPr>
            <w:tcW w:w="284" w:type="dxa"/>
            <w:tcBorders/>
            <w:shd w:fill="auto" w:val="clear"/>
            <w:vAlign w:val="bottom"/>
          </w:tcPr>
          <w:p>
            <w:pPr>
              <w:pStyle w:val="TableContents"/>
              <w:spacing w:before="0" w:after="283"/>
              <w:rPr/>
            </w:pPr>
            <w:r>
              <w:rPr/>
              <w:t> </w:t>
            </w:r>
          </w:p>
        </w:tc>
      </w:tr>
      <w:tr>
        <w:trPr/>
        <w:tc>
          <w:tcPr>
            <w:tcW w:w="3053"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4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129" w:type="dxa"/>
            <w:tcBorders/>
            <w:shd w:fill="auto" w:val="clear"/>
            <w:vAlign w:val="bottom"/>
          </w:tcPr>
          <w:p>
            <w:pPr>
              <w:pStyle w:val="TableContents"/>
              <w:pBdr>
                <w:top w:val="single" w:sz="2" w:space="1" w:color="000000"/>
              </w:pBdr>
              <w:spacing w:before="0" w:after="0"/>
              <w:rPr/>
            </w:pPr>
            <w:r>
              <w:rPr/>
              <w:t> </w:t>
            </w:r>
          </w:p>
        </w:tc>
        <w:tc>
          <w:tcPr>
            <w:tcW w:w="284" w:type="dxa"/>
            <w:tcBorders/>
            <w:shd w:fill="auto" w:val="clear"/>
            <w:vAlign w:val="center"/>
          </w:tcPr>
          <w:p>
            <w:pPr>
              <w:pStyle w:val="TableContents"/>
              <w:spacing w:before="0" w:after="283"/>
              <w:rPr/>
            </w:pPr>
            <w:r>
              <w:rPr/>
              <w:t> </w:t>
            </w:r>
          </w:p>
        </w:tc>
      </w:tr>
      <w:tr>
        <w:trPr/>
        <w:tc>
          <w:tcPr>
            <w:tcW w:w="3053" w:type="dxa"/>
            <w:tcBorders/>
            <w:shd w:fill="CCEEFF" w:val="clear"/>
          </w:tcPr>
          <w:p>
            <w:pPr>
              <w:pStyle w:val="TableContents"/>
              <w:spacing w:before="0" w:after="0"/>
              <w:rPr>
                <w:rFonts w:ascii="Times New Roman" w:hAnsi="Times New Roman"/>
                <w:sz w:val="20"/>
              </w:rPr>
            </w:pPr>
            <w:r>
              <w:rPr>
                <w:rFonts w:ascii="Times New Roman" w:hAnsi="Times New Roman"/>
                <w:sz w:val="20"/>
              </w:rPr>
              <w:t>Total revenues</w:t>
            </w:r>
          </w:p>
        </w:tc>
        <w:tc>
          <w:tcPr>
            <w:tcW w:w="2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46" w:type="dxa"/>
            <w:tcBorders/>
            <w:shd w:fill="CCEEFF" w:val="clear"/>
            <w:vAlign w:val="bottom"/>
          </w:tcPr>
          <w:p>
            <w:pPr>
              <w:pStyle w:val="TableContents"/>
              <w:spacing w:before="0" w:after="283"/>
              <w:jc w:val="right"/>
              <w:rPr/>
            </w:pPr>
            <w:r>
              <w:rPr/>
              <w:t>28,495</w:t>
            </w:r>
          </w:p>
        </w:tc>
        <w:tc>
          <w:tcPr>
            <w:tcW w:w="60"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(864</w:t>
            </w:r>
          </w:p>
        </w:tc>
        <w:tc>
          <w:tcPr>
            <w:tcW w:w="15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29,359</w:t>
            </w:r>
          </w:p>
        </w:tc>
        <w:tc>
          <w:tcPr>
            <w:tcW w:w="15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3,398.0</w:t>
            </w:r>
          </w:p>
        </w:tc>
        <w:tc>
          <w:tcPr>
            <w:tcW w:w="284" w:type="dxa"/>
            <w:tcBorders/>
            <w:shd w:fill="CCEEFF" w:val="clear"/>
            <w:vAlign w:val="bottom"/>
          </w:tcPr>
          <w:p>
            <w:pPr>
              <w:pStyle w:val="TableContents"/>
              <w:spacing w:before="0" w:after="283"/>
              <w:rPr/>
            </w:pPr>
            <w:r>
              <w:rPr/>
              <w:t>% </w:t>
            </w:r>
          </w:p>
        </w:tc>
      </w:tr>
      <w:tr>
        <w:trPr/>
        <w:tc>
          <w:tcPr>
            <w:tcW w:w="3053"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4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47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0"/>
              <w:rPr/>
            </w:pPr>
            <w:r>
              <w:rPr/>
              <w:t> </w:t>
            </w:r>
          </w:p>
        </w:tc>
        <w:tc>
          <w:tcPr>
            <w:tcW w:w="91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double" w:sz="6" w:space="1" w:color="000000"/>
              </w:pBdr>
              <w:spacing w:before="0" w:after="0"/>
              <w:rPr/>
            </w:pPr>
            <w:r>
              <w:rPr/>
              <w:t> </w:t>
            </w:r>
          </w:p>
        </w:tc>
        <w:tc>
          <w:tcPr>
            <w:tcW w:w="1129" w:type="dxa"/>
            <w:tcBorders/>
            <w:shd w:fill="auto" w:val="clear"/>
            <w:vAlign w:val="bottom"/>
          </w:tcPr>
          <w:p>
            <w:pPr>
              <w:pStyle w:val="TableContents"/>
              <w:pBdr>
                <w:top w:val="double" w:sz="6" w:space="1" w:color="000000"/>
              </w:pBdr>
              <w:spacing w:before="0" w:after="0"/>
              <w:rPr/>
            </w:pPr>
            <w:r>
              <w:rPr/>
              <w:t> </w:t>
            </w:r>
          </w:p>
        </w:tc>
        <w:tc>
          <w:tcPr>
            <w:tcW w:w="28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Net Revenues </w:t>
      </w:r>
    </w:p>
    <w:p>
      <w:pPr>
        <w:pStyle w:val="TextBody"/>
        <w:spacing w:before="120" w:after="0"/>
        <w:jc w:val="left"/>
        <w:rPr>
          <w:rFonts w:ascii="Times New Roman" w:hAnsi="Times New Roman"/>
          <w:sz w:val="20"/>
        </w:rPr>
      </w:pPr>
      <w:r>
        <w:rPr>
          <w:rFonts w:ascii="Times New Roman" w:hAnsi="Times New Roman"/>
          <w:sz w:val="20"/>
        </w:rPr>
        <w:t xml:space="preserve">Net revenues consist of transaction revenue (net of rebates, liquidity payments, exchange and clearing expenses, and Class B warrant asset amortization), subscription and service revenue. Net revenues increased $29.4 million,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3,334.4% for the year ended December 31, 2020 compared to the year ended December 31, 2019. The increase primarily consists of an increase of $8.6 million in transaction revenues and an increase of $20.8 million in subscription and service revenue, both of which are related to the expansion of our loyalty business. </w:t>
      </w:r>
    </w:p>
    <w:p>
      <w:pPr>
        <w:pStyle w:val="TextBody"/>
        <w:spacing w:before="360" w:after="0"/>
        <w:jc w:val="left"/>
        <w:rPr>
          <w:rFonts w:ascii="Times New Roman" w:hAnsi="Times New Roman"/>
          <w:b/>
          <w:sz w:val="20"/>
        </w:rPr>
      </w:pPr>
      <w:r>
        <w:rPr>
          <w:rFonts w:ascii="Times New Roman" w:hAnsi="Times New Roman"/>
          <w:b/>
          <w:sz w:val="20"/>
        </w:rPr>
        <w:t xml:space="preserve">Operating Expenses </w:t>
      </w:r>
    </w:p>
    <w:p>
      <w:pPr>
        <w:pStyle w:val="TextBody"/>
        <w:spacing w:before="120" w:after="0"/>
        <w:jc w:val="left"/>
        <w:rPr>
          <w:rFonts w:ascii="Times New Roman" w:hAnsi="Times New Roman"/>
          <w:sz w:val="20"/>
        </w:rPr>
      </w:pPr>
      <w:r>
        <w:rPr>
          <w:rFonts w:ascii="Times New Roman" w:hAnsi="Times New Roman"/>
          <w:sz w:val="20"/>
        </w:rPr>
        <w:t xml:space="preserve">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 </w:t>
      </w:r>
    </w:p>
    <w:p>
      <w:pPr>
        <w:pStyle w:val="TextBody"/>
        <w:spacing w:before="360" w:after="0"/>
        <w:jc w:val="left"/>
        <w:rPr>
          <w:rFonts w:ascii="Times New Roman" w:hAnsi="Times New Roman"/>
          <w:b/>
          <w:i/>
          <w:sz w:val="20"/>
        </w:rPr>
      </w:pPr>
      <w:r>
        <w:rPr>
          <w:rFonts w:ascii="Times New Roman" w:hAnsi="Times New Roman"/>
          <w:b/>
          <w:i/>
          <w:sz w:val="20"/>
        </w:rPr>
        <w:t xml:space="preserve">Compensation and Benefits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731"/>
        <w:gridCol w:w="331"/>
        <w:gridCol w:w="140"/>
        <w:gridCol w:w="706"/>
        <w:gridCol w:w="60"/>
        <w:gridCol w:w="331"/>
        <w:gridCol w:w="140"/>
        <w:gridCol w:w="706"/>
        <w:gridCol w:w="60"/>
        <w:gridCol w:w="331"/>
        <w:gridCol w:w="169"/>
        <w:gridCol w:w="874"/>
        <w:gridCol w:w="60"/>
        <w:gridCol w:w="331"/>
        <w:gridCol w:w="133"/>
        <w:gridCol w:w="1003"/>
        <w:gridCol w:w="282"/>
      </w:tblGrid>
      <w:tr>
        <w:trPr/>
        <w:tc>
          <w:tcPr>
            <w:tcW w:w="37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373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044"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82" w:type="dxa"/>
            <w:tcBorders/>
            <w:shd w:fill="auto" w:val="clear"/>
            <w:vAlign w:val="bottom"/>
          </w:tcPr>
          <w:p>
            <w:pPr>
              <w:pStyle w:val="TableContents"/>
              <w:spacing w:before="0" w:after="283"/>
              <w:rPr/>
            </w:pPr>
            <w:r>
              <w:rPr/>
              <w:t> </w:t>
            </w:r>
          </w:p>
        </w:tc>
      </w:tr>
      <w:tr>
        <w:trPr/>
        <w:tc>
          <w:tcPr>
            <w:tcW w:w="373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82" w:type="dxa"/>
            <w:tcBorders/>
            <w:shd w:fill="auto" w:val="clear"/>
            <w:vAlign w:val="bottom"/>
          </w:tcPr>
          <w:p>
            <w:pPr>
              <w:pStyle w:val="TableContents"/>
              <w:spacing w:before="0" w:after="283"/>
              <w:rPr/>
            </w:pPr>
            <w:r>
              <w:rPr/>
              <w:t> </w:t>
            </w:r>
          </w:p>
        </w:tc>
      </w:tr>
      <w:tr>
        <w:trPr/>
        <w:tc>
          <w:tcPr>
            <w:tcW w:w="373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3517"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r>
      <w:tr>
        <w:trPr/>
        <w:tc>
          <w:tcPr>
            <w:tcW w:w="3731" w:type="dxa"/>
            <w:tcBorders/>
            <w:shd w:fill="CCEEFF" w:val="clear"/>
          </w:tcPr>
          <w:p>
            <w:pPr>
              <w:pStyle w:val="TableContents"/>
              <w:spacing w:before="0" w:after="0"/>
              <w:rPr>
                <w:rFonts w:ascii="Times New Roman" w:hAnsi="Times New Roman"/>
                <w:sz w:val="20"/>
              </w:rPr>
            </w:pPr>
            <w:r>
              <w:rPr>
                <w:rFonts w:ascii="Times New Roman" w:hAnsi="Times New Roman"/>
                <w:sz w:val="20"/>
              </w:rPr>
              <w:t>Compensation and benefits</w:t>
            </w:r>
          </w:p>
        </w:tc>
        <w:tc>
          <w:tcPr>
            <w:tcW w:w="3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6" w:type="dxa"/>
            <w:tcBorders/>
            <w:shd w:fill="CCEEFF" w:val="clear"/>
            <w:vAlign w:val="bottom"/>
          </w:tcPr>
          <w:p>
            <w:pPr>
              <w:pStyle w:val="TableContents"/>
              <w:spacing w:before="0" w:after="283"/>
              <w:jc w:val="right"/>
              <w:rPr/>
            </w:pPr>
            <w:r>
              <w:rPr/>
              <w:t>43,141</w:t>
            </w:r>
          </w:p>
        </w:tc>
        <w:tc>
          <w:tcPr>
            <w:tcW w:w="60"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6" w:type="dxa"/>
            <w:tcBorders/>
            <w:shd w:fill="CCEEFF" w:val="clear"/>
            <w:vAlign w:val="bottom"/>
          </w:tcPr>
          <w:p>
            <w:pPr>
              <w:pStyle w:val="TableContents"/>
              <w:spacing w:before="0" w:after="283"/>
              <w:jc w:val="right"/>
              <w:rPr/>
            </w:pPr>
            <w:r>
              <w:rPr/>
              <w:t>23,237</w:t>
            </w:r>
          </w:p>
        </w:tc>
        <w:tc>
          <w:tcPr>
            <w:tcW w:w="60"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74" w:type="dxa"/>
            <w:tcBorders/>
            <w:shd w:fill="CCEEFF" w:val="clear"/>
            <w:vAlign w:val="bottom"/>
          </w:tcPr>
          <w:p>
            <w:pPr>
              <w:pStyle w:val="TableContents"/>
              <w:spacing w:before="0" w:after="283"/>
              <w:jc w:val="right"/>
              <w:rPr/>
            </w:pPr>
            <w:r>
              <w:rPr/>
              <w:t>19,904</w:t>
            </w:r>
          </w:p>
        </w:tc>
        <w:tc>
          <w:tcPr>
            <w:tcW w:w="60"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85.7</w:t>
            </w:r>
          </w:p>
        </w:tc>
        <w:tc>
          <w:tcPr>
            <w:tcW w:w="282"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Compensation and benefits expense includes all salaries and benefits, compensation for contract labor, incentive programs for employees, payroll taxes, unit-based compensation and other employee related costs except non-cash stock compensation included in acquisition-related expenses resulting from the Bridge2 Solutions acquisition. This is the most significant component of our operating expenses and we expect that our compensation and benefits expense will continue to increase in absolute dollars as we increase our headcount to support the projected growth in our business as well as our increased compliance and reporting requirements as a public company. </w:t>
      </w:r>
    </w:p>
    <w:p>
      <w:pPr>
        <w:pStyle w:val="TextBody"/>
        <w:spacing w:before="240" w:after="0"/>
        <w:jc w:val="left"/>
        <w:rPr>
          <w:rFonts w:ascii="Times New Roman" w:hAnsi="Times New Roman"/>
          <w:sz w:val="20"/>
        </w:rPr>
      </w:pPr>
      <w:r>
        <w:rPr>
          <w:rFonts w:ascii="Times New Roman" w:hAnsi="Times New Roman"/>
          <w:sz w:val="20"/>
        </w:rPr>
        <w:t xml:space="preserve">Headcount will also increase across functions to further strengthen our service offerings and enhance our systems, processes, and controls. We intend to grant equity awards as part of the compensation package for new employees. See the section entitled Unaudited Pro Forma Condensed Combined Financial Information beginning on page [210] of this proxy statement/prospectus for the impact of accelerated vesting triggered by the proposed transaction. We expect that our compensation and expenses will decrease as a percentage of our revenue over time. Compensation and benefits increased by $19.9 million or 85.7%, for the year ended December 31, 2020 compared to the year ended December 31, 2019. The increase was primarily due to $23.1 million in additional salaries and wages, $11.4 million in contract labor for software development, $1.3 million in payroll taxes, $2.8 million in health care and benefits and $0.7 million in additional bonuses. The majority of the increase in these costs results from the acquisition of Bridge2 Solutions, offset by a reduction in severance pay of $5.1 million, unit-based compensation of $2.4 million and capitalized software of $11.8 million. </w:t>
      </w:r>
    </w:p>
    <w:p>
      <w:pPr>
        <w:pStyle w:val="TextBody"/>
        <w:spacing w:before="360" w:after="0"/>
        <w:jc w:val="left"/>
        <w:rPr>
          <w:rFonts w:ascii="Times New Roman" w:hAnsi="Times New Roman"/>
          <w:b/>
          <w:i/>
          <w:sz w:val="20"/>
        </w:rPr>
      </w:pPr>
      <w:r>
        <w:rPr>
          <w:rFonts w:ascii="Times New Roman" w:hAnsi="Times New Roman"/>
          <w:b/>
          <w:i/>
          <w:sz w:val="20"/>
        </w:rPr>
        <w:t xml:space="preserve">Professional Services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967"/>
        <w:gridCol w:w="351"/>
        <w:gridCol w:w="140"/>
        <w:gridCol w:w="562"/>
        <w:gridCol w:w="60"/>
        <w:gridCol w:w="351"/>
        <w:gridCol w:w="140"/>
        <w:gridCol w:w="562"/>
        <w:gridCol w:w="60"/>
        <w:gridCol w:w="351"/>
        <w:gridCol w:w="199"/>
        <w:gridCol w:w="807"/>
        <w:gridCol w:w="60"/>
        <w:gridCol w:w="351"/>
        <w:gridCol w:w="133"/>
        <w:gridCol w:w="1011"/>
        <w:gridCol w:w="283"/>
      </w:tblGrid>
      <w:tr>
        <w:trPr/>
        <w:tc>
          <w:tcPr>
            <w:tcW w:w="3967"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396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478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83" w:type="dxa"/>
            <w:tcBorders/>
            <w:shd w:fill="auto"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83" w:type="dxa"/>
            <w:tcBorders/>
            <w:shd w:fill="auto"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232"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services</w:t>
            </w:r>
          </w:p>
        </w:tc>
        <w:tc>
          <w:tcPr>
            <w:tcW w:w="3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2" w:type="dxa"/>
            <w:tcBorders/>
            <w:shd w:fill="CCEEFF" w:val="clear"/>
            <w:vAlign w:val="bottom"/>
          </w:tcPr>
          <w:p>
            <w:pPr>
              <w:pStyle w:val="TableContents"/>
              <w:spacing w:before="0" w:after="283"/>
              <w:jc w:val="right"/>
              <w:rPr/>
            </w:pPr>
            <w:r>
              <w:rPr/>
              <w:t>5,751</w:t>
            </w:r>
          </w:p>
        </w:tc>
        <w:tc>
          <w:tcPr>
            <w:tcW w:w="6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2" w:type="dxa"/>
            <w:tcBorders/>
            <w:shd w:fill="CCEEFF" w:val="clear"/>
            <w:vAlign w:val="bottom"/>
          </w:tcPr>
          <w:p>
            <w:pPr>
              <w:pStyle w:val="TableContents"/>
              <w:spacing w:before="0" w:after="283"/>
              <w:jc w:val="right"/>
              <w:rPr/>
            </w:pPr>
            <w:r>
              <w:rPr/>
              <w:t>4,150</w:t>
            </w:r>
          </w:p>
        </w:tc>
        <w:tc>
          <w:tcPr>
            <w:tcW w:w="6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807" w:type="dxa"/>
            <w:tcBorders/>
            <w:shd w:fill="CCEEFF" w:val="clear"/>
            <w:vAlign w:val="bottom"/>
          </w:tcPr>
          <w:p>
            <w:pPr>
              <w:pStyle w:val="TableContents"/>
              <w:spacing w:before="0" w:after="283"/>
              <w:jc w:val="right"/>
              <w:rPr/>
            </w:pPr>
            <w:r>
              <w:rPr/>
              <w:t>1,601</w:t>
            </w:r>
          </w:p>
        </w:tc>
        <w:tc>
          <w:tcPr>
            <w:tcW w:w="6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38.6</w:t>
            </w:r>
          </w:p>
        </w:tc>
        <w:tc>
          <w:tcPr>
            <w:tcW w:w="28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Professional services expense includes fees for regulatory, legal, and accounting fees. Professional services increased by $1.6 million or 38.6%, for the year ended December 31, 2020 compared to the year ended December 31, 2019. The increase was primarily due to $1.7 million in additional professional fees and $0.5 million in audit and tax fees due to our acquisition of Bridge2 Solutions, offset by a decrease in legal fees of $0.5 million.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Technology and Communication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017"/>
        <w:gridCol w:w="340"/>
        <w:gridCol w:w="140"/>
        <w:gridCol w:w="562"/>
        <w:gridCol w:w="60"/>
        <w:gridCol w:w="340"/>
        <w:gridCol w:w="140"/>
        <w:gridCol w:w="562"/>
        <w:gridCol w:w="60"/>
        <w:gridCol w:w="340"/>
        <w:gridCol w:w="199"/>
        <w:gridCol w:w="806"/>
        <w:gridCol w:w="60"/>
        <w:gridCol w:w="340"/>
        <w:gridCol w:w="107"/>
        <w:gridCol w:w="1030"/>
        <w:gridCol w:w="285"/>
      </w:tblGrid>
      <w:tr>
        <w:trPr/>
        <w:tc>
          <w:tcPr>
            <w:tcW w:w="401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401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4746"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85" w:type="dxa"/>
            <w:tcBorders/>
            <w:shd w:fill="auto" w:val="clear"/>
            <w:vAlign w:val="bottom"/>
          </w:tcPr>
          <w:p>
            <w:pPr>
              <w:pStyle w:val="TableContents"/>
              <w:spacing w:before="0" w:after="283"/>
              <w:rPr/>
            </w:pPr>
            <w:r>
              <w:rPr/>
              <w:t> </w:t>
            </w:r>
          </w:p>
        </w:tc>
      </w:tr>
      <w:tr>
        <w:trPr/>
        <w:tc>
          <w:tcPr>
            <w:tcW w:w="401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1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85" w:type="dxa"/>
            <w:tcBorders/>
            <w:shd w:fill="auto" w:val="clear"/>
            <w:vAlign w:val="bottom"/>
          </w:tcPr>
          <w:p>
            <w:pPr>
              <w:pStyle w:val="TableContents"/>
              <w:spacing w:before="0" w:after="283"/>
              <w:rPr/>
            </w:pPr>
            <w:r>
              <w:rPr/>
              <w:t> </w:t>
            </w:r>
          </w:p>
        </w:tc>
      </w:tr>
      <w:tr>
        <w:trPr/>
        <w:tc>
          <w:tcPr>
            <w:tcW w:w="401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209"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4017" w:type="dxa"/>
            <w:tcBorders/>
            <w:shd w:fill="CCEEFF" w:val="clear"/>
          </w:tcPr>
          <w:p>
            <w:pPr>
              <w:pStyle w:val="TableContents"/>
              <w:spacing w:before="0" w:after="0"/>
              <w:rPr>
                <w:rFonts w:ascii="Times New Roman" w:hAnsi="Times New Roman"/>
                <w:sz w:val="20"/>
              </w:rPr>
            </w:pPr>
            <w:r>
              <w:rPr>
                <w:rFonts w:ascii="Times New Roman" w:hAnsi="Times New Roman"/>
                <w:sz w:val="20"/>
              </w:rPr>
              <w:t>Technology and communication</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2" w:type="dxa"/>
            <w:tcBorders/>
            <w:shd w:fill="CCEEFF" w:val="clear"/>
            <w:vAlign w:val="bottom"/>
          </w:tcPr>
          <w:p>
            <w:pPr>
              <w:pStyle w:val="TableContents"/>
              <w:spacing w:before="0" w:after="283"/>
              <w:jc w:val="right"/>
              <w:rPr/>
            </w:pPr>
            <w:r>
              <w:rPr/>
              <w:t>9,741</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2" w:type="dxa"/>
            <w:tcBorders/>
            <w:shd w:fill="CCEEFF" w:val="clear"/>
            <w:vAlign w:val="bottom"/>
          </w:tcPr>
          <w:p>
            <w:pPr>
              <w:pStyle w:val="TableContents"/>
              <w:spacing w:before="0" w:after="283"/>
              <w:jc w:val="right"/>
              <w:rPr/>
            </w:pPr>
            <w:r>
              <w:rPr/>
              <w:t>4,256</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806" w:type="dxa"/>
            <w:tcBorders/>
            <w:shd w:fill="CCEEFF" w:val="clear"/>
            <w:vAlign w:val="bottom"/>
          </w:tcPr>
          <w:p>
            <w:pPr>
              <w:pStyle w:val="TableContents"/>
              <w:spacing w:before="0" w:after="283"/>
              <w:jc w:val="right"/>
              <w:rPr/>
            </w:pPr>
            <w:r>
              <w:rPr/>
              <w:t>5,485</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128.9</w:t>
            </w:r>
          </w:p>
        </w:tc>
        <w:tc>
          <w:tcPr>
            <w:tcW w:w="28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Technology and communication costs represent all non-headcount related costs we incur to operate our business. Such costs principally include amounts paid for software licenses and software as a service arrangements utilized for operating, administrative and information security activities, fees paid for third 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 </w:t>
      </w:r>
    </w:p>
    <w:p>
      <w:pPr>
        <w:pStyle w:val="TextBody"/>
        <w:spacing w:before="240" w:after="0"/>
        <w:jc w:val="left"/>
        <w:rPr>
          <w:rFonts w:ascii="Times New Roman" w:hAnsi="Times New Roman"/>
          <w:sz w:val="20"/>
        </w:rPr>
      </w:pPr>
      <w:r>
        <w:rPr>
          <w:rFonts w:ascii="Times New Roman" w:hAnsi="Times New Roman"/>
          <w:sz w:val="20"/>
        </w:rPr>
        <w:t xml:space="preserve">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 increased by $5.5 million or 128.9%, for the year ended December 31, 2020 compared to the year ended December 31, 2019. The increase was primarily due to $4.0 million in software as a service fees, $1.2 million in hosting fees, $0.6 million in software maintenance and support cost, and $0.5 million in call center services. </w:t>
      </w:r>
    </w:p>
    <w:p>
      <w:pPr>
        <w:pStyle w:val="TextBody"/>
        <w:spacing w:before="360" w:after="0"/>
        <w:jc w:val="left"/>
        <w:rPr>
          <w:rFonts w:ascii="Times New Roman" w:hAnsi="Times New Roman"/>
          <w:b/>
          <w:i/>
          <w:sz w:val="20"/>
        </w:rPr>
      </w:pPr>
      <w:r>
        <w:rPr>
          <w:rFonts w:ascii="Times New Roman" w:hAnsi="Times New Roman"/>
          <w:b/>
          <w:i/>
          <w:sz w:val="20"/>
        </w:rPr>
        <w:t xml:space="preserve">Selling, General and Administrative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003"/>
        <w:gridCol w:w="346"/>
        <w:gridCol w:w="140"/>
        <w:gridCol w:w="560"/>
        <w:gridCol w:w="60"/>
        <w:gridCol w:w="346"/>
        <w:gridCol w:w="140"/>
        <w:gridCol w:w="560"/>
        <w:gridCol w:w="60"/>
        <w:gridCol w:w="346"/>
        <w:gridCol w:w="199"/>
        <w:gridCol w:w="804"/>
        <w:gridCol w:w="60"/>
        <w:gridCol w:w="345"/>
        <w:gridCol w:w="107"/>
        <w:gridCol w:w="1028"/>
        <w:gridCol w:w="284"/>
      </w:tblGrid>
      <w:tr>
        <w:trPr/>
        <w:tc>
          <w:tcPr>
            <w:tcW w:w="400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00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4755"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84" w:type="dxa"/>
            <w:tcBorders/>
            <w:shd w:fill="auto" w:val="clear"/>
            <w:vAlign w:val="bottom"/>
          </w:tcPr>
          <w:p>
            <w:pPr>
              <w:pStyle w:val="TableContents"/>
              <w:spacing w:before="0" w:after="283"/>
              <w:rPr/>
            </w:pPr>
            <w:r>
              <w:rPr/>
              <w:t> </w:t>
            </w:r>
          </w:p>
        </w:tc>
      </w:tr>
      <w:tr>
        <w:trPr/>
        <w:tc>
          <w:tcPr>
            <w:tcW w:w="400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84" w:type="dxa"/>
            <w:tcBorders/>
            <w:shd w:fill="auto" w:val="clear"/>
            <w:vAlign w:val="bottom"/>
          </w:tcPr>
          <w:p>
            <w:pPr>
              <w:pStyle w:val="TableContents"/>
              <w:spacing w:before="0" w:after="283"/>
              <w:rPr/>
            </w:pPr>
            <w:r>
              <w:rPr/>
              <w:t> </w:t>
            </w:r>
          </w:p>
        </w:tc>
      </w:tr>
      <w:tr>
        <w:trPr/>
        <w:tc>
          <w:tcPr>
            <w:tcW w:w="400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3215"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r>
      <w:tr>
        <w:trPr/>
        <w:tc>
          <w:tcPr>
            <w:tcW w:w="4003"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w:t>
            </w:r>
          </w:p>
        </w:tc>
        <w:tc>
          <w:tcPr>
            <w:tcW w:w="34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8,219</w:t>
            </w:r>
          </w:p>
        </w:tc>
        <w:tc>
          <w:tcPr>
            <w:tcW w:w="6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2,617</w:t>
            </w:r>
          </w:p>
        </w:tc>
        <w:tc>
          <w:tcPr>
            <w:tcW w:w="6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804" w:type="dxa"/>
            <w:tcBorders/>
            <w:shd w:fill="CCEEFF" w:val="clear"/>
            <w:vAlign w:val="bottom"/>
          </w:tcPr>
          <w:p>
            <w:pPr>
              <w:pStyle w:val="TableContents"/>
              <w:spacing w:before="0" w:after="283"/>
              <w:jc w:val="right"/>
              <w:rPr/>
            </w:pPr>
            <w:r>
              <w:rPr/>
              <w:t>5,602</w:t>
            </w:r>
          </w:p>
        </w:tc>
        <w:tc>
          <w:tcPr>
            <w:tcW w:w="60"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28" w:type="dxa"/>
            <w:tcBorders/>
            <w:shd w:fill="CCEEFF" w:val="clear"/>
            <w:vAlign w:val="bottom"/>
          </w:tcPr>
          <w:p>
            <w:pPr>
              <w:pStyle w:val="TableContents"/>
              <w:spacing w:before="0" w:after="283"/>
              <w:jc w:val="right"/>
              <w:rPr/>
            </w:pPr>
            <w:r>
              <w:rPr/>
              <w:t>214.1</w:t>
            </w:r>
          </w:p>
        </w:tc>
        <w:tc>
          <w:tcPr>
            <w:tcW w:w="28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However, we expect these costs will decrease as a percentage of our revenue in future years as we gain improved operating leverage from our projected revenue growth. Selling, general and administrative costs increased by $5.6 million or 214.1%, for the year ended December 31, 2020 compared to the year ended December 31, 2019. The increase was primarily due to $4.3 million in marketing expenses related to the launch of our consumer app and $0.9 million in insurance, offset mainly by a decrease in business travel and entertainment due to COVID-19. </w:t>
      </w:r>
    </w:p>
    <w:p>
      <w:pPr>
        <w:pStyle w:val="TextBody"/>
        <w:spacing w:before="360" w:after="0"/>
        <w:jc w:val="left"/>
        <w:rPr>
          <w:rFonts w:ascii="Times New Roman" w:hAnsi="Times New Roman"/>
          <w:b/>
          <w:i/>
          <w:sz w:val="20"/>
        </w:rPr>
      </w:pPr>
      <w:r>
        <w:rPr>
          <w:rFonts w:ascii="Times New Roman" w:hAnsi="Times New Roman"/>
          <w:b/>
          <w:i/>
          <w:sz w:val="20"/>
        </w:rPr>
        <w:t xml:space="preserve">Acquisition-related Expenses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185"/>
        <w:gridCol w:w="281"/>
        <w:gridCol w:w="140"/>
        <w:gridCol w:w="707"/>
        <w:gridCol w:w="60"/>
        <w:gridCol w:w="281"/>
        <w:gridCol w:w="140"/>
        <w:gridCol w:w="409"/>
        <w:gridCol w:w="60"/>
        <w:gridCol w:w="281"/>
        <w:gridCol w:w="169"/>
        <w:gridCol w:w="875"/>
        <w:gridCol w:w="60"/>
        <w:gridCol w:w="281"/>
        <w:gridCol w:w="83"/>
        <w:gridCol w:w="1093"/>
        <w:gridCol w:w="283"/>
      </w:tblGrid>
      <w:tr>
        <w:trPr/>
        <w:tc>
          <w:tcPr>
            <w:tcW w:w="418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418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63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83" w:type="dxa"/>
            <w:tcBorders/>
            <w:shd w:fill="auto" w:val="clear"/>
            <w:vAlign w:val="bottom"/>
          </w:tcPr>
          <w:p>
            <w:pPr>
              <w:pStyle w:val="TableContents"/>
              <w:spacing w:before="0" w:after="283"/>
              <w:rPr/>
            </w:pPr>
            <w:r>
              <w:rPr/>
              <w:t> </w:t>
            </w:r>
          </w:p>
        </w:tc>
      </w:tr>
      <w:tr>
        <w:trPr/>
        <w:tc>
          <w:tcPr>
            <w:tcW w:w="418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5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1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83" w:type="dxa"/>
            <w:tcBorders/>
            <w:shd w:fill="auto" w:val="clear"/>
            <w:vAlign w:val="bottom"/>
          </w:tcPr>
          <w:p>
            <w:pPr>
              <w:pStyle w:val="TableContents"/>
              <w:spacing w:before="0" w:after="283"/>
              <w:rPr/>
            </w:pPr>
            <w:r>
              <w:rPr/>
              <w:t> </w:t>
            </w:r>
          </w:p>
        </w:tc>
      </w:tr>
      <w:tr>
        <w:trPr/>
        <w:tc>
          <w:tcPr>
            <w:tcW w:w="418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3122"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176" w:type="dxa"/>
            <w:gridSpan w:val="2"/>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r>
      <w:tr>
        <w:trPr/>
        <w:tc>
          <w:tcPr>
            <w:tcW w:w="4185"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Acquisition-related cost</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7" w:type="dxa"/>
            <w:tcBorders/>
            <w:shd w:fill="CCEEFF" w:val="clear"/>
            <w:vAlign w:val="bottom"/>
          </w:tcPr>
          <w:p>
            <w:pPr>
              <w:pStyle w:val="TableContents"/>
              <w:spacing w:before="0" w:after="283"/>
              <w:jc w:val="right"/>
              <w:rPr/>
            </w:pPr>
            <w:r>
              <w:rPr/>
              <w:t>13,372</w:t>
            </w:r>
          </w:p>
        </w:tc>
        <w:tc>
          <w:tcPr>
            <w:tcW w:w="6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jc w:val="right"/>
              <w:rPr/>
            </w:pPr>
            <w:r>
              <w:rPr/>
              <w:t>731</w:t>
            </w:r>
          </w:p>
        </w:tc>
        <w:tc>
          <w:tcPr>
            <w:tcW w:w="6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75" w:type="dxa"/>
            <w:tcBorders/>
            <w:shd w:fill="CCEEFF" w:val="clear"/>
            <w:vAlign w:val="bottom"/>
          </w:tcPr>
          <w:p>
            <w:pPr>
              <w:pStyle w:val="TableContents"/>
              <w:spacing w:before="0" w:after="283"/>
              <w:jc w:val="right"/>
              <w:rPr/>
            </w:pPr>
            <w:r>
              <w:rPr/>
              <w:t>12,641</w:t>
            </w:r>
          </w:p>
        </w:tc>
        <w:tc>
          <w:tcPr>
            <w:tcW w:w="6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1,729.3</w:t>
            </w:r>
          </w:p>
        </w:tc>
        <w:tc>
          <w:tcPr>
            <w:tcW w:w="28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Acquisition-related costs consist entirely of costs incurred in our acquisition of Bridge2 Solutions in February 2020. In 2020, we recognized an acceleration of $9.5 million of non-cash stock compensation resulting from the Bridge2 Solutions acquisition.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Depreciation and Amortization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183"/>
        <w:gridCol w:w="304"/>
        <w:gridCol w:w="140"/>
        <w:gridCol w:w="586"/>
        <w:gridCol w:w="60"/>
        <w:gridCol w:w="304"/>
        <w:gridCol w:w="140"/>
        <w:gridCol w:w="380"/>
        <w:gridCol w:w="60"/>
        <w:gridCol w:w="304"/>
        <w:gridCol w:w="199"/>
        <w:gridCol w:w="841"/>
        <w:gridCol w:w="60"/>
        <w:gridCol w:w="304"/>
        <w:gridCol w:w="83"/>
        <w:gridCol w:w="1146"/>
        <w:gridCol w:w="294"/>
      </w:tblGrid>
      <w:tr>
        <w:trPr/>
        <w:tc>
          <w:tcPr>
            <w:tcW w:w="418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4183"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460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94" w:type="dxa"/>
            <w:tcBorders/>
            <w:shd w:fill="auto" w:val="clear"/>
            <w:vAlign w:val="bottom"/>
          </w:tcPr>
          <w:p>
            <w:pPr>
              <w:pStyle w:val="TableContents"/>
              <w:spacing w:before="0" w:after="283"/>
              <w:rPr/>
            </w:pPr>
            <w:r>
              <w:rPr/>
              <w:t> </w:t>
            </w:r>
          </w:p>
        </w:tc>
      </w:tr>
      <w:tr>
        <w:trPr/>
        <w:tc>
          <w:tcPr>
            <w:tcW w:w="4183"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94" w:type="dxa"/>
            <w:tcBorders/>
            <w:shd w:fill="auto" w:val="clear"/>
            <w:vAlign w:val="bottom"/>
          </w:tcPr>
          <w:p>
            <w:pPr>
              <w:pStyle w:val="TableContents"/>
              <w:spacing w:before="0" w:after="283"/>
              <w:rPr/>
            </w:pPr>
            <w:r>
              <w:rPr/>
              <w:t> </w:t>
            </w:r>
          </w:p>
        </w:tc>
      </w:tr>
      <w:tr>
        <w:trPr/>
        <w:tc>
          <w:tcPr>
            <w:tcW w:w="4183"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014"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r>
      <w:tr>
        <w:trPr/>
        <w:tc>
          <w:tcPr>
            <w:tcW w:w="4183"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3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6" w:type="dxa"/>
            <w:tcBorders/>
            <w:shd w:fill="CCEEFF" w:val="clear"/>
            <w:vAlign w:val="bottom"/>
          </w:tcPr>
          <w:p>
            <w:pPr>
              <w:pStyle w:val="TableContents"/>
              <w:spacing w:before="0" w:after="283"/>
              <w:jc w:val="right"/>
              <w:rPr/>
            </w:pPr>
            <w:r>
              <w:rPr/>
              <w:t>8,159</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324</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841" w:type="dxa"/>
            <w:tcBorders/>
            <w:shd w:fill="CCEEFF" w:val="clear"/>
            <w:vAlign w:val="bottom"/>
          </w:tcPr>
          <w:p>
            <w:pPr>
              <w:pStyle w:val="TableContents"/>
              <w:spacing w:before="0" w:after="283"/>
              <w:jc w:val="right"/>
              <w:rPr/>
            </w:pPr>
            <w:r>
              <w:rPr/>
              <w:t>7,835</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2,418.2</w:t>
            </w:r>
          </w:p>
        </w:tc>
        <w:tc>
          <w:tcPr>
            <w:tcW w:w="29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Depreciation and amortization expense results consists of amortization of intangible assets from business acquisitions, internally developed software and depreciation of purchased software, computer and office equipment over their estimated useful lives. Intangible assets subject to amortization consist primarily of acquired technology and customer relationships from the Bridge2 Solutions acquisition. Depreciation and amortization increased by $7.8 million or 2,418.2%, for the year ended December 31, 2020 compared to the year ended December 31, 2019. The increase was primarily due to amortization associated with intangibles acquired through the acquisition of Bridge2 Solutions. </w:t>
      </w:r>
    </w:p>
    <w:p>
      <w:pPr>
        <w:pStyle w:val="TextBody"/>
        <w:spacing w:before="360" w:after="0"/>
        <w:jc w:val="left"/>
        <w:rPr>
          <w:rFonts w:ascii="Times New Roman" w:hAnsi="Times New Roman"/>
          <w:b/>
          <w:i/>
          <w:sz w:val="20"/>
        </w:rPr>
      </w:pPr>
      <w:r>
        <w:rPr>
          <w:rFonts w:ascii="Times New Roman" w:hAnsi="Times New Roman"/>
          <w:b/>
          <w:i/>
          <w:sz w:val="20"/>
        </w:rPr>
        <w:t xml:space="preserve">Affiliate Expenses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967"/>
        <w:gridCol w:w="366"/>
        <w:gridCol w:w="140"/>
        <w:gridCol w:w="588"/>
        <w:gridCol w:w="60"/>
        <w:gridCol w:w="366"/>
        <w:gridCol w:w="140"/>
        <w:gridCol w:w="380"/>
        <w:gridCol w:w="60"/>
        <w:gridCol w:w="366"/>
        <w:gridCol w:w="199"/>
        <w:gridCol w:w="845"/>
        <w:gridCol w:w="60"/>
        <w:gridCol w:w="366"/>
        <w:gridCol w:w="107"/>
        <w:gridCol w:w="1081"/>
        <w:gridCol w:w="297"/>
      </w:tblGrid>
      <w:tr>
        <w:trPr/>
        <w:tc>
          <w:tcPr>
            <w:tcW w:w="396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396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4758"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97" w:type="dxa"/>
            <w:tcBorders/>
            <w:shd w:fill="auto"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297" w:type="dxa"/>
            <w:tcBorders/>
            <w:shd w:fill="auto"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3144"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88" w:type="dxa"/>
            <w:gridSpan w:val="2"/>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Affiliate expenses</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3,082</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500</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2,582</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516.4</w:t>
            </w:r>
          </w:p>
        </w:tc>
        <w:tc>
          <w:tcPr>
            <w:tcW w:w="297"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Affiliate expenses result from technical support service and other costs pursuant to the ISA between Bakkt and ICE. Affiliate expenses increased by $2.6 million or 516.4%, for the year ended December 31, 2020 compared to the year ended December 31, 2019. The increase in such costs in 2020 was primarily due to an increase in fees under the ISA, related to a change to the fee structure for 2020 as compared with 2019. </w:t>
      </w:r>
    </w:p>
    <w:p>
      <w:pPr>
        <w:pStyle w:val="TextBody"/>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096"/>
        <w:gridCol w:w="363"/>
        <w:gridCol w:w="140"/>
        <w:gridCol w:w="738"/>
        <w:gridCol w:w="60"/>
        <w:gridCol w:w="363"/>
        <w:gridCol w:w="152"/>
        <w:gridCol w:w="350"/>
        <w:gridCol w:w="60"/>
        <w:gridCol w:w="363"/>
        <w:gridCol w:w="169"/>
        <w:gridCol w:w="864"/>
        <w:gridCol w:w="60"/>
        <w:gridCol w:w="363"/>
        <w:gridCol w:w="133"/>
        <w:gridCol w:w="1049"/>
        <w:gridCol w:w="65"/>
      </w:tblGrid>
      <w:tr>
        <w:trPr/>
        <w:tc>
          <w:tcPr>
            <w:tcW w:w="409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096"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4864"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65" w:type="dxa"/>
            <w:tcBorders/>
            <w:shd w:fill="auto" w:val="clear"/>
            <w:vAlign w:val="bottom"/>
          </w:tcPr>
          <w:p>
            <w:pPr>
              <w:pStyle w:val="TableContents"/>
              <w:spacing w:before="0" w:after="283"/>
              <w:rPr/>
            </w:pPr>
            <w:r>
              <w:rPr/>
              <w:t> </w:t>
            </w:r>
          </w:p>
        </w:tc>
      </w:tr>
      <w:tr>
        <w:trPr/>
        <w:tc>
          <w:tcPr>
            <w:tcW w:w="4096"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5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65" w:type="dxa"/>
            <w:tcBorders/>
            <w:shd w:fill="auto" w:val="clear"/>
            <w:vAlign w:val="bottom"/>
          </w:tcPr>
          <w:p>
            <w:pPr>
              <w:pStyle w:val="TableContents"/>
              <w:spacing w:before="0" w:after="283"/>
              <w:rPr/>
            </w:pPr>
            <w:r>
              <w:rPr/>
              <w:t> </w:t>
            </w:r>
          </w:p>
        </w:tc>
      </w:tr>
      <w:tr>
        <w:trPr/>
        <w:tc>
          <w:tcPr>
            <w:tcW w:w="4096"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3259" w:type="dxa"/>
            <w:gridSpan w:val="10"/>
            <w:tcBorders/>
            <w:shd w:fill="auto" w:val="clear"/>
            <w:vAlign w:val="bottom"/>
          </w:tcPr>
          <w:p>
            <w:pPr>
              <w:pStyle w:val="TableContents"/>
              <w:spacing w:before="0" w:after="283"/>
              <w:jc w:val="center"/>
              <w:rPr>
                <w:b/>
              </w:rPr>
            </w:pPr>
            <w:r>
              <w:rPr>
                <w:b/>
              </w:rPr>
              <w:t>(dollars in thousands)</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r>
      <w:tr>
        <w:trPr/>
        <w:tc>
          <w:tcPr>
            <w:tcW w:w="4096"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38" w:type="dxa"/>
            <w:tcBorders/>
            <w:shd w:fill="CCEEFF" w:val="clear"/>
            <w:vAlign w:val="bottom"/>
          </w:tcPr>
          <w:p>
            <w:pPr>
              <w:pStyle w:val="TableContents"/>
              <w:spacing w:before="0" w:after="283"/>
              <w:jc w:val="right"/>
              <w:rPr/>
            </w:pPr>
            <w:r>
              <w:rPr/>
              <w:t>15,292</w:t>
            </w:r>
          </w:p>
        </w:tc>
        <w:tc>
          <w:tcPr>
            <w:tcW w:w="60"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64" w:type="dxa"/>
            <w:tcBorders/>
            <w:shd w:fill="CCEEFF" w:val="clear"/>
            <w:vAlign w:val="bottom"/>
          </w:tcPr>
          <w:p>
            <w:pPr>
              <w:pStyle w:val="TableContents"/>
              <w:spacing w:before="0" w:after="283"/>
              <w:jc w:val="right"/>
              <w:rPr/>
            </w:pPr>
            <w:r>
              <w:rPr/>
              <w:t>15,292</w:t>
            </w:r>
          </w:p>
        </w:tc>
        <w:tc>
          <w:tcPr>
            <w:tcW w:w="60"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N/A</w:t>
            </w:r>
          </w:p>
        </w:tc>
        <w:tc>
          <w:tcPr>
            <w:tcW w:w="6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year ended December 31, 2020, the Company determined that third-party software to customize functionality for its consumer app and certain software from a third-party vendor would not provide a viable solution for its business requirements. After performing various analyses for impairment of the amounts capitalized, we concluded these assets were impaired and recorded an impairment charge of approximately $15.3 million. For the year ended December 31, 2019, there was no impairment of assets. </w:t>
      </w:r>
    </w:p>
    <w:p>
      <w:pPr>
        <w:pStyle w:val="TextBody"/>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825"/>
        <w:gridCol w:w="361"/>
        <w:gridCol w:w="140"/>
        <w:gridCol w:w="381"/>
        <w:gridCol w:w="60"/>
        <w:gridCol w:w="361"/>
        <w:gridCol w:w="140"/>
        <w:gridCol w:w="589"/>
        <w:gridCol w:w="60"/>
        <w:gridCol w:w="361"/>
        <w:gridCol w:w="179"/>
        <w:gridCol w:w="863"/>
        <w:gridCol w:w="155"/>
        <w:gridCol w:w="361"/>
        <w:gridCol w:w="116"/>
        <w:gridCol w:w="1073"/>
        <w:gridCol w:w="363"/>
      </w:tblGrid>
      <w:tr>
        <w:trPr/>
        <w:tc>
          <w:tcPr>
            <w:tcW w:w="382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483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363" w:type="dxa"/>
            <w:tcBorders/>
            <w:shd w:fill="auto"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7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363" w:type="dxa"/>
            <w:tcBorders/>
            <w:shd w:fill="auto"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134" w:type="dxa"/>
            <w:gridSpan w:val="10"/>
            <w:tcBorders/>
            <w:shd w:fill="auto" w:val="clear"/>
            <w:vAlign w:val="bottom"/>
          </w:tcPr>
          <w:p>
            <w:pPr>
              <w:pStyle w:val="TableContents"/>
              <w:spacing w:before="0" w:after="283"/>
              <w:jc w:val="center"/>
              <w:rPr>
                <w:b/>
              </w:rPr>
            </w:pPr>
            <w:r>
              <w:rPr>
                <w:b/>
              </w:rPr>
              <w:t>(dollars in thousands)</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r>
      <w:tr>
        <w:trPr/>
        <w:tc>
          <w:tcPr>
            <w:tcW w:w="3825"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 net</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jc w:val="right"/>
              <w:rPr/>
            </w:pPr>
            <w:r>
              <w:rPr/>
              <w:t>123</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9" w:type="dxa"/>
            <w:tcBorders/>
            <w:shd w:fill="CCEEFF" w:val="clear"/>
            <w:vAlign w:val="bottom"/>
          </w:tcPr>
          <w:p>
            <w:pPr>
              <w:pStyle w:val="TableContents"/>
              <w:spacing w:before="0" w:after="283"/>
              <w:jc w:val="right"/>
              <w:rPr/>
            </w:pPr>
            <w:r>
              <w:rPr/>
              <w:t>3,280</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w:t>
            </w:r>
          </w:p>
        </w:tc>
        <w:tc>
          <w:tcPr>
            <w:tcW w:w="863" w:type="dxa"/>
            <w:tcBorders/>
            <w:shd w:fill="CCEEFF" w:val="clear"/>
            <w:vAlign w:val="bottom"/>
          </w:tcPr>
          <w:p>
            <w:pPr>
              <w:pStyle w:val="TableContents"/>
              <w:spacing w:before="0" w:after="283"/>
              <w:jc w:val="right"/>
              <w:rPr/>
            </w:pPr>
            <w:r>
              <w:rPr/>
              <w:t>(3,157</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(96.3</w:t>
            </w:r>
          </w:p>
        </w:tc>
        <w:tc>
          <w:tcPr>
            <w:tcW w:w="36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Interest income consists primarily of interest income earned from short-term investments (principally money market funds) and cash deposits with banks. Interest income decreased by $3.2 million or 96.3%, for the year ended December 31, 2020 compared to the year ended December 31, 2019. The decrease was primarily due to the decrease in interest rates from 2019 to 2020 and lower balances in our money market funds.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Income Tax (Expense) Benefit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934"/>
        <w:gridCol w:w="355"/>
        <w:gridCol w:w="140"/>
        <w:gridCol w:w="457"/>
        <w:gridCol w:w="155"/>
        <w:gridCol w:w="355"/>
        <w:gridCol w:w="140"/>
        <w:gridCol w:w="389"/>
        <w:gridCol w:w="60"/>
        <w:gridCol w:w="355"/>
        <w:gridCol w:w="234"/>
        <w:gridCol w:w="780"/>
        <w:gridCol w:w="155"/>
        <w:gridCol w:w="354"/>
        <w:gridCol w:w="96"/>
        <w:gridCol w:w="1061"/>
        <w:gridCol w:w="368"/>
      </w:tblGrid>
      <w:tr>
        <w:trPr/>
        <w:tc>
          <w:tcPr>
            <w:tcW w:w="393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393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4731"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368" w:type="dxa"/>
            <w:tcBorders/>
            <w:shd w:fill="auto"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5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5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15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Change</w:t>
            </w:r>
          </w:p>
        </w:tc>
        <w:tc>
          <w:tcPr>
            <w:tcW w:w="368" w:type="dxa"/>
            <w:tcBorders/>
            <w:shd w:fill="auto"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3065" w:type="dxa"/>
            <w:gridSpan w:val="10"/>
            <w:tcBorders/>
            <w:shd w:fill="auto" w:val="clear"/>
            <w:vAlign w:val="bottom"/>
          </w:tcPr>
          <w:p>
            <w:pPr>
              <w:pStyle w:val="TableContents"/>
              <w:spacing w:before="0" w:after="283"/>
              <w:jc w:val="center"/>
              <w:rPr>
                <w:b/>
              </w:rPr>
            </w:pPr>
            <w:r>
              <w:rPr>
                <w:b/>
              </w:rPr>
              <w:t>(dollars in thousands)</w:t>
            </w:r>
          </w:p>
        </w:tc>
        <w:tc>
          <w:tcPr>
            <w:tcW w:w="15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r>
      <w:tr>
        <w:trPr/>
        <w:tc>
          <w:tcPr>
            <w:tcW w:w="3934"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 benefit</w:t>
            </w:r>
          </w:p>
        </w:tc>
        <w:tc>
          <w:tcPr>
            <w:tcW w:w="35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jc w:val="right"/>
              <w:rPr/>
            </w:pPr>
            <w:r>
              <w:rPr/>
              <w:t>(391</w:t>
            </w:r>
          </w:p>
        </w:tc>
        <w:tc>
          <w:tcPr>
            <w:tcW w:w="155"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9" w:type="dxa"/>
            <w:tcBorders/>
            <w:shd w:fill="CCEEFF" w:val="clear"/>
            <w:vAlign w:val="bottom"/>
          </w:tcPr>
          <w:p>
            <w:pPr>
              <w:pStyle w:val="TableContents"/>
              <w:spacing w:before="0" w:after="283"/>
              <w:jc w:val="right"/>
              <w:rPr/>
            </w:pPr>
            <w:r>
              <w:rPr/>
              <w:t>199</w:t>
            </w:r>
          </w:p>
        </w:tc>
        <w:tc>
          <w:tcPr>
            <w:tcW w:w="60"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780" w:type="dxa"/>
            <w:tcBorders/>
            <w:shd w:fill="CCEEFF" w:val="clear"/>
            <w:vAlign w:val="bottom"/>
          </w:tcPr>
          <w:p>
            <w:pPr>
              <w:pStyle w:val="TableContents"/>
              <w:spacing w:before="0" w:after="283"/>
              <w:jc w:val="right"/>
              <w:rPr/>
            </w:pPr>
            <w:r>
              <w:rPr/>
              <w:t>(590</w:t>
            </w:r>
          </w:p>
        </w:tc>
        <w:tc>
          <w:tcPr>
            <w:tcW w:w="15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(296.5</w:t>
            </w:r>
          </w:p>
        </w:tc>
        <w:tc>
          <w:tcPr>
            <w:tcW w:w="368"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Income tax (expense) benefit consists of income taxes for related to United States federal, state and local tax. Our effective tax rate fluctuates from period to period due to changes in the mix of income and losses in jurisdictions with a wide range of tax rates, the effect of acquisitions, permanent differences between financial reporting and income tax return treatment of certain items, and changes in tax contingencies. Income tax (expense) benefit decreased by $0.6 million or 296.5%, for the year ended December 31, 2020 compared to the year ended December 31, 2019. </w:t>
      </w:r>
    </w:p>
    <w:p>
      <w:pPr>
        <w:pStyle w:val="TextBody"/>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Since our inception, we have financed our operations through equity financings in the form of capital contributions from our LLC members. As of December 31, 2020, we have raised an aggregate of $482.5 million of capital, net of issuance costs, through the issuance of Class B and Class C voting units. In addition, in 2018, ICE contributed certain developed assets and rights to use exchange and clearing licenses enabling us to commence operations. Our principal sources of liquidity are cash and cash equivalents. At December 31, 2020, we had $91.9 million of cash and cash equivalents, restricted cash and customer funds. Cash and cash equivalents consist of cash deposits at banks and money market funds. Restricted cash is held to satisfy certain minimum capital requirements pursuant to regulatory requirements. </w:t>
      </w:r>
    </w:p>
    <w:p>
      <w:pPr>
        <w:pStyle w:val="TextBody"/>
        <w:spacing w:before="240" w:after="0"/>
        <w:jc w:val="left"/>
        <w:rPr>
          <w:rFonts w:ascii="Times New Roman" w:hAnsi="Times New Roman"/>
          <w:sz w:val="20"/>
        </w:rPr>
      </w:pPr>
      <w:r>
        <w:rPr>
          <w:rFonts w:ascii="Times New Roman" w:hAnsi="Times New Roman"/>
          <w:sz w:val="20"/>
        </w:rPr>
        <w:t xml:space="preserve">We believe our existing cash and cash equivalents on hand will be sufficient to meet our working capital needs, and planned capital expenditures, for at least the next 12 months. </w:t>
      </w:r>
    </w:p>
    <w:p>
      <w:pPr>
        <w:pStyle w:val="TextBody"/>
        <w:spacing w:before="240" w:after="0"/>
        <w:jc w:val="left"/>
        <w:rPr>
          <w:rFonts w:ascii="Times New Roman" w:hAnsi="Times New Roman"/>
          <w:sz w:val="20"/>
        </w:rPr>
      </w:pPr>
      <w:r>
        <w:rPr>
          <w:rFonts w:ascii="Times New Roman" w:hAnsi="Times New Roman"/>
          <w:sz w:val="20"/>
        </w:rPr>
        <w:t xml:space="preserve">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connection with the transaction contemplated herein, we plan to accelerate our hiring and increase our marketing and promotional efforts. We also intend to increase our investment in software development activities from historical levels to more rapidly advance deployment of new features and functionality in our technology platforms. We may also enter into arrangements to acquire or invest in complementary businesses, services, and technologies which will likely require us to increase our cash consumption. </w:t>
      </w:r>
    </w:p>
    <w:p>
      <w:pPr>
        <w:pStyle w:val="TextBody"/>
        <w:spacing w:before="240" w:after="0"/>
        <w:jc w:val="left"/>
        <w:rPr>
          <w:rFonts w:ascii="Times New Roman" w:hAnsi="Times New Roman"/>
          <w:sz w:val="20"/>
        </w:rPr>
      </w:pPr>
      <w:r>
        <w:rPr>
          <w:rFonts w:ascii="Times New Roman" w:hAnsi="Times New Roman"/>
          <w:sz w:val="20"/>
        </w:rPr>
        <w:t xml:space="preserve">In addition, we have evaluated the impact of the COVID-19 pandemic on our liquidity and capital needs, and we anticipate that its effects will be largely neutral. </w:t>
      </w:r>
    </w:p>
    <w:p>
      <w:pPr>
        <w:pStyle w:val="TextBody"/>
        <w:spacing w:before="240" w:after="0"/>
        <w:jc w:val="left"/>
        <w:rPr>
          <w:rFonts w:ascii="Times New Roman" w:hAnsi="Times New Roman"/>
          <w:sz w:val="20"/>
        </w:rPr>
      </w:pPr>
      <w:r>
        <w:rPr>
          <w:rFonts w:ascii="Times New Roman" w:hAnsi="Times New Roman"/>
          <w:sz w:val="20"/>
        </w:rPr>
        <w:t xml:space="preserve">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 The following table summarizes our cash flows for the periods presented: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57"/>
        <w:gridCol w:w="370"/>
        <w:gridCol w:w="146"/>
        <w:gridCol w:w="825"/>
        <w:gridCol w:w="155"/>
        <w:gridCol w:w="370"/>
        <w:gridCol w:w="146"/>
        <w:gridCol w:w="825"/>
        <w:gridCol w:w="161"/>
      </w:tblGrid>
      <w:tr>
        <w:trPr/>
        <w:tc>
          <w:tcPr>
            <w:tcW w:w="475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75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67"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w:t>
            </w:r>
          </w:p>
        </w:tc>
        <w:tc>
          <w:tcPr>
            <w:tcW w:w="161" w:type="dxa"/>
            <w:tcBorders/>
            <w:shd w:fill="auto" w:val="clear"/>
            <w:vAlign w:val="bottom"/>
          </w:tcPr>
          <w:p>
            <w:pPr>
              <w:pStyle w:val="TableContents"/>
              <w:spacing w:before="0" w:after="283"/>
              <w:rPr/>
            </w:pPr>
            <w:r>
              <w:rPr/>
              <w:t> </w:t>
            </w:r>
          </w:p>
        </w:tc>
      </w:tr>
      <w:tr>
        <w:trPr/>
        <w:tc>
          <w:tcPr>
            <w:tcW w:w="475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9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9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61" w:type="dxa"/>
            <w:tcBorders/>
            <w:shd w:fill="auto" w:val="clear"/>
            <w:vAlign w:val="bottom"/>
          </w:tcPr>
          <w:p>
            <w:pPr>
              <w:pStyle w:val="TableContents"/>
              <w:spacing w:before="0" w:after="283"/>
              <w:rPr/>
            </w:pPr>
            <w:r>
              <w:rPr/>
              <w:t> </w:t>
            </w:r>
          </w:p>
        </w:tc>
      </w:tr>
      <w:tr>
        <w:trPr/>
        <w:tc>
          <w:tcPr>
            <w:tcW w:w="475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67" w:type="dxa"/>
            <w:gridSpan w:val="6"/>
            <w:tcBorders/>
            <w:shd w:fill="auto" w:val="clear"/>
            <w:vAlign w:val="bottom"/>
          </w:tcPr>
          <w:p>
            <w:pPr>
              <w:pStyle w:val="TableContents"/>
              <w:spacing w:before="0" w:after="283"/>
              <w:jc w:val="center"/>
              <w:rPr>
                <w:b/>
              </w:rPr>
            </w:pPr>
            <w:r>
              <w:rPr>
                <w:b/>
              </w:rPr>
              <w:t>(in thousands)</w:t>
            </w:r>
          </w:p>
        </w:tc>
        <w:tc>
          <w:tcPr>
            <w:tcW w:w="161" w:type="dxa"/>
            <w:tcBorders/>
            <w:shd w:fill="auto" w:val="clear"/>
            <w:vAlign w:val="bottom"/>
          </w:tcPr>
          <w:p>
            <w:pPr>
              <w:pStyle w:val="TableContents"/>
              <w:spacing w:before="0" w:after="283"/>
              <w:rPr/>
            </w:pPr>
            <w:r>
              <w:rPr/>
              <w:t> </w:t>
            </w:r>
          </w:p>
        </w:tc>
      </w:tr>
      <w:tr>
        <w:trPr/>
        <w:tc>
          <w:tcPr>
            <w:tcW w:w="475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flows used in operating activities</w:t>
            </w:r>
          </w:p>
        </w:tc>
        <w:tc>
          <w:tcPr>
            <w:tcW w:w="37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825" w:type="dxa"/>
            <w:tcBorders/>
            <w:shd w:fill="CCEEFF" w:val="clear"/>
            <w:vAlign w:val="bottom"/>
          </w:tcPr>
          <w:p>
            <w:pPr>
              <w:pStyle w:val="TableContents"/>
              <w:spacing w:before="0" w:after="283"/>
              <w:jc w:val="right"/>
              <w:rPr/>
            </w:pPr>
            <w:r>
              <w:rPr/>
              <w:t>(30,940</w:t>
            </w:r>
          </w:p>
        </w:tc>
        <w:tc>
          <w:tcPr>
            <w:tcW w:w="15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825" w:type="dxa"/>
            <w:tcBorders/>
            <w:shd w:fill="CCEEFF" w:val="clear"/>
            <w:vAlign w:val="bottom"/>
          </w:tcPr>
          <w:p>
            <w:pPr>
              <w:pStyle w:val="TableContents"/>
              <w:spacing w:before="0" w:after="283"/>
              <w:jc w:val="right"/>
              <w:rPr/>
            </w:pPr>
            <w:r>
              <w:rPr/>
              <w:t>(48,496</w:t>
            </w:r>
          </w:p>
        </w:tc>
        <w:tc>
          <w:tcPr>
            <w:tcW w:w="161" w:type="dxa"/>
            <w:tcBorders/>
            <w:shd w:fill="CCEEFF" w:val="clear"/>
            <w:vAlign w:val="bottom"/>
          </w:tcPr>
          <w:p>
            <w:pPr>
              <w:pStyle w:val="TableContents"/>
              <w:spacing w:before="0" w:after="283"/>
              <w:rPr/>
            </w:pPr>
            <w:r>
              <w:rPr/>
              <w:t>) </w:t>
            </w:r>
          </w:p>
        </w:tc>
      </w:tr>
      <w:tr>
        <w:trPr/>
        <w:tc>
          <w:tcPr>
            <w:tcW w:w="4757" w:type="dxa"/>
            <w:tcBorders/>
            <w:shd w:fill="auto" w:val="clear"/>
          </w:tcPr>
          <w:p>
            <w:pPr>
              <w:pStyle w:val="TableContents"/>
              <w:spacing w:before="0" w:after="0"/>
              <w:rPr>
                <w:rFonts w:ascii="Times New Roman" w:hAnsi="Times New Roman"/>
                <w:sz w:val="20"/>
              </w:rPr>
            </w:pPr>
            <w:r>
              <w:rPr>
                <w:rFonts w:ascii="Times New Roman" w:hAnsi="Times New Roman"/>
                <w:sz w:val="20"/>
              </w:rPr>
              <w:t>Net cash flows used in investing activities</w:t>
            </w:r>
          </w:p>
        </w:tc>
        <w:tc>
          <w:tcPr>
            <w:tcW w:w="37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(7,929</w:t>
            </w:r>
          </w:p>
        </w:tc>
        <w:tc>
          <w:tcPr>
            <w:tcW w:w="15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(40,947</w:t>
            </w:r>
          </w:p>
        </w:tc>
        <w:tc>
          <w:tcPr>
            <w:tcW w:w="161" w:type="dxa"/>
            <w:tcBorders/>
            <w:shd w:fill="auto" w:val="clear"/>
            <w:vAlign w:val="bottom"/>
          </w:tcPr>
          <w:p>
            <w:pPr>
              <w:pStyle w:val="TableContents"/>
              <w:spacing w:before="0" w:after="283"/>
              <w:rPr/>
            </w:pPr>
            <w:r>
              <w:rPr/>
              <w:t>) </w:t>
            </w:r>
          </w:p>
        </w:tc>
      </w:tr>
      <w:tr>
        <w:trPr/>
        <w:tc>
          <w:tcPr>
            <w:tcW w:w="475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flows from financing activities</w:t>
            </w:r>
          </w:p>
        </w:tc>
        <w:tc>
          <w:tcPr>
            <w:tcW w:w="37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37,487</w:t>
            </w:r>
          </w:p>
        </w:tc>
        <w:tc>
          <w:tcPr>
            <w:tcW w:w="15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Since our inception, we have yet to achieve positive cash flow from operations. Our primary uses of cash include compensation and benefits for headcount-related expenses, investment in software and product development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technology platforms, most significantly our consumer app, and associated non-headcount technology and communication cost to develop, operate and support our customer-facing technology platforms.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of $30.9 million for the year ended December 31, 2020 is primarily attributable to our net loss of $79.6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 $7.0 million decrease in amounts due to affiliates, a $4.3 million decrease in deferred revenues and $3.7 million decrease in other assets and liabilities, and $1.2 million decrease in operating lease liabilities. Net cash used in operating activities of $48.5 million for the year ended December 31, 2019 was primarily related to our net loss of $33.0 million, offset by non-cash charges of $11.0 million and net cash outflows of $26.6 million resulting from changes in our operating assets and liabilities. The non-cash charges primarily consisted of depreciation and amortization of $0.3 million, unit-based compensation of $10.7 million. Net cash outflows from changes resulted mainly from payment of a deposit with our clearinghouse affiliate of $39.0 million partially offset by changes in other assets of $2.8 million, an increase in accounts payable and accrued liabilities of $5.9 million and amounts due to affiliates of $9.4 million. </w:t>
      </w:r>
    </w:p>
    <w:p>
      <w:pPr>
        <w:pStyle w:val="TextBody"/>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spacing w:before="120" w:after="0"/>
        <w:jc w:val="left"/>
        <w:rPr>
          <w:rFonts w:ascii="Times New Roman" w:hAnsi="Times New Roman"/>
          <w:sz w:val="20"/>
        </w:rPr>
      </w:pPr>
      <w:r>
        <w:rPr>
          <w:rFonts w:ascii="Times New Roman" w:hAnsi="Times New Roman"/>
          <w:sz w:val="20"/>
        </w:rPr>
        <w:t xml:space="preserve">We used $7.9 million in investing activities for the year ended December 31, 2020 consisting of capitalized costs of internally developed software and capital expenditures. This amount was offset in part by $10.7 million of cash acquired from our acquisition of Bridge2 Solutions and proceeds from the sale of $2.0 million of short-term investments. </w:t>
      </w:r>
    </w:p>
    <w:p>
      <w:pPr>
        <w:pStyle w:val="TextBody"/>
        <w:spacing w:before="240" w:after="0"/>
        <w:jc w:val="left"/>
        <w:rPr>
          <w:rFonts w:ascii="Times New Roman" w:hAnsi="Times New Roman"/>
          <w:sz w:val="20"/>
        </w:rPr>
      </w:pPr>
      <w:r>
        <w:rPr>
          <w:rFonts w:ascii="Times New Roman" w:hAnsi="Times New Roman"/>
          <w:sz w:val="20"/>
        </w:rPr>
        <w:t xml:space="preserve">Net cash used in investing activities of $40.9 million for the for the year ended December 31, 2019 was primarily related to acquisitions of $29.8 million, capital expenditures of $9.2 million and purchases of short-term investments of $2.0 million. Capital expenditures were primary related to costs paid to third parties and capitalized associated with internally developed software for our technology platforms and other capital expenditures. </w:t>
      </w:r>
    </w:p>
    <w:p>
      <w:pPr>
        <w:pStyle w:val="TextBody"/>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flows from financing activities of $37.5 million for the year ended December 31, 2020 resulted from proceeds from issuance of our Class C ownership units of $37.8 million offset by $0.3 million of payments for capital leases during the year. </w:t>
      </w:r>
    </w:p>
    <w:p>
      <w:pPr>
        <w:pStyle w:val="TextBody"/>
        <w:spacing w:before="360" w:after="0"/>
        <w:jc w:val="left"/>
        <w:rPr>
          <w:rFonts w:ascii="Times New Roman" w:hAnsi="Times New Roman"/>
          <w:b/>
          <w:sz w:val="20"/>
        </w:rPr>
      </w:pPr>
      <w:r>
        <w:rPr>
          <w:rFonts w:ascii="Times New Roman" w:hAnsi="Times New Roman"/>
          <w:b/>
          <w:sz w:val="20"/>
        </w:rPr>
        <w:t xml:space="preserve">Commitments </w:t>
      </w:r>
    </w:p>
    <w:p>
      <w:pPr>
        <w:pStyle w:val="TextBody"/>
        <w:spacing w:before="120" w:after="0"/>
        <w:jc w:val="left"/>
        <w:rPr>
          <w:rFonts w:ascii="Times New Roman" w:hAnsi="Times New Roman"/>
          <w:sz w:val="20"/>
        </w:rPr>
      </w:pPr>
      <w:r>
        <w:rPr>
          <w:rFonts w:ascii="Times New Roman" w:hAnsi="Times New Roman"/>
          <w:sz w:val="20"/>
        </w:rPr>
        <w:t xml:space="preserve">We had no material commitments as of December 31, 2020 and 2019. </w:t>
      </w:r>
    </w:p>
    <w:p>
      <w:pPr>
        <w:pStyle w:val="TextBody"/>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spacing w:before="120" w:after="0"/>
        <w:jc w:val="left"/>
        <w:rPr>
          <w:rFonts w:ascii="Times New Roman" w:hAnsi="Times New Roman"/>
          <w:sz w:val="20"/>
        </w:rPr>
      </w:pPr>
      <w:r>
        <w:rPr>
          <w:rFonts w:ascii="Times New Roman" w:hAnsi="Times New Roman"/>
          <w:sz w:val="20"/>
        </w:rPr>
        <w:t xml:space="preserve">Bitcoin held in a custodial capacity on behalf of our Bakkt Warehouse customers is not included in our consolidated balance sheets. </w:t>
      </w:r>
    </w:p>
    <w:p>
      <w:pPr>
        <w:pStyle w:val="TextBody"/>
        <w:spacing w:before="360" w:after="0"/>
        <w:jc w:val="left"/>
        <w:rPr>
          <w:rFonts w:ascii="Times New Roman" w:hAnsi="Times New Roman"/>
          <w:b/>
          <w:sz w:val="20"/>
        </w:rPr>
      </w:pPr>
      <w:r>
        <w:rPr>
          <w:rFonts w:ascii="Times New Roman" w:hAnsi="Times New Roman"/>
          <w:b/>
          <w:sz w:val="20"/>
        </w:rPr>
        <w:t xml:space="preserve">Non-GAAP Measures </w:t>
      </w:r>
    </w:p>
    <w:p>
      <w:pPr>
        <w:pStyle w:val="TextBody"/>
        <w:spacing w:before="120" w:after="0"/>
        <w:jc w:val="left"/>
        <w:rPr>
          <w:rFonts w:ascii="Times New Roman" w:hAnsi="Times New Roman"/>
          <w:sz w:val="20"/>
        </w:rPr>
      </w:pPr>
      <w:r>
        <w:rPr>
          <w:rFonts w:ascii="Times New Roman" w:hAnsi="Times New Roman"/>
          <w:sz w:val="20"/>
        </w:rPr>
        <w:t xml:space="preserve">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 </w:t>
      </w:r>
    </w:p>
    <w:p>
      <w:pPr>
        <w:pStyle w:val="TextBody"/>
        <w:spacing w:before="240" w:after="0"/>
        <w:jc w:val="left"/>
        <w:rPr>
          <w:rFonts w:ascii="Times New Roman" w:hAnsi="Times New Roman"/>
          <w:sz w:val="20"/>
        </w:rPr>
      </w:pPr>
      <w:r>
        <w:rPr>
          <w:rFonts w:ascii="Times New Roman" w:hAnsi="Times New Roman"/>
          <w:sz w:val="20"/>
        </w:rPr>
        <w:t xml:space="preserve">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 </w:t>
      </w:r>
    </w:p>
    <w:p>
      <w:pPr>
        <w:pStyle w:val="TextBody"/>
        <w:spacing w:before="360" w:after="0"/>
        <w:jc w:val="left"/>
        <w:rPr>
          <w:rFonts w:ascii="Times New Roman" w:hAnsi="Times New Roman"/>
          <w:b/>
          <w:sz w:val="20"/>
        </w:rPr>
      </w:pPr>
      <w:r>
        <w:rPr>
          <w:rFonts w:ascii="Times New Roman" w:hAnsi="Times New Roman"/>
          <w:b/>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We present Adjusted EBITDA as a non-GAAP financial measure. </w:t>
      </w:r>
    </w:p>
    <w:p>
      <w:pPr>
        <w:pStyle w:val="TextBody"/>
        <w:spacing w:before="240" w:after="0"/>
        <w:jc w:val="left"/>
        <w:rPr>
          <w:rFonts w:ascii="Times New Roman" w:hAnsi="Times New Roman"/>
          <w:sz w:val="20"/>
        </w:rPr>
      </w:pPr>
      <w:r>
        <w:rPr>
          <w:rFonts w:ascii="Times New Roman" w:hAnsi="Times New Roman"/>
          <w:sz w:val="20"/>
        </w:rPr>
        <w:t xml:space="preserve">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operating performance. It is also useful as a financial measure for potential lenders and is used by management to measure business performance. Adjusted EBITDA is not a measure of our financial performance under GAAP and should not be considered as an alternative to net income (loss) or other performance measures derived in accordance with GAAP, or as an alternative to cash flow from operating activities as a measure of our liquidity. Our definition of adjusted EBITDA may not be comparable to similarly titled measures used by other companies. </w:t>
      </w:r>
    </w:p>
    <w:p>
      <w:pPr>
        <w:pStyle w:val="TextBody"/>
        <w:spacing w:before="240" w:after="0"/>
        <w:jc w:val="left"/>
        <w:rPr>
          <w:rFonts w:ascii="Times New Roman" w:hAnsi="Times New Roman"/>
          <w:sz w:val="20"/>
        </w:rPr>
      </w:pPr>
      <w:r>
        <w:rPr>
          <w:rFonts w:ascii="Times New Roman" w:hAnsi="Times New Roman"/>
          <w:sz w:val="20"/>
        </w:rPr>
        <w:t xml:space="preserve">Adjusted EBITDA is a non-GAAP financial measure that represents our net income (loss), adjusted to eliminate the effect of investing and financing transactions, and certain other items as described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believe it is useful to exclude certain non-cash charges, such as amortization and depreciation of acquired intangible assets and property and equipment, and amortization of unit-based compensation expenses, from our non-GAAP financial measures because the amount of such expenses in any specific period may not directly correlate to the underlying performance of our business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also exclude certain costs associated with acquisitions that are not normal recurring operating expenses, including amounts paid for legal, accounting and due diligence costs as well as revenues, net of costs associated with an ongoing transition service agreement. For the year ended December 31, 2019, acquisition related costs related to the acquisition of Bakkt Clearing on February 8, 2019, and the acquisition of DACC on April 26, 2019 were $433,000 and $298,000, respectively. For the year ended December 31, 2020, acquisition related costs associated with the Bridge2 Solutions acquisition were $13.4 million. The $13.4 million includes $9.5 million in non-cash stock compensation charges which were accelerated as a result of the acquisition and other costs related to the acquisition of Bridge2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exclude restructuring and restructuring-related charges, which primarily include severance costs related to a reduction in force that took place in February and March of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exclude certain costs associated with impairment charges. For the year ended December 31, 2020, impairment related charges were $15.3 million. This charge was to reduce the carrying amount of internal-use software within property, equipment and software, to its fair value.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the items above, Adjusted EBITDA as a non-GAAP financial measure also excludes interest income and other income, and income tax benefit, as these items are not components of our core business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Non-GAAP financial measures have limitations, should be considered as supplemental in nature and are not meant as a substitute for the related financial information prepared in accordance with GAAP. These limitations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unit-based compensation expense has been, and will continue to be for the foreseeable future, a significant recurring expense in our business and an important part of our compensation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non-GAAP measures do not reflect changes in, or cash requirements for, our working capital needs. </w:t>
            </w:r>
          </w:p>
        </w:tc>
      </w:tr>
    </w:tbl>
    <w:p>
      <w:pPr>
        <w:pStyle w:val="TextBody"/>
        <w:spacing w:before="240" w:after="0"/>
        <w:jc w:val="left"/>
        <w:rPr>
          <w:rFonts w:ascii="Times New Roman" w:hAnsi="Times New Roman"/>
          <w:sz w:val="20"/>
        </w:rPr>
      </w:pPr>
      <w:r>
        <w:rPr>
          <w:rFonts w:ascii="Times New Roman" w:hAnsi="Times New Roman"/>
          <w:sz w:val="20"/>
        </w:rPr>
        <w:t xml:space="preserve">Because of these limitations, the non-GAAP financial measures should be considered alongside other financial performance measures, including net loss and our other financial results presented in accordance with GAAP. </w:t>
      </w:r>
    </w:p>
    <w:p>
      <w:pPr>
        <w:pStyle w:val="TextBody"/>
        <w:spacing w:before="240" w:after="0"/>
        <w:jc w:val="left"/>
        <w:rPr>
          <w:rFonts w:ascii="Times New Roman" w:hAnsi="Times New Roman"/>
          <w:sz w:val="20"/>
        </w:rPr>
      </w:pPr>
      <w:r>
        <w:rPr>
          <w:rFonts w:ascii="Times New Roman" w:hAnsi="Times New Roman"/>
          <w:sz w:val="20"/>
        </w:rPr>
        <w:t xml:space="preserve">The following table presents a reconciliation of net loss, the most directly comparable GAAP operating performance measure, to our non-GAAP adjusted EBITDA for each of the periods indicated (in thousands, unaudited):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32"/>
        <w:gridCol w:w="341"/>
        <w:gridCol w:w="145"/>
        <w:gridCol w:w="817"/>
        <w:gridCol w:w="155"/>
        <w:gridCol w:w="341"/>
        <w:gridCol w:w="145"/>
        <w:gridCol w:w="817"/>
        <w:gridCol w:w="162"/>
      </w:tblGrid>
      <w:tr>
        <w:trPr/>
        <w:tc>
          <w:tcPr>
            <w:tcW w:w="483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8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42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162" w:type="dxa"/>
            <w:tcBorders/>
            <w:shd w:fill="auto" w:val="clear"/>
            <w:vAlign w:val="bottom"/>
          </w:tcPr>
          <w:p>
            <w:pPr>
              <w:pStyle w:val="TableContents"/>
              <w:spacing w:before="0" w:after="283"/>
              <w:rPr/>
            </w:pPr>
            <w:r>
              <w:rPr/>
              <w:t> </w:t>
            </w:r>
          </w:p>
        </w:tc>
      </w:tr>
      <w:tr>
        <w:trPr/>
        <w:tc>
          <w:tcPr>
            <w:tcW w:w="48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62" w:type="dxa"/>
            <w:tcBorders/>
            <w:shd w:fill="auto" w:val="clear"/>
            <w:vAlign w:val="bottom"/>
          </w:tcPr>
          <w:p>
            <w:pPr>
              <w:pStyle w:val="TableContents"/>
              <w:spacing w:before="0" w:after="283"/>
              <w:rPr/>
            </w:pPr>
            <w:r>
              <w:rPr/>
              <w:t> </w:t>
            </w:r>
          </w:p>
        </w:tc>
      </w:tr>
      <w:tr>
        <w:trPr/>
        <w:tc>
          <w:tcPr>
            <w:tcW w:w="48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420" w:type="dxa"/>
            <w:gridSpan w:val="6"/>
            <w:tcBorders/>
            <w:shd w:fill="auto" w:val="clear"/>
            <w:vAlign w:val="bottom"/>
          </w:tcPr>
          <w:p>
            <w:pPr>
              <w:pStyle w:val="TableContents"/>
              <w:spacing w:before="0" w:after="283"/>
              <w:jc w:val="center"/>
              <w:rPr>
                <w:b/>
              </w:rPr>
            </w:pPr>
            <w:r>
              <w:rPr>
                <w:b/>
              </w:rPr>
              <w:t>(in thousands)</w:t>
            </w:r>
          </w:p>
        </w:tc>
        <w:tc>
          <w:tcPr>
            <w:tcW w:w="162" w:type="dxa"/>
            <w:tcBorders/>
            <w:shd w:fill="auto" w:val="clear"/>
            <w:vAlign w:val="bottom"/>
          </w:tcPr>
          <w:p>
            <w:pPr>
              <w:pStyle w:val="TableContents"/>
              <w:spacing w:before="0" w:after="283"/>
              <w:rPr/>
            </w:pPr>
            <w:r>
              <w:rPr/>
              <w:t> </w:t>
            </w:r>
          </w:p>
        </w:tc>
      </w:tr>
      <w:tr>
        <w:trPr/>
        <w:tc>
          <w:tcPr>
            <w:tcW w:w="4832"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17" w:type="dxa"/>
            <w:tcBorders/>
            <w:shd w:fill="CCEEFF" w:val="clear"/>
            <w:vAlign w:val="bottom"/>
          </w:tcPr>
          <w:p>
            <w:pPr>
              <w:pStyle w:val="TableContents"/>
              <w:spacing w:before="0" w:after="283"/>
              <w:jc w:val="right"/>
              <w:rPr/>
            </w:pPr>
            <w:r>
              <w:rPr/>
              <w:t>(79,605</w:t>
            </w:r>
          </w:p>
        </w:tc>
        <w:tc>
          <w:tcPr>
            <w:tcW w:w="15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17" w:type="dxa"/>
            <w:tcBorders/>
            <w:shd w:fill="CCEEFF" w:val="clear"/>
            <w:vAlign w:val="bottom"/>
          </w:tcPr>
          <w:p>
            <w:pPr>
              <w:pStyle w:val="TableContents"/>
              <w:spacing w:before="0" w:after="283"/>
              <w:jc w:val="right"/>
              <w:rPr/>
            </w:pPr>
            <w:r>
              <w:rPr/>
              <w:t>(32,976</w:t>
            </w:r>
          </w:p>
        </w:tc>
        <w:tc>
          <w:tcPr>
            <w:tcW w:w="162" w:type="dxa"/>
            <w:tcBorders/>
            <w:shd w:fill="CCEEFF" w:val="clear"/>
            <w:vAlign w:val="bottom"/>
          </w:tcPr>
          <w:p>
            <w:pPr>
              <w:pStyle w:val="TableContents"/>
              <w:spacing w:before="0" w:after="283"/>
              <w:rPr/>
            </w:pPr>
            <w:r>
              <w:rPr/>
              <w:t>) </w:t>
            </w:r>
          </w:p>
        </w:tc>
      </w:tr>
      <w:tr>
        <w:trPr/>
        <w:tc>
          <w:tcPr>
            <w:tcW w:w="4832" w:type="dxa"/>
            <w:tcBorders/>
            <w:shd w:fill="auto" w:val="clear"/>
          </w:tcPr>
          <w:p>
            <w:pPr>
              <w:pStyle w:val="TableContents"/>
              <w:spacing w:before="0" w:after="0"/>
              <w:rPr>
                <w:rFonts w:ascii="Times New Roman" w:hAnsi="Times New Roman"/>
                <w:sz w:val="20"/>
              </w:rPr>
            </w:pPr>
            <w:r>
              <w:rPr>
                <w:rFonts w:ascii="Times New Roman" w:hAnsi="Times New Roman"/>
                <w:sz w:val="20"/>
              </w:rPr>
              <w:t>Interest income</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(123</w:t>
            </w:r>
          </w:p>
        </w:tc>
        <w:tc>
          <w:tcPr>
            <w:tcW w:w="15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(3,280</w:t>
            </w:r>
          </w:p>
        </w:tc>
        <w:tc>
          <w:tcPr>
            <w:tcW w:w="162" w:type="dxa"/>
            <w:tcBorders/>
            <w:shd w:fill="auto" w:val="clear"/>
            <w:vAlign w:val="bottom"/>
          </w:tcPr>
          <w:p>
            <w:pPr>
              <w:pStyle w:val="TableContents"/>
              <w:spacing w:before="0" w:after="283"/>
              <w:rPr/>
            </w:pPr>
            <w:r>
              <w:rPr/>
              <w:t>) </w:t>
            </w:r>
          </w:p>
        </w:tc>
      </w:tr>
      <w:tr>
        <w:trPr/>
        <w:tc>
          <w:tcPr>
            <w:tcW w:w="4832"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8,159</w:t>
            </w:r>
          </w:p>
        </w:tc>
        <w:tc>
          <w:tcPr>
            <w:tcW w:w="15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324</w:t>
            </w:r>
          </w:p>
        </w:tc>
        <w:tc>
          <w:tcPr>
            <w:tcW w:w="162" w:type="dxa"/>
            <w:tcBorders/>
            <w:shd w:fill="CCEEFF" w:val="clear"/>
            <w:vAlign w:val="bottom"/>
          </w:tcPr>
          <w:p>
            <w:pPr>
              <w:pStyle w:val="TableContents"/>
              <w:spacing w:before="0" w:after="283"/>
              <w:rPr/>
            </w:pPr>
            <w:r>
              <w:rPr/>
              <w:t> </w:t>
            </w:r>
          </w:p>
        </w:tc>
      </w:tr>
      <w:tr>
        <w:trPr/>
        <w:tc>
          <w:tcPr>
            <w:tcW w:w="4832"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 (benefit)</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391</w:t>
            </w:r>
          </w:p>
        </w:tc>
        <w:tc>
          <w:tcPr>
            <w:tcW w:w="15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(199</w:t>
            </w:r>
          </w:p>
        </w:tc>
        <w:tc>
          <w:tcPr>
            <w:tcW w:w="162" w:type="dxa"/>
            <w:tcBorders/>
            <w:shd w:fill="auto" w:val="clear"/>
            <w:vAlign w:val="bottom"/>
          </w:tcPr>
          <w:p>
            <w:pPr>
              <w:pStyle w:val="TableContents"/>
              <w:spacing w:before="0" w:after="283"/>
              <w:rPr/>
            </w:pPr>
            <w:r>
              <w:rPr/>
              <w:t>) </w:t>
            </w:r>
          </w:p>
        </w:tc>
      </w:tr>
      <w:tr>
        <w:trPr/>
        <w:tc>
          <w:tcPr>
            <w:tcW w:w="483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832" w:type="dxa"/>
            <w:tcBorders/>
            <w:shd w:fill="CCEEFF" w:val="clear"/>
          </w:tcPr>
          <w:p>
            <w:pPr>
              <w:pStyle w:val="TableContents"/>
              <w:spacing w:before="0" w:after="0"/>
              <w:rPr>
                <w:rFonts w:ascii="Times New Roman" w:hAnsi="Times New Roman"/>
                <w:sz w:val="20"/>
              </w:rPr>
            </w:pPr>
            <w:r>
              <w:rPr>
                <w:rFonts w:ascii="Times New Roman" w:hAnsi="Times New Roman"/>
                <w:sz w:val="20"/>
              </w:rPr>
              <w:t>EBITDA</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(71,178</w:t>
            </w:r>
          </w:p>
        </w:tc>
        <w:tc>
          <w:tcPr>
            <w:tcW w:w="15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(36,131</w:t>
            </w:r>
          </w:p>
        </w:tc>
        <w:tc>
          <w:tcPr>
            <w:tcW w:w="162" w:type="dxa"/>
            <w:tcBorders/>
            <w:shd w:fill="CCEEFF" w:val="clear"/>
            <w:vAlign w:val="bottom"/>
          </w:tcPr>
          <w:p>
            <w:pPr>
              <w:pStyle w:val="TableContents"/>
              <w:spacing w:before="0" w:after="283"/>
              <w:rPr/>
            </w:pPr>
            <w:r>
              <w:rPr/>
              <w:t>) </w:t>
            </w:r>
          </w:p>
        </w:tc>
      </w:tr>
      <w:tr>
        <w:trPr/>
        <w:tc>
          <w:tcPr>
            <w:tcW w:w="4832" w:type="dxa"/>
            <w:tcBorders/>
            <w:shd w:fill="auto" w:val="clear"/>
          </w:tcPr>
          <w:p>
            <w:pPr>
              <w:pStyle w:val="TableContents"/>
              <w:spacing w:before="0" w:after="0"/>
              <w:rPr>
                <w:rFonts w:ascii="Times New Roman" w:hAnsi="Times New Roman"/>
                <w:sz w:val="20"/>
              </w:rPr>
            </w:pPr>
            <w:r>
              <w:rPr>
                <w:rFonts w:ascii="Times New Roman" w:hAnsi="Times New Roman"/>
                <w:sz w:val="20"/>
              </w:rPr>
              <w:t>Acquisition-related transaction costs</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13,372</w:t>
            </w:r>
          </w:p>
        </w:tc>
        <w:tc>
          <w:tcPr>
            <w:tcW w:w="15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731</w:t>
            </w:r>
          </w:p>
        </w:tc>
        <w:tc>
          <w:tcPr>
            <w:tcW w:w="162" w:type="dxa"/>
            <w:tcBorders/>
            <w:shd w:fill="auto" w:val="clear"/>
            <w:vAlign w:val="bottom"/>
          </w:tcPr>
          <w:p>
            <w:pPr>
              <w:pStyle w:val="TableContents"/>
              <w:spacing w:before="0" w:after="283"/>
              <w:rPr/>
            </w:pPr>
            <w:r>
              <w:rPr/>
              <w:t> </w:t>
            </w:r>
          </w:p>
        </w:tc>
      </w:tr>
      <w:tr>
        <w:trPr/>
        <w:tc>
          <w:tcPr>
            <w:tcW w:w="4832" w:type="dxa"/>
            <w:tcBorders/>
            <w:shd w:fill="CCEEFF" w:val="clear"/>
          </w:tcPr>
          <w:p>
            <w:pPr>
              <w:pStyle w:val="TableContents"/>
              <w:spacing w:before="0" w:after="0"/>
              <w:rPr>
                <w:rFonts w:ascii="Times New Roman" w:hAnsi="Times New Roman"/>
                <w:sz w:val="20"/>
              </w:rPr>
            </w:pPr>
            <w:r>
              <w:rPr>
                <w:rFonts w:ascii="Times New Roman" w:hAnsi="Times New Roman"/>
                <w:sz w:val="20"/>
              </w:rPr>
              <w:t>Transition services to Bakkt clearing</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(196</w:t>
            </w:r>
          </w:p>
        </w:tc>
        <w:tc>
          <w:tcPr>
            <w:tcW w:w="15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(145</w:t>
            </w:r>
          </w:p>
        </w:tc>
        <w:tc>
          <w:tcPr>
            <w:tcW w:w="162" w:type="dxa"/>
            <w:tcBorders/>
            <w:shd w:fill="CCEEFF" w:val="clear"/>
            <w:vAlign w:val="bottom"/>
          </w:tcPr>
          <w:p>
            <w:pPr>
              <w:pStyle w:val="TableContents"/>
              <w:spacing w:before="0" w:after="283"/>
              <w:rPr/>
            </w:pPr>
            <w:r>
              <w:rPr/>
              <w:t>) </w:t>
            </w:r>
          </w:p>
        </w:tc>
      </w:tr>
      <w:tr>
        <w:trPr/>
        <w:tc>
          <w:tcPr>
            <w:tcW w:w="4832" w:type="dxa"/>
            <w:tcBorders/>
            <w:shd w:fill="auto" w:val="clear"/>
          </w:tcPr>
          <w:p>
            <w:pPr>
              <w:pStyle w:val="TableContents"/>
              <w:spacing w:before="0" w:after="0"/>
              <w:rPr>
                <w:rFonts w:ascii="Times New Roman" w:hAnsi="Times New Roman"/>
                <w:sz w:val="20"/>
              </w:rPr>
            </w:pPr>
            <w:r>
              <w:rPr>
                <w:rFonts w:ascii="Times New Roman" w:hAnsi="Times New Roman"/>
                <w:sz w:val="20"/>
              </w:rPr>
              <w:t>Unit-based compensation expense</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2,082</w:t>
            </w:r>
          </w:p>
        </w:tc>
        <w:tc>
          <w:tcPr>
            <w:tcW w:w="15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10,673</w:t>
            </w:r>
          </w:p>
        </w:tc>
        <w:tc>
          <w:tcPr>
            <w:tcW w:w="162" w:type="dxa"/>
            <w:tcBorders/>
            <w:shd w:fill="auto" w:val="clear"/>
            <w:vAlign w:val="bottom"/>
          </w:tcPr>
          <w:p>
            <w:pPr>
              <w:pStyle w:val="TableContents"/>
              <w:spacing w:before="0" w:after="283"/>
              <w:rPr/>
            </w:pPr>
            <w:r>
              <w:rPr/>
              <w:t> </w:t>
            </w:r>
          </w:p>
        </w:tc>
      </w:tr>
      <w:tr>
        <w:trPr/>
        <w:tc>
          <w:tcPr>
            <w:tcW w:w="4832" w:type="dxa"/>
            <w:tcBorders/>
            <w:shd w:fill="CCEEFF" w:val="clear"/>
          </w:tcPr>
          <w:p>
            <w:pPr>
              <w:pStyle w:val="TableContents"/>
              <w:spacing w:before="0" w:after="0"/>
              <w:rPr>
                <w:rFonts w:ascii="Times New Roman" w:hAnsi="Times New Roman"/>
                <w:sz w:val="20"/>
              </w:rPr>
            </w:pPr>
            <w:r>
              <w:rPr>
                <w:rFonts w:ascii="Times New Roman" w:hAnsi="Times New Roman"/>
                <w:sz w:val="20"/>
              </w:rPr>
              <w:t>Restructuring charges</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588</w:t>
            </w:r>
          </w:p>
        </w:tc>
        <w:tc>
          <w:tcPr>
            <w:tcW w:w="15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4832"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15,292</w:t>
            </w:r>
          </w:p>
        </w:tc>
        <w:tc>
          <w:tcPr>
            <w:tcW w:w="15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483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832" w:type="dxa"/>
            <w:tcBorders/>
            <w:shd w:fill="CCEEFF" w:val="clear"/>
          </w:tcPr>
          <w:p>
            <w:pPr>
              <w:pStyle w:val="TableContents"/>
              <w:spacing w:before="0" w:after="0"/>
              <w:rPr>
                <w:rFonts w:ascii="Times New Roman" w:hAnsi="Times New Roman"/>
                <w:sz w:val="20"/>
              </w:rPr>
            </w:pPr>
            <w:r>
              <w:rPr>
                <w:rFonts w:ascii="Times New Roman" w:hAnsi="Times New Roman"/>
                <w:sz w:val="20"/>
              </w:rPr>
              <w:t>Adjusted EBITDA</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(40,040</w:t>
            </w:r>
          </w:p>
        </w:tc>
        <w:tc>
          <w:tcPr>
            <w:tcW w:w="15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(24,872</w:t>
            </w:r>
          </w:p>
        </w:tc>
        <w:tc>
          <w:tcPr>
            <w:tcW w:w="162" w:type="dxa"/>
            <w:tcBorders/>
            <w:shd w:fill="CCEEFF" w:val="clear"/>
            <w:vAlign w:val="bottom"/>
          </w:tcPr>
          <w:p>
            <w:pPr>
              <w:pStyle w:val="TableContents"/>
              <w:spacing w:before="0" w:after="283"/>
              <w:rPr/>
            </w:pPr>
            <w:r>
              <w:rPr/>
              <w:t>) </w:t>
            </w:r>
          </w:p>
        </w:tc>
      </w:tr>
      <w:tr>
        <w:trPr/>
        <w:tc>
          <w:tcPr>
            <w:tcW w:w="483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1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17"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Adjusted EBITDA decreased by $15.2 million or 61.0%, for year ended December 31, 2020 compared to year ended December 31, 2019. The decrease was primarily due to the increase in net loss. </w:t>
      </w:r>
    </w:p>
    <w:p>
      <w:pPr>
        <w:pStyle w:val="TextBody"/>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estimates and assumptions that affect the reported amounts of assets and liabilities, revenues and expenses, and related disclosures of contingent assets and liabilities in the consolidated financial statements. Critical accounting policies are those policies that management believes are most important to the representation of the Companys financial position and results of operations, and that require management to make estimates that are difficult, subjective or complex. Based on these criteria, management has identified the following critical accounting policies and estimates, and the methodology and disclosures related to those estimates: </w:t>
      </w:r>
    </w:p>
    <w:p>
      <w:pPr>
        <w:pStyle w:val="TextBody"/>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business combinations using the acquisition accounting method, which requires it to determine the fair value of identifiable assets acquired and liabilities assumed, including any contingent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consideration, to properly allocate the purchase price to the individual assets acquired and liabilities assumed and record any residual purchase price as goodwill in accordance with the Financial Accounting Standards Board (FASB) ASC 805, Business Combinations.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 </w:t>
      </w:r>
    </w:p>
    <w:p>
      <w:pPr>
        <w:pStyle w:val="TextBody"/>
        <w:spacing w:before="240" w:after="0"/>
        <w:jc w:val="left"/>
        <w:rPr>
          <w:rFonts w:ascii="Times New Roman" w:hAnsi="Times New Roman"/>
          <w:sz w:val="20"/>
        </w:rPr>
      </w:pPr>
      <w:r>
        <w:rPr>
          <w:rFonts w:ascii="Times New Roman" w:hAnsi="Times New Roman"/>
          <w:sz w:val="20"/>
        </w:rPr>
        <w:t xml:space="preserve">For business combinations effected through a common control transaction, the Company measures the recognized net assets of the acquiree at the carrying amounts of the net assets previously recognized by the Companys related party. The Company reflects the operations of entities acquired through a common control transaction in its financial statements as of the first date in the reporting period or as of the date that the entity was acquired by the Companys related party, as applicable. </w:t>
      </w:r>
    </w:p>
    <w:p>
      <w:pPr>
        <w:pStyle w:val="TextBody"/>
        <w:spacing w:before="240" w:after="0"/>
        <w:jc w:val="left"/>
        <w:rPr>
          <w:rFonts w:ascii="Times New Roman" w:hAnsi="Times New Roman"/>
          <w:sz w:val="20"/>
        </w:rPr>
      </w:pPr>
      <w:r>
        <w:rPr>
          <w:rFonts w:ascii="Times New Roman" w:hAnsi="Times New Roman"/>
          <w:sz w:val="20"/>
        </w:rPr>
        <w:t xml:space="preserve">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 </w:t>
      </w:r>
    </w:p>
    <w:p>
      <w:pPr>
        <w:pStyle w:val="TextBody"/>
        <w:spacing w:before="240" w:after="0"/>
        <w:jc w:val="left"/>
        <w:rPr>
          <w:rFonts w:ascii="Times New Roman" w:hAnsi="Times New Roman"/>
          <w:sz w:val="20"/>
        </w:rPr>
      </w:pPr>
      <w:r>
        <w:rPr>
          <w:rFonts w:ascii="Times New Roman" w:hAnsi="Times New Roman"/>
          <w:sz w:val="20"/>
        </w:rPr>
        <w:t xml:space="preserve">All acquisition-related costs, other than the costs to issue debt or equity securities, are accounted for as expenses in the period in which they are incurred. Changes in the fair value of any contingent consideration arrangements that are not measurement period adjustments are recognized in earnings. </w:t>
      </w:r>
    </w:p>
    <w:p>
      <w:pPr>
        <w:pStyle w:val="TextBody"/>
        <w:spacing w:before="360" w:after="0"/>
        <w:jc w:val="left"/>
        <w:rPr>
          <w:rFonts w:ascii="Times New Roman" w:hAnsi="Times New Roman"/>
          <w:b/>
          <w:sz w:val="20"/>
        </w:rPr>
      </w:pPr>
      <w:r>
        <w:rPr>
          <w:rFonts w:ascii="Times New Roman" w:hAnsi="Times New Roman"/>
          <w:b/>
          <w:sz w:val="20"/>
        </w:rPr>
        <w:t xml:space="preserve">Goodwill and Other Intangible Assets </w:t>
      </w:r>
    </w:p>
    <w:p>
      <w:pPr>
        <w:pStyle w:val="TextBody"/>
        <w:spacing w:before="120" w:after="0"/>
        <w:jc w:val="left"/>
        <w:rPr>
          <w:rFonts w:ascii="Times New Roman" w:hAnsi="Times New Roman"/>
          <w:sz w:val="20"/>
        </w:rPr>
      </w:pPr>
      <w:r>
        <w:rPr>
          <w:rFonts w:ascii="Times New Roman" w:hAnsi="Times New Roman"/>
          <w:sz w:val="20"/>
        </w:rPr>
        <w:t xml:space="preserve">Goodwill and intangible assets that have indefinite useful lives are accounted for in accordance with FASB ASC 350, Intangibles  Goodwill and Other. Bakkt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Bakkt is organized and operates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Bakkt first assesses qualitative factors to determine whether it is necessary to perform the quantitative impairment test. In the qualitative assessment, Bakkt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Bakkt conclude that it is more likely than not that the recorded goodwill and indefinite-lived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 </w:t>
      </w:r>
    </w:p>
    <w:p>
      <w:pPr>
        <w:pStyle w:val="TextBody"/>
        <w:spacing w:before="240" w:after="0"/>
        <w:jc w:val="left"/>
        <w:rPr>
          <w:rFonts w:ascii="Times New Roman" w:hAnsi="Times New Roman"/>
          <w:sz w:val="20"/>
        </w:rPr>
      </w:pPr>
      <w:r>
        <w:rPr>
          <w:rFonts w:ascii="Times New Roman" w:hAnsi="Times New Roman"/>
          <w:sz w:val="20"/>
        </w:rPr>
        <w:t xml:space="preserve">Identifiable intangible assets with finite lives are amortized on a straight-line basis over their estimated useful lives and are also reviewed at least annually for impairment or more frequently if conditions exist that indicate that an asset may be impaired. </w:t>
      </w:r>
    </w:p>
    <w:p>
      <w:pPr>
        <w:pStyle w:val="TextBody"/>
        <w:spacing w:before="240" w:after="0"/>
        <w:jc w:val="left"/>
        <w:rPr>
          <w:rFonts w:ascii="Times New Roman" w:hAnsi="Times New Roman"/>
          <w:sz w:val="20"/>
        </w:rPr>
      </w:pPr>
      <w:r>
        <w:rPr>
          <w:rFonts w:ascii="Times New Roman" w:hAnsi="Times New Roman"/>
          <w:sz w:val="20"/>
        </w:rPr>
        <w:t xml:space="preserve">The Company did not record an impairment charge related to goodwill and intangible assets during the years ended December 31, 2020 and 2019.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We recognize revenue when we transfer promised goods or services to customers in an amount that reflects the consideration to which we expect to be entitled in exchange for those goods or services. </w:t>
      </w:r>
    </w:p>
    <w:p>
      <w:pPr>
        <w:pStyle w:val="TextBody"/>
        <w:spacing w:before="360" w:after="0"/>
        <w:jc w:val="left"/>
        <w:rPr>
          <w:rFonts w:ascii="Times New Roman" w:hAnsi="Times New Roman"/>
          <w:b/>
          <w:i/>
          <w:sz w:val="20"/>
        </w:rPr>
      </w:pPr>
      <w:r>
        <w:rPr>
          <w:rFonts w:ascii="Times New Roman" w:hAnsi="Times New Roman"/>
          <w:b/>
          <w:i/>
          <w:sz w:val="20"/>
        </w:rPr>
        <w:t xml:space="preserve">Disaggregation of Revenue </w:t>
      </w:r>
    </w:p>
    <w:p>
      <w:pPr>
        <w:pStyle w:val="TextBody"/>
        <w:spacing w:before="120" w:after="0"/>
        <w:jc w:val="left"/>
        <w:rPr>
          <w:rFonts w:ascii="Times New Roman" w:hAnsi="Times New Roman"/>
          <w:sz w:val="20"/>
        </w:rPr>
      </w:pPr>
      <w:r>
        <w:rPr>
          <w:rFonts w:ascii="Times New Roman" w:hAnsi="Times New Roman"/>
          <w:sz w:val="20"/>
        </w:rPr>
        <w:t xml:space="preserve">The Company disaggregates revenue by service type, as management believes that this level of disaggregation depicts best how the nature, amount, timing and uncertainty of revenue and cash flows are impacted by economic factors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20"/>
        <w:gridCol w:w="544"/>
        <w:gridCol w:w="251"/>
        <w:gridCol w:w="1233"/>
        <w:gridCol w:w="60"/>
        <w:gridCol w:w="544"/>
        <w:gridCol w:w="332"/>
        <w:gridCol w:w="1113"/>
        <w:gridCol w:w="158"/>
      </w:tblGrid>
      <w:tr>
        <w:trPr/>
        <w:tc>
          <w:tcPr>
            <w:tcW w:w="352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52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6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2019</w:t>
            </w:r>
          </w:p>
        </w:tc>
        <w:tc>
          <w:tcPr>
            <w:tcW w:w="158" w:type="dxa"/>
            <w:tcBorders/>
            <w:shd w:fill="auto" w:val="clear"/>
            <w:vAlign w:val="bottom"/>
          </w:tcPr>
          <w:p>
            <w:pPr>
              <w:pStyle w:val="TableContents"/>
              <w:spacing w:before="0" w:after="283"/>
              <w:rPr/>
            </w:pPr>
            <w:r>
              <w:rPr/>
              <w:t> </w:t>
            </w:r>
          </w:p>
        </w:tc>
      </w:tr>
      <w:tr>
        <w:trPr/>
        <w:tc>
          <w:tcPr>
            <w:tcW w:w="3520" w:type="dxa"/>
            <w:tcBorders/>
            <w:shd w:fill="CCEEFF" w:val="clear"/>
          </w:tcPr>
          <w:p>
            <w:pPr>
              <w:pStyle w:val="TableContents"/>
              <w:spacing w:before="0" w:after="0"/>
              <w:rPr>
                <w:rFonts w:ascii="Times New Roman" w:hAnsi="Times New Roman"/>
                <w:sz w:val="20"/>
              </w:rPr>
            </w:pPr>
            <w:r>
              <w:rPr>
                <w:rFonts w:ascii="Times New Roman" w:hAnsi="Times New Roman"/>
                <w:sz w:val="20"/>
              </w:rPr>
              <w:t>Transaction revenue, net(a)</w:t>
            </w:r>
          </w:p>
        </w:tc>
        <w:tc>
          <w:tcPr>
            <w:tcW w:w="54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233" w:type="dxa"/>
            <w:tcBorders/>
            <w:shd w:fill="CCEEFF" w:val="clear"/>
            <w:vAlign w:val="bottom"/>
          </w:tcPr>
          <w:p>
            <w:pPr>
              <w:pStyle w:val="TableContents"/>
              <w:spacing w:before="0" w:after="283"/>
              <w:jc w:val="right"/>
              <w:rPr/>
            </w:pPr>
            <w:r>
              <w:rPr/>
              <w:t>7,386</w:t>
            </w:r>
          </w:p>
        </w:tc>
        <w:tc>
          <w:tcPr>
            <w:tcW w:w="60"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113" w:type="dxa"/>
            <w:tcBorders/>
            <w:shd w:fill="CCEEFF" w:val="clear"/>
            <w:vAlign w:val="bottom"/>
          </w:tcPr>
          <w:p>
            <w:pPr>
              <w:pStyle w:val="TableContents"/>
              <w:spacing w:before="0" w:after="283"/>
              <w:jc w:val="right"/>
              <w:rPr/>
            </w:pPr>
            <w:r>
              <w:rPr/>
              <w:t>(881</w:t>
            </w:r>
          </w:p>
        </w:tc>
        <w:tc>
          <w:tcPr>
            <w:tcW w:w="158" w:type="dxa"/>
            <w:tcBorders/>
            <w:shd w:fill="CCEEFF" w:val="clear"/>
            <w:vAlign w:val="bottom"/>
          </w:tcPr>
          <w:p>
            <w:pPr>
              <w:pStyle w:val="TableContents"/>
              <w:spacing w:before="0" w:after="283"/>
              <w:rPr/>
            </w:pPr>
            <w:r>
              <w:rPr/>
              <w:t>) </w:t>
            </w:r>
          </w:p>
        </w:tc>
      </w:tr>
      <w:tr>
        <w:trPr/>
        <w:tc>
          <w:tcPr>
            <w:tcW w:w="3520" w:type="dxa"/>
            <w:tcBorders/>
            <w:shd w:fill="auto" w:val="clear"/>
          </w:tcPr>
          <w:p>
            <w:pPr>
              <w:pStyle w:val="TableContents"/>
              <w:spacing w:before="0" w:after="0"/>
              <w:rPr>
                <w:rFonts w:ascii="Times New Roman" w:hAnsi="Times New Roman"/>
                <w:sz w:val="20"/>
              </w:rPr>
            </w:pPr>
            <w:r>
              <w:rPr>
                <w:rFonts w:ascii="Times New Roman" w:hAnsi="Times New Roman"/>
                <w:sz w:val="20"/>
              </w:rPr>
              <w:t>Subscription and service revenue</w:t>
            </w:r>
          </w:p>
        </w:tc>
        <w:tc>
          <w:tcPr>
            <w:tcW w:w="54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21,109</w:t>
            </w:r>
          </w:p>
        </w:tc>
        <w:tc>
          <w:tcPr>
            <w:tcW w:w="6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3520"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4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17</w:t>
            </w:r>
          </w:p>
        </w:tc>
        <w:tc>
          <w:tcPr>
            <w:tcW w:w="158" w:type="dxa"/>
            <w:tcBorders/>
            <w:shd w:fill="CCEEFF" w:val="clear"/>
            <w:vAlign w:val="bottom"/>
          </w:tcPr>
          <w:p>
            <w:pPr>
              <w:pStyle w:val="TableContents"/>
              <w:spacing w:before="0" w:after="283"/>
              <w:rPr/>
            </w:pPr>
            <w:r>
              <w:rPr/>
              <w:t> </w:t>
            </w:r>
          </w:p>
        </w:tc>
      </w:tr>
      <w:tr>
        <w:trPr/>
        <w:tc>
          <w:tcPr>
            <w:tcW w:w="3520"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0"/>
              <w:rPr/>
            </w:pPr>
            <w:r>
              <w:rPr/>
              <w:t> </w:t>
            </w:r>
          </w:p>
        </w:tc>
        <w:tc>
          <w:tcPr>
            <w:tcW w:w="123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113"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3520" w:type="dxa"/>
            <w:tcBorders/>
            <w:shd w:fill="auto" w:val="clear"/>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233" w:type="dxa"/>
            <w:tcBorders/>
            <w:shd w:fill="auto" w:val="clear"/>
            <w:vAlign w:val="bottom"/>
          </w:tcPr>
          <w:p>
            <w:pPr>
              <w:pStyle w:val="TableContents"/>
              <w:spacing w:before="0" w:after="283"/>
              <w:jc w:val="right"/>
              <w:rPr/>
            </w:pPr>
            <w:r>
              <w:rPr/>
              <w:t>28,495</w:t>
            </w:r>
          </w:p>
        </w:tc>
        <w:tc>
          <w:tcPr>
            <w:tcW w:w="6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(864</w:t>
            </w:r>
          </w:p>
        </w:tc>
        <w:tc>
          <w:tcPr>
            <w:tcW w:w="158" w:type="dxa"/>
            <w:tcBorders/>
            <w:shd w:fill="auto" w:val="clear"/>
            <w:vAlign w:val="bottom"/>
          </w:tcPr>
          <w:p>
            <w:pPr>
              <w:pStyle w:val="TableContents"/>
              <w:spacing w:before="0" w:after="283"/>
              <w:rPr/>
            </w:pPr>
            <w:r>
              <w:rPr/>
              <w:t>) </w:t>
            </w:r>
          </w:p>
        </w:tc>
      </w:tr>
      <w:tr>
        <w:trPr/>
        <w:tc>
          <w:tcPr>
            <w:tcW w:w="3520"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0"/>
              <w:rPr/>
            </w:pPr>
            <w:r>
              <w:rPr/>
              <w:t> </w:t>
            </w:r>
          </w:p>
        </w:tc>
        <w:tc>
          <w:tcPr>
            <w:tcW w:w="123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double" w:sz="6" w:space="1" w:color="000000"/>
              </w:pBdr>
              <w:spacing w:before="0" w:after="0"/>
              <w:rPr/>
            </w:pPr>
            <w:r>
              <w:rPr/>
              <w:t> </w:t>
            </w:r>
          </w:p>
        </w:tc>
        <w:tc>
          <w:tcPr>
            <w:tcW w:w="1113"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of rebates, liquidity payments, exchange and clearing expenses and Class B warrant asset amortization of $4,477,000 and $881,000 for the years ended December 31, 2020 and 2019, respectively. </w:t>
            </w:r>
          </w:p>
        </w:tc>
      </w:tr>
    </w:tbl>
    <w:p>
      <w:pPr>
        <w:pStyle w:val="TextBody"/>
        <w:spacing w:before="360" w:after="0"/>
        <w:jc w:val="left"/>
        <w:rPr>
          <w:rFonts w:ascii="Times New Roman" w:hAnsi="Times New Roman"/>
          <w:i/>
          <w:sz w:val="20"/>
        </w:rPr>
      </w:pPr>
      <w:r>
        <w:rPr>
          <w:rFonts w:ascii="Times New Roman" w:hAnsi="Times New Roman"/>
          <w:i/>
          <w:sz w:val="20"/>
        </w:rPr>
        <w:t xml:space="preserve">Trading and clearing </w:t>
      </w:r>
    </w:p>
    <w:p>
      <w:pPr>
        <w:pStyle w:val="TextBody"/>
        <w:spacing w:before="120" w:after="0"/>
        <w:jc w:val="left"/>
        <w:rPr>
          <w:rFonts w:ascii="Times New Roman" w:hAnsi="Times New Roman"/>
          <w:sz w:val="20"/>
        </w:rPr>
      </w:pPr>
      <w:r>
        <w:rPr>
          <w:rFonts w:ascii="Times New Roman" w:hAnsi="Times New Roman"/>
          <w:sz w:val="20"/>
        </w:rPr>
        <w:t xml:space="preserve">All of our trading and clearing services are provided through our Triparty Agreement. Under our Triparty Agreement, we have determined that we are acting as an agent to arrange for trading and clearing services to be provided by IFUS and ICUS to customers. Our performance obligations related to trading and clearing services are generally satisfied almost simultaneously when the trade is executed and cleared, and revenue is recognized at that point in time. We recognize revenue for trading and clearing services net of expenses incurred by IFUS and ICUS related to their exchange and clearing services, which is included in Net revenues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In certain contracts with customers, we offer rebates to support market liquidity and trading volume, which provides qualified participants with a discount to the applicable commission rate. These rebates represent a form of variable consideration. Because we generally measure and resolve these rebates within the same reporting period, it is generally not operationally necessary for us to estimate these at a given reporting period date. These rebates are included in Net revenues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For our trading and clearing services, we bill customers for our services on a monthly basis, which is consistent with the timing of our revenue recognition. </w:t>
      </w:r>
    </w:p>
    <w:p>
      <w:pPr>
        <w:pStyle w:val="TextBody"/>
        <w:spacing w:before="240" w:after="0"/>
        <w:jc w:val="left"/>
        <w:rPr>
          <w:rFonts w:ascii="Times New Roman" w:hAnsi="Times New Roman"/>
          <w:sz w:val="20"/>
        </w:rPr>
      </w:pPr>
      <w:r>
        <w:rPr>
          <w:rFonts w:ascii="Times New Roman" w:hAnsi="Times New Roman"/>
          <w:sz w:val="20"/>
        </w:rPr>
        <w:t xml:space="preserve">Revenue from our trading and clearing services is included in Transaction revenue, net in the disaggregation of revenue table. </w:t>
      </w:r>
    </w:p>
    <w:p>
      <w:pPr>
        <w:pStyle w:val="TextBody"/>
        <w:spacing w:before="360" w:after="0"/>
        <w:jc w:val="left"/>
        <w:rPr>
          <w:rFonts w:ascii="Times New Roman" w:hAnsi="Times New Roman"/>
          <w:i/>
          <w:sz w:val="20"/>
        </w:rPr>
      </w:pPr>
      <w:r>
        <w:rPr>
          <w:rFonts w:ascii="Times New Roman" w:hAnsi="Times New Roman"/>
          <w:i/>
          <w:sz w:val="20"/>
        </w:rPr>
        <w:t xml:space="preserve">Custody </w:t>
      </w:r>
    </w:p>
    <w:p>
      <w:pPr>
        <w:pStyle w:val="TextBody"/>
        <w:spacing w:before="120" w:after="0"/>
        <w:jc w:val="left"/>
        <w:rPr>
          <w:rFonts w:ascii="Times New Roman" w:hAnsi="Times New Roman"/>
          <w:sz w:val="20"/>
        </w:rPr>
      </w:pPr>
      <w:r>
        <w:rPr>
          <w:rFonts w:ascii="Times New Roman" w:hAnsi="Times New Roman"/>
          <w:sz w:val="20"/>
        </w:rPr>
        <w:t xml:space="preserve">The Company provides a bitcoin custody solution to customers, which is generally based on a fixed monthly fee invoiced quarterly. Our performance obligation related to the storage and custody of a customers bitcoin represents a stand-ready obligation and is recognized on a straight-line basis over the related contract term as the customer receives benefits evenly throughout the term of the contract. The contract for custodial services may be terminated by a customer at any time, without incurring a penalty. We recognize revenue from our custodial services on a gross basis as we are acting as the principal in those arrangements. Revenue from our custodial services are included in Net revenues in the accompanying consolidated statements of operations and comprehensive loss.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Revenue from our custody services is included in Subscription and services revenue in the disaggregation of revenue table. </w:t>
      </w:r>
    </w:p>
    <w:p>
      <w:pPr>
        <w:pStyle w:val="TextBody"/>
        <w:spacing w:before="360" w:after="0"/>
        <w:jc w:val="left"/>
        <w:rPr>
          <w:rFonts w:ascii="Times New Roman" w:hAnsi="Times New Roman"/>
          <w:i/>
          <w:sz w:val="20"/>
        </w:rPr>
      </w:pPr>
      <w:r>
        <w:rPr>
          <w:rFonts w:ascii="Times New Roman" w:hAnsi="Times New Roman"/>
          <w:i/>
          <w:sz w:val="20"/>
        </w:rPr>
        <w:t xml:space="preserve">Loyalty redemption platform </w:t>
      </w:r>
    </w:p>
    <w:p>
      <w:pPr>
        <w:pStyle w:val="TextBody"/>
        <w:spacing w:before="120" w:after="0"/>
        <w:jc w:val="left"/>
        <w:rPr>
          <w:rFonts w:ascii="Times New Roman" w:hAnsi="Times New Roman"/>
          <w:sz w:val="20"/>
        </w:rPr>
      </w:pPr>
      <w:r>
        <w:rPr>
          <w:rFonts w:ascii="Times New Roman" w:hAnsi="Times New Roman"/>
          <w:sz w:val="20"/>
        </w:rPr>
        <w:t xml:space="preserve">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 related to our loyalty redemption platform consist of two performance obligations: (1) access to the Companys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accompanying consolidated statements of operations and comprehensive loss and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 </w:t>
            </w:r>
          </w:p>
        </w:tc>
      </w:tr>
    </w:tbl>
    <w:p>
      <w:pPr>
        <w:pStyle w:val="TextBody"/>
        <w:spacing w:before="360" w:after="0"/>
        <w:jc w:val="left"/>
        <w:rPr>
          <w:rFonts w:ascii="Times New Roman" w:hAnsi="Times New Roman"/>
          <w:i/>
          <w:sz w:val="20"/>
        </w:rPr>
      </w:pPr>
      <w:r>
        <w:rPr>
          <w:rFonts w:ascii="Times New Roman" w:hAnsi="Times New Roman"/>
          <w:i/>
          <w:sz w:val="20"/>
        </w:rPr>
        <w:t xml:space="preserve">Strategic alliance agreement </w:t>
      </w:r>
    </w:p>
    <w:p>
      <w:pPr>
        <w:pStyle w:val="TextBody"/>
        <w:spacing w:before="120" w:after="0"/>
        <w:jc w:val="left"/>
        <w:rPr>
          <w:rFonts w:ascii="Times New Roman" w:hAnsi="Times New Roman"/>
          <w:sz w:val="20"/>
        </w:rPr>
      </w:pPr>
      <w:r>
        <w:rPr>
          <w:rFonts w:ascii="Times New Roman" w:hAnsi="Times New Roman"/>
          <w:sz w:val="20"/>
        </w:rPr>
        <w:t xml:space="preserve">In February 2020, the Company entered into a Strategic Alliance Agreement with a strategic partner to develop and operate a mechanism whereby a customer can purchase food and beverage items from the strategic partner using their Bakkt digital wallet. </w:t>
      </w:r>
    </w:p>
    <w:p>
      <w:pPr>
        <w:pStyle w:val="TextBody"/>
        <w:spacing w:before="240" w:after="0"/>
        <w:jc w:val="left"/>
        <w:rPr>
          <w:rFonts w:ascii="Times New Roman" w:hAnsi="Times New Roman"/>
          <w:sz w:val="20"/>
        </w:rPr>
      </w:pPr>
      <w:r>
        <w:rPr>
          <w:rFonts w:ascii="Times New Roman" w:hAnsi="Times New Roman"/>
          <w:sz w:val="20"/>
        </w:rPr>
        <w:t xml:space="preserve">In conjunction with this agreement, Bakkt issued the strategic partner a warrant to purchase 15 million Class B voting units. The Company accounts for the warrant as consideration payable to a customer within the scope of ASC 606, </w:t>
      </w:r>
      <w:r>
        <w:rPr>
          <w:rFonts w:ascii="Times New Roman" w:hAnsi="Times New Roman"/>
          <w:i/>
          <w:sz w:val="20"/>
        </w:rPr>
        <w:t>Revenue from Contracts with Customers</w:t>
      </w:r>
      <w:r>
        <w:rPr>
          <w:rFonts w:ascii="Times New Roman" w:hAnsi="Times New Roman"/>
          <w:sz w:val="20"/>
        </w:rPr>
        <w:t xml:space="preserve">,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Practical expedients </w:t>
      </w:r>
    </w:p>
    <w:p>
      <w:pPr>
        <w:pStyle w:val="TextBody"/>
        <w:spacing w:before="120" w:after="0"/>
        <w:jc w:val="left"/>
        <w:rPr>
          <w:rFonts w:ascii="Times New Roman" w:hAnsi="Times New Roman"/>
          <w:sz w:val="20"/>
        </w:rPr>
      </w:pPr>
      <w:r>
        <w:rPr>
          <w:rFonts w:ascii="Times New Roman" w:hAnsi="Times New Roman"/>
          <w:sz w:val="20"/>
        </w:rPr>
        <w:t xml:space="preserve">We have elected the following practical expedients under ASC 606: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 sales taxes from the measurement of the transaction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adjust the transaction price for the existence of a significant financing component if the timing difference between a customers payment and our performance is one year or less.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 </w:t>
            </w:r>
          </w:p>
        </w:tc>
      </w:tr>
    </w:tbl>
    <w:p>
      <w:pPr>
        <w:pStyle w:val="TextBody"/>
        <w:spacing w:before="240" w:after="0"/>
        <w:jc w:val="left"/>
        <w:rPr>
          <w:rFonts w:ascii="Times New Roman" w:hAnsi="Times New Roman"/>
          <w:sz w:val="20"/>
        </w:rPr>
      </w:pPr>
      <w:r>
        <w:rPr>
          <w:rFonts w:ascii="Times New Roman" w:hAnsi="Times New Roman"/>
          <w:sz w:val="20"/>
        </w:rPr>
        <w:t xml:space="preserve">Additionally, we have elected the practical expedient under ASC 340-40 to not capitalize incremental costs to obtain a contract with a customer if the amortization period would have been one year or less. </w:t>
      </w:r>
    </w:p>
    <w:p>
      <w:pPr>
        <w:pStyle w:val="TextBody"/>
        <w:spacing w:before="360" w:after="0"/>
        <w:jc w:val="left"/>
        <w:rPr>
          <w:rFonts w:ascii="Times New Roman" w:hAnsi="Times New Roman"/>
          <w:b/>
          <w:sz w:val="20"/>
        </w:rPr>
      </w:pPr>
      <w:r>
        <w:rPr>
          <w:rFonts w:ascii="Times New Roman" w:hAnsi="Times New Roman"/>
          <w:b/>
          <w:sz w:val="20"/>
        </w:rPr>
        <w:t xml:space="preserve">Deferred Revenue </w:t>
      </w:r>
    </w:p>
    <w:p>
      <w:pPr>
        <w:pStyle w:val="TextBody"/>
        <w:spacing w:before="120" w:after="0"/>
        <w:jc w:val="left"/>
        <w:rPr>
          <w:rFonts w:ascii="Times New Roman" w:hAnsi="Times New Roman"/>
          <w:sz w:val="20"/>
        </w:rPr>
      </w:pPr>
      <w:r>
        <w:rPr>
          <w:rFonts w:ascii="Times New Roman" w:hAnsi="Times New Roman"/>
          <w:sz w:val="20"/>
        </w:rPr>
        <w:t xml:space="preserve">Deferred revenue includes amounts invoiced prior to the Company meeting the criteria for revenue recognition. The Company typically invoices customers for subscription fees in arrears on a monthly basis. </w:t>
      </w:r>
    </w:p>
    <w:p>
      <w:pPr>
        <w:pStyle w:val="TextBody"/>
        <w:spacing w:before="240" w:after="0"/>
        <w:jc w:val="left"/>
        <w:rPr>
          <w:rFonts w:ascii="Times New Roman" w:hAnsi="Times New Roman"/>
          <w:sz w:val="20"/>
        </w:rPr>
      </w:pPr>
      <w:r>
        <w:rPr>
          <w:rFonts w:ascii="Times New Roman" w:hAnsi="Times New Roman"/>
          <w:sz w:val="20"/>
        </w:rPr>
        <w:t xml:space="preserve">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 </w:t>
      </w:r>
    </w:p>
    <w:p>
      <w:pPr>
        <w:pStyle w:val="TextBody"/>
        <w:spacing w:before="240" w:after="0"/>
        <w:jc w:val="left"/>
        <w:rPr>
          <w:rFonts w:ascii="Times New Roman" w:hAnsi="Times New Roman"/>
          <w:sz w:val="20"/>
        </w:rPr>
      </w:pPr>
      <w:r>
        <w:rPr>
          <w:rFonts w:ascii="Times New Roman" w:hAnsi="Times New Roman"/>
          <w:sz w:val="20"/>
        </w:rPr>
        <w:t xml:space="preserve">The amount of revenue recognized for the year ended December 31, 2020 from the opening deferred revenue balance as of the date of acquisition of Bridge2 Solutions was $11,005,000. The Company did not have any deferred revenue as of December 31, 2019. </w:t>
      </w:r>
    </w:p>
    <w:p>
      <w:pPr>
        <w:pStyle w:val="TextBody"/>
        <w:spacing w:before="360" w:after="0"/>
        <w:jc w:val="left"/>
        <w:rPr>
          <w:rFonts w:ascii="Times New Roman" w:hAnsi="Times New Roman"/>
          <w:b/>
          <w:sz w:val="20"/>
        </w:rPr>
      </w:pPr>
      <w:r>
        <w:rPr>
          <w:rFonts w:ascii="Times New Roman" w:hAnsi="Times New Roman"/>
          <w:b/>
          <w:sz w:val="20"/>
        </w:rPr>
        <w:t xml:space="preserve">Property, equipment and software, net </w:t>
      </w:r>
    </w:p>
    <w:p>
      <w:pPr>
        <w:pStyle w:val="TextBody"/>
        <w:spacing w:before="120" w:after="0"/>
        <w:jc w:val="left"/>
        <w:rPr>
          <w:rFonts w:ascii="Times New Roman" w:hAnsi="Times New Roman"/>
          <w:sz w:val="20"/>
        </w:rPr>
      </w:pPr>
      <w:r>
        <w:rPr>
          <w:rFonts w:ascii="Times New Roman" w:hAnsi="Times New Roman"/>
          <w:sz w:val="20"/>
        </w:rPr>
        <w:t xml:space="preserve">Property, equipment and software are stated at cost, less accumulated depreciation and amortization. </w:t>
      </w:r>
    </w:p>
    <w:p>
      <w:pPr>
        <w:pStyle w:val="TextBody"/>
        <w:spacing w:before="240" w:after="0"/>
        <w:jc w:val="left"/>
        <w:rPr>
          <w:rFonts w:ascii="Times New Roman" w:hAnsi="Times New Roman"/>
          <w:sz w:val="20"/>
        </w:rPr>
      </w:pPr>
      <w:r>
        <w:rPr>
          <w:rFonts w:ascii="Times New Roman" w:hAnsi="Times New Roman"/>
          <w:sz w:val="20"/>
        </w:rPr>
        <w:t xml:space="preserve">The Company capitalizes costs related to software it develops or obtains for internal use and are included in Property, equipment and software, net on the accompanying balance sheet. Software development costs incurred during the preliminary or maintenance project stages are expensed as incurred, and costs incurred during the application development stage are capitalized and are amortized over the useful life of the software. </w:t>
      </w:r>
    </w:p>
    <w:p>
      <w:pPr>
        <w:pStyle w:val="TextBody"/>
        <w:spacing w:before="240" w:after="0"/>
        <w:jc w:val="left"/>
        <w:rPr>
          <w:rFonts w:ascii="Times New Roman" w:hAnsi="Times New Roman"/>
          <w:sz w:val="20"/>
        </w:rPr>
      </w:pPr>
      <w:r>
        <w:rPr>
          <w:rFonts w:ascii="Times New Roman" w:hAnsi="Times New Roman"/>
          <w:sz w:val="20"/>
        </w:rPr>
        <w:t xml:space="preserve">Depreciation and amortization are computed using the straight-line method over the following estimated useful lives of assets: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935"/>
        <w:gridCol w:w="125"/>
        <w:gridCol w:w="1145"/>
      </w:tblGrid>
      <w:tr>
        <w:trPr/>
        <w:tc>
          <w:tcPr>
            <w:tcW w:w="89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89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45" w:type="dxa"/>
            <w:tcBorders>
              <w:bottom w:val="single" w:sz="8" w:space="0" w:color="000000"/>
            </w:tcBorders>
            <w:shd w:fill="auto" w:val="clear"/>
            <w:tcMar>
              <w:bottom w:w="28" w:type="dxa"/>
            </w:tcMar>
            <w:vAlign w:val="bottom"/>
          </w:tcPr>
          <w:p>
            <w:pPr>
              <w:pStyle w:val="TableContents"/>
              <w:spacing w:before="0" w:after="283"/>
              <w:jc w:val="center"/>
              <w:rPr>
                <w:b/>
              </w:rPr>
            </w:pPr>
            <w:r>
              <w:rPr>
                <w:b/>
              </w:rPr>
              <w:t>Estimated</w:t>
              <w:br/>
              <w:t>Useful Life</w:t>
            </w:r>
          </w:p>
        </w:tc>
      </w:tr>
      <w:tr>
        <w:trPr/>
        <w:tc>
          <w:tcPr>
            <w:tcW w:w="8935" w:type="dxa"/>
            <w:tcBorders/>
            <w:shd w:fill="CCEEFF" w:val="clear"/>
          </w:tcPr>
          <w:p>
            <w:pPr>
              <w:pStyle w:val="TableContents"/>
              <w:spacing w:before="0" w:after="0"/>
              <w:rPr>
                <w:rFonts w:ascii="Times New Roman" w:hAnsi="Times New Roman"/>
                <w:sz w:val="20"/>
              </w:rPr>
            </w:pPr>
            <w:r>
              <w:rPr>
                <w:rFonts w:ascii="Times New Roman" w:hAnsi="Times New Roman"/>
                <w:sz w:val="20"/>
              </w:rPr>
              <w:t>Internal use software</w:t>
            </w:r>
          </w:p>
        </w:tc>
        <w:tc>
          <w:tcPr>
            <w:tcW w:w="125"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center"/>
              <w:rPr/>
            </w:pPr>
            <w:r>
              <w:rPr/>
              <w:t>3-7 years</w:t>
            </w:r>
          </w:p>
        </w:tc>
      </w:tr>
      <w:tr>
        <w:trPr/>
        <w:tc>
          <w:tcPr>
            <w:tcW w:w="8935" w:type="dxa"/>
            <w:tcBorders/>
            <w:shd w:fill="auto" w:val="clear"/>
          </w:tcPr>
          <w:p>
            <w:pPr>
              <w:pStyle w:val="TableContents"/>
              <w:spacing w:before="0" w:after="0"/>
              <w:rPr>
                <w:rFonts w:ascii="Times New Roman" w:hAnsi="Times New Roman"/>
                <w:sz w:val="20"/>
              </w:rPr>
            </w:pPr>
            <w:r>
              <w:rPr>
                <w:rFonts w:ascii="Times New Roman" w:hAnsi="Times New Roman"/>
                <w:sz w:val="20"/>
              </w:rPr>
              <w:t>Purchased software</w:t>
            </w:r>
          </w:p>
        </w:tc>
        <w:tc>
          <w:tcPr>
            <w:tcW w:w="125"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center"/>
              <w:rPr/>
            </w:pPr>
            <w:r>
              <w:rPr/>
              <w:t>3 years</w:t>
            </w:r>
          </w:p>
        </w:tc>
      </w:tr>
      <w:tr>
        <w:trPr/>
        <w:tc>
          <w:tcPr>
            <w:tcW w:w="8935" w:type="dxa"/>
            <w:tcBorders/>
            <w:shd w:fill="CCEEFF" w:val="clear"/>
          </w:tcPr>
          <w:p>
            <w:pPr>
              <w:pStyle w:val="TableContents"/>
              <w:spacing w:before="0" w:after="0"/>
              <w:rPr>
                <w:rFonts w:ascii="Times New Roman" w:hAnsi="Times New Roman"/>
                <w:sz w:val="20"/>
              </w:rPr>
            </w:pPr>
            <w:r>
              <w:rPr>
                <w:rFonts w:ascii="Times New Roman" w:hAnsi="Times New Roman"/>
                <w:sz w:val="20"/>
              </w:rPr>
              <w:t>Assets under finance lease</w:t>
            </w:r>
          </w:p>
        </w:tc>
        <w:tc>
          <w:tcPr>
            <w:tcW w:w="125"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center"/>
              <w:rPr/>
            </w:pPr>
            <w:r>
              <w:rPr/>
              <w:t>2-5 years</w:t>
            </w:r>
          </w:p>
        </w:tc>
      </w:tr>
      <w:tr>
        <w:trPr/>
        <w:tc>
          <w:tcPr>
            <w:tcW w:w="8935" w:type="dxa"/>
            <w:tcBorders/>
            <w:shd w:fill="auto" w:val="clear"/>
          </w:tcPr>
          <w:p>
            <w:pPr>
              <w:pStyle w:val="TableContents"/>
              <w:spacing w:before="0" w:after="0"/>
              <w:rPr>
                <w:rFonts w:ascii="Times New Roman" w:hAnsi="Times New Roman"/>
                <w:sz w:val="20"/>
              </w:rPr>
            </w:pPr>
            <w:r>
              <w:rPr>
                <w:rFonts w:ascii="Times New Roman" w:hAnsi="Times New Roman"/>
                <w:sz w:val="20"/>
              </w:rPr>
              <w:t>Office, furniture and equipment</w:t>
            </w:r>
          </w:p>
        </w:tc>
        <w:tc>
          <w:tcPr>
            <w:tcW w:w="125"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center"/>
              <w:rPr/>
            </w:pPr>
            <w:r>
              <w:rPr/>
              <w:t>7-10 years</w:t>
            </w:r>
          </w:p>
        </w:tc>
      </w:tr>
      <w:tr>
        <w:trPr/>
        <w:tc>
          <w:tcPr>
            <w:tcW w:w="8935"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125"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center"/>
              <w:rPr/>
            </w:pPr>
            <w:r>
              <w:rPr/>
              <w:t>7 years</w:t>
            </w:r>
          </w:p>
        </w:tc>
      </w:tr>
      <w:tr>
        <w:trPr/>
        <w:tc>
          <w:tcPr>
            <w:tcW w:w="8935" w:type="dxa"/>
            <w:tcBorders/>
            <w:shd w:fill="auto" w:val="clear"/>
          </w:tcPr>
          <w:p>
            <w:pPr>
              <w:pStyle w:val="TableContents"/>
              <w:spacing w:before="0" w:after="0"/>
              <w:rPr>
                <w:rFonts w:ascii="Times New Roman" w:hAnsi="Times New Roman"/>
                <w:sz w:val="20"/>
              </w:rPr>
            </w:pPr>
            <w:r>
              <w:rPr>
                <w:rFonts w:ascii="Times New Roman" w:hAnsi="Times New Roman"/>
                <w:sz w:val="20"/>
              </w:rPr>
              <w:t>Other computer and network equipment</w:t>
            </w:r>
          </w:p>
        </w:tc>
        <w:tc>
          <w:tcPr>
            <w:tcW w:w="125"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center"/>
              <w:rPr/>
            </w:pPr>
            <w:r>
              <w:rPr/>
              <w:t>3 years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year ended December 31, 2020, the Company purchased payment software to use in the roll-out of its alternative payment method. However, the Company ultimately built out its alternative payment method using API-based integrations instead of the acquired payment software. As the alternative method no longer met the Companys business requirements, the company recorded an impairment charge of $2,450,000. The impairment charge is reflected as Impairment of long-lived assets in the accompanying consolidated statements of operations and comprehensive loss. </w:t>
      </w:r>
    </w:p>
    <w:p>
      <w:pPr>
        <w:pStyle w:val="TextBody"/>
        <w:spacing w:before="360" w:after="0"/>
        <w:jc w:val="left"/>
        <w:rPr>
          <w:rFonts w:ascii="Times New Roman" w:hAnsi="Times New Roman"/>
          <w:b/>
          <w:sz w:val="20"/>
        </w:rPr>
      </w:pPr>
      <w:r>
        <w:rPr>
          <w:rFonts w:ascii="Times New Roman" w:hAnsi="Times New Roman"/>
          <w:b/>
          <w:sz w:val="20"/>
        </w:rPr>
        <w:t xml:space="preserve">Impairment of Long-Lived Assets </w:t>
      </w:r>
    </w:p>
    <w:p>
      <w:pPr>
        <w:pStyle w:val="TextBody"/>
        <w:spacing w:before="120" w:after="0"/>
        <w:jc w:val="left"/>
        <w:rPr>
          <w:rFonts w:ascii="Times New Roman" w:hAnsi="Times New Roman"/>
          <w:sz w:val="20"/>
        </w:rPr>
      </w:pPr>
      <w:r>
        <w:rPr>
          <w:rFonts w:ascii="Times New Roman" w:hAnsi="Times New Roman"/>
          <w:sz w:val="20"/>
        </w:rPr>
        <w:t xml:space="preserve">The Companys long-lived assets are reviewed for impairment whenever events or changes in circumstances indicate that the carrying value of the asset may not be recoverable. The Company also evaluates the period of depreciation and amortization of long-lived assets to determine whether events or circumstances warrant revised estimates of useful lives. When indicators of impairment are present, the Company determines the recoverability of its long-lived assets by comparing the carrying value of its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The Company recorded impairment charges of $15,292,000 related to long-lived assets during the year ended December 31, 2020. </w:t>
      </w:r>
    </w:p>
    <w:p>
      <w:pPr>
        <w:pStyle w:val="TextBody"/>
        <w:spacing w:before="360" w:after="0"/>
        <w:jc w:val="left"/>
        <w:rPr>
          <w:rFonts w:ascii="Times New Roman" w:hAnsi="Times New Roman"/>
          <w:b/>
          <w:sz w:val="20"/>
        </w:rPr>
      </w:pPr>
      <w:r>
        <w:rPr>
          <w:rFonts w:ascii="Times New Roman" w:hAnsi="Times New Roman"/>
          <w:b/>
          <w:sz w:val="20"/>
        </w:rPr>
        <w:t xml:space="preserve">Unit-Based Compensation </w:t>
      </w:r>
    </w:p>
    <w:p>
      <w:pPr>
        <w:pStyle w:val="TextBody"/>
        <w:spacing w:before="120" w:after="0"/>
        <w:jc w:val="left"/>
        <w:rPr>
          <w:rFonts w:ascii="Times New Roman" w:hAnsi="Times New Roman"/>
          <w:sz w:val="20"/>
        </w:rPr>
      </w:pPr>
      <w:r>
        <w:rPr>
          <w:rFonts w:ascii="Times New Roman" w:hAnsi="Times New Roman"/>
          <w:sz w:val="20"/>
        </w:rPr>
        <w:t xml:space="preserve">Share-based payments to employees, which consist of incentive units and phantom units (participation units), are measured at fair value on the date of grant and recognized as expense in Compensation and benefits in the accompanying consolidated statements of operations and comprehensive loss over the requisite service period. Additionally, the Company recognizes variable compensation expense for liability-classified participation units based on changes to the fair value of the awards at each reporting date. The Company elects to account for forfeitures as they occur. </w:t>
      </w:r>
    </w:p>
    <w:p>
      <w:pPr>
        <w:pStyle w:val="TextBody"/>
        <w:spacing w:before="240" w:after="0"/>
        <w:jc w:val="left"/>
        <w:rPr>
          <w:rFonts w:ascii="Times New Roman" w:hAnsi="Times New Roman"/>
          <w:sz w:val="20"/>
        </w:rPr>
      </w:pPr>
      <w:r>
        <w:rPr>
          <w:rFonts w:ascii="Times New Roman" w:hAnsi="Times New Roman"/>
          <w:sz w:val="20"/>
        </w:rPr>
        <w:t xml:space="preserve">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Bakkt Plan and individual award agreements. A portion of the units may be subject to vesting upon a liquidity event, initial public offering, or partial exit event, as defined in the Bakkt Plan, or to the extent any incentive units and participation units remain outstanding and unvested on the date that is the eight-year anniversary of the launch of one of the Companys services in a production environment, which occurred on September 23, 2019, these remaining units will vest based on the calculated fair market value of the Company, as defined in the LLC agreement, as of such date. </w:t>
      </w:r>
    </w:p>
    <w:p>
      <w:pPr>
        <w:pStyle w:val="TextBody"/>
        <w:spacing w:before="240" w:after="0"/>
        <w:jc w:val="left"/>
        <w:rPr>
          <w:rFonts w:ascii="Times New Roman" w:hAnsi="Times New Roman"/>
          <w:sz w:val="20"/>
        </w:rPr>
      </w:pPr>
      <w:r>
        <w:rPr>
          <w:rFonts w:ascii="Times New Roman" w:hAnsi="Times New Roman"/>
          <w:sz w:val="20"/>
        </w:rPr>
        <w:t xml:space="preserve">The incentive units include certain put features; as such, we classify the incentive units as Mezzanine equity in the accompanying consolidated balance sheets due to the put option which represents a redemption feature. The incentive units will not be subject to remeasurement until exercise of the put option becomes probable. </w:t>
      </w:r>
    </w:p>
    <w:p>
      <w:pPr>
        <w:pStyle w:val="TextBody"/>
        <w:spacing w:before="360" w:after="0"/>
        <w:jc w:val="left"/>
        <w:rPr>
          <w:rFonts w:ascii="Times New Roman" w:hAnsi="Times New Roman"/>
          <w:b/>
          <w:sz w:val="20"/>
        </w:rPr>
      </w:pPr>
      <w:r>
        <w:rPr>
          <w:rFonts w:ascii="Times New Roman" w:hAnsi="Times New Roman"/>
          <w:b/>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the amounts reported in the consolidated financial statements and accompanying notes. The Company bases its estimates and assumptions on various judgments that it believes to be reasonable under the circumstances. The significant estimates and assumptions that affect the Companys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consolidated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On January 1, 2019, the Company adopted ASU 2018-07, </w:t>
      </w:r>
      <w:r>
        <w:rPr>
          <w:rFonts w:ascii="Times New Roman" w:hAnsi="Times New Roman"/>
          <w:i/>
          <w:sz w:val="20"/>
        </w:rPr>
        <w:t xml:space="preserve">Compensation-Stock Compensation </w:t>
      </w:r>
      <w:r>
        <w:rPr>
          <w:rFonts w:ascii="Times New Roman" w:hAnsi="Times New Roman"/>
          <w:sz w:val="20"/>
        </w:rPr>
        <w:t xml:space="preserve">(Topic 718), or ASU 2018-07. This amendment expands ASC 718 to include share-based payment transactions for acquiring goods and services from non-employees and to supersede the guidance in ASC 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  </w:t>
      </w:r>
    </w:p>
    <w:p>
      <w:pPr>
        <w:pStyle w:val="TextBody"/>
        <w:spacing w:before="240" w:after="0"/>
        <w:jc w:val="left"/>
        <w:rPr>
          <w:rFonts w:ascii="Times New Roman" w:hAnsi="Times New Roman"/>
          <w:sz w:val="20"/>
        </w:rPr>
      </w:pPr>
      <w:r>
        <w:rPr>
          <w:rFonts w:ascii="Times New Roman" w:hAnsi="Times New Roman"/>
          <w:sz w:val="20"/>
        </w:rPr>
        <w:t xml:space="preserve">On January 1, 2019, the Company adopted ASU 2016-02, </w:t>
      </w:r>
      <w:r>
        <w:rPr>
          <w:rFonts w:ascii="Times New Roman" w:hAnsi="Times New Roman"/>
          <w:i/>
          <w:sz w:val="20"/>
        </w:rPr>
        <w:t>Leases</w:t>
      </w:r>
      <w:r>
        <w:rPr>
          <w:rFonts w:ascii="Times New Roman" w:hAnsi="Times New Roman"/>
          <w:sz w:val="20"/>
        </w:rPr>
        <w:t xml:space="preserve">, or ASU 2016-02. This standard requires recognition of both assets and liabilities arising from finance and operating leases, along with additional qualitative and quantitative disclosures. ASU 2016-02 requires lessees to recognize a right-of-use asset representing a right to use the underlying asset over the lease term, and a corresponding lease liability on the balance sheet.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2016-13, </w:t>
      </w:r>
      <w:r>
        <w:rPr>
          <w:rFonts w:ascii="Times New Roman" w:hAnsi="Times New Roman"/>
          <w:i/>
          <w:sz w:val="20"/>
        </w:rPr>
        <w:t>Financial Instruments  Measurement of Credit Losses on Financial Instruments</w:t>
      </w:r>
      <w:r>
        <w:rPr>
          <w:rFonts w:ascii="Times New Roman" w:hAnsi="Times New Roman"/>
          <w:sz w:val="20"/>
        </w:rPr>
        <w:t xml:space="preserve">,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2017-04, </w:t>
      </w:r>
      <w:r>
        <w:rPr>
          <w:rFonts w:ascii="Times New Roman" w:hAnsi="Times New Roman"/>
          <w:i/>
          <w:sz w:val="20"/>
        </w:rPr>
        <w:t>Simplifying the Test for Goodwill Impairment</w:t>
      </w:r>
      <w:r>
        <w:rPr>
          <w:rFonts w:ascii="Times New Roman" w:hAnsi="Times New Roman"/>
          <w:sz w:val="20"/>
        </w:rPr>
        <w:t xml:space="preserve">,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2018-15, </w:t>
      </w:r>
      <w:r>
        <w:rPr>
          <w:rFonts w:ascii="Times New Roman" w:hAnsi="Times New Roman"/>
          <w:i/>
          <w:sz w:val="20"/>
        </w:rPr>
        <w:t>Customers Accounting for Implementation</w:t>
      </w:r>
      <w:r>
        <w:rPr>
          <w:rFonts w:ascii="Times New Roman" w:hAnsi="Times New Roman"/>
          <w:sz w:val="20"/>
        </w:rPr>
        <w:t xml:space="preserve"> </w:t>
      </w:r>
      <w:r>
        <w:rPr>
          <w:rFonts w:ascii="Times New Roman" w:hAnsi="Times New Roman"/>
          <w:i/>
          <w:sz w:val="20"/>
        </w:rPr>
        <w:t>Costs Incurred in a Cloud Computing Arrangement that is a Service Contract</w:t>
      </w:r>
      <w:r>
        <w:rPr>
          <w:rFonts w:ascii="Times New Roman" w:hAnsi="Times New Roman"/>
          <w:sz w:val="20"/>
        </w:rPr>
        <w:t xml:space="preserve">, or ASU 2018-15. This standard helps entities evaluate the accounting for fees paid by a customer in a cloud 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classification of the capitalized implementation costs and related amortization expense and requires additional quantitative and qualitative disclosures.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2019-12, </w:t>
      </w:r>
      <w:r>
        <w:rPr>
          <w:rFonts w:ascii="Times New Roman" w:hAnsi="Times New Roman"/>
          <w:i/>
          <w:sz w:val="20"/>
        </w:rPr>
        <w:t>Simplifying the Accounting for Income Taxes</w:t>
      </w:r>
      <w:r>
        <w:rPr>
          <w:rFonts w:ascii="Times New Roman" w:hAnsi="Times New Roman"/>
          <w:sz w:val="20"/>
        </w:rPr>
        <w:t xml:space="preserve">,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 </w:t>
      </w:r>
    </w:p>
    <w:p>
      <w:pPr>
        <w:pStyle w:val="TextBody"/>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August 2020, the FASB issued ASU 2020-06, Debt  Debt with Conversion Options (Subtopic 470-20) and Derivatives and Hedging  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are currently evaluating the impact of the new guidance on our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7" w:name="toc108105_30"/>
      <w:bookmarkEnd w:id="97"/>
      <w:r>
        <w:rPr>
          <w:rFonts w:ascii="Times New Roman" w:hAnsi="Times New Roman"/>
          <w:b/>
          <w:sz w:val="20"/>
        </w:rPr>
        <w:t xml:space="preserve">MANAGEMENT OF BAKKT </w:t>
      </w:r>
    </w:p>
    <w:p>
      <w:pPr>
        <w:pStyle w:val="TextBody"/>
        <w:spacing w:before="240" w:after="0"/>
        <w:jc w:val="left"/>
        <w:rPr>
          <w:rFonts w:ascii="Times New Roman" w:hAnsi="Times New Roman"/>
          <w:sz w:val="20"/>
        </w:rPr>
      </w:pPr>
      <w:r>
        <w:rPr>
          <w:rFonts w:ascii="Times New Roman" w:hAnsi="Times New Roman"/>
          <w:i/>
          <w:sz w:val="20"/>
        </w:rPr>
        <w:t>Throughout this section, unless otherwise noted we, us, our and </w:t>
      </w:r>
      <w:r>
        <w:rPr>
          <w:rFonts w:ascii="Times New Roman" w:hAnsi="Times New Roman"/>
          <w:sz w:val="20"/>
        </w:rPr>
        <w:t>Bakkt</w:t>
      </w:r>
      <w:r>
        <w:rPr>
          <w:rFonts w:ascii="Times New Roman" w:hAnsi="Times New Roman"/>
          <w:i/>
          <w:sz w:val="20"/>
        </w:rPr>
        <w:t> refer to Bakkt Holdings, LLC and its consolidated subsidiaries.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regarding our executive officers and members of the board of managers of Bakkt as of the filing of this proxy statement/prospectus.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24"/>
        <w:gridCol w:w="120"/>
        <w:gridCol w:w="350"/>
        <w:gridCol w:w="203"/>
        <w:gridCol w:w="6708"/>
      </w:tblGrid>
      <w:tr>
        <w:trPr/>
        <w:tc>
          <w:tcPr>
            <w:tcW w:w="28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708" w:type="dxa"/>
            <w:tcBorders/>
            <w:shd w:fill="auto" w:val="clear"/>
            <w:vAlign w:val="center"/>
          </w:tcPr>
          <w:p>
            <w:pPr>
              <w:pStyle w:val="TableContents"/>
              <w:spacing w:before="0" w:after="283"/>
              <w:rPr>
                <w:sz w:val="4"/>
                <w:szCs w:val="4"/>
              </w:rPr>
            </w:pPr>
            <w:r>
              <w:rPr>
                <w:sz w:val="4"/>
                <w:szCs w:val="4"/>
              </w:rPr>
            </w:r>
          </w:p>
        </w:tc>
      </w:tr>
      <w:tr>
        <w:trPr/>
        <w:tc>
          <w:tcPr>
            <w:tcW w:w="2824" w:type="dxa"/>
            <w:tcBorders/>
            <w:shd w:fill="auto" w:val="clear"/>
            <w:vAlign w:val="bottom"/>
          </w:tcPr>
          <w:p>
            <w:pPr>
              <w:pStyle w:val="TableContents"/>
              <w:pBdr>
                <w:bottom w:val="single" w:sz="8" w:space="1" w:color="000000"/>
              </w:pBdr>
              <w:spacing w:before="0" w:after="0"/>
              <w:rPr>
                <w:rFonts w:ascii="Times New Roman" w:hAnsi="Times New Roman"/>
                <w:b/>
                <w:sz w:val="18"/>
              </w:rPr>
            </w:pPr>
            <w:r>
              <w:rPr>
                <w:rFonts w:ascii="Times New Roman" w:hAnsi="Times New Roman"/>
                <w:b/>
                <w:sz w:val="18"/>
              </w:rPr>
              <w:t>Name</w:t>
            </w:r>
          </w:p>
        </w:tc>
        <w:tc>
          <w:tcPr>
            <w:tcW w:w="120" w:type="dxa"/>
            <w:tcBorders/>
            <w:shd w:fill="auto" w:val="clear"/>
            <w:vAlign w:val="bottom"/>
          </w:tcPr>
          <w:p>
            <w:pPr>
              <w:pStyle w:val="TableContents"/>
              <w:spacing w:before="0" w:after="283"/>
              <w:rPr/>
            </w:pPr>
            <w:r>
              <w:rPr/>
              <w:t>  </w:t>
            </w:r>
          </w:p>
        </w:tc>
        <w:tc>
          <w:tcPr>
            <w:tcW w:w="35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8"/>
              </w:rPr>
            </w:pPr>
            <w:r>
              <w:rPr>
                <w:rFonts w:ascii="Times New Roman" w:hAnsi="Times New Roman"/>
                <w:b/>
                <w:sz w:val="18"/>
              </w:rPr>
              <w:t>Age</w:t>
            </w:r>
          </w:p>
        </w:tc>
        <w:tc>
          <w:tcPr>
            <w:tcW w:w="203" w:type="dxa"/>
            <w:tcBorders/>
            <w:shd w:fill="auto" w:val="clear"/>
            <w:vAlign w:val="bottom"/>
          </w:tcPr>
          <w:p>
            <w:pPr>
              <w:pStyle w:val="TableContents"/>
              <w:spacing w:before="0" w:after="283"/>
              <w:rPr/>
            </w:pPr>
            <w:r>
              <w:rPr/>
              <w:t>  </w:t>
            </w:r>
          </w:p>
        </w:tc>
        <w:tc>
          <w:tcPr>
            <w:tcW w:w="6708"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8"/>
              </w:rPr>
            </w:pPr>
            <w:r>
              <w:rPr>
                <w:rFonts w:ascii="Times New Roman" w:hAnsi="Times New Roman"/>
                <w:b/>
                <w:sz w:val="18"/>
              </w:rPr>
              <w:t>Position(s)</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Gavin Michael</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55</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83"/>
              <w:rPr/>
            </w:pPr>
            <w:r>
              <w:rPr/>
              <w:t>Chief Executive Officer</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Adam White</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38</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83"/>
              <w:rPr/>
            </w:pPr>
            <w:r>
              <w:rPr/>
              <w:t>President</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Doug Hadaway(1)</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58</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83"/>
              <w:rPr/>
            </w:pPr>
            <w:r>
              <w:rPr/>
              <w:t>Chief Financial Officer</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Nicolas Cabrera</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45</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83"/>
              <w:rPr/>
            </w:pPr>
            <w:r>
              <w:rPr/>
              <w:t>Chief Product Officer</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Marc DAnnunzio</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49</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83"/>
              <w:rPr/>
            </w:pPr>
            <w:r>
              <w:rPr/>
              <w:t>General Counsel and Secretary</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Matthew Johnson</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49</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83"/>
              <w:rPr/>
            </w:pPr>
            <w:r>
              <w:rPr/>
              <w:t>Chief Technology Officer</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Mark Elliot</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51</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83"/>
              <w:rPr/>
            </w:pPr>
            <w:r>
              <w:rPr/>
              <w:t>Executive Vice President, Marketing</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Nancy Gordon</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51</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83"/>
              <w:rPr/>
            </w:pPr>
            <w:r>
              <w:rPr/>
              <w:t>Executive Vice President, Loyalty, Rewards &amp; Payments</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Michael Lewis</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56</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83"/>
              <w:rPr/>
            </w:pPr>
            <w:r>
              <w:rPr/>
              <w:t>Executive Vice President, Engineering &amp; Operations</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Josh Klenert</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47</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83"/>
              <w:rPr/>
            </w:pPr>
            <w:r>
              <w:rPr/>
              <w:t>Senior Vice President, Head of Design</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Sheela Zemlin(2)</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52</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83"/>
              <w:rPr/>
            </w:pPr>
            <w:r>
              <w:rPr/>
              <w:t>Executive Vice President, Chief Revenue Officer</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Thomas E. Noonan</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60</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Chairman of Board of Managers</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Hon. Sharon Y. Bowen</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64</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0"/>
              <w:rPr>
                <w:rFonts w:ascii="Times New Roman" w:hAnsi="Times New Roman"/>
                <w:sz w:val="20"/>
              </w:rPr>
            </w:pPr>
            <w:r>
              <w:rPr>
                <w:rFonts w:ascii="Times New Roman" w:hAnsi="Times New Roman"/>
                <w:sz w:val="20"/>
              </w:rPr>
              <w:t>Member of Board of Managers</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Sean Collins</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41</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Member of Board of Managers</w:t>
            </w:r>
          </w:p>
        </w:tc>
      </w:tr>
      <w:tr>
        <w:trPr/>
        <w:tc>
          <w:tcPr>
            <w:tcW w:w="2824" w:type="dxa"/>
            <w:tcBorders/>
            <w:shd w:fill="CCEEFF" w:val="clear"/>
          </w:tcPr>
          <w:p>
            <w:pPr>
              <w:pStyle w:val="TableContents"/>
              <w:spacing w:before="0" w:after="0"/>
              <w:rPr>
                <w:rFonts w:ascii="Times New Roman" w:hAnsi="Times New Roman"/>
                <w:sz w:val="20"/>
              </w:rPr>
            </w:pPr>
            <w:r>
              <w:rPr>
                <w:rFonts w:ascii="Times New Roman" w:hAnsi="Times New Roman"/>
                <w:sz w:val="20"/>
              </w:rPr>
              <w:t>Akshay Naheta</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39</w:t>
            </w:r>
          </w:p>
        </w:tc>
        <w:tc>
          <w:tcPr>
            <w:tcW w:w="203" w:type="dxa"/>
            <w:tcBorders/>
            <w:shd w:fill="CCEEFF" w:val="clear"/>
            <w:vAlign w:val="bottom"/>
          </w:tcPr>
          <w:p>
            <w:pPr>
              <w:pStyle w:val="TableContents"/>
              <w:spacing w:before="0" w:after="283"/>
              <w:rPr/>
            </w:pPr>
            <w:r>
              <w:rPr/>
              <w:t>  </w:t>
            </w:r>
          </w:p>
        </w:tc>
        <w:tc>
          <w:tcPr>
            <w:tcW w:w="6708" w:type="dxa"/>
            <w:tcBorders/>
            <w:shd w:fill="CCEEFF" w:val="clear"/>
            <w:vAlign w:val="bottom"/>
          </w:tcPr>
          <w:p>
            <w:pPr>
              <w:pStyle w:val="TableContents"/>
              <w:spacing w:before="0" w:after="20"/>
              <w:rPr>
                <w:rFonts w:ascii="Times New Roman" w:hAnsi="Times New Roman"/>
                <w:sz w:val="20"/>
              </w:rPr>
            </w:pPr>
            <w:r>
              <w:rPr>
                <w:rFonts w:ascii="Times New Roman" w:hAnsi="Times New Roman"/>
                <w:sz w:val="20"/>
              </w:rPr>
              <w:t>Member of Board of Managers</w:t>
            </w:r>
          </w:p>
        </w:tc>
      </w:tr>
      <w:tr>
        <w:trPr/>
        <w:tc>
          <w:tcPr>
            <w:tcW w:w="2824" w:type="dxa"/>
            <w:tcBorders/>
            <w:shd w:fill="auto" w:val="clear"/>
          </w:tcPr>
          <w:p>
            <w:pPr>
              <w:pStyle w:val="TableContents"/>
              <w:spacing w:before="0" w:after="0"/>
              <w:rPr>
                <w:rFonts w:ascii="Times New Roman" w:hAnsi="Times New Roman"/>
                <w:sz w:val="20"/>
              </w:rPr>
            </w:pPr>
            <w:r>
              <w:rPr>
                <w:rFonts w:ascii="Times New Roman" w:hAnsi="Times New Roman"/>
                <w:sz w:val="20"/>
              </w:rPr>
              <w:t>Jeffrey C. Sprecher</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65</w:t>
            </w:r>
          </w:p>
        </w:tc>
        <w:tc>
          <w:tcPr>
            <w:tcW w:w="203" w:type="dxa"/>
            <w:tcBorders/>
            <w:shd w:fill="auto" w:val="clear"/>
            <w:vAlign w:val="bottom"/>
          </w:tcPr>
          <w:p>
            <w:pPr>
              <w:pStyle w:val="TableContents"/>
              <w:spacing w:before="0" w:after="283"/>
              <w:rPr/>
            </w:pPr>
            <w:r>
              <w:rPr/>
              <w:t>  </w:t>
            </w:r>
          </w:p>
        </w:tc>
        <w:tc>
          <w:tcPr>
            <w:tcW w:w="6708"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Member of Board of Managers</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Effective as of April 27, 2021, Andrew LaBenne will be the Chief Financial Officer of Bakkt, following which Mr. Hadaway will step down from the role of the Chief Financial Officer of Bakkt and provide services to assist in the transition of this position to Mr. LaBenne for a period expected to be approximately six months. For more information about Andrew LaBenne, see the section entitled </w:t>
            </w:r>
            <w:r>
              <w:rPr>
                <w:rFonts w:ascii="Times New Roman" w:hAnsi="Times New Roman"/>
                <w:i/>
                <w:sz w:val="20"/>
              </w:rPr>
              <w:t>Management of Company Following the Business Combination</w:t>
            </w:r>
            <w:r>
              <w:rPr>
                <w:rFonts w:ascii="Times New Roman" w:hAnsi="Times New Roman"/>
                <w:sz w:val="20"/>
              </w:rPr>
              <w:t xml:space="preserve"> beginning on page 299 of this proxy statement/prospectus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as of April 1, 2021, Sheela Zemlin will be the Executive Vice President, Chief Revenue Officer of Bakkt. </w:t>
            </w:r>
          </w:p>
        </w:tc>
      </w:tr>
    </w:tbl>
    <w:p>
      <w:pPr>
        <w:pStyle w:val="TextBody"/>
        <w:spacing w:before="360" w:after="0"/>
        <w:jc w:val="left"/>
        <w:rPr>
          <w:rFonts w:ascii="Times New Roman" w:hAnsi="Times New Roman"/>
          <w:b/>
          <w:i/>
          <w:sz w:val="20"/>
        </w:rPr>
      </w:pPr>
      <w:r>
        <w:rPr>
          <w:rFonts w:ascii="Times New Roman" w:hAnsi="Times New Roman"/>
          <w:b/>
          <w:i/>
          <w:sz w:val="20"/>
        </w:rPr>
        <w:t xml:space="preserve">Gavin Michael </w:t>
      </w:r>
    </w:p>
    <w:p>
      <w:pPr>
        <w:pStyle w:val="TextBody"/>
        <w:spacing w:before="120" w:after="0"/>
        <w:jc w:val="left"/>
        <w:rPr>
          <w:rFonts w:ascii="Times New Roman" w:hAnsi="Times New Roman"/>
          <w:sz w:val="20"/>
        </w:rPr>
      </w:pPr>
      <w:r>
        <w:rPr>
          <w:rFonts w:ascii="Times New Roman" w:hAnsi="Times New Roman"/>
          <w:sz w:val="20"/>
        </w:rPr>
        <w:t xml:space="preserve">Gavin Michael is the Chief Executive Officer of Bakkt. Prior to joining Bakkt, Mr. Michael was the Head of Technology for Citis Global Consumer Bank, responsible for the long-term strategic direction, planning and management of Citis global technology organization, execution of its cloud architecture, data and services strategies, and driving digitization efforts to accelerate speed to market. Before joining Citi, Mr. Michael was Head of Digital for Consumer &amp; Community Banking at Chase, where he was responsible for all aspects of the digital business, including the Chase Mobile App and Chase Online. Mr.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Mr. Michael earned a Ph.D. in Computer Science from Australian National University and a bachelors degree from the University of Western Australia. </w:t>
      </w:r>
    </w:p>
    <w:p>
      <w:pPr>
        <w:pStyle w:val="TextBody"/>
        <w:spacing w:before="360" w:after="0"/>
        <w:jc w:val="left"/>
        <w:rPr>
          <w:rFonts w:ascii="Times New Roman" w:hAnsi="Times New Roman"/>
          <w:b/>
          <w:i/>
          <w:sz w:val="20"/>
        </w:rPr>
      </w:pPr>
      <w:r>
        <w:rPr>
          <w:rFonts w:ascii="Times New Roman" w:hAnsi="Times New Roman"/>
          <w:b/>
          <w:i/>
          <w:sz w:val="20"/>
        </w:rPr>
        <w:t xml:space="preserve">Adam White </w:t>
      </w:r>
    </w:p>
    <w:p>
      <w:pPr>
        <w:pStyle w:val="TextBody"/>
        <w:spacing w:before="120" w:after="0"/>
        <w:jc w:val="left"/>
        <w:rPr>
          <w:rFonts w:ascii="Times New Roman" w:hAnsi="Times New Roman"/>
          <w:sz w:val="20"/>
        </w:rPr>
      </w:pPr>
      <w:r>
        <w:rPr>
          <w:rFonts w:ascii="Times New Roman" w:hAnsi="Times New Roman"/>
          <w:sz w:val="20"/>
        </w:rPr>
        <w:t xml:space="preserve">Adam White is the President of Bakkt. In this role, he is responsible for the operations and strategic direction of the company. Mr. White joined Bakkt in November 2018 as a founding executive. He previously served as Vice President &amp; General Manager of Coinbase. He joined Coinbase in 2013 as the fifth employee, leading business development and strategy and later their payments, trading and institutional products. Prior to Coinbase,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Mr. White served as a Captain in the United States Air Force and is a veteran of Iraq and Afghanistan. He has testified before Congress as an expert in the cryptocurrency industry, serves on the Technical Advisory Committee of the Commodity Futures Trading Commission, and has been recognized as one of </w:t>
      </w:r>
      <w:r>
        <w:rPr>
          <w:rFonts w:ascii="Times New Roman" w:hAnsi="Times New Roman"/>
          <w:i/>
          <w:sz w:val="20"/>
        </w:rPr>
        <w:t xml:space="preserve">Fortunes </w:t>
      </w:r>
      <w:r>
        <w:rPr>
          <w:rFonts w:ascii="Times New Roman" w:hAnsi="Times New Roman"/>
          <w:sz w:val="20"/>
        </w:rPr>
        <w:t xml:space="preserve">40 Under 40 in Finance (2020). Mr. White received his Master of Business Administration from Harvard Business School and his Bachelor of Science in Optical Engineering from the University of California, Davis. </w:t>
      </w:r>
    </w:p>
    <w:p>
      <w:pPr>
        <w:pStyle w:val="TextBody"/>
        <w:spacing w:before="0" w:after="0"/>
        <w:jc w:val="left"/>
        <w:rPr/>
      </w:pPr>
      <w:r>
        <w:rPr/>
        <w:t> </w:t>
      </w:r>
    </w:p>
    <w:p>
      <w:pPr>
        <w:pStyle w:val="TextBody"/>
        <w:spacing w:before="360" w:after="0"/>
        <w:jc w:val="left"/>
        <w:rPr>
          <w:rFonts w:ascii="Times New Roman" w:hAnsi="Times New Roman"/>
          <w:b/>
          <w:i/>
          <w:sz w:val="20"/>
        </w:rPr>
      </w:pPr>
      <w:r>
        <w:rPr>
          <w:rFonts w:ascii="Times New Roman" w:hAnsi="Times New Roman"/>
          <w:b/>
          <w:i/>
          <w:sz w:val="20"/>
        </w:rPr>
        <w:t xml:space="preserve">Doug Hadaway </w:t>
      </w:r>
    </w:p>
    <w:p>
      <w:pPr>
        <w:pStyle w:val="TextBody"/>
        <w:spacing w:before="120" w:after="0"/>
        <w:jc w:val="left"/>
        <w:rPr>
          <w:rFonts w:ascii="Times New Roman" w:hAnsi="Times New Roman"/>
          <w:sz w:val="20"/>
        </w:rPr>
      </w:pPr>
      <w:r>
        <w:rPr>
          <w:rFonts w:ascii="Times New Roman" w:hAnsi="Times New Roman"/>
          <w:sz w:val="20"/>
        </w:rPr>
        <w:t xml:space="preserve">Doug Hadaway is the current Chief Financial Officer of Bakkt. Mr. Hadaway has over 30 years of experience as a technology business leader in operations, strategy and finance roles guiding organizations from start-up through public company operations. He has extensive international business experience and has started and developed international operations in most major markets of Europe, Asia and Australia. Prior to its acquisition by Bakkt in February 2020, Mr. Hadaway had served as CFO and a member of the board of directors of Bridge2 Solutions. Prior to that, Mr. Hadaway was the CFO and COO of MFG.com, a leading web-based marketplace for the global manufacturing industry. Mr. Hadaway also served as both CFO and VP of Operations at Multicast Media Technologies, a leading SaaS webcast and online video technology company. Before joining Multicast, Mr. Hadaway was CEO and CFO for Marketworks, a leading SaaS business for automating ecommerce in online marketplaces including eBay and Amazon. Mr. Hadaway also held senior finance and strategy roles at Premiere Global, a leading provider of collaboration and communication services, during its rapid growth subsequent to its IPO in 1996. Mr. Hadaway earned his undergraduate degree in Business Administration from Indiana University with a major in Accounting and is a CPA. </w:t>
      </w:r>
    </w:p>
    <w:p>
      <w:pPr>
        <w:pStyle w:val="TextBody"/>
        <w:spacing w:before="360" w:after="0"/>
        <w:jc w:val="left"/>
        <w:rPr>
          <w:rFonts w:ascii="Times New Roman" w:hAnsi="Times New Roman"/>
          <w:b/>
          <w:i/>
          <w:sz w:val="20"/>
        </w:rPr>
      </w:pPr>
      <w:r>
        <w:rPr>
          <w:rFonts w:ascii="Times New Roman" w:hAnsi="Times New Roman"/>
          <w:b/>
          <w:i/>
          <w:sz w:val="20"/>
        </w:rPr>
        <w:t xml:space="preserve">Nicolas Cabrera </w:t>
      </w:r>
    </w:p>
    <w:p>
      <w:pPr>
        <w:pStyle w:val="TextBody"/>
        <w:spacing w:before="120" w:after="0"/>
        <w:jc w:val="left"/>
        <w:rPr>
          <w:rFonts w:ascii="Times New Roman" w:hAnsi="Times New Roman"/>
          <w:sz w:val="20"/>
        </w:rPr>
      </w:pPr>
      <w:r>
        <w:rPr>
          <w:rFonts w:ascii="Times New Roman" w:hAnsi="Times New Roman"/>
          <w:sz w:val="20"/>
        </w:rPr>
        <w:t xml:space="preserve">Nicolas Cabrera is Chief Product Officer of Bakkt. In this role, he oversees both B2B and B2C product strategy and development, go-to-market execution, and partner integrations. Mr. Cabrera joined Bakkt in June 2019. Prior to joining Bakkt, Mr. Cabrera served as cofounder and SVP, Product at OneMarket (Westfield Labs), the retail innovation group of Westfield, the worlds largest listed retail property owner. At OneMarket, he launched unique product solutions including indoor location detection technology, shopper identity resolution, product marketplaces, and mobile payment solutions. Before OneMarket, Mr. Cabrera held roles including Head of Digital and Direct at Westfield and Head of Product and Marketing at eBay &amp; PayPal, Australia New Zealand, as well as strategy and development roles for Sagem in the Asia-Pacific region. Mr. Cabrera holds an Executive MBA from the University of California, Los Angeles (UCLA), a PhD in Entrepreneurship from the University College of Dublin, and a Bachelor of Business degree from the University of La Sorbonne, Paris. </w:t>
      </w:r>
    </w:p>
    <w:p>
      <w:pPr>
        <w:pStyle w:val="TextBody"/>
        <w:spacing w:before="360" w:after="0"/>
        <w:jc w:val="left"/>
        <w:rPr>
          <w:rFonts w:ascii="Times New Roman" w:hAnsi="Times New Roman"/>
          <w:b/>
          <w:i/>
          <w:sz w:val="20"/>
        </w:rPr>
      </w:pPr>
      <w:r>
        <w:rPr>
          <w:rFonts w:ascii="Times New Roman" w:hAnsi="Times New Roman"/>
          <w:b/>
          <w:i/>
          <w:sz w:val="20"/>
        </w:rPr>
        <w:t xml:space="preserve">Marc DAnnunzio </w:t>
      </w:r>
    </w:p>
    <w:p>
      <w:pPr>
        <w:pStyle w:val="TextBody"/>
        <w:spacing w:before="120" w:after="0"/>
        <w:jc w:val="left"/>
        <w:rPr>
          <w:rFonts w:ascii="Times New Roman" w:hAnsi="Times New Roman"/>
          <w:sz w:val="20"/>
        </w:rPr>
      </w:pPr>
      <w:r>
        <w:rPr>
          <w:rFonts w:ascii="Times New Roman" w:hAnsi="Times New Roman"/>
          <w:sz w:val="20"/>
        </w:rPr>
        <w:t xml:space="preserve">Marc DAnnunzio is the General Counsel and Secretary of Bakkt. In this role, he is responsible for legal, regulatory, compliance and governance matters of the company. Mr. DAnnunzio joined Bakkt in May 2019 from Alston &amp; Bird LLP, an international law firm, where he practiced in its Payments group. Mr. DAnnunzio has nearly 25 years of experience in the payments and loyalty industries, focusing on M&amp;A transactions, strategic alliances, complex commercial relationships (including co-branded and private label card programs, and processing relationships for leading retailers), new product launches, and legal compliance. Mr. DAnnunzio holds a Juris Doctor and a Bachelor of Arts in Economics and History, each from the University of Michigan. </w:t>
      </w:r>
    </w:p>
    <w:p>
      <w:pPr>
        <w:pStyle w:val="TextBody"/>
        <w:spacing w:before="360" w:after="0"/>
        <w:jc w:val="left"/>
        <w:rPr>
          <w:rFonts w:ascii="Times New Roman" w:hAnsi="Times New Roman"/>
          <w:b/>
          <w:i/>
          <w:sz w:val="20"/>
        </w:rPr>
      </w:pPr>
      <w:r>
        <w:rPr>
          <w:rFonts w:ascii="Times New Roman" w:hAnsi="Times New Roman"/>
          <w:b/>
          <w:i/>
          <w:sz w:val="20"/>
        </w:rPr>
        <w:t xml:space="preserve">Matthew Johnson </w:t>
      </w:r>
    </w:p>
    <w:p>
      <w:pPr>
        <w:pStyle w:val="TextBody"/>
        <w:spacing w:before="120" w:after="0"/>
        <w:jc w:val="left"/>
        <w:rPr>
          <w:rFonts w:ascii="Times New Roman" w:hAnsi="Times New Roman"/>
          <w:sz w:val="20"/>
        </w:rPr>
      </w:pPr>
      <w:r>
        <w:rPr>
          <w:rFonts w:ascii="Times New Roman" w:hAnsi="Times New Roman"/>
          <w:sz w:val="20"/>
        </w:rPr>
        <w:t xml:space="preserve">Matthew Johnson is Chief Technology Officer of Bakkt, where he oversees product engineering, infrastructure, information security, and technology operations. Mr. Johnson is a finance and technology executive with over 25 years in engineering and technology management. Prior to its acquisition by Bakkt in April 2019, Mr. Johnson was Co-founder and Chief Product Officer at Digital Asset Custody Company (DACC), a purpose-built cryptocurrency custodian for hedge funds and other institutions. Before DACC, he held various roles in fintech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leadership including the financial services vertical at Microsoft, Senior Vice President of Technology at York Capital Management, and Chief Technology Officer of HazelTree Fund Services. Mr. Johnson has served on the boards of several technology startups. Mr. Johnson studied at the University of North Carolina at Wilmington. </w:t>
      </w:r>
    </w:p>
    <w:p>
      <w:pPr>
        <w:pStyle w:val="TextBody"/>
        <w:spacing w:before="360" w:after="0"/>
        <w:jc w:val="left"/>
        <w:rPr>
          <w:rFonts w:ascii="Times New Roman" w:hAnsi="Times New Roman"/>
          <w:b/>
          <w:i/>
          <w:sz w:val="20"/>
        </w:rPr>
      </w:pPr>
      <w:r>
        <w:rPr>
          <w:rFonts w:ascii="Times New Roman" w:hAnsi="Times New Roman"/>
          <w:b/>
          <w:i/>
          <w:sz w:val="20"/>
        </w:rPr>
        <w:t xml:space="preserve">Mark Elliot </w:t>
      </w:r>
    </w:p>
    <w:p>
      <w:pPr>
        <w:pStyle w:val="TextBody"/>
        <w:spacing w:before="120" w:after="0"/>
        <w:jc w:val="left"/>
        <w:rPr>
          <w:rFonts w:ascii="Times New Roman" w:hAnsi="Times New Roman"/>
          <w:sz w:val="20"/>
        </w:rPr>
      </w:pPr>
      <w:r>
        <w:rPr>
          <w:rFonts w:ascii="Times New Roman" w:hAnsi="Times New Roman"/>
          <w:sz w:val="20"/>
        </w:rPr>
        <w:t xml:space="preserve">Mark Elliot is Bakkts Head of Marketing. Prior to his current role, Mr. Elliot was the Chief Marketing Officer at BioCatch, a banking cybersecurity software provider. Before joining BioCatch, Mr. Elliot was the Chief Marketing Officer at TIAA, where he directed all facets of B2C and B2B marketing, and managed a team of 400 marketing professionals. Prior to joining TIAA in 2015, Mr. Elliot spent three years as senior strategy executive at JPMorgan Chase and 10 years in various strategy and P&amp;L leadership roles at Capital One. Mr. Elliot holds an Master of Business Administration from the Amos Tuck School at Dartmouth College and a Bachelor of Arts in Government from Dartmouth College. </w:t>
      </w:r>
    </w:p>
    <w:p>
      <w:pPr>
        <w:pStyle w:val="TextBody"/>
        <w:spacing w:before="360" w:after="0"/>
        <w:jc w:val="left"/>
        <w:rPr>
          <w:rFonts w:ascii="Times New Roman" w:hAnsi="Times New Roman"/>
          <w:b/>
          <w:i/>
          <w:sz w:val="20"/>
        </w:rPr>
      </w:pPr>
      <w:r>
        <w:rPr>
          <w:rFonts w:ascii="Times New Roman" w:hAnsi="Times New Roman"/>
          <w:b/>
          <w:i/>
          <w:sz w:val="20"/>
        </w:rPr>
        <w:t xml:space="preserve">Nancy Gordon </w:t>
      </w:r>
    </w:p>
    <w:p>
      <w:pPr>
        <w:pStyle w:val="TextBody"/>
        <w:spacing w:before="120" w:after="0"/>
        <w:jc w:val="left"/>
        <w:rPr>
          <w:rFonts w:ascii="Times New Roman" w:hAnsi="Times New Roman"/>
          <w:sz w:val="20"/>
        </w:rPr>
      </w:pPr>
      <w:r>
        <w:rPr>
          <w:rFonts w:ascii="Times New Roman" w:hAnsi="Times New Roman"/>
          <w:sz w:val="20"/>
        </w:rPr>
        <w:t xml:space="preserve">Nancy Gordon is Bakkts Head of Loyalty, Rewards &amp; Payments. Ms. Gordon brings to Bakkt over 20 years of experience across the financial services industry in various roles at Consulting, Banks and FinTech organizations. Most recently Ms. Gordon was Managing Director in Ernst &amp; Youngs Financial Services Consulting practice, where she provided customer growth strategies for firms seeking innovative approaches to drive top-line growth and optimize operating efficiencies. Prior to working at Ernst &amp; Young, Ms. Gordon led product development for Chase Ultimate Rewards and led data transformation initiatives across JPMorgans consumer banking, investment banking, wealth &amp; asset management and corporate functions. Previously, Ms. Gordon has served as the Chief Operating Officer of Swift Exchange, a mobile-based rewards and payment digital wallet, and also led Citis Consumer Loyalty Assets for the Global Consumer Group, including the launch and growth of Citi ThankYou Network. Ms. Gordon earned her Bachelor of Business Administration from George Washington University. </w:t>
      </w:r>
    </w:p>
    <w:p>
      <w:pPr>
        <w:pStyle w:val="TextBody"/>
        <w:spacing w:before="360" w:after="0"/>
        <w:jc w:val="left"/>
        <w:rPr>
          <w:rFonts w:ascii="Times New Roman" w:hAnsi="Times New Roman"/>
          <w:b/>
          <w:i/>
          <w:sz w:val="20"/>
        </w:rPr>
      </w:pPr>
      <w:r>
        <w:rPr>
          <w:rFonts w:ascii="Times New Roman" w:hAnsi="Times New Roman"/>
          <w:b/>
          <w:i/>
          <w:sz w:val="20"/>
        </w:rPr>
        <w:t xml:space="preserve">Michael Lewis </w:t>
      </w:r>
    </w:p>
    <w:p>
      <w:pPr>
        <w:pStyle w:val="TextBody"/>
        <w:spacing w:before="120" w:after="0"/>
        <w:jc w:val="left"/>
        <w:rPr>
          <w:rFonts w:ascii="Times New Roman" w:hAnsi="Times New Roman"/>
          <w:sz w:val="20"/>
        </w:rPr>
      </w:pPr>
      <w:r>
        <w:rPr>
          <w:rFonts w:ascii="Times New Roman" w:hAnsi="Times New Roman"/>
          <w:sz w:val="20"/>
        </w:rPr>
        <w:t xml:space="preserve">Michael Lewis has served as Bakkts Executive Vice President of Engineering and Operations since February, 2021. Prior to joining Bakkt, Mr. Lewis worked for Citigroup, where he served as the groups Chief Technology Officer and Managing Director for the Global Consumer Bank from 2018 onwards. While at Citigroup, Mr. Lewis also served on the board of the Banking Industry Architecture Network (BIAN), an independent, not-for-profit association to establish and promote a common architectural framework for enabling banking interoperability globally. Before his time at Citigroup, Mr. Lewis served as the Global Chief Digital Officer and division Chief Information Officer for Personal Insurance at the American Internal Group (AIG). Mr. Lewis received his Bachelor of Arts from the City University of New York. </w:t>
      </w:r>
    </w:p>
    <w:p>
      <w:pPr>
        <w:pStyle w:val="TextBody"/>
        <w:spacing w:before="360" w:after="0"/>
        <w:jc w:val="left"/>
        <w:rPr>
          <w:rFonts w:ascii="Times New Roman" w:hAnsi="Times New Roman"/>
          <w:b/>
          <w:i/>
          <w:sz w:val="20"/>
        </w:rPr>
      </w:pPr>
      <w:r>
        <w:rPr>
          <w:rFonts w:ascii="Times New Roman" w:hAnsi="Times New Roman"/>
          <w:b/>
          <w:i/>
          <w:sz w:val="20"/>
        </w:rPr>
        <w:t xml:space="preserve">Joshua Klenert </w:t>
      </w:r>
    </w:p>
    <w:p>
      <w:pPr>
        <w:pStyle w:val="TextBody"/>
        <w:spacing w:before="120" w:after="0"/>
        <w:jc w:val="left"/>
        <w:rPr>
          <w:rFonts w:ascii="Times New Roman" w:hAnsi="Times New Roman"/>
          <w:sz w:val="20"/>
        </w:rPr>
      </w:pPr>
      <w:r>
        <w:rPr>
          <w:rFonts w:ascii="Times New Roman" w:hAnsi="Times New Roman"/>
          <w:sz w:val="20"/>
        </w:rPr>
        <w:t xml:space="preserve">Joshua Klenert is a Special Vice President of Bakkt and Head of Design. He has over 20 years of experience in building products and brands. Prior to joining Bakkt, Mr. Klenert led both in-house and studio efforts for The Huffington Post, AOL, iHeartRadio, Billboard, and the Sundance Film Festival. Mr. Klenert also previously worked at JPMorgan Chase, where he helped build their next-generation digital banking experience, before serving as Chief Creative Officer for Chase Bank. Mr. Klenert earned his Bachelor of Arts in Graphic Design from the Rochester Institute of Technology. </w:t>
      </w:r>
    </w:p>
    <w:p>
      <w:pPr>
        <w:pStyle w:val="TextBody"/>
        <w:spacing w:before="360" w:after="0"/>
        <w:jc w:val="left"/>
        <w:rPr>
          <w:rFonts w:ascii="Times New Roman" w:hAnsi="Times New Roman"/>
          <w:b/>
          <w:i/>
          <w:sz w:val="20"/>
        </w:rPr>
      </w:pPr>
      <w:r>
        <w:rPr>
          <w:rFonts w:ascii="Times New Roman" w:hAnsi="Times New Roman"/>
          <w:b/>
          <w:i/>
          <w:sz w:val="20"/>
        </w:rPr>
        <w:t xml:space="preserve">Sheela Zemlin </w:t>
      </w:r>
    </w:p>
    <w:p>
      <w:pPr>
        <w:pStyle w:val="TextBody"/>
        <w:spacing w:before="120" w:after="0"/>
        <w:jc w:val="left"/>
        <w:rPr>
          <w:rFonts w:ascii="Times New Roman" w:hAnsi="Times New Roman"/>
          <w:sz w:val="20"/>
        </w:rPr>
      </w:pPr>
      <w:r>
        <w:rPr>
          <w:rFonts w:ascii="Times New Roman" w:hAnsi="Times New Roman"/>
          <w:sz w:val="20"/>
        </w:rPr>
        <w:t xml:space="preserve">Sheela Zemlin will be the EVP and Chief Revenue Officer of Bakkt effective April 1, 2021. From 2018 to 2021, Ms. Zemlin was the lead, client-facing partner for the emerging Fintech practice of and Chief Revenue Officer for PricewaterhouseCoopers New Ventures. Prior to joining the partnership, Ms. Zemlin was an Executive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Residence with PricewaterhouseCoopers New Ventures from 2017 to 2018. Before she joined PricewaterhouseCoopers, Ms. Zemlin was the General Manager and Senior Vice President for TIBCO Software, where she managed a global team across sales and customer success for the SaaS business. Ms. Zemlin earned a degree in operations management from Michigan State University and an MBA from Harvard Business School. She also serves as a director for Digimarc Corporation and as an Executive Fellow at Harvard Business School. </w:t>
      </w:r>
    </w:p>
    <w:p>
      <w:pPr>
        <w:pStyle w:val="TextBody"/>
        <w:spacing w:before="360" w:after="0"/>
        <w:jc w:val="left"/>
        <w:rPr>
          <w:rFonts w:ascii="Times New Roman" w:hAnsi="Times New Roman"/>
          <w:b/>
          <w:i/>
          <w:sz w:val="20"/>
        </w:rPr>
      </w:pPr>
      <w:r>
        <w:rPr>
          <w:rFonts w:ascii="Times New Roman" w:hAnsi="Times New Roman"/>
          <w:b/>
          <w:i/>
          <w:sz w:val="20"/>
        </w:rPr>
        <w:t xml:space="preserve">Thomas E. Noonan </w:t>
      </w:r>
    </w:p>
    <w:p>
      <w:pPr>
        <w:pStyle w:val="TextBody"/>
        <w:spacing w:before="120" w:after="0"/>
        <w:jc w:val="left"/>
        <w:rPr>
          <w:rFonts w:ascii="Times New Roman" w:hAnsi="Times New Roman"/>
          <w:sz w:val="20"/>
        </w:rPr>
      </w:pPr>
      <w:r>
        <w:rPr>
          <w:rFonts w:ascii="Times New Roman" w:hAnsi="Times New Roman"/>
          <w:sz w:val="20"/>
        </w:rPr>
        <w:t xml:space="preserve">Mr. Noonan is a founding partner of TechOperators LLC, and Chairman of TEN Holdings, LLC. Most recently, he was the General Manager of the Energy Management business of Cisco from 2013 to 2016 following the acquisition of JouleX in 2013, where he was co-founder and CEO. Mr. Noonan founded Actuation Electronics in 1985 and Leapfrog Technologies in 1987 as well as co-founded Endgame Security in 2008, a leading provider of software solutions to the U.S. intelligence community and Department of Defense. Mr. Noonan co-founded Internet Security Systems in 1994, where he served as Chairman, President and Chief Executive Officer prior to its acquisition by IBM in 2006. In 2002, President George W. Bush appointed Mr. Noonan to serve on the National Infrastructure Advisory Council, a White House homeland defense initiative that protects information systems critical to the nations infrastructure, where he continues to serve in that role. Mr. Noonan serves as a member of the Board of Directors of ICE. Mr. Noonan has served on the Board of Directors of Manhattan Associates since 1999. Mr. Noonan earned a Bachelor of Science in Mechanical Engineering from the Georgia Institute of Technology and a CSS in Business Administration and Management from Harvard University. </w:t>
      </w:r>
    </w:p>
    <w:p>
      <w:pPr>
        <w:pStyle w:val="TextBody"/>
        <w:spacing w:before="360" w:after="0"/>
        <w:jc w:val="left"/>
        <w:rPr>
          <w:rFonts w:ascii="Times New Roman" w:hAnsi="Times New Roman"/>
          <w:sz w:val="20"/>
        </w:rPr>
      </w:pPr>
      <w:r>
        <w:rPr>
          <w:rFonts w:ascii="Times New Roman" w:hAnsi="Times New Roman"/>
          <w:b/>
          <w:i/>
          <w:sz w:val="20"/>
        </w:rPr>
        <w:t>Hon. Sharon Y. Bowen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Sharon Bowen served as a Commissioner of the United States Commodity Futures Trading Commission (the </w:t>
      </w:r>
      <w:r>
        <w:rPr>
          <w:rFonts w:ascii="Times New Roman" w:hAnsi="Times New Roman"/>
          <w:b/>
          <w:sz w:val="20"/>
        </w:rPr>
        <w:t>CFTC</w:t>
      </w:r>
      <w:r>
        <w:rPr>
          <w:rFonts w:ascii="Times New Roman" w:hAnsi="Times New Roman"/>
          <w:sz w:val="20"/>
        </w:rPr>
        <w:t>) from 2014 to 2017. During that time, she was a sponsor of the CFTC Market Risk Advisory Committee. Ms. Bowen was previously confirmed by the U.S. Senate and appointed by President Barack Obama on February 12, 2010 to serve as Vice Chair of the Securities Investor Protection Corporation (the </w:t>
      </w:r>
      <w:r>
        <w:rPr>
          <w:rFonts w:ascii="Times New Roman" w:hAnsi="Times New Roman"/>
          <w:b/>
          <w:sz w:val="20"/>
        </w:rPr>
        <w:t>SIPC</w:t>
      </w:r>
      <w:r>
        <w:rPr>
          <w:rFonts w:ascii="Times New Roman" w:hAnsi="Times New Roman"/>
          <w:sz w:val="20"/>
        </w:rPr>
        <w:t xml:space="preserve">). She assumed the role of Acting Chair of SIPC in March 2012. Prior to her appointment to the CFTC, she was a partner in the New York office of Latham &amp; Watkins LLP. She joined Latham &amp; Watkins LLP as a senior corporate associate in the summer of 1988, became a partner in January 1991 and continued at Latham &amp; Watkins LLP until 2014. She serves on the subsidiary boards of certain NYSE U.S. regulated exchanges and as a member of the Board of Directors of ICE. Ms. Bowen also serves on the board of Neuberger Berman Group LLC. Ms. Bowen earned a Bachelor of Arts in Economics from the University of Virginia, a Master of Business Administration from the Kellogg School of Management at Northwestern University and a Juris Doctor from the Northwestern Pritzker School of Law. </w:t>
      </w:r>
    </w:p>
    <w:p>
      <w:pPr>
        <w:pStyle w:val="TextBody"/>
        <w:spacing w:before="360" w:after="0"/>
        <w:jc w:val="left"/>
        <w:rPr>
          <w:rFonts w:ascii="Times New Roman" w:hAnsi="Times New Roman"/>
          <w:sz w:val="20"/>
        </w:rPr>
      </w:pPr>
      <w:r>
        <w:rPr>
          <w:rFonts w:ascii="Times New Roman" w:hAnsi="Times New Roman"/>
          <w:b/>
          <w:i/>
          <w:sz w:val="20"/>
        </w:rPr>
        <w:t>Sean Collins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Sean Collins has over twenty years of experience investing, advising, operating, and building companies focused on digital transformation. As co-founder and Managing Partner at Goldfinch Partners, he focuses on investing in enterprise software companies and fintechs. Prior to Goldfinch, Mr. Collins was Co-Founder and Chief Investment Officer of BCG Digital Ventures, where he oversaw investments globally into 75+ ventures. Prior to BCG DV, Mr. Collins was SVP of E-commerce, Marketing, and Strategy at the Sports Authority where he helped engineer a turnaround that leveraged digital marketing and e-commerce to drive revenue growth. Prior to Sports Authority, Mr. Collins was an Associate Partner at McKinsey &amp; Company where he advised Retail, TMT, and Private Equity clients. Mr. Collins holds a Bachelor of Arts from Whitman College in Economics and Music. Mr. Collins also serves on the board of Vesta. </w:t>
      </w:r>
    </w:p>
    <w:p>
      <w:pPr>
        <w:pStyle w:val="TextBody"/>
        <w:spacing w:before="360" w:after="0"/>
        <w:jc w:val="left"/>
        <w:rPr>
          <w:rFonts w:ascii="Times New Roman" w:hAnsi="Times New Roman"/>
          <w:b/>
          <w:i/>
          <w:sz w:val="20"/>
        </w:rPr>
      </w:pPr>
      <w:r>
        <w:rPr>
          <w:rFonts w:ascii="Times New Roman" w:hAnsi="Times New Roman"/>
          <w:b/>
          <w:i/>
          <w:sz w:val="20"/>
        </w:rPr>
        <w:t xml:space="preserve">Akshay Naheta </w:t>
      </w:r>
    </w:p>
    <w:p>
      <w:pPr>
        <w:pStyle w:val="TextBody"/>
        <w:spacing w:before="120" w:after="0"/>
        <w:jc w:val="left"/>
        <w:rPr>
          <w:rFonts w:ascii="Times New Roman" w:hAnsi="Times New Roman"/>
          <w:sz w:val="20"/>
        </w:rPr>
      </w:pPr>
      <w:r>
        <w:rPr>
          <w:rFonts w:ascii="Times New Roman" w:hAnsi="Times New Roman"/>
          <w:sz w:val="20"/>
        </w:rPr>
        <w:t xml:space="preserve">Akshay Naheta joined SoftBank Group in 2017, where he currently serves as Senior Vice President for Investments at SoftBank Group and CEO of SB Management. Until May 2020, Mr. Naheta was a Managing Partner at SoftBank Investment Advisors where he led and managed several successful investments such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Auto1 and Nvidia among several others. Prior to joining SoftBank, Mr. Naheta was the Founder and Managing Partner of Knight Assets &amp; Co., an investment manager focused on arbitrage and value investing. Mr. Naheta started his career at Deutsche Bank in various trading and structuring roles. Mr. Naheta has a S.M. in Electrical Engineering and Computer Science from the Massachusetts Institute of Technology and a Bachelor of Science, highest honors, in Electrical Engineering from the University of Illinois at Urbana-Champaign. Mr. Naheta was named a World Economic Forum Young Global Leader in 2020 and was included in Fortunes annual 40 under 40 most influential young people in business list for 2020. Mr. Naheta has been honored with the Young Alumni Achievement award from the University of Illinois. Mr. Naheta also serves on the board of Arm Limited. </w:t>
      </w:r>
    </w:p>
    <w:p>
      <w:pPr>
        <w:pStyle w:val="TextBody"/>
        <w:spacing w:before="360" w:after="0"/>
        <w:jc w:val="left"/>
        <w:rPr>
          <w:rFonts w:ascii="Times New Roman" w:hAnsi="Times New Roman"/>
          <w:b/>
          <w:i/>
          <w:sz w:val="20"/>
        </w:rPr>
      </w:pPr>
      <w:r>
        <w:rPr>
          <w:rFonts w:ascii="Times New Roman" w:hAnsi="Times New Roman"/>
          <w:b/>
          <w:i/>
          <w:sz w:val="20"/>
        </w:rPr>
        <w:t xml:space="preserve">Jeffrey C. Sprecher </w:t>
      </w:r>
    </w:p>
    <w:p>
      <w:pPr>
        <w:pStyle w:val="TextBody"/>
        <w:spacing w:before="120" w:after="0"/>
        <w:jc w:val="left"/>
        <w:rPr>
          <w:rFonts w:ascii="Times New Roman" w:hAnsi="Times New Roman"/>
          <w:sz w:val="20"/>
        </w:rPr>
      </w:pPr>
      <w:r>
        <w:rPr>
          <w:rFonts w:ascii="Times New Roman" w:hAnsi="Times New Roman"/>
          <w:sz w:val="20"/>
        </w:rPr>
        <w:t xml:space="preserve">Jeffrey Sprecher has been a director and chief executive officer of ICE since ICEs inception and has served as chairman of ICEs Board of Directors since November 2002. As the chief executive officer of ICE, he is responsible for ICEs strategic direction and operational and financial performance. Mr. Sprecher acquired CPEX, ICEs predecessor company, in 1997. Prior to acquiring CPEX, Mr. Sprecher held a number of positions, including President, over a fourteen-year period with Western Power Group, Inc., a developer, owner and operator of large central-station power plants. While with Western Power, he was responsible for a number of significant financings. Mr. Sprecher holds a Bachelor of Science in Chemical Engineering from the University of Wisconsin and a Master of Business Administration from Pepperdine University. </w:t>
      </w:r>
    </w:p>
    <w:p>
      <w:pPr>
        <w:pStyle w:val="TextBody"/>
        <w:spacing w:before="360" w:after="0"/>
        <w:jc w:val="left"/>
        <w:rPr>
          <w:rFonts w:ascii="Times New Roman" w:hAnsi="Times New Roman"/>
          <w:b/>
          <w:sz w:val="20"/>
        </w:rPr>
      </w:pPr>
      <w:r>
        <w:rPr>
          <w:rFonts w:ascii="Times New Roman" w:hAnsi="Times New Roman"/>
          <w:b/>
          <w:sz w:val="20"/>
        </w:rPr>
        <w:t xml:space="preserve">Board Composition </w:t>
      </w:r>
    </w:p>
    <w:p>
      <w:pPr>
        <w:pStyle w:val="TextBody"/>
        <w:spacing w:before="120" w:after="0"/>
        <w:jc w:val="left"/>
        <w:rPr>
          <w:rFonts w:ascii="Times New Roman" w:hAnsi="Times New Roman"/>
          <w:sz w:val="20"/>
        </w:rPr>
      </w:pPr>
      <w:r>
        <w:rPr>
          <w:rFonts w:ascii="Times New Roman" w:hAnsi="Times New Roman"/>
          <w:sz w:val="20"/>
        </w:rPr>
        <w:t>The business and affairs of Bakkt are managed under the direction of its board of managers, which currently consists of five members. The members of Bakkts board of managers were elected pursuant to the provisions of the current Bakkt operating agreement. In connection with the Proposed Transaction, we will enter into the Surviving Company LLC Agreement, as discussed in the sections entitled </w:t>
      </w:r>
      <w:r>
        <w:rPr>
          <w:rFonts w:ascii="Times New Roman" w:hAnsi="Times New Roman"/>
          <w:i/>
          <w:sz w:val="20"/>
        </w:rPr>
        <w:t>The Business Combination</w:t>
      </w:r>
      <w:r>
        <w:rPr>
          <w:rFonts w:ascii="Times New Roman" w:hAnsi="Times New Roman"/>
          <w:sz w:val="20"/>
        </w:rPr>
        <w:t xml:space="preserve"> </w:t>
      </w:r>
      <w:r>
        <w:rPr>
          <w:rFonts w:ascii="Times New Roman" w:hAnsi="Times New Roman"/>
          <w:i/>
          <w:sz w:val="20"/>
        </w:rPr>
        <w:t>ProposalRelated AgreementsSurviving Company LLC Agreement</w:t>
      </w:r>
      <w:r>
        <w:rPr>
          <w:rFonts w:ascii="Times New Roman" w:hAnsi="Times New Roman"/>
          <w:sz w:val="20"/>
        </w:rPr>
        <w:t xml:space="preserve"> beginning on page 142 of this proxy statement/prospectus and Bakkt Opco will cease to be managed by a board of managers and will be instead managed by Bakkt Pubco, its managing member.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8" w:name="toc108105_31"/>
      <w:bookmarkEnd w:id="98"/>
      <w:r>
        <w:rPr>
          <w:rFonts w:ascii="Times New Roman" w:hAnsi="Times New Roman"/>
          <w:b/>
          <w:sz w:val="20"/>
        </w:rPr>
        <w:t xml:space="preserve">EXECUTIVE COMPENSATION OF BAKKT </w:t>
      </w:r>
    </w:p>
    <w:p>
      <w:pPr>
        <w:pStyle w:val="TextBody"/>
        <w:spacing w:before="240" w:after="0"/>
        <w:jc w:val="left"/>
        <w:rPr>
          <w:rFonts w:ascii="Times New Roman" w:hAnsi="Times New Roman"/>
          <w:i/>
          <w:sz w:val="20"/>
        </w:rPr>
      </w:pPr>
      <w:r>
        <w:rPr>
          <w:rFonts w:ascii="Times New Roman" w:hAnsi="Times New Roman"/>
          <w:i/>
          <w:sz w:val="20"/>
        </w:rPr>
        <w:t xml:space="preserve">Throughout this section, unless otherwise noted, Bakkt refers to Bakkt Holdings, LLC and its consolidated subsidiaries. </w:t>
      </w:r>
    </w:p>
    <w:p>
      <w:pPr>
        <w:pStyle w:val="TextBody"/>
        <w:spacing w:before="240" w:after="0"/>
        <w:jc w:val="left"/>
        <w:rPr>
          <w:rFonts w:ascii="Times New Roman" w:hAnsi="Times New Roman"/>
          <w:sz w:val="20"/>
        </w:rPr>
      </w:pPr>
      <w:r>
        <w:rPr>
          <w:rFonts w:ascii="Times New Roman" w:hAnsi="Times New Roman"/>
          <w:sz w:val="20"/>
        </w:rPr>
        <w:t>The following sets forth information about the compensation paid to or accrued by Bakkts interim principal executive officer, its two other most highly compensated persons serving as executive officers as of December 31, 2020 (</w:t>
      </w:r>
      <w:r>
        <w:rPr>
          <w:rFonts w:ascii="Times New Roman" w:hAnsi="Times New Roman"/>
          <w:b/>
          <w:sz w:val="20"/>
        </w:rPr>
        <w:t>fiscal 2020</w:t>
      </w:r>
      <w:r>
        <w:rPr>
          <w:rFonts w:ascii="Times New Roman" w:hAnsi="Times New Roman"/>
          <w:sz w:val="20"/>
        </w:rPr>
        <w:t xml:space="preserve">), and its former principal executive officer. These executives are referred to as the named executive officers. </w:t>
      </w:r>
    </w:p>
    <w:p>
      <w:pPr>
        <w:pStyle w:val="TextBody"/>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86"/>
        <w:gridCol w:w="145"/>
        <w:gridCol w:w="63"/>
        <w:gridCol w:w="489"/>
        <w:gridCol w:w="60"/>
        <w:gridCol w:w="145"/>
        <w:gridCol w:w="60"/>
        <w:gridCol w:w="836"/>
        <w:gridCol w:w="60"/>
        <w:gridCol w:w="145"/>
        <w:gridCol w:w="60"/>
        <w:gridCol w:w="1022"/>
        <w:gridCol w:w="60"/>
        <w:gridCol w:w="145"/>
        <w:gridCol w:w="60"/>
        <w:gridCol w:w="721"/>
        <w:gridCol w:w="290"/>
        <w:gridCol w:w="88"/>
        <w:gridCol w:w="137"/>
        <w:gridCol w:w="1406"/>
        <w:gridCol w:w="290"/>
        <w:gridCol w:w="88"/>
        <w:gridCol w:w="60"/>
        <w:gridCol w:w="1022"/>
        <w:gridCol w:w="67"/>
      </w:tblGrid>
      <w:tr>
        <w:trPr/>
        <w:tc>
          <w:tcPr>
            <w:tcW w:w="268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45" w:type="dxa"/>
            <w:tcBorders/>
            <w:shd w:fill="auto" w:val="clear"/>
            <w:vAlign w:val="bottom"/>
          </w:tcPr>
          <w:p>
            <w:pPr>
              <w:pStyle w:val="TableContents"/>
              <w:spacing w:before="0" w:after="283"/>
              <w:rPr/>
            </w:pPr>
            <w:r>
              <w:rPr/>
              <w:t>  </w:t>
            </w:r>
          </w:p>
        </w:tc>
        <w:tc>
          <w:tcPr>
            <w:tcW w:w="5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w:t>
              <w:br/>
              <w:t>($)(1)</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w:t>
              <w:br/>
              <w:t>Awards</w:t>
              <w:br/>
              <w:t>($)(2)</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Bonus</w:t>
              <w:br/>
              <w:t>($)</w:t>
            </w:r>
          </w:p>
        </w:tc>
        <w:tc>
          <w:tcPr>
            <w:tcW w:w="29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w:t>
            </w:r>
          </w:p>
        </w:tc>
        <w:tc>
          <w:tcPr>
            <w:tcW w:w="29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7" w:type="dxa"/>
            <w:tcBorders/>
            <w:shd w:fill="auto" w:val="clear"/>
            <w:vAlign w:val="bottom"/>
          </w:tcPr>
          <w:p>
            <w:pPr>
              <w:pStyle w:val="TableContents"/>
              <w:spacing w:before="0" w:after="283"/>
              <w:rPr/>
            </w:pPr>
            <w:r>
              <w:rPr/>
              <w:t> </w:t>
            </w:r>
          </w:p>
        </w:tc>
      </w:tr>
      <w:tr>
        <w:trPr/>
        <w:tc>
          <w:tcPr>
            <w:tcW w:w="2686" w:type="dxa"/>
            <w:tcBorders/>
            <w:shd w:fill="CCEEFF" w:val="clear"/>
            <w:vAlign w:val="bottom"/>
          </w:tcPr>
          <w:p>
            <w:pPr>
              <w:pStyle w:val="TableContents"/>
              <w:spacing w:before="0" w:after="0"/>
              <w:rPr>
                <w:rFonts w:ascii="Times New Roman" w:hAnsi="Times New Roman"/>
                <w:sz w:val="20"/>
              </w:rPr>
            </w:pPr>
            <w:r>
              <w:rPr>
                <w:rFonts w:ascii="Times New Roman" w:hAnsi="Times New Roman"/>
                <w:b/>
                <w:sz w:val="20"/>
              </w:rPr>
              <w:t xml:space="preserve">David C. Clifton(9) </w:t>
            </w:r>
            <w:r>
              <w:rPr>
                <w:rFonts w:ascii="Times New Roman" w:hAnsi="Times New Roman"/>
                <w:sz w:val="20"/>
              </w:rPr>
              <w:br/>
              <w:t>Interim Chief Executive Officer</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center"/>
              <w:rPr>
                <w:sz w:val="20"/>
              </w:rPr>
            </w:pPr>
            <w:r>
              <w:rPr>
                <w:sz w:val="20"/>
              </w:rPr>
              <w:t>2020</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1,131,000</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6"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1,131,000</w:t>
            </w:r>
          </w:p>
        </w:tc>
        <w:tc>
          <w:tcPr>
            <w:tcW w:w="67" w:type="dxa"/>
            <w:tcBorders/>
            <w:shd w:fill="CCEEFF" w:val="clear"/>
            <w:vAlign w:val="bottom"/>
          </w:tcPr>
          <w:p>
            <w:pPr>
              <w:pStyle w:val="TableContents"/>
              <w:spacing w:before="0" w:after="283"/>
              <w:rPr/>
            </w:pPr>
            <w:r>
              <w:rPr/>
              <w:t> </w:t>
            </w:r>
          </w:p>
        </w:tc>
      </w:tr>
      <w:tr>
        <w:trPr/>
        <w:tc>
          <w:tcPr>
            <w:tcW w:w="2686" w:type="dxa"/>
            <w:tcBorders/>
            <w:shd w:fill="auto" w:val="clear"/>
            <w:vAlign w:val="bottom"/>
          </w:tcPr>
          <w:p>
            <w:pPr>
              <w:pStyle w:val="TableContents"/>
              <w:spacing w:before="0" w:after="0"/>
              <w:rPr>
                <w:rFonts w:ascii="Times New Roman" w:hAnsi="Times New Roman"/>
                <w:sz w:val="20"/>
              </w:rPr>
            </w:pPr>
            <w:r>
              <w:rPr>
                <w:rFonts w:ascii="Times New Roman" w:hAnsi="Times New Roman"/>
                <w:b/>
                <w:sz w:val="20"/>
              </w:rPr>
              <w:t>Nicolas Cabrera</w:t>
            </w:r>
            <w:r>
              <w:rPr>
                <w:rFonts w:ascii="Times New Roman" w:hAnsi="Times New Roman"/>
                <w:sz w:val="20"/>
              </w:rPr>
              <w:br/>
              <w:t>Chief Product Officer</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center"/>
              <w:rPr>
                <w:sz w:val="20"/>
              </w:rPr>
            </w:pPr>
            <w:r>
              <w:rPr>
                <w:sz w:val="20"/>
              </w:rPr>
              <w:t>2020</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360,833</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1,652,670</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sz w:val="20"/>
              </w:rPr>
            </w:pPr>
            <w:r>
              <w:rPr>
                <w:sz w:val="20"/>
              </w:rPr>
              <w:t>120,200</w:t>
            </w:r>
          </w:p>
        </w:tc>
        <w:tc>
          <w:tcPr>
            <w:tcW w:w="290" w:type="dxa"/>
            <w:tcBorders/>
            <w:shd w:fill="auto" w:val="clear"/>
            <w:vAlign w:val="bottom"/>
          </w:tcPr>
          <w:p>
            <w:pPr>
              <w:pStyle w:val="TableContents"/>
              <w:spacing w:before="0" w:after="283"/>
              <w:rPr>
                <w:sz w:val="20"/>
              </w:rPr>
            </w:pPr>
            <w:r>
              <w:rPr>
                <w:b/>
                <w:sz w:val="20"/>
              </w:rPr>
              <w:t>(3)</w:t>
            </w:r>
            <w:r>
              <w:rPr>
                <w:sz w:val="20"/>
              </w:rPr>
              <w:t> </w:t>
            </w:r>
          </w:p>
        </w:tc>
        <w:tc>
          <w:tcPr>
            <w:tcW w:w="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6" w:type="dxa"/>
            <w:tcBorders/>
            <w:shd w:fill="auto" w:val="clear"/>
            <w:vAlign w:val="bottom"/>
          </w:tcPr>
          <w:p>
            <w:pPr>
              <w:pStyle w:val="TableContents"/>
              <w:spacing w:before="0" w:after="283"/>
              <w:jc w:val="right"/>
              <w:rPr>
                <w:sz w:val="20"/>
              </w:rPr>
            </w:pPr>
            <w:r>
              <w:rPr>
                <w:sz w:val="20"/>
              </w:rPr>
              <w:t>93,210</w:t>
            </w:r>
          </w:p>
        </w:tc>
        <w:tc>
          <w:tcPr>
            <w:tcW w:w="290" w:type="dxa"/>
            <w:tcBorders/>
            <w:shd w:fill="auto" w:val="clear"/>
            <w:vAlign w:val="bottom"/>
          </w:tcPr>
          <w:p>
            <w:pPr>
              <w:pStyle w:val="TableContents"/>
              <w:spacing w:before="0" w:after="283"/>
              <w:rPr>
                <w:sz w:val="20"/>
              </w:rPr>
            </w:pPr>
            <w:r>
              <w:rPr>
                <w:b/>
                <w:sz w:val="20"/>
              </w:rPr>
              <w:t>(6)</w:t>
            </w:r>
            <w:r>
              <w:rPr>
                <w:sz w:val="20"/>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2,226,913</w:t>
            </w:r>
          </w:p>
        </w:tc>
        <w:tc>
          <w:tcPr>
            <w:tcW w:w="67" w:type="dxa"/>
            <w:tcBorders/>
            <w:shd w:fill="auto" w:val="clear"/>
            <w:vAlign w:val="bottom"/>
          </w:tcPr>
          <w:p>
            <w:pPr>
              <w:pStyle w:val="TableContents"/>
              <w:spacing w:before="0" w:after="283"/>
              <w:rPr/>
            </w:pPr>
            <w:r>
              <w:rPr/>
              <w:t> </w:t>
            </w:r>
          </w:p>
        </w:tc>
      </w:tr>
      <w:tr>
        <w:trPr/>
        <w:tc>
          <w:tcPr>
            <w:tcW w:w="2686" w:type="dxa"/>
            <w:tcBorders/>
            <w:shd w:fill="CCEEFF" w:val="clear"/>
            <w:vAlign w:val="bottom"/>
          </w:tcPr>
          <w:p>
            <w:pPr>
              <w:pStyle w:val="TableContents"/>
              <w:spacing w:before="0" w:after="0"/>
              <w:rPr>
                <w:rFonts w:ascii="Times New Roman" w:hAnsi="Times New Roman"/>
                <w:sz w:val="20"/>
              </w:rPr>
            </w:pPr>
            <w:r>
              <w:rPr>
                <w:rFonts w:ascii="Times New Roman" w:hAnsi="Times New Roman"/>
                <w:b/>
                <w:sz w:val="20"/>
              </w:rPr>
              <w:t xml:space="preserve">Matthew Johnson </w:t>
            </w:r>
            <w:r>
              <w:rPr>
                <w:rFonts w:ascii="Times New Roman" w:hAnsi="Times New Roman"/>
                <w:sz w:val="20"/>
              </w:rPr>
              <w:br/>
              <w:t>Chief Technology Officer</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center"/>
              <w:rPr>
                <w:sz w:val="20"/>
              </w:rPr>
            </w:pPr>
            <w:r>
              <w:rPr>
                <w:sz w:val="20"/>
              </w:rPr>
              <w:t>2020</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320,833</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1,154,520</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102,900</w:t>
            </w:r>
          </w:p>
        </w:tc>
        <w:tc>
          <w:tcPr>
            <w:tcW w:w="290" w:type="dxa"/>
            <w:tcBorders/>
            <w:shd w:fill="CCEEFF" w:val="clear"/>
            <w:vAlign w:val="bottom"/>
          </w:tcPr>
          <w:p>
            <w:pPr>
              <w:pStyle w:val="TableContents"/>
              <w:spacing w:before="0" w:after="283"/>
              <w:rPr>
                <w:sz w:val="20"/>
              </w:rPr>
            </w:pPr>
            <w:r>
              <w:rPr>
                <w:b/>
                <w:sz w:val="20"/>
              </w:rPr>
              <w:t>(4)</w:t>
            </w:r>
            <w:r>
              <w:rPr>
                <w:sz w:val="20"/>
              </w:rPr>
              <w:t> </w:t>
            </w:r>
          </w:p>
        </w:tc>
        <w:tc>
          <w:tcPr>
            <w:tcW w:w="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6" w:type="dxa"/>
            <w:tcBorders/>
            <w:shd w:fill="CCEEFF" w:val="clear"/>
            <w:vAlign w:val="bottom"/>
          </w:tcPr>
          <w:p>
            <w:pPr>
              <w:pStyle w:val="TableContents"/>
              <w:spacing w:before="0" w:after="283"/>
              <w:jc w:val="right"/>
              <w:rPr>
                <w:sz w:val="20"/>
              </w:rPr>
            </w:pPr>
            <w:r>
              <w:rPr>
                <w:sz w:val="20"/>
              </w:rPr>
              <w:t>18,210</w:t>
            </w:r>
          </w:p>
        </w:tc>
        <w:tc>
          <w:tcPr>
            <w:tcW w:w="290" w:type="dxa"/>
            <w:tcBorders/>
            <w:shd w:fill="CCEEFF" w:val="clear"/>
            <w:vAlign w:val="bottom"/>
          </w:tcPr>
          <w:p>
            <w:pPr>
              <w:pStyle w:val="TableContents"/>
              <w:spacing w:before="0" w:after="283"/>
              <w:rPr>
                <w:sz w:val="20"/>
              </w:rPr>
            </w:pPr>
            <w:r>
              <w:rPr>
                <w:b/>
                <w:sz w:val="20"/>
              </w:rPr>
              <w:t>(7)</w:t>
            </w:r>
            <w:r>
              <w:rPr>
                <w:sz w:val="20"/>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1,596,463</w:t>
            </w:r>
          </w:p>
        </w:tc>
        <w:tc>
          <w:tcPr>
            <w:tcW w:w="67" w:type="dxa"/>
            <w:tcBorders/>
            <w:shd w:fill="CCEEFF" w:val="clear"/>
            <w:vAlign w:val="bottom"/>
          </w:tcPr>
          <w:p>
            <w:pPr>
              <w:pStyle w:val="TableContents"/>
              <w:spacing w:before="0" w:after="283"/>
              <w:rPr/>
            </w:pPr>
            <w:r>
              <w:rPr/>
              <w:t> </w:t>
            </w:r>
          </w:p>
        </w:tc>
      </w:tr>
      <w:tr>
        <w:trPr/>
        <w:tc>
          <w:tcPr>
            <w:tcW w:w="2686"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b/>
                <w:sz w:val="20"/>
              </w:rPr>
              <w:t>Michael Blandina(10)</w:t>
            </w:r>
            <w:r>
              <w:rPr>
                <w:rFonts w:ascii="Times New Roman" w:hAnsi="Times New Roman"/>
                <w:sz w:val="20"/>
              </w:rPr>
              <w:br/>
              <w:t>Former Chief Executive Officer</w:t>
            </w:r>
          </w:p>
        </w:tc>
        <w:tc>
          <w:tcPr>
            <w:tcW w:w="145" w:type="dxa"/>
            <w:tcBorders>
              <w:bottom w:val="single" w:sz="2" w:space="0" w:color="000000"/>
            </w:tcBorders>
            <w:shd w:fill="auto" w:val="clear"/>
            <w:tcMar>
              <w:bottom w:w="28" w:type="dxa"/>
            </w:tcMar>
            <w:vAlign w:val="bottom"/>
          </w:tcPr>
          <w:p>
            <w:pPr>
              <w:pStyle w:val="TableContents"/>
              <w:spacing w:before="0" w:after="283"/>
              <w:rPr/>
            </w:pPr>
            <w:r>
              <w:rPr/>
              <w:t>  </w:t>
            </w:r>
          </w:p>
        </w:tc>
        <w:tc>
          <w:tcPr>
            <w:tcW w:w="63" w:type="dxa"/>
            <w:tcBorders>
              <w:bottom w:val="single" w:sz="2" w:space="0" w:color="000000"/>
            </w:tcBorders>
            <w:shd w:fill="auto" w:val="clear"/>
            <w:tcMar>
              <w:bottom w:w="28" w:type="dxa"/>
            </w:tcMar>
            <w:vAlign w:val="bottom"/>
          </w:tcPr>
          <w:p>
            <w:pPr>
              <w:pStyle w:val="TableContents"/>
              <w:spacing w:before="0" w:after="283"/>
              <w:rPr/>
            </w:pPr>
            <w:r>
              <w:rPr/>
              <w:t> </w:t>
            </w:r>
          </w:p>
        </w:tc>
        <w:tc>
          <w:tcPr>
            <w:tcW w:w="489" w:type="dxa"/>
            <w:tcBorders>
              <w:bottom w:val="single" w:sz="2" w:space="0" w:color="000000"/>
            </w:tcBorders>
            <w:shd w:fill="auto" w:val="clear"/>
            <w:tcMar>
              <w:bottom w:w="28" w:type="dxa"/>
            </w:tcMar>
            <w:vAlign w:val="bottom"/>
          </w:tcPr>
          <w:p>
            <w:pPr>
              <w:pStyle w:val="TableContents"/>
              <w:spacing w:before="0" w:after="283"/>
              <w:jc w:val="right"/>
              <w:rPr>
                <w:sz w:val="20"/>
              </w:rPr>
            </w:pPr>
            <w:r>
              <w:rPr>
                <w:sz w:val="20"/>
              </w:rPr>
              <w:t>2020</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836" w:type="dxa"/>
            <w:tcBorders>
              <w:bottom w:val="single" w:sz="2" w:space="0" w:color="000000"/>
            </w:tcBorders>
            <w:shd w:fill="auto" w:val="clear"/>
            <w:tcMar>
              <w:bottom w:w="28" w:type="dxa"/>
            </w:tcMar>
            <w:vAlign w:val="bottom"/>
          </w:tcPr>
          <w:p>
            <w:pPr>
              <w:pStyle w:val="TableContents"/>
              <w:spacing w:before="0" w:after="283"/>
              <w:jc w:val="right"/>
              <w:rPr/>
            </w:pPr>
            <w:r>
              <w:rPr/>
              <w:t>208,048</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22" w:type="dxa"/>
            <w:tcBorders>
              <w:bottom w:val="single" w:sz="2" w:space="0" w:color="000000"/>
            </w:tcBorders>
            <w:shd w:fill="auto" w:val="clear"/>
            <w:tcMar>
              <w:bottom w:w="28" w:type="dxa"/>
            </w:tcMar>
            <w:vAlign w:val="bottom"/>
          </w:tcPr>
          <w:p>
            <w:pPr>
              <w:pStyle w:val="TableContents"/>
              <w:spacing w:before="0" w:after="283"/>
              <w:jc w:val="right"/>
              <w:rPr>
                <w:sz w:val="20"/>
              </w:rPr>
            </w:pPr>
            <w:r>
              <w:rPr>
                <w:sz w:val="20"/>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721" w:type="dxa"/>
            <w:tcBorders>
              <w:bottom w:val="single" w:sz="2" w:space="0" w:color="000000"/>
            </w:tcBorders>
            <w:shd w:fill="auto" w:val="clear"/>
            <w:tcMar>
              <w:bottom w:w="28" w:type="dxa"/>
            </w:tcMar>
            <w:vAlign w:val="bottom"/>
          </w:tcPr>
          <w:p>
            <w:pPr>
              <w:pStyle w:val="TableContents"/>
              <w:spacing w:before="0" w:after="283"/>
              <w:jc w:val="right"/>
              <w:rPr>
                <w:sz w:val="20"/>
              </w:rPr>
            </w:pPr>
            <w:r>
              <w:rPr>
                <w:sz w:val="20"/>
              </w:rPr>
              <w:t>250,000</w:t>
            </w:r>
          </w:p>
        </w:tc>
        <w:tc>
          <w:tcPr>
            <w:tcW w:w="290" w:type="dxa"/>
            <w:tcBorders>
              <w:bottom w:val="single" w:sz="2" w:space="0" w:color="000000"/>
            </w:tcBorders>
            <w:shd w:fill="auto" w:val="clear"/>
            <w:tcMar>
              <w:bottom w:w="28" w:type="dxa"/>
            </w:tcMar>
            <w:vAlign w:val="bottom"/>
          </w:tcPr>
          <w:p>
            <w:pPr>
              <w:pStyle w:val="TableContents"/>
              <w:spacing w:before="0" w:after="283"/>
              <w:rPr>
                <w:sz w:val="20"/>
              </w:rPr>
            </w:pPr>
            <w:r>
              <w:rPr>
                <w:b/>
                <w:sz w:val="20"/>
              </w:rPr>
              <w:t>(5)</w:t>
            </w:r>
            <w:r>
              <w:rPr>
                <w:sz w:val="20"/>
              </w:rPr>
              <w:t> </w:t>
            </w:r>
          </w:p>
        </w:tc>
        <w:tc>
          <w:tcPr>
            <w:tcW w:w="88" w:type="dxa"/>
            <w:tcBorders>
              <w:bottom w:val="single" w:sz="2" w:space="0" w:color="000000"/>
            </w:tcBorders>
            <w:shd w:fill="auto" w:val="clear"/>
            <w:tcMar>
              <w:bottom w:w="28" w:type="dxa"/>
            </w:tcMar>
            <w:vAlign w:val="bottom"/>
          </w:tcPr>
          <w:p>
            <w:pPr>
              <w:pStyle w:val="TableContents"/>
              <w:spacing w:before="0" w:after="283"/>
              <w:rPr/>
            </w:pPr>
            <w:r>
              <w:rPr/>
              <w:t> </w:t>
            </w:r>
          </w:p>
        </w:tc>
        <w:tc>
          <w:tcPr>
            <w:tcW w:w="137" w:type="dxa"/>
            <w:tcBorders>
              <w:bottom w:val="single" w:sz="2" w:space="0" w:color="000000"/>
            </w:tcBorders>
            <w:shd w:fill="auto" w:val="clear"/>
            <w:tcMar>
              <w:bottom w:w="28" w:type="dxa"/>
            </w:tcMar>
            <w:vAlign w:val="bottom"/>
          </w:tcPr>
          <w:p>
            <w:pPr>
              <w:pStyle w:val="TableContents"/>
              <w:spacing w:before="0" w:after="283"/>
              <w:rPr/>
            </w:pPr>
            <w:r>
              <w:rPr/>
              <w:t> </w:t>
            </w:r>
          </w:p>
        </w:tc>
        <w:tc>
          <w:tcPr>
            <w:tcW w:w="1406" w:type="dxa"/>
            <w:tcBorders>
              <w:bottom w:val="single" w:sz="2" w:space="0" w:color="000000"/>
            </w:tcBorders>
            <w:shd w:fill="auto" w:val="clear"/>
            <w:tcMar>
              <w:bottom w:w="28" w:type="dxa"/>
            </w:tcMar>
            <w:vAlign w:val="bottom"/>
          </w:tcPr>
          <w:p>
            <w:pPr>
              <w:pStyle w:val="TableContents"/>
              <w:spacing w:before="0" w:after="283"/>
              <w:jc w:val="right"/>
              <w:rPr>
                <w:sz w:val="20"/>
              </w:rPr>
            </w:pPr>
            <w:r>
              <w:rPr>
                <w:sz w:val="20"/>
              </w:rPr>
              <w:t>3,101</w:t>
            </w:r>
          </w:p>
        </w:tc>
        <w:tc>
          <w:tcPr>
            <w:tcW w:w="290" w:type="dxa"/>
            <w:tcBorders>
              <w:bottom w:val="single" w:sz="2" w:space="0" w:color="000000"/>
            </w:tcBorders>
            <w:shd w:fill="auto" w:val="clear"/>
            <w:tcMar>
              <w:bottom w:w="28" w:type="dxa"/>
            </w:tcMar>
            <w:vAlign w:val="bottom"/>
          </w:tcPr>
          <w:p>
            <w:pPr>
              <w:pStyle w:val="TableContents"/>
              <w:spacing w:before="0" w:after="283"/>
              <w:rPr>
                <w:sz w:val="20"/>
              </w:rPr>
            </w:pPr>
            <w:r>
              <w:rPr>
                <w:b/>
                <w:sz w:val="20"/>
              </w:rPr>
              <w:t>(8)</w:t>
            </w:r>
            <w:r>
              <w:rPr>
                <w:sz w:val="20"/>
              </w:rPr>
              <w:t> </w:t>
            </w:r>
          </w:p>
        </w:tc>
        <w:tc>
          <w:tcPr>
            <w:tcW w:w="88"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22" w:type="dxa"/>
            <w:tcBorders>
              <w:bottom w:val="single" w:sz="2" w:space="0" w:color="000000"/>
            </w:tcBorders>
            <w:shd w:fill="auto" w:val="clear"/>
            <w:tcMar>
              <w:bottom w:w="28" w:type="dxa"/>
            </w:tcMar>
            <w:vAlign w:val="bottom"/>
          </w:tcPr>
          <w:p>
            <w:pPr>
              <w:pStyle w:val="TableContents"/>
              <w:spacing w:before="0" w:after="283"/>
              <w:jc w:val="right"/>
              <w:rPr>
                <w:sz w:val="20"/>
              </w:rPr>
            </w:pPr>
            <w:r>
              <w:rPr>
                <w:sz w:val="20"/>
              </w:rPr>
              <w:t>461,149</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reflect annual base salary paid for fiscal 2020.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represent the grant date fair value of equity-based awards granted in fiscal 2020, calculated in accordance with ASC 718, and do not necessarily correspond to the actual value that may be recognized from the equity-based awards. Assumptions used in the calculation of these amounts are described in Note 9 of Bakkts audited consolidated financial statements included in this proxy statement/prospectus.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represents a discretionary bonus paid to Mr. Cabrera.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represents a discretionary bonus paid to Mr. Johnson.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represents a discretionary bonus paid to Mr. Blandina.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reflects (1) matching contributions made by Bakkt to Mr. Cabreras 401(k) plan account in the amount of $17,100, (2) imputed income from Bakkts group term life insurance in the amount of $810, (3) telecom allowance in the amount of $300 and (4) relocation expenses of $75,000.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reflects (1) matching contributions made by Bakkt to Mr. Johnsons 401(k) plan account in the amount of $17,100, (2) imputed income from Bakkts group term life insurance in the amount of $810 and (3) telecom allowance in the amount of $300.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reflects (1) matching contributions made by Bakkt to Mr. Blandinas 401(k) plan account in the amount of $2,800, (2) imputed income from Bakkts group term life insurance in the amount of $871 and (3) telecom allowance in the amount of $150.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Clifton ceased being Bakkts interim Chief Executive Officer on January 11, 2021, when Mr. Michael became our Chief Executive Officer. Mr. Clifton received no other compensation for his services as Bakkts interim Chief Executive Officer other than profits interests in the form of 975,000 preferred incentive units.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Blandina ceased being Bakkts Chief Executive Officer in May 2020. </w:t>
            </w:r>
          </w:p>
        </w:tc>
      </w:tr>
    </w:tbl>
    <w:p>
      <w:pPr>
        <w:pStyle w:val="TextBody"/>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spacing w:before="120" w:after="0"/>
        <w:jc w:val="left"/>
        <w:rPr>
          <w:rFonts w:ascii="Times New Roman" w:hAnsi="Times New Roman"/>
          <w:b/>
          <w:i/>
          <w:sz w:val="20"/>
        </w:rPr>
      </w:pPr>
      <w:r>
        <w:rPr>
          <w:rFonts w:ascii="Times New Roman" w:hAnsi="Times New Roman"/>
          <w:b/>
          <w:i/>
          <w:sz w:val="20"/>
        </w:rPr>
        <w:t xml:space="preserve">Elements of Compensation </w:t>
      </w:r>
    </w:p>
    <w:p>
      <w:pPr>
        <w:pStyle w:val="TextBody"/>
        <w:spacing w:before="120" w:after="0"/>
        <w:jc w:val="left"/>
        <w:rPr>
          <w:rFonts w:ascii="Times New Roman" w:hAnsi="Times New Roman"/>
          <w:i/>
          <w:sz w:val="20"/>
        </w:rPr>
      </w:pPr>
      <w:r>
        <w:rPr>
          <w:rFonts w:ascii="Times New Roman" w:hAnsi="Times New Roman"/>
          <w:i/>
          <w:sz w:val="20"/>
        </w:rPr>
        <w:t xml:space="preserve">Base Salary </w:t>
      </w:r>
    </w:p>
    <w:p>
      <w:pPr>
        <w:pStyle w:val="TextBody"/>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Bakkt named executive officers are designed to reflect each named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executive officers scope of responsibility and accountability to Bakkt. Each named executive officers base salary for fiscal 2020 is listed in the </w:t>
      </w:r>
      <w:r>
        <w:rPr>
          <w:rFonts w:ascii="Times New Roman" w:hAnsi="Times New Roman"/>
          <w:i/>
          <w:sz w:val="20"/>
        </w:rPr>
        <w:t>Summary Compensation Table</w:t>
      </w:r>
      <w:r>
        <w:rPr>
          <w:rFonts w:ascii="Times New Roman" w:hAnsi="Times New Roman"/>
          <w:sz w:val="20"/>
        </w:rPr>
        <w:t xml:space="preserve">, under Executive Compensation of Bakkt beginning on page 291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Annual Bonus </w:t>
      </w:r>
    </w:p>
    <w:p>
      <w:pPr>
        <w:pStyle w:val="TextBody"/>
        <w:spacing w:before="120" w:after="0"/>
        <w:jc w:val="left"/>
        <w:rPr>
          <w:rFonts w:ascii="Times New Roman" w:hAnsi="Times New Roman"/>
          <w:sz w:val="20"/>
        </w:rPr>
      </w:pPr>
      <w:r>
        <w:rPr>
          <w:rFonts w:ascii="Times New Roman" w:hAnsi="Times New Roman"/>
          <w:sz w:val="20"/>
        </w:rPr>
        <w:t>Bakkt provides annual bonuses to its executive officers, including the named executive officers, based on performance for the completed fiscal year on a discretionary basis. Bakkt does not currently maintain any company-wide annual cash bonus plan or program. At the end of each fiscal year, the Board reviews and assesses the performance of Bakkt and each individual executive officer and determines an appropriate amount of discretionary bonus to be paid to its executive officers. For certain executive officers who have target bonuses, including Messrs. Cabrera and Johnson, any discretionary bonus would be made within the target bonus. Messrs. Cabrera and Johnsons discretionary bonus are provided in the </w:t>
      </w:r>
      <w:r>
        <w:rPr>
          <w:rFonts w:ascii="Times New Roman" w:hAnsi="Times New Roman"/>
          <w:i/>
          <w:sz w:val="20"/>
        </w:rPr>
        <w:t>Summary Compensation Table</w:t>
      </w:r>
      <w:r>
        <w:rPr>
          <w:rFonts w:ascii="Times New Roman" w:hAnsi="Times New Roman"/>
          <w:sz w:val="20"/>
        </w:rPr>
        <w:t> under </w:t>
      </w:r>
      <w:r>
        <w:rPr>
          <w:rFonts w:ascii="Times New Roman" w:hAnsi="Times New Roman"/>
          <w:i/>
          <w:sz w:val="20"/>
        </w:rPr>
        <w:t>Executive Compensation of Bakkt</w:t>
      </w:r>
      <w:r>
        <w:rPr>
          <w:rFonts w:ascii="Times New Roman" w:hAnsi="Times New Roman"/>
          <w:sz w:val="20"/>
        </w:rPr>
        <w:t xml:space="preserve"> beginning on page 291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Equity-based compensation </w:t>
      </w:r>
    </w:p>
    <w:p>
      <w:pPr>
        <w:pStyle w:val="TextBody"/>
        <w:spacing w:before="120" w:after="0"/>
        <w:jc w:val="left"/>
        <w:rPr>
          <w:rFonts w:ascii="Times New Roman" w:hAnsi="Times New Roman"/>
          <w:sz w:val="20"/>
        </w:rPr>
      </w:pPr>
      <w:r>
        <w:rPr>
          <w:rFonts w:ascii="Times New Roman" w:hAnsi="Times New Roman"/>
          <w:sz w:val="20"/>
        </w:rPr>
        <w:t>Bakkt grants equity awards in the form of Bakkt Incentive Units and Bakkt Participation Units to their employees, including the named executive officers, as the long-term incentive component of Bakkts compensation program. Bakkts equity-based compensation program allows Bakkts employees to be eligible for additional compensation for the increase in value of Bakkt in the event of a liquidity event. Bakkts incentive and participation units are granted to newly hired employees and generally vest as to 100% of the award upon a liquidity event, as to one-third of the award upon an initial public offering, with the remaining two-thirds vesting in two equal installments on each of the first and second anniversaries of the initial public offering, and as to an amount determined by the awards performance conditions in the event of a put or call option of investors, a sale of an investors units to a third party, or certain additional equity issuances by Bakkt. Following the Proposed Transaction, as described under the section entitled </w:t>
      </w:r>
      <w:r>
        <w:rPr>
          <w:rFonts w:ascii="Times New Roman" w:hAnsi="Times New Roman"/>
          <w:i/>
          <w:sz w:val="20"/>
        </w:rPr>
        <w:t>Treatment of Bakkt Incentive Units and Bakkt Participation Units</w:t>
      </w:r>
      <w:r>
        <w:rPr>
          <w:rFonts w:ascii="Times New Roman" w:hAnsi="Times New Roman"/>
          <w:sz w:val="20"/>
        </w:rPr>
        <w:t xml:space="preserve"> beginning on page 119 of this proxy statement/prospectus, Bakkt will treat the incentive and participation units as if an initial public offering has occurred under the Bakkt Plan (as defined below), except that with respect to Bakkt Incentive Units granted in December 2020, participants have the opportunity, but not the obligation, to require Bakkt, through Bakkt Management, to redeem, effective as of immediately prior to the effective time of the Merger, 40% of the first one-third of their Bakkt Incentive Units scheduled to vest at the effective time of the Merger for the receipt, as of the Closing, of a cash payment for the portion of Bakkt Incentive Units redeemed. Further, with respect to Bakkt Incentive Units granted in September 2020 to Mr. Hadaway, he will also have the same opportunity to redeem 40% of the first one-third of his Bakkt Incentive Units scheduled to vest at the effective time of the Merger for a cash payment, and subsequently the opportunity, but not the obligation, to require Bakkt, through Bakkt Management, to redeem 40% of the remaining two-thirds of his Bakkt Incentive Units that will vest as of the date of his termination of employment pursuant to his separation agreement for the receipt of a cash payment for the portion of Bakkt Incentive Units redeemed. As soon as practicable thereafter, Bakkt Management will provide the cash payment for the portion of the Bakkt Incentive Units redeemed to the participants. Pursuant to the Merger Agreement, no new awards will be granted under the Bakkt Plan effective immediately prior to the Closing, and provided that the Bakkt Pubco Equity Incentive Plan is adopted pursuant to the Bakkt Pubco Equity Incentive Plan Proposal, future equity-based awards will be made under the Bakkt Pubco Equity Incentive Plan. </w:t>
      </w:r>
    </w:p>
    <w:p>
      <w:pPr>
        <w:pStyle w:val="TextBody"/>
        <w:spacing w:before="360" w:after="0"/>
        <w:jc w:val="left"/>
        <w:rPr>
          <w:rFonts w:ascii="Times New Roman" w:hAnsi="Times New Roman"/>
          <w:sz w:val="20"/>
        </w:rPr>
      </w:pPr>
      <w:r>
        <w:rPr>
          <w:rFonts w:ascii="Times New Roman" w:hAnsi="Times New Roman"/>
          <w:b/>
          <w:i/>
          <w:sz w:val="20"/>
        </w:rPr>
        <w:t>Employment Arrangements with the Named Executive Officers of Bakkt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Each of Bakkts named executive officers (except for Mr. Blandina, who is no longer employed by Bakkt, and Mr. Clifton) is a party to a written employment arrangement. The material terms of each of those arrangements are summarized below. For a description of the compensation actually paid to the named executive officers for fiscal 2020, please refer to the </w:t>
      </w:r>
      <w:r>
        <w:rPr>
          <w:rFonts w:ascii="Times New Roman" w:hAnsi="Times New Roman"/>
          <w:i/>
          <w:sz w:val="20"/>
        </w:rPr>
        <w:t>Summary Compensation Table</w:t>
      </w:r>
      <w:r>
        <w:rPr>
          <w:rFonts w:ascii="Times New Roman" w:hAnsi="Times New Roman"/>
          <w:sz w:val="20"/>
        </w:rPr>
        <w:t> under </w:t>
      </w:r>
      <w:r>
        <w:rPr>
          <w:rFonts w:ascii="Times New Roman" w:hAnsi="Times New Roman"/>
          <w:i/>
          <w:sz w:val="20"/>
        </w:rPr>
        <w:t>Executive Compensation of Bakkt</w:t>
      </w:r>
      <w:r>
        <w:rPr>
          <w:rFonts w:ascii="Times New Roman" w:hAnsi="Times New Roman"/>
          <w:sz w:val="20"/>
        </w:rPr>
        <w:t xml:space="preserve"> beginning on page 291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David C. Clifton </w:t>
      </w:r>
    </w:p>
    <w:p>
      <w:pPr>
        <w:pStyle w:val="TextBody"/>
        <w:spacing w:before="120" w:after="0"/>
        <w:jc w:val="left"/>
        <w:rPr>
          <w:rFonts w:ascii="Times New Roman" w:hAnsi="Times New Roman"/>
          <w:sz w:val="20"/>
        </w:rPr>
      </w:pPr>
      <w:r>
        <w:rPr>
          <w:rFonts w:ascii="Times New Roman" w:hAnsi="Times New Roman"/>
          <w:sz w:val="20"/>
        </w:rPr>
        <w:t xml:space="preserve">Mr. Clifton does not have a written arrangement with Bakkt or ICE regarding his services to Bakkt as interim CEO. Mr. Clifton commenced his services in this role in April 2020 and received no additional compensation from ICE for such services. In recognition of Mr. Cliftons services to Bakkt in fiscal year 2020, Bakkt granted profits interests in the form of 975,000 preferred incentive units on December 4, 2020 subject to the Bakkt Plan (as described below). </w:t>
      </w:r>
    </w:p>
    <w:p>
      <w:pPr>
        <w:pStyle w:val="TextBody"/>
        <w:spacing w:before="360" w:after="0"/>
        <w:jc w:val="left"/>
        <w:rPr>
          <w:rFonts w:ascii="Times New Roman" w:hAnsi="Times New Roman"/>
          <w:sz w:val="20"/>
        </w:rPr>
      </w:pPr>
      <w:r>
        <w:rPr>
          <w:rFonts w:ascii="Times New Roman" w:hAnsi="Times New Roman"/>
          <w:i/>
          <w:sz w:val="20"/>
        </w:rPr>
        <w:t>Nicolas Cabrera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Mr. Cabrera and ICE entered into an offer letter on June 3, 2019, subsequently amended by a letter of modification of offer letter with Bakkt dated July 27, 2020 (together, the </w:t>
      </w:r>
      <w:r>
        <w:rPr>
          <w:rFonts w:ascii="Times New Roman" w:hAnsi="Times New Roman"/>
          <w:b/>
          <w:sz w:val="20"/>
        </w:rPr>
        <w:t>Cabrera Offer Letter</w:t>
      </w:r>
      <w:r>
        <w:rPr>
          <w:rFonts w:ascii="Times New Roman" w:hAnsi="Times New Roman"/>
          <w:sz w:val="20"/>
        </w:rPr>
        <w:t xml:space="preserve">). The Cabrera Offer Letter provides Mr. Cabrera an annual base salary, signing bonus, an annual performance-based discretionary cash bonus with a target of 50% of his annual base salary, a grant of Bakkt Incentive Units under the Bakkt Plan, relocation bonuses, employee benefit plan eligibility and paid time off in accordance with Bakkts policies. Upon a termination by Bakkt without cause on or prior to December 31, 2021, Mr. Cabrera will be eligible for a lump sum severance payment of his annual base salary of $370,000 and additional amount attributable to 12-months of COBRA costs, subject to an effective release of claims in favor of Bakkt. Mr. Cabrera is also party to a Terms of Employment agreement with Bakkt that contains assignment of inventions, proprietary information, confidentiality, and non-solicit and non-compete covenants. </w:t>
      </w:r>
    </w:p>
    <w:p>
      <w:pPr>
        <w:pStyle w:val="TextBody"/>
        <w:spacing w:before="360" w:after="0"/>
        <w:jc w:val="left"/>
        <w:rPr>
          <w:rFonts w:ascii="Times New Roman" w:hAnsi="Times New Roman"/>
          <w:i/>
          <w:sz w:val="20"/>
        </w:rPr>
      </w:pPr>
      <w:r>
        <w:rPr>
          <w:rFonts w:ascii="Times New Roman" w:hAnsi="Times New Roman"/>
          <w:i/>
          <w:sz w:val="20"/>
        </w:rPr>
        <w:t xml:space="preserve">Matthew Johnson </w:t>
      </w:r>
    </w:p>
    <w:p>
      <w:pPr>
        <w:pStyle w:val="TextBody"/>
        <w:spacing w:before="120" w:after="0"/>
        <w:jc w:val="left"/>
        <w:rPr>
          <w:rFonts w:ascii="Times New Roman" w:hAnsi="Times New Roman"/>
          <w:sz w:val="20"/>
        </w:rPr>
      </w:pPr>
      <w:r>
        <w:rPr>
          <w:rFonts w:ascii="Times New Roman" w:hAnsi="Times New Roman"/>
          <w:sz w:val="20"/>
        </w:rPr>
        <w:t>Mr. Johnson and ICE entered into an offer letter on April 12, 2019 (the </w:t>
      </w:r>
      <w:r>
        <w:rPr>
          <w:rFonts w:ascii="Times New Roman" w:hAnsi="Times New Roman"/>
          <w:b/>
          <w:sz w:val="20"/>
        </w:rPr>
        <w:t>Johnson Offer Letter</w:t>
      </w:r>
      <w:r>
        <w:rPr>
          <w:rFonts w:ascii="Times New Roman" w:hAnsi="Times New Roman"/>
          <w:sz w:val="20"/>
        </w:rPr>
        <w:t xml:space="preserve">). The Johnson Offer Letter provides Mr. Johnson an annual base salary, an annual performance-based discretionary cash bonus with a target of 35% of his annual base salary, a grant of Bakkt Incentive Units under the Bakkt Plan, employee benefit plan eligibility and paid time off in accordance with Bakkts policies. Mr. Johnson is party to a Terms of Employment agreement with Bakkt that contains assignment of inventions, proprietary information, confidentiality, and non-solicit and non-compete covenants.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spacing w:before="120" w:after="0"/>
        <w:jc w:val="left"/>
        <w:rPr>
          <w:rFonts w:ascii="Times New Roman" w:hAnsi="Times New Roman"/>
          <w:sz w:val="20"/>
        </w:rPr>
      </w:pPr>
      <w:r>
        <w:rPr>
          <w:rFonts w:ascii="Times New Roman" w:hAnsi="Times New Roman"/>
          <w:sz w:val="20"/>
        </w:rPr>
        <w:t xml:space="preserve">Bakkt maintains a profits interests plan, the Bakkt Plan, for the award of Bakkt Incentive Units, through Bakkt Management, to participants, and Bakkt Participation Units, directly to participants. Awards of Bakkt Incentive Units include awards of common incentive units and preferred incentive units, each intended to represent a profits interests for U.S. tax purposes and each corresponds to incentive units of Bakkt Management issued by Bakkt Management to participants. The purpose of the Bakkt Plan is to promote the interests of Bakkt by attracting and retaining key employees, directors, independent contractors or other service providers of Bakkt and to enable such individuals to acquire an equity interest in and participate in the long-term growth and financial success of Bakkt. </w:t>
      </w:r>
    </w:p>
    <w:p>
      <w:pPr>
        <w:pStyle w:val="TextBody"/>
        <w:spacing w:before="240" w:after="0"/>
        <w:jc w:val="left"/>
        <w:rPr>
          <w:rFonts w:ascii="Times New Roman" w:hAnsi="Times New Roman"/>
          <w:sz w:val="20"/>
        </w:rPr>
      </w:pPr>
      <w:r>
        <w:rPr>
          <w:rFonts w:ascii="Times New Roman" w:hAnsi="Times New Roman"/>
          <w:sz w:val="20"/>
        </w:rPr>
        <w:t xml:space="preserve">The profits interests represent a membership interest in Bakkt and entitle the holder to receive distributions in Bakkt once a specified threshold equity value of Bakkt has been reached, in each case as provided in the current Bakkt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hAnsi="Times New Roman"/>
          <w:i/>
          <w:sz w:val="20"/>
        </w:rPr>
        <w:t>pro rata</w:t>
      </w:r>
      <w:r>
        <w:rPr>
          <w:rFonts w:ascii="Times New Roman" w:hAnsi="Times New Roman"/>
          <w:sz w:val="20"/>
        </w:rPr>
        <w:t xml:space="preserve">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summarizes the number of outstanding equity awards held by each of Bakkts named executive officers in the form of profits interests as of December 31, 2020, each granted pursuant to the Bakkt Plan. The named executive officers do not hold any outstanding equity awards other than the profits interests.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120"/>
        <w:gridCol w:w="341"/>
        <w:gridCol w:w="348"/>
        <w:gridCol w:w="831"/>
        <w:gridCol w:w="60"/>
        <w:gridCol w:w="341"/>
        <w:gridCol w:w="492"/>
        <w:gridCol w:w="1196"/>
        <w:gridCol w:w="60"/>
        <w:gridCol w:w="341"/>
        <w:gridCol w:w="59"/>
        <w:gridCol w:w="1038"/>
        <w:gridCol w:w="60"/>
        <w:gridCol w:w="341"/>
        <w:gridCol w:w="94"/>
        <w:gridCol w:w="1600"/>
        <w:gridCol w:w="66"/>
      </w:tblGrid>
      <w:tr>
        <w:trPr/>
        <w:tc>
          <w:tcPr>
            <w:tcW w:w="212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341" w:type="dxa"/>
            <w:tcBorders/>
            <w:shd w:fill="auto" w:val="clear"/>
            <w:vAlign w:val="bottom"/>
          </w:tcPr>
          <w:p>
            <w:pPr>
              <w:pStyle w:val="TableContents"/>
              <w:spacing w:before="0" w:after="283"/>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profits</w:t>
              <w:br/>
              <w:t>interests</w:t>
              <w:br/>
              <w:t>units that</w:t>
              <w:br/>
              <w:t>have</w:t>
              <w:br/>
              <w:t>vested (#)</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Market value of</w:t>
              <w:br/>
              <w:t>profits interests</w:t>
              <w:br/>
              <w:t>units that have</w:t>
              <w:br/>
              <w:t>vested ($)</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profits</w:t>
              <w:br/>
              <w:t>interests</w:t>
              <w:br/>
              <w:t>units that</w:t>
              <w:br/>
              <w:t>have</w:t>
              <w:br/>
              <w:t>not vested</w:t>
              <w:br/>
              <w:t>(#)(5)</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Market value of</w:t>
              <w:br/>
              <w:t>profits interests</w:t>
              <w:br/>
              <w:t>units that have</w:t>
              <w:br/>
              <w:t>not vested ($)(6)</w:t>
            </w:r>
          </w:p>
        </w:tc>
        <w:tc>
          <w:tcPr>
            <w:tcW w:w="66" w:type="dxa"/>
            <w:tcBorders/>
            <w:shd w:fill="auto" w:val="clear"/>
            <w:vAlign w:val="bottom"/>
          </w:tcPr>
          <w:p>
            <w:pPr>
              <w:pStyle w:val="TableContents"/>
              <w:spacing w:before="0" w:after="283"/>
              <w:rPr/>
            </w:pPr>
            <w:r>
              <w:rPr/>
              <w:t> </w:t>
            </w:r>
          </w:p>
        </w:tc>
      </w:tr>
      <w:tr>
        <w:trPr/>
        <w:tc>
          <w:tcPr>
            <w:tcW w:w="2120" w:type="dxa"/>
            <w:tcBorders/>
            <w:shd w:fill="CCEEFF" w:val="clear"/>
          </w:tcPr>
          <w:p>
            <w:pPr>
              <w:pStyle w:val="TableContents"/>
              <w:spacing w:before="0" w:after="0"/>
              <w:rPr>
                <w:rFonts w:ascii="Times New Roman" w:hAnsi="Times New Roman"/>
                <w:b/>
                <w:sz w:val="20"/>
              </w:rPr>
            </w:pPr>
            <w:r>
              <w:rPr>
                <w:rFonts w:ascii="Times New Roman" w:hAnsi="Times New Roman"/>
                <w:b/>
                <w:sz w:val="20"/>
              </w:rPr>
              <w:t>David C. Clifton(1)</w:t>
            </w:r>
          </w:p>
        </w:tc>
        <w:tc>
          <w:tcPr>
            <w:tcW w:w="34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0</w:t>
            </w:r>
          </w:p>
        </w:tc>
        <w:tc>
          <w:tcPr>
            <w:tcW w:w="6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0</w:t>
            </w:r>
          </w:p>
        </w:tc>
        <w:tc>
          <w:tcPr>
            <w:tcW w:w="6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975,000</w:t>
            </w:r>
          </w:p>
        </w:tc>
        <w:tc>
          <w:tcPr>
            <w:tcW w:w="6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600" w:type="dxa"/>
            <w:tcBorders/>
            <w:shd w:fill="CCEEFF" w:val="clear"/>
            <w:vAlign w:val="bottom"/>
          </w:tcPr>
          <w:p>
            <w:pPr>
              <w:pStyle w:val="TableContents"/>
              <w:spacing w:before="0" w:after="283"/>
              <w:jc w:val="right"/>
              <w:rPr/>
            </w:pPr>
            <w:r>
              <w:rPr/>
              <w:t>1,131,000</w:t>
            </w:r>
          </w:p>
        </w:tc>
        <w:tc>
          <w:tcPr>
            <w:tcW w:w="66" w:type="dxa"/>
            <w:tcBorders/>
            <w:shd w:fill="CCEEFF" w:val="clear"/>
            <w:vAlign w:val="bottom"/>
          </w:tcPr>
          <w:p>
            <w:pPr>
              <w:pStyle w:val="TableContents"/>
              <w:spacing w:before="0" w:after="283"/>
              <w:rPr/>
            </w:pPr>
            <w:r>
              <w:rPr/>
              <w:t> </w:t>
            </w:r>
          </w:p>
        </w:tc>
      </w:tr>
      <w:tr>
        <w:trPr/>
        <w:tc>
          <w:tcPr>
            <w:tcW w:w="2120" w:type="dxa"/>
            <w:tcBorders/>
            <w:shd w:fill="auto" w:val="clear"/>
          </w:tcPr>
          <w:p>
            <w:pPr>
              <w:pStyle w:val="TableContents"/>
              <w:spacing w:before="0" w:after="0"/>
              <w:rPr>
                <w:rFonts w:ascii="Times New Roman" w:hAnsi="Times New Roman"/>
                <w:b/>
                <w:sz w:val="20"/>
              </w:rPr>
            </w:pPr>
            <w:r>
              <w:rPr>
                <w:rFonts w:ascii="Times New Roman" w:hAnsi="Times New Roman"/>
                <w:b/>
                <w:sz w:val="20"/>
              </w:rPr>
              <w:t>Nicolas Cabrera(2)</w:t>
            </w:r>
          </w:p>
        </w:tc>
        <w:tc>
          <w:tcPr>
            <w:tcW w:w="34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3,099,000</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600" w:type="dxa"/>
            <w:tcBorders/>
            <w:shd w:fill="auto" w:val="clear"/>
            <w:vAlign w:val="bottom"/>
          </w:tcPr>
          <w:p>
            <w:pPr>
              <w:pStyle w:val="TableContents"/>
              <w:spacing w:before="0" w:after="283"/>
              <w:jc w:val="right"/>
              <w:rPr/>
            </w:pPr>
            <w:r>
              <w:rPr/>
              <w:t>2,975,040</w:t>
            </w:r>
          </w:p>
        </w:tc>
        <w:tc>
          <w:tcPr>
            <w:tcW w:w="66" w:type="dxa"/>
            <w:tcBorders/>
            <w:shd w:fill="auto" w:val="clear"/>
            <w:vAlign w:val="bottom"/>
          </w:tcPr>
          <w:p>
            <w:pPr>
              <w:pStyle w:val="TableContents"/>
              <w:spacing w:before="0" w:after="283"/>
              <w:rPr/>
            </w:pPr>
            <w:r>
              <w:rPr/>
              <w:t> </w:t>
            </w:r>
          </w:p>
        </w:tc>
      </w:tr>
      <w:tr>
        <w:trPr/>
        <w:tc>
          <w:tcPr>
            <w:tcW w:w="2120" w:type="dxa"/>
            <w:tcBorders/>
            <w:shd w:fill="CCEEFF" w:val="clear"/>
          </w:tcPr>
          <w:p>
            <w:pPr>
              <w:pStyle w:val="TableContents"/>
              <w:spacing w:before="0" w:after="0"/>
              <w:rPr>
                <w:rFonts w:ascii="Times New Roman" w:hAnsi="Times New Roman"/>
                <w:b/>
                <w:sz w:val="20"/>
              </w:rPr>
            </w:pPr>
            <w:r>
              <w:rPr>
                <w:rFonts w:ascii="Times New Roman" w:hAnsi="Times New Roman"/>
                <w:b/>
                <w:sz w:val="20"/>
              </w:rPr>
              <w:t>Matthew Johnson(3)</w:t>
            </w:r>
          </w:p>
        </w:tc>
        <w:tc>
          <w:tcPr>
            <w:tcW w:w="34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0</w:t>
            </w:r>
          </w:p>
        </w:tc>
        <w:tc>
          <w:tcPr>
            <w:tcW w:w="6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0</w:t>
            </w:r>
          </w:p>
        </w:tc>
        <w:tc>
          <w:tcPr>
            <w:tcW w:w="6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2,544,000</w:t>
            </w:r>
          </w:p>
        </w:tc>
        <w:tc>
          <w:tcPr>
            <w:tcW w:w="6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600" w:type="dxa"/>
            <w:tcBorders/>
            <w:shd w:fill="CCEEFF" w:val="clear"/>
            <w:vAlign w:val="bottom"/>
          </w:tcPr>
          <w:p>
            <w:pPr>
              <w:pStyle w:val="TableContents"/>
              <w:spacing w:before="0" w:after="283"/>
              <w:jc w:val="right"/>
              <w:rPr/>
            </w:pPr>
            <w:r>
              <w:rPr/>
              <w:t>2,442,240</w:t>
            </w:r>
          </w:p>
        </w:tc>
        <w:tc>
          <w:tcPr>
            <w:tcW w:w="66" w:type="dxa"/>
            <w:tcBorders/>
            <w:shd w:fill="CCEEFF" w:val="clear"/>
            <w:vAlign w:val="bottom"/>
          </w:tcPr>
          <w:p>
            <w:pPr>
              <w:pStyle w:val="TableContents"/>
              <w:spacing w:before="0" w:after="283"/>
              <w:rPr/>
            </w:pPr>
            <w:r>
              <w:rPr/>
              <w:t> </w:t>
            </w:r>
          </w:p>
        </w:tc>
      </w:tr>
      <w:tr>
        <w:trPr/>
        <w:tc>
          <w:tcPr>
            <w:tcW w:w="2120" w:type="dxa"/>
            <w:tcBorders/>
            <w:shd w:fill="auto" w:val="clear"/>
          </w:tcPr>
          <w:p>
            <w:pPr>
              <w:pStyle w:val="TableContents"/>
              <w:spacing w:before="0" w:after="0"/>
              <w:rPr>
                <w:rFonts w:ascii="Times New Roman" w:hAnsi="Times New Roman"/>
                <w:b/>
                <w:sz w:val="20"/>
              </w:rPr>
            </w:pPr>
            <w:r>
              <w:rPr>
                <w:rFonts w:ascii="Times New Roman" w:hAnsi="Times New Roman"/>
                <w:b/>
                <w:sz w:val="20"/>
              </w:rPr>
              <w:t>Michael Blandina(4)</w:t>
            </w:r>
          </w:p>
        </w:tc>
        <w:tc>
          <w:tcPr>
            <w:tcW w:w="34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600" w:type="dxa"/>
            <w:tcBorders/>
            <w:shd w:fill="auto" w:val="clear"/>
            <w:vAlign w:val="bottom"/>
          </w:tcPr>
          <w:p>
            <w:pPr>
              <w:pStyle w:val="TableContents"/>
              <w:spacing w:before="0" w:after="283"/>
              <w:jc w:val="right"/>
              <w:rPr/>
            </w:pPr>
            <w:r>
              <w:rPr/>
              <w:t>0</w:t>
            </w:r>
          </w:p>
        </w:tc>
        <w:tc>
          <w:tcPr>
            <w:tcW w:w="66"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Clifton was granted 975,000 profits interests in the form of preferred incentive units on December 4, 2020, one-third of which will vest as of the consummation of the Proposed Transaction, and one-third of which will vest on each of the first and second anniversaries of the consummation of the Proposed Transaction.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Cabrera was granted (1) 2,099,000 profits interests in the form of common incentive units on February 28, 2020 and (2) 1,000,000 profits interests in the form of common incentive units on December 4, 2020, all of which will vest as to one-third as of the consummation of the Proposed Transaction, and one-third on each of the first and second anniversaries of the consummation of the Proposed Transaction.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Johnson was granted (1) 2,044,000 profits interests in the form of common incentive units on February 28, 2020 and (2) 500,000 profits interests in the form of common incentive units on December 4, 2020, all of which will vest as to one-third as of the consummation of the Proposed Transaction, and one-third on each of the first and second anniversaries of the consummation of the Proposed Transaction.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Blandina was granted 9,000,000 profits interests in the form of preferred incentive units on May 17, 2019, all of which were forfeited by Mr. Blandina upon his voluntary resignation of employment.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Following the Proposed Transaction, each profits interests will be exchanged for the right to receive a paired interest that represents a Bakkt Opco Common Unit together with a Bakkt Pubco Class V Share. See the section entitled </w:t>
            </w:r>
            <w:r>
              <w:rPr>
                <w:rFonts w:ascii="Times New Roman" w:hAnsi="Times New Roman"/>
                <w:i/>
                <w:sz w:val="20"/>
              </w:rPr>
              <w:t>The Business Combination Proposal  Related Agreements  Exchange Agreement</w:t>
            </w:r>
            <w:r>
              <w:rPr>
                <w:rFonts w:ascii="Times New Roman" w:hAnsi="Times New Roman"/>
                <w:sz w:val="20"/>
              </w:rPr>
              <w:t> beginning on page 143 of this proxy statement/prospectus for additional information on the treatment of paired interests in the Proposed Transaction. With respect to the profits interests granted to Messrs. Clifton, Cabrera and Johnson on December 4, 2020, each of Messrs. Clifton, Cabrera and Johnson also has the opportunity, but not the obligation, to require Bakkt, through Bakkt Management, to redeem, effective as of immediately prior to the effective time of the Merger, 40% of the first one-third of his Bakkt Incentive Units scheduled to vest at the effective time of the Merger for the receipt of a cash payment. See the section entitled </w:t>
            </w:r>
            <w:r>
              <w:rPr>
                <w:rFonts w:ascii="Times New Roman" w:hAnsi="Times New Roman"/>
                <w:i/>
                <w:sz w:val="20"/>
              </w:rPr>
              <w:t>Treatment of Bakkt Incentive Units and Bakkt Participation Units</w:t>
            </w:r>
            <w:r>
              <w:rPr>
                <w:rFonts w:ascii="Times New Roman" w:hAnsi="Times New Roman"/>
                <w:sz w:val="20"/>
              </w:rPr>
              <w:t xml:space="preserve"> beginning on page 116 of this proxy statement/prospectus for more information.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market value of the profits interests units based on the $1.16 per unit value of Bakkts preferred incentive units (which were granted to Mr. Clifton) and $0.96 per unit value of Bakkts common incentive units (which were granted to Messrs. Cabrera and Johnson) determined in the most recent valuation of Bakkts membership interests. </w:t>
            </w:r>
          </w:p>
        </w:tc>
      </w:tr>
    </w:tbl>
    <w:p>
      <w:pPr>
        <w:pStyle w:val="TextBody"/>
        <w:spacing w:before="360" w:after="0"/>
        <w:jc w:val="left"/>
        <w:rPr>
          <w:rFonts w:ascii="Times New Roman" w:hAnsi="Times New Roman"/>
          <w:b/>
          <w:sz w:val="20"/>
        </w:rPr>
      </w:pPr>
      <w:r>
        <w:rPr>
          <w:rFonts w:ascii="Times New Roman" w:hAnsi="Times New Roman"/>
          <w:b/>
          <w:sz w:val="20"/>
        </w:rPr>
        <w:t xml:space="preserve">Retirement Plans </w:t>
      </w:r>
    </w:p>
    <w:p>
      <w:pPr>
        <w:pStyle w:val="TextBody"/>
        <w:spacing w:before="120" w:after="0"/>
        <w:jc w:val="left"/>
        <w:rPr>
          <w:rFonts w:ascii="Times New Roman" w:hAnsi="Times New Roman"/>
          <w:sz w:val="20"/>
        </w:rPr>
      </w:pPr>
      <w:r>
        <w:rPr>
          <w:rFonts w:ascii="Times New Roman" w:hAnsi="Times New Roman"/>
          <w:sz w:val="20"/>
        </w:rPr>
        <w:t>All employees are eligible to participate in broad-based and comprehensive employee benefit programs, including medical, dental, vision, life and disability insurance and a 401(k) plan with matching contributions. The named executive officers of Bakkt are eligible to participate in these plans on the same basis as our other employees and do not participate in executive level programs. Bakkt does not sponsor or maintain any deferred compensation or supplemental retirement plans in addition to its 401(k) plan. The 401(k) matching contributions earned by each named executive officer in fiscal 2020 are shown in the </w:t>
      </w:r>
      <w:r>
        <w:rPr>
          <w:rFonts w:ascii="Times New Roman" w:hAnsi="Times New Roman"/>
          <w:i/>
          <w:sz w:val="20"/>
        </w:rPr>
        <w:t>Summary Compensation Table</w:t>
      </w:r>
      <w:r>
        <w:rPr>
          <w:rFonts w:ascii="Times New Roman" w:hAnsi="Times New Roman"/>
          <w:sz w:val="20"/>
        </w:rPr>
        <w:t> under </w:t>
      </w:r>
      <w:r>
        <w:rPr>
          <w:rFonts w:ascii="Times New Roman" w:hAnsi="Times New Roman"/>
          <w:i/>
          <w:sz w:val="20"/>
        </w:rPr>
        <w:t>Executive Compensation</w:t>
      </w:r>
      <w:r>
        <w:rPr>
          <w:rFonts w:ascii="Times New Roman" w:hAnsi="Times New Roman"/>
          <w:sz w:val="20"/>
        </w:rPr>
        <w:t xml:space="preserve"> </w:t>
      </w:r>
      <w:r>
        <w:rPr>
          <w:rFonts w:ascii="Times New Roman" w:hAnsi="Times New Roman"/>
          <w:i/>
          <w:sz w:val="20"/>
        </w:rPr>
        <w:t>of Bakkt</w:t>
      </w:r>
      <w:r>
        <w:rPr>
          <w:rFonts w:ascii="Times New Roman" w:hAnsi="Times New Roman"/>
          <w:sz w:val="20"/>
        </w:rPr>
        <w:t xml:space="preserve"> beginning on page 298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Board Compensation </w:t>
      </w:r>
    </w:p>
    <w:p>
      <w:pPr>
        <w:pStyle w:val="TextBody"/>
        <w:spacing w:before="120" w:after="0"/>
        <w:jc w:val="left"/>
        <w:rPr>
          <w:rFonts w:ascii="Times New Roman" w:hAnsi="Times New Roman"/>
          <w:sz w:val="20"/>
        </w:rPr>
      </w:pPr>
      <w:r>
        <w:rPr>
          <w:rFonts w:ascii="Times New Roman" w:hAnsi="Times New Roman"/>
          <w:sz w:val="20"/>
        </w:rPr>
        <w:t xml:space="preserve">For fiscal year 2020, Bakkt did not provide any manager compensation to Messrs. Collins, Naheta, and Sprecher. For fiscal year 2020, each of Mr. Noonan and Ms. Bowen is entitled to an annual fee of $30,000 and an additional chair fee of $10,000, and each of Mr. Noonan and Ms. Bowen elected to receive their respective fees in the form of equity. On May 15, 2020, Bakkt granted to Mr. Noonan profits interests in the form of 121,212 common incentive units of Bakkt as compensation for his services as a member (and chair) of the board of managers of Bakkt, and to Ms. Bowen profits interests in the form of 212,121 common incentive units of Bakkt for her services as a member of the board of managers of Bakkt and a member (and chair) of the board of managers of Bakkt Trust. In connection with the Business Combination, Bakkt intends to approve and implement a non-employee director compensation policy. </w:t>
      </w:r>
    </w:p>
    <w:p>
      <w:pPr>
        <w:pStyle w:val="TextBody"/>
        <w:spacing w:before="240" w:after="0"/>
        <w:jc w:val="left"/>
        <w:rPr>
          <w:rFonts w:ascii="Times New Roman" w:hAnsi="Times New Roman"/>
          <w:sz w:val="20"/>
        </w:rPr>
      </w:pPr>
      <w:r>
        <w:rPr>
          <w:rFonts w:ascii="Times New Roman" w:hAnsi="Times New Roman"/>
          <w:sz w:val="20"/>
        </w:rPr>
        <w:t xml:space="preserve">For the non-employee directors following the Business Combination, Bakkt is in the process of formulating a non-employee director compensation policy that will be comprised of a mix of cash- and equity-based compensation based on a review of current market practices amongst its peer companies.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9" w:name="toc108105_32"/>
      <w:bookmarkEnd w:id="99"/>
      <w:r>
        <w:rPr>
          <w:rFonts w:ascii="Times New Roman" w:hAnsi="Times New Roman"/>
          <w:b/>
          <w:sz w:val="20"/>
        </w:rPr>
        <w:t xml:space="preserve">MANAGEMENT OF THE COMPANY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Merger Agreement provides that the Company Board will initially be comprised of five to nine directors, of whom the following have been identified: Mr. David C. Clifton, Mr. Gavin Michael, Mr. Gordon Watson, Ms. Michelle Goldberg, Ms. Adrienne Harris, Ms. Kristyn Cook, Mr. Sean Collins, Mr. Andrew A. Main and Mr. Richard Lumb. </w:t>
      </w:r>
    </w:p>
    <w:p>
      <w:pPr>
        <w:pStyle w:val="TextBody"/>
        <w:spacing w:before="240" w:after="0"/>
        <w:jc w:val="left"/>
        <w:rPr>
          <w:rFonts w:ascii="Times New Roman" w:hAnsi="Times New Roman"/>
          <w:sz w:val="20"/>
        </w:rPr>
      </w:pPr>
      <w:r>
        <w:rPr>
          <w:rFonts w:ascii="Times New Roman" w:hAnsi="Times New Roman"/>
          <w:sz w:val="20"/>
        </w:rPr>
        <w:t xml:space="preserve">Each director will hold office until his or her term expires at the next annual meeting of stockholders for such directors class or until his or her death, resignation, removal or the earlier termination of his or her term of office. </w:t>
      </w:r>
    </w:p>
    <w:p>
      <w:pPr>
        <w:pStyle w:val="TextBody"/>
        <w:spacing w:before="240" w:after="0"/>
        <w:jc w:val="left"/>
        <w:rPr>
          <w:rFonts w:ascii="Times New Roman" w:hAnsi="Times New Roman"/>
          <w:sz w:val="20"/>
        </w:rPr>
      </w:pPr>
      <w:r>
        <w:rPr>
          <w:rFonts w:ascii="Times New Roman" w:hAnsi="Times New Roman"/>
          <w:sz w:val="20"/>
        </w:rPr>
        <w:t xml:space="preserve">Currently, Bakkts management team is comprised of the following individuals and will remain unchanged following the Business Combination: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31"/>
        <w:gridCol w:w="202"/>
        <w:gridCol w:w="5372"/>
      </w:tblGrid>
      <w:tr>
        <w:trPr/>
        <w:tc>
          <w:tcPr>
            <w:tcW w:w="463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5372" w:type="dxa"/>
            <w:tcBorders/>
            <w:shd w:fill="auto" w:val="clear"/>
            <w:vAlign w:val="center"/>
          </w:tcPr>
          <w:p>
            <w:pPr>
              <w:pStyle w:val="TableContents"/>
              <w:spacing w:before="0" w:after="283"/>
              <w:rPr>
                <w:sz w:val="4"/>
                <w:szCs w:val="4"/>
              </w:rPr>
            </w:pPr>
            <w:r>
              <w:rPr>
                <w:sz w:val="4"/>
                <w:szCs w:val="4"/>
              </w:rPr>
            </w:r>
          </w:p>
        </w:tc>
      </w:tr>
      <w:tr>
        <w:trPr/>
        <w:tc>
          <w:tcPr>
            <w:tcW w:w="4631"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02" w:type="dxa"/>
            <w:tcBorders/>
            <w:shd w:fill="auto" w:val="clear"/>
            <w:vAlign w:val="bottom"/>
          </w:tcPr>
          <w:p>
            <w:pPr>
              <w:pStyle w:val="TableContents"/>
              <w:spacing w:before="0" w:after="283"/>
              <w:rPr/>
            </w:pPr>
            <w:r>
              <w:rPr/>
              <w:t>  </w:t>
            </w:r>
          </w:p>
        </w:tc>
        <w:tc>
          <w:tcPr>
            <w:tcW w:w="5372"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Position</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Gavin Michael</w:t>
            </w:r>
          </w:p>
        </w:tc>
        <w:tc>
          <w:tcPr>
            <w:tcW w:w="202" w:type="dxa"/>
            <w:tcBorders/>
            <w:shd w:fill="CCEEFF" w:val="clear"/>
            <w:vAlign w:val="bottom"/>
          </w:tcPr>
          <w:p>
            <w:pPr>
              <w:pStyle w:val="TableContents"/>
              <w:spacing w:before="0" w:after="283"/>
              <w:rPr/>
            </w:pPr>
            <w:r>
              <w:rPr/>
              <w:t>  </w:t>
            </w:r>
          </w:p>
        </w:tc>
        <w:tc>
          <w:tcPr>
            <w:tcW w:w="5372" w:type="dxa"/>
            <w:tcBorders/>
            <w:shd w:fill="CCEEFF" w:val="clear"/>
            <w:vAlign w:val="bottom"/>
          </w:tcPr>
          <w:p>
            <w:pPr>
              <w:pStyle w:val="TableContents"/>
              <w:spacing w:before="0" w:after="283"/>
              <w:rPr/>
            </w:pPr>
            <w:r>
              <w:rPr/>
              <w:t>Chief Executive Officer</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Adam White</w:t>
            </w:r>
          </w:p>
        </w:tc>
        <w:tc>
          <w:tcPr>
            <w:tcW w:w="202" w:type="dxa"/>
            <w:tcBorders/>
            <w:shd w:fill="auto" w:val="clear"/>
            <w:vAlign w:val="bottom"/>
          </w:tcPr>
          <w:p>
            <w:pPr>
              <w:pStyle w:val="TableContents"/>
              <w:spacing w:before="0" w:after="283"/>
              <w:rPr/>
            </w:pPr>
            <w:r>
              <w:rPr/>
              <w:t>  </w:t>
            </w:r>
          </w:p>
        </w:tc>
        <w:tc>
          <w:tcPr>
            <w:tcW w:w="5372" w:type="dxa"/>
            <w:tcBorders/>
            <w:shd w:fill="auto" w:val="clear"/>
            <w:vAlign w:val="bottom"/>
          </w:tcPr>
          <w:p>
            <w:pPr>
              <w:pStyle w:val="TableContents"/>
              <w:spacing w:before="0" w:after="283"/>
              <w:rPr/>
            </w:pPr>
            <w:r>
              <w:rPr/>
              <w:t>President</w:t>
            </w:r>
          </w:p>
        </w:tc>
      </w:tr>
      <w:tr>
        <w:trPr/>
        <w:tc>
          <w:tcPr>
            <w:tcW w:w="4631" w:type="dxa"/>
            <w:tcBorders/>
            <w:shd w:fill="CCEEFF" w:val="clear"/>
          </w:tcPr>
          <w:p>
            <w:pPr>
              <w:pStyle w:val="TableContents"/>
              <w:spacing w:before="0" w:after="20"/>
              <w:rPr>
                <w:rFonts w:ascii="Times New Roman" w:hAnsi="Times New Roman"/>
                <w:sz w:val="20"/>
              </w:rPr>
            </w:pPr>
            <w:r>
              <w:rPr>
                <w:rFonts w:ascii="Times New Roman" w:hAnsi="Times New Roman"/>
                <w:sz w:val="20"/>
              </w:rPr>
              <w:t>Andrew LaBenne (1)</w:t>
            </w:r>
          </w:p>
        </w:tc>
        <w:tc>
          <w:tcPr>
            <w:tcW w:w="202" w:type="dxa"/>
            <w:tcBorders/>
            <w:shd w:fill="CCEEFF" w:val="clear"/>
            <w:vAlign w:val="bottom"/>
          </w:tcPr>
          <w:p>
            <w:pPr>
              <w:pStyle w:val="TableContents"/>
              <w:spacing w:before="0" w:after="283"/>
              <w:rPr/>
            </w:pPr>
            <w:r>
              <w:rPr/>
              <w:t>  </w:t>
            </w:r>
          </w:p>
        </w:tc>
        <w:tc>
          <w:tcPr>
            <w:tcW w:w="5372" w:type="dxa"/>
            <w:tcBorders/>
            <w:shd w:fill="CCEEFF" w:val="clear"/>
            <w:vAlign w:val="bottom"/>
          </w:tcPr>
          <w:p>
            <w:pPr>
              <w:pStyle w:val="TableContents"/>
              <w:spacing w:before="0" w:after="283"/>
              <w:rPr/>
            </w:pPr>
            <w:r>
              <w:rPr/>
              <w:t>Chief Financial Officer</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Nicolas Cabrera</w:t>
            </w:r>
          </w:p>
        </w:tc>
        <w:tc>
          <w:tcPr>
            <w:tcW w:w="202" w:type="dxa"/>
            <w:tcBorders/>
            <w:shd w:fill="auto" w:val="clear"/>
            <w:vAlign w:val="bottom"/>
          </w:tcPr>
          <w:p>
            <w:pPr>
              <w:pStyle w:val="TableContents"/>
              <w:spacing w:before="0" w:after="283"/>
              <w:rPr/>
            </w:pPr>
            <w:r>
              <w:rPr/>
              <w:t>  </w:t>
            </w:r>
          </w:p>
        </w:tc>
        <w:tc>
          <w:tcPr>
            <w:tcW w:w="5372" w:type="dxa"/>
            <w:tcBorders/>
            <w:shd w:fill="auto" w:val="clear"/>
            <w:vAlign w:val="bottom"/>
          </w:tcPr>
          <w:p>
            <w:pPr>
              <w:pStyle w:val="TableContents"/>
              <w:spacing w:before="0" w:after="283"/>
              <w:rPr/>
            </w:pPr>
            <w:r>
              <w:rPr/>
              <w:t>Chief Product Officer</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Marc DAnnunzio</w:t>
            </w:r>
          </w:p>
        </w:tc>
        <w:tc>
          <w:tcPr>
            <w:tcW w:w="202" w:type="dxa"/>
            <w:tcBorders/>
            <w:shd w:fill="CCEEFF" w:val="clear"/>
            <w:vAlign w:val="bottom"/>
          </w:tcPr>
          <w:p>
            <w:pPr>
              <w:pStyle w:val="TableContents"/>
              <w:spacing w:before="0" w:after="283"/>
              <w:rPr/>
            </w:pPr>
            <w:r>
              <w:rPr/>
              <w:t>  </w:t>
            </w:r>
          </w:p>
        </w:tc>
        <w:tc>
          <w:tcPr>
            <w:tcW w:w="5372" w:type="dxa"/>
            <w:tcBorders/>
            <w:shd w:fill="CCEEFF" w:val="clear"/>
            <w:vAlign w:val="bottom"/>
          </w:tcPr>
          <w:p>
            <w:pPr>
              <w:pStyle w:val="TableContents"/>
              <w:spacing w:before="0" w:after="283"/>
              <w:rPr/>
            </w:pPr>
            <w:r>
              <w:rPr/>
              <w:t>General Counsel and Secretary</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Matthew Johnson</w:t>
            </w:r>
          </w:p>
        </w:tc>
        <w:tc>
          <w:tcPr>
            <w:tcW w:w="202" w:type="dxa"/>
            <w:tcBorders/>
            <w:shd w:fill="auto" w:val="clear"/>
            <w:vAlign w:val="bottom"/>
          </w:tcPr>
          <w:p>
            <w:pPr>
              <w:pStyle w:val="TableContents"/>
              <w:spacing w:before="0" w:after="283"/>
              <w:rPr/>
            </w:pPr>
            <w:r>
              <w:rPr/>
              <w:t>  </w:t>
            </w:r>
          </w:p>
        </w:tc>
        <w:tc>
          <w:tcPr>
            <w:tcW w:w="5372" w:type="dxa"/>
            <w:tcBorders/>
            <w:shd w:fill="auto" w:val="clear"/>
            <w:vAlign w:val="bottom"/>
          </w:tcPr>
          <w:p>
            <w:pPr>
              <w:pStyle w:val="TableContents"/>
              <w:spacing w:before="0" w:after="283"/>
              <w:rPr/>
            </w:pPr>
            <w:r>
              <w:rPr/>
              <w:t>Chief Technology Officer</w:t>
            </w:r>
          </w:p>
        </w:tc>
      </w:tr>
      <w:tr>
        <w:trPr/>
        <w:tc>
          <w:tcPr>
            <w:tcW w:w="4631" w:type="dxa"/>
            <w:tcBorders/>
            <w:shd w:fill="CCEEFF" w:val="clear"/>
          </w:tcPr>
          <w:p>
            <w:pPr>
              <w:pStyle w:val="TableContents"/>
              <w:spacing w:before="0" w:after="20"/>
              <w:rPr>
                <w:rFonts w:ascii="Times New Roman" w:hAnsi="Times New Roman"/>
                <w:sz w:val="20"/>
              </w:rPr>
            </w:pPr>
            <w:r>
              <w:rPr>
                <w:rFonts w:ascii="Times New Roman" w:hAnsi="Times New Roman"/>
                <w:sz w:val="20"/>
              </w:rPr>
              <w:t>Mark Elliot</w:t>
            </w:r>
          </w:p>
        </w:tc>
        <w:tc>
          <w:tcPr>
            <w:tcW w:w="202" w:type="dxa"/>
            <w:tcBorders/>
            <w:shd w:fill="CCEEFF" w:val="clear"/>
            <w:vAlign w:val="bottom"/>
          </w:tcPr>
          <w:p>
            <w:pPr>
              <w:pStyle w:val="TableContents"/>
              <w:spacing w:before="0" w:after="283"/>
              <w:rPr/>
            </w:pPr>
            <w:r>
              <w:rPr/>
              <w:t>  </w:t>
            </w:r>
          </w:p>
        </w:tc>
        <w:tc>
          <w:tcPr>
            <w:tcW w:w="5372" w:type="dxa"/>
            <w:tcBorders/>
            <w:shd w:fill="CCEEFF" w:val="clear"/>
            <w:vAlign w:val="bottom"/>
          </w:tcPr>
          <w:p>
            <w:pPr>
              <w:pStyle w:val="TableContents"/>
              <w:spacing w:before="0" w:after="20"/>
              <w:rPr>
                <w:rFonts w:ascii="Times New Roman" w:hAnsi="Times New Roman"/>
                <w:sz w:val="20"/>
              </w:rPr>
            </w:pPr>
            <w:r>
              <w:rPr>
                <w:rFonts w:ascii="Times New Roman" w:hAnsi="Times New Roman"/>
                <w:sz w:val="20"/>
              </w:rPr>
              <w:t>Executive Vice President, Marketing</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Nancy Gordon</w:t>
            </w:r>
          </w:p>
        </w:tc>
        <w:tc>
          <w:tcPr>
            <w:tcW w:w="202" w:type="dxa"/>
            <w:tcBorders/>
            <w:shd w:fill="auto" w:val="clear"/>
            <w:vAlign w:val="bottom"/>
          </w:tcPr>
          <w:p>
            <w:pPr>
              <w:pStyle w:val="TableContents"/>
              <w:spacing w:before="0" w:after="283"/>
              <w:rPr/>
            </w:pPr>
            <w:r>
              <w:rPr/>
              <w:t>  </w:t>
            </w:r>
          </w:p>
        </w:tc>
        <w:tc>
          <w:tcPr>
            <w:tcW w:w="5372" w:type="dxa"/>
            <w:tcBorders/>
            <w:shd w:fill="auto" w:val="clear"/>
            <w:vAlign w:val="bottom"/>
          </w:tcPr>
          <w:p>
            <w:pPr>
              <w:pStyle w:val="TableContents"/>
              <w:spacing w:before="0" w:after="283"/>
              <w:rPr/>
            </w:pPr>
            <w:r>
              <w:rPr/>
              <w:t>Executive Vice President, Loyalty, Rewards &amp; Payment</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Michael Lewis</w:t>
            </w:r>
          </w:p>
        </w:tc>
        <w:tc>
          <w:tcPr>
            <w:tcW w:w="202" w:type="dxa"/>
            <w:tcBorders/>
            <w:shd w:fill="CCEEFF" w:val="clear"/>
            <w:vAlign w:val="bottom"/>
          </w:tcPr>
          <w:p>
            <w:pPr>
              <w:pStyle w:val="TableContents"/>
              <w:spacing w:before="0" w:after="283"/>
              <w:rPr/>
            </w:pPr>
            <w:r>
              <w:rPr/>
              <w:t>  </w:t>
            </w:r>
          </w:p>
        </w:tc>
        <w:tc>
          <w:tcPr>
            <w:tcW w:w="5372" w:type="dxa"/>
            <w:tcBorders/>
            <w:shd w:fill="CCEEFF" w:val="clear"/>
            <w:vAlign w:val="bottom"/>
          </w:tcPr>
          <w:p>
            <w:pPr>
              <w:pStyle w:val="TableContents"/>
              <w:spacing w:before="0" w:after="283"/>
              <w:rPr/>
            </w:pPr>
            <w:r>
              <w:rPr/>
              <w:t>Executive Vice President, Engineering &amp; Operations</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Josh Klenert</w:t>
            </w:r>
          </w:p>
        </w:tc>
        <w:tc>
          <w:tcPr>
            <w:tcW w:w="202" w:type="dxa"/>
            <w:tcBorders/>
            <w:shd w:fill="auto" w:val="clear"/>
            <w:vAlign w:val="bottom"/>
          </w:tcPr>
          <w:p>
            <w:pPr>
              <w:pStyle w:val="TableContents"/>
              <w:spacing w:before="0" w:after="283"/>
              <w:rPr/>
            </w:pPr>
            <w:r>
              <w:rPr/>
              <w:t>  </w:t>
            </w:r>
          </w:p>
        </w:tc>
        <w:tc>
          <w:tcPr>
            <w:tcW w:w="5372" w:type="dxa"/>
            <w:tcBorders/>
            <w:shd w:fill="auto" w:val="clear"/>
            <w:vAlign w:val="bottom"/>
          </w:tcPr>
          <w:p>
            <w:pPr>
              <w:pStyle w:val="TableContents"/>
              <w:spacing w:before="0" w:after="283"/>
              <w:rPr/>
            </w:pPr>
            <w:r>
              <w:rPr/>
              <w:t>Senior Vice President, Head of Design</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Sheela Zemlin (2)</w:t>
            </w:r>
          </w:p>
        </w:tc>
        <w:tc>
          <w:tcPr>
            <w:tcW w:w="202" w:type="dxa"/>
            <w:tcBorders/>
            <w:shd w:fill="CCEEFF" w:val="clear"/>
            <w:vAlign w:val="bottom"/>
          </w:tcPr>
          <w:p>
            <w:pPr>
              <w:pStyle w:val="TableContents"/>
              <w:spacing w:before="0" w:after="283"/>
              <w:rPr/>
            </w:pPr>
            <w:r>
              <w:rPr/>
              <w:t>  </w:t>
            </w:r>
          </w:p>
        </w:tc>
        <w:tc>
          <w:tcPr>
            <w:tcW w:w="5372" w:type="dxa"/>
            <w:tcBorders/>
            <w:shd w:fill="CCEEFF" w:val="clear"/>
            <w:vAlign w:val="bottom"/>
          </w:tcPr>
          <w:p>
            <w:pPr>
              <w:pStyle w:val="TableContents"/>
              <w:spacing w:before="0" w:after="283"/>
              <w:rPr/>
            </w:pPr>
            <w:r>
              <w:rPr/>
              <w:t>Executive Vice President, Chief Revenue Officer</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LaBenne will be Bakkts Chief Financial Officer effective as of April 27, 2021.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as of April 1, 2021, Sheela Zemlin will be the Executive Vice President, Chief Revenue Officer of Bakkt. </w:t>
            </w:r>
          </w:p>
        </w:tc>
      </w:tr>
    </w:tbl>
    <w:p>
      <w:pPr>
        <w:pStyle w:val="TextBody"/>
        <w:spacing w:before="240" w:after="0"/>
        <w:jc w:val="left"/>
        <w:rPr>
          <w:rFonts w:ascii="Times New Roman" w:hAnsi="Times New Roman"/>
          <w:sz w:val="20"/>
        </w:rPr>
      </w:pPr>
      <w:r>
        <w:rPr>
          <w:rFonts w:ascii="Times New Roman" w:hAnsi="Times New Roman"/>
          <w:sz w:val="20"/>
        </w:rPr>
        <w:t xml:space="preserve">The officers of the Company and the Company Board following the Business Combination are well qualified as leaders. In their prior positions they have gained experience in core management skills, such as strategic and financial planning, financial reporting, compliance, risk management, and leadership development. The directors of the Company following the Business Combination have experience and qualifications that will make them valuable members of the Company Board. </w:t>
      </w:r>
    </w:p>
    <w:p>
      <w:pPr>
        <w:pStyle w:val="TextBody"/>
        <w:spacing w:before="240" w:after="0"/>
        <w:jc w:val="left"/>
        <w:rPr>
          <w:rFonts w:ascii="Times New Roman" w:hAnsi="Times New Roman"/>
          <w:sz w:val="20"/>
        </w:rPr>
      </w:pPr>
      <w:r>
        <w:rPr>
          <w:rFonts w:ascii="Times New Roman" w:hAnsi="Times New Roman"/>
          <w:sz w:val="20"/>
        </w:rPr>
        <w:t xml:space="preserve">Mr. Gavin Michael currently serves as the Chief Executive Officer of Bakkt. In this role, he is responsible for the strategic direction and operations of the Company. Prior to joining Bakkt, Mr. Michael previously served as the Head of Technology for Citis Global Consumer Bank. Mr. Michael has extensive experience working in with branch technology innovation, data analytics, product design, engineering and core consumer technology, providing him with the experience and technical skillset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Mr. David C. Clifton served as the Interim Chief Executive Officer of Bakkt from April 2020 to January 2021. While serving in this role, Mr. Clifton was involved in the development of Bakkts strategy and thte assessment of its strategic alternatives, which resulted in the Proposed Transaction with WIH. Before and after acting in that role, Mr. Clifton also served as Vice President of M&amp;A and Integration at Intercontinental Exchange. In this role, Mr. Clifton has overseen the successful completion of numerous strategic transactions, including ICEs 2013 acquisition of NYSE Euronext, along with other global strategic transactions and initiatives. Mr. Cliftons previous experience at both Bakkt and Intercontinental Exchange have provided him with the strategic and management background to serve as a director on the Company Board following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Mr. Gordon Watson has been President, Chief Operating Officer and Director of VIH since its inception. Mr. Watson joined Victory Park in 2014 and is currently a Partner. Mr. Watson is a member of Victory Parks investment committee and helps lead its Fintech investing team. Mr. Watson is also the Investment Manager for VIH Specialty Lending Investments PLC (LSE: VSL), a Victory Park-managed U.K. publicly listed investment trust focused on opportunities in the Fintech market. Mr. Watsons leadership experience, as well as his experience in fintech, have provided him with the financial knowledge and background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Ms. Adrienne Harris is currently a professor of the practice at the Gerald R. Ford School of Public Policy at the University of Michigan, as well as a Senior Research Fellow with the Center for Finance, Law and Policy. As a member of the University of Michigan, Ms. Harris teaches several courses, all with a focus on financial technology. Ms. Harris also currently serves as a Senior Advisor to the Brunswick Group, an advisory firm specializing in business critical issues. Ms. Harris previously served as a Special Assistant to President Obama for Economic Policy at the National Economic Council. Prior to joining the Obama White House, Ms. Harris worked at the U.S. Department of Treasury, where she served as Senior Advisor to the Deputy Secretary. Ms. Harris is currently a proposed director for Lending Club (NYSE: LC). Ms. Harris extensive background in finance, law, and government has provided her with the financial experience, knowledge and background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Mr. Andrew Main currently serves at the Chief Executive Officer of Ogilvy, an advertising, marketing and public relations agency. In this role, Mr. Main is responsible for the strategic direction and operations of Ogilvy. Prior to joining Ogilvy, Mr. Main was the Global Head of Deloitte Digital, the digital consultancy branch of Deloitte, where he oversaw the acquisition of multiple creative agencies to grow the brand. Mr. Main has more than 25 years of consulting experience, and has worked with multiple brands to modernize their business. Mr. Mains experience helping brands grow and modernize, and his focus on digital consultancy, have provided him with the experience needed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Ms. Kristyn Cook is currently the Senior Vice President of Agency and Marketing at State Farm, an insurance agency, where she has executive responsibilities for Corporate Agency and Sales, Marketing, Customer Care, Center/Enterprise Shared Services, and Creative Services functions. In this role, she is responsible for strategy development and execution for various departments, while also partnering with Market Areas who lead the agencys sales force. Prior to becoming the Senior Vice President of Agency and Marketing, Ms. Cook was an Area Vice President for the Southeastern Market Area, where she oversaw territory growth, recruiting and new agent development. Ms. Cooks roles in leadership have provided her with the experience needed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Ms. Michelle Goldberg is currently an advisor to SoGal Ventures, a venture capital firm, and has significant technology, investment, retail disruption, finance and digital media expertise. Prior to joining SoGal, Ms. Goldberg was a partner at Ignition, an early stage enterprise software venture capital firm, from 2000 to 2020. Ms. Goldberg has sat on numerous public boards. Her past public board experience includes: Legg Mason (NYSE: LM), which merged with Franklin Templeton (NYSE: BEN), where she chaired the Risk committee and was a member of the Audit, Finance, and Special M&amp;A committees; Taubman (NYSE: TCO), which merged with Simon (NYSE: SPG), where she was a member of the Audit committee; and Plum Creek (NYSE: PLC), which merged with Weyerhaeuser (NYSE: WY), where she was a member of the Compensation committee. Her previous public board experience has provided her with the leadership experience and background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Mr. Richard Lumb currently serves as an Industry Partner at Motive Partners, a private equity firm specializing in enterprise financial services, software growth and buy-out investments. In this role, Mr. Lumb is responsible for sourcing and executing investment opportunities. Prior to joining Motive Partners, Mr. Lumb worked for 35 years at Accenture, a multi-national consulting company, where he held the position of Group Chief Executive of Financial Services from December 2010 to August 2019 and served clients in the banking, insurance and capital markets sectors. Mr. Lumbs extensive experience across the financial services industry has provided him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financial knowledge and background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Mr. Sean Collins currently is the Co-Founder and a Managing Partner at Goldfinch Partners, a private equity firm focused on investing in enterprise technology companies. In this role, Mr. Collins is responsible for sourcing and executing investment opportunities. Prior to founding Goldfinch Partners, Mr. Collins was Co-Founder and Chief Investment Officer of BCG Digital Ventures, where he oversaw investments in various global ventures. Mr. Collins extensive experience across the financial services industry have provided him with the financial knowledge and background to serve as a director on the Company Board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the above-mentioned attributes, along with the leadership skills and other experiences of the officers and board members described below, will provide the Company with a diverse range of perspectives and judgment necessary to facilitate the goals of the Company and be good stewards of capital.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as of the date of this proxy statement/prospectus, concerning the persons who are expected to serve as directors, officers and significant employees following the completion of the Business Combination.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38"/>
        <w:gridCol w:w="188"/>
        <w:gridCol w:w="79"/>
        <w:gridCol w:w="347"/>
        <w:gridCol w:w="60"/>
        <w:gridCol w:w="188"/>
        <w:gridCol w:w="7005"/>
      </w:tblGrid>
      <w:tr>
        <w:trPr/>
        <w:tc>
          <w:tcPr>
            <w:tcW w:w="23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7005" w:type="dxa"/>
            <w:tcBorders/>
            <w:shd w:fill="auto" w:val="clear"/>
            <w:vAlign w:val="center"/>
          </w:tcPr>
          <w:p>
            <w:pPr>
              <w:pStyle w:val="TableContents"/>
              <w:spacing w:before="0" w:after="283"/>
              <w:rPr>
                <w:sz w:val="4"/>
                <w:szCs w:val="4"/>
              </w:rPr>
            </w:pPr>
            <w:r>
              <w:rPr>
                <w:sz w:val="4"/>
                <w:szCs w:val="4"/>
              </w:rPr>
            </w:r>
          </w:p>
        </w:tc>
      </w:tr>
      <w:tr>
        <w:trPr/>
        <w:tc>
          <w:tcPr>
            <w:tcW w:w="233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88" w:type="dxa"/>
            <w:tcBorders/>
            <w:shd w:fill="auto" w:val="clear"/>
            <w:vAlign w:val="bottom"/>
          </w:tcPr>
          <w:p>
            <w:pPr>
              <w:pStyle w:val="TableContents"/>
              <w:spacing w:before="0" w:after="283"/>
              <w:rPr/>
            </w:pPr>
            <w:r>
              <w:rPr/>
              <w:t>  </w:t>
            </w:r>
          </w:p>
        </w:tc>
        <w:tc>
          <w:tcPr>
            <w:tcW w:w="4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Gavin Michael</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55</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Chief Executive Officer, Class I Director</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Adam White</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38</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President</w:t>
            </w:r>
          </w:p>
        </w:tc>
      </w:tr>
      <w:tr>
        <w:trPr/>
        <w:tc>
          <w:tcPr>
            <w:tcW w:w="2338" w:type="dxa"/>
            <w:tcBorders/>
            <w:shd w:fill="CCEEFF" w:val="clear"/>
          </w:tcPr>
          <w:p>
            <w:pPr>
              <w:pStyle w:val="TableContents"/>
              <w:spacing w:before="0" w:after="20"/>
              <w:rPr>
                <w:rFonts w:ascii="Times New Roman" w:hAnsi="Times New Roman"/>
                <w:sz w:val="20"/>
              </w:rPr>
            </w:pPr>
            <w:r>
              <w:rPr>
                <w:rFonts w:ascii="Times New Roman" w:hAnsi="Times New Roman"/>
                <w:sz w:val="20"/>
              </w:rPr>
              <w:t>Andrew LaBenne (1)</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47</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Chief Financial Officer</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Nicolas Cabrera</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45</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Chief Product Officer</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Marc DAnnunzio</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49</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General Counsel and Secretary</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Matthew Johnson</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49</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Chief Technology Officer</w:t>
            </w:r>
          </w:p>
        </w:tc>
      </w:tr>
      <w:tr>
        <w:trPr/>
        <w:tc>
          <w:tcPr>
            <w:tcW w:w="2338" w:type="dxa"/>
            <w:tcBorders/>
            <w:shd w:fill="CCEEFF" w:val="clear"/>
          </w:tcPr>
          <w:p>
            <w:pPr>
              <w:pStyle w:val="TableContents"/>
              <w:spacing w:before="0" w:after="283"/>
              <w:rPr/>
            </w:pPr>
            <w:r>
              <w:rPr/>
              <w:t>Mark Elliot</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51</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Executive Vice President, Marketing</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Nancy Gordon</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51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Executive Vice President, Loyalty, Rewards &amp; Payment</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Michael Lewis</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56</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Executive Vice President, Engineering &amp; Operations</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Joshua Klenert</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47</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Senior Vice President, Head of Design</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Sheela Zemlin (2)</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52</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Executive Vice President, Chief Revenue Officer</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David C. Clifton</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43</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Class II Director</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Gordon Watson</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41</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Class II Director</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Kristyn Cook</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45</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Class II Director</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Michelle Goldberg</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51</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0"/>
              <w:rPr>
                <w:rFonts w:ascii="Times New Roman" w:hAnsi="Times New Roman"/>
                <w:sz w:val="20"/>
              </w:rPr>
            </w:pPr>
            <w:r>
              <w:rPr>
                <w:rFonts w:ascii="Times New Roman" w:hAnsi="Times New Roman"/>
                <w:sz w:val="20"/>
              </w:rPr>
              <w:t>Class I Director</w:t>
            </w:r>
          </w:p>
        </w:tc>
      </w:tr>
      <w:tr>
        <w:trPr/>
        <w:tc>
          <w:tcPr>
            <w:tcW w:w="2338" w:type="dxa"/>
            <w:tcBorders/>
            <w:shd w:fill="auto" w:val="clear"/>
          </w:tcPr>
          <w:p>
            <w:pPr>
              <w:pStyle w:val="TableContents"/>
              <w:spacing w:before="0" w:after="20"/>
              <w:rPr>
                <w:rFonts w:ascii="Times New Roman" w:hAnsi="Times New Roman"/>
                <w:sz w:val="20"/>
              </w:rPr>
            </w:pPr>
            <w:r>
              <w:rPr>
                <w:rFonts w:ascii="Times New Roman" w:hAnsi="Times New Roman"/>
                <w:sz w:val="20"/>
              </w:rPr>
              <w:t>Adrienne Harris</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39</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Class I Director</w:t>
            </w:r>
          </w:p>
        </w:tc>
      </w:tr>
      <w:tr>
        <w:trPr/>
        <w:tc>
          <w:tcPr>
            <w:tcW w:w="2338" w:type="dxa"/>
            <w:tcBorders/>
            <w:shd w:fill="CCEEFF" w:val="clear"/>
          </w:tcPr>
          <w:p>
            <w:pPr>
              <w:pStyle w:val="TableContents"/>
              <w:spacing w:before="0" w:after="20"/>
              <w:rPr>
                <w:rFonts w:ascii="Times New Roman" w:hAnsi="Times New Roman"/>
                <w:sz w:val="20"/>
              </w:rPr>
            </w:pPr>
            <w:r>
              <w:rPr>
                <w:rFonts w:ascii="Times New Roman" w:hAnsi="Times New Roman"/>
                <w:sz w:val="20"/>
              </w:rPr>
              <w:t>Sean Collins</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41</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0"/>
              <w:rPr>
                <w:rFonts w:ascii="Times New Roman" w:hAnsi="Times New Roman"/>
                <w:sz w:val="20"/>
              </w:rPr>
            </w:pPr>
            <w:r>
              <w:rPr>
                <w:rFonts w:ascii="Times New Roman" w:hAnsi="Times New Roman"/>
                <w:sz w:val="20"/>
              </w:rPr>
              <w:t>Class III Director</w:t>
            </w:r>
          </w:p>
        </w:tc>
      </w:tr>
      <w:tr>
        <w:trPr/>
        <w:tc>
          <w:tcPr>
            <w:tcW w:w="2338" w:type="dxa"/>
            <w:tcBorders/>
            <w:shd w:fill="auto" w:val="clear"/>
          </w:tcPr>
          <w:p>
            <w:pPr>
              <w:pStyle w:val="TableContents"/>
              <w:spacing w:before="0" w:after="0"/>
              <w:rPr>
                <w:rFonts w:ascii="Times New Roman" w:hAnsi="Times New Roman"/>
                <w:sz w:val="20"/>
              </w:rPr>
            </w:pPr>
            <w:r>
              <w:rPr>
                <w:rFonts w:ascii="Times New Roman" w:hAnsi="Times New Roman"/>
                <w:sz w:val="20"/>
              </w:rPr>
              <w:t>Andrew A. Main</w:t>
            </w:r>
          </w:p>
        </w:tc>
        <w:tc>
          <w:tcPr>
            <w:tcW w:w="188"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center"/>
              <w:rPr/>
            </w:pPr>
            <w:r>
              <w:rPr/>
              <w:t>56</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005" w:type="dxa"/>
            <w:tcBorders/>
            <w:shd w:fill="auto" w:val="clear"/>
            <w:vAlign w:val="bottom"/>
          </w:tcPr>
          <w:p>
            <w:pPr>
              <w:pStyle w:val="TableContents"/>
              <w:spacing w:before="0" w:after="283"/>
              <w:rPr/>
            </w:pPr>
            <w:r>
              <w:rPr/>
              <w:t>Class III Director</w:t>
            </w:r>
          </w:p>
        </w:tc>
      </w:tr>
      <w:tr>
        <w:trPr/>
        <w:tc>
          <w:tcPr>
            <w:tcW w:w="2338" w:type="dxa"/>
            <w:tcBorders/>
            <w:shd w:fill="CCEEFF" w:val="clear"/>
          </w:tcPr>
          <w:p>
            <w:pPr>
              <w:pStyle w:val="TableContents"/>
              <w:spacing w:before="0" w:after="0"/>
              <w:rPr>
                <w:rFonts w:ascii="Times New Roman" w:hAnsi="Times New Roman"/>
                <w:sz w:val="20"/>
              </w:rPr>
            </w:pPr>
            <w:r>
              <w:rPr>
                <w:rFonts w:ascii="Times New Roman" w:hAnsi="Times New Roman"/>
                <w:sz w:val="20"/>
              </w:rPr>
              <w:t>Richard Lumb</w:t>
            </w:r>
          </w:p>
        </w:tc>
        <w:tc>
          <w:tcPr>
            <w:tcW w:w="188"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center"/>
              <w:rPr/>
            </w:pPr>
            <w:r>
              <w:rPr/>
              <w:t>50</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7005" w:type="dxa"/>
            <w:tcBorders/>
            <w:shd w:fill="CCEEFF" w:val="clear"/>
            <w:vAlign w:val="bottom"/>
          </w:tcPr>
          <w:p>
            <w:pPr>
              <w:pStyle w:val="TableContents"/>
              <w:spacing w:before="0" w:after="283"/>
              <w:rPr/>
            </w:pPr>
            <w:r>
              <w:rPr/>
              <w:t>Class III Director</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LaBenne will be Bakkts Chief Financial Officer effective as of April 27, 2021.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as of April 1, 2021, Sheela Zemlin will be the Executive Vice President, Chief Revenue Officer of Bakkt. </w:t>
            </w:r>
          </w:p>
        </w:tc>
      </w:tr>
    </w:tbl>
    <w:p>
      <w:pPr>
        <w:pStyle w:val="TextBody"/>
        <w:spacing w:before="360" w:after="0"/>
        <w:jc w:val="left"/>
        <w:rPr>
          <w:rFonts w:ascii="Times New Roman" w:hAnsi="Times New Roman"/>
          <w:b/>
          <w:sz w:val="20"/>
        </w:rPr>
      </w:pPr>
      <w:bookmarkStart w:id="100" w:name="12a"/>
      <w:bookmarkEnd w:id="100"/>
      <w:r>
        <w:rPr>
          <w:rFonts w:ascii="Times New Roman" w:hAnsi="Times New Roman"/>
          <w:b/>
          <w:sz w:val="20"/>
        </w:rPr>
        <w:t xml:space="preserve">Officers, Directors and Key Employees </w:t>
      </w:r>
    </w:p>
    <w:p>
      <w:pPr>
        <w:pStyle w:val="TextBody"/>
        <w:spacing w:before="120" w:after="0"/>
        <w:jc w:val="left"/>
        <w:rPr>
          <w:rFonts w:ascii="Times New Roman" w:hAnsi="Times New Roman"/>
          <w:sz w:val="20"/>
        </w:rPr>
      </w:pPr>
      <w:r>
        <w:rPr>
          <w:rFonts w:ascii="Times New Roman" w:hAnsi="Times New Roman"/>
          <w:sz w:val="20"/>
        </w:rPr>
        <w:t>For more information about Gordon Watson, see the section entitled </w:t>
      </w:r>
      <w:r>
        <w:rPr>
          <w:rFonts w:ascii="Times New Roman" w:hAnsi="Times New Roman"/>
          <w:i/>
          <w:sz w:val="20"/>
        </w:rPr>
        <w:t>Directors, Officers, Executive Compensation and Corporate Governance of VIH prior to the Business Combination</w:t>
      </w:r>
      <w:r>
        <w:rPr>
          <w:rFonts w:ascii="Times New Roman" w:hAnsi="Times New Roman"/>
          <w:sz w:val="20"/>
        </w:rPr>
        <w:t xml:space="preserve"> beginning on page 226 of this proxy statement/prospectus. </w:t>
      </w:r>
    </w:p>
    <w:p>
      <w:pPr>
        <w:pStyle w:val="TextBody"/>
        <w:spacing w:before="240" w:after="0"/>
        <w:jc w:val="left"/>
        <w:rPr>
          <w:rFonts w:ascii="Times New Roman" w:hAnsi="Times New Roman"/>
          <w:sz w:val="20"/>
        </w:rPr>
      </w:pPr>
      <w:r>
        <w:rPr>
          <w:rFonts w:ascii="Times New Roman" w:hAnsi="Times New Roman"/>
          <w:sz w:val="20"/>
        </w:rPr>
        <w:t>For more information about Gavin Michael, Nicolas Cabrera, Marc DAnnunzio, Matthew Johnson, Sean Collins and Adam White, see the section entitled </w:t>
      </w:r>
      <w:r>
        <w:rPr>
          <w:rFonts w:ascii="Times New Roman" w:hAnsi="Times New Roman"/>
          <w:i/>
          <w:sz w:val="20"/>
        </w:rPr>
        <w:t>Management of Bakkt</w:t>
      </w:r>
      <w:r>
        <w:rPr>
          <w:rFonts w:ascii="Times New Roman" w:hAnsi="Times New Roman"/>
          <w:sz w:val="20"/>
        </w:rPr>
        <w:t xml:space="preserve"> beginning on page 293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Biographies of Andrew LaBenne, David C. Clifton, Kristyn Cook, Michelle Goldberg, Adrienne Harris, Andrew A. Main, and Richard Lumb appear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Andrew LaBenne </w:t>
      </w:r>
    </w:p>
    <w:p>
      <w:pPr>
        <w:pStyle w:val="TextBody"/>
        <w:spacing w:before="120" w:after="0"/>
        <w:jc w:val="left"/>
        <w:rPr>
          <w:rFonts w:ascii="Times New Roman" w:hAnsi="Times New Roman"/>
          <w:sz w:val="20"/>
        </w:rPr>
      </w:pPr>
      <w:r>
        <w:rPr>
          <w:rFonts w:ascii="Times New Roman" w:hAnsi="Times New Roman"/>
          <w:sz w:val="20"/>
        </w:rPr>
        <w:t xml:space="preserve">Andrew LaBenne will become the Chief Financial Officer of Bakkt effective April 27, 2021. Mr. LaBenne currently works for Amalgamated Financial Corp., where he has been the Chief Financial Officer since April 2015, a Senior Executive Vice President since April 2017, and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 </w:t>
      </w:r>
    </w:p>
    <w:p>
      <w:pPr>
        <w:pStyle w:val="TextBody"/>
        <w:spacing w:before="360" w:after="0"/>
        <w:jc w:val="left"/>
        <w:rPr>
          <w:rFonts w:ascii="Times New Roman" w:hAnsi="Times New Roman"/>
          <w:b/>
          <w:i/>
          <w:sz w:val="20"/>
        </w:rPr>
      </w:pPr>
      <w:r>
        <w:rPr>
          <w:rFonts w:ascii="Times New Roman" w:hAnsi="Times New Roman"/>
          <w:b/>
          <w:i/>
          <w:sz w:val="20"/>
        </w:rPr>
        <w:t xml:space="preserve">David C. Clifton </w:t>
      </w:r>
    </w:p>
    <w:p>
      <w:pPr>
        <w:pStyle w:val="TextBody"/>
        <w:spacing w:before="120" w:after="0"/>
        <w:jc w:val="left"/>
        <w:rPr>
          <w:rFonts w:ascii="Times New Roman" w:hAnsi="Times New Roman"/>
          <w:sz w:val="20"/>
        </w:rPr>
      </w:pPr>
      <w:r>
        <w:rPr>
          <w:rFonts w:ascii="Times New Roman" w:hAnsi="Times New Roman"/>
          <w:sz w:val="20"/>
        </w:rPr>
        <w:t xml:space="preserve">David C. Clifton served as the interim Chief Executive Officer of Bakkt from April to December 2020, prior to which he was ICEs Vice President, M&amp;A and Integration. Mr. Clifton joined ICE in 2008, serving previously as Associate General Counsel, M&amp;A. During his tenure at ICE, Clifton played a leading role in the companys deals, including the 2013 acquisition of NYSE Euronext, among other global strategic initiatives and transactions. </w:t>
      </w:r>
    </w:p>
    <w:p>
      <w:pPr>
        <w:pStyle w:val="TextBody"/>
        <w:spacing w:before="240" w:after="0"/>
        <w:jc w:val="left"/>
        <w:rPr>
          <w:rFonts w:ascii="Times New Roman" w:hAnsi="Times New Roman"/>
          <w:sz w:val="20"/>
        </w:rPr>
      </w:pPr>
      <w:r>
        <w:rPr>
          <w:rFonts w:ascii="Times New Roman" w:hAnsi="Times New Roman"/>
          <w:sz w:val="20"/>
        </w:rPr>
        <w:t xml:space="preserve">Mr. Clifton received his Juris Doctor from Mercer Universitys Walter F. George School of Law and is a graduate of Davidson College. </w:t>
      </w:r>
    </w:p>
    <w:p>
      <w:pPr>
        <w:pStyle w:val="TextBody"/>
        <w:spacing w:before="360" w:after="0"/>
        <w:jc w:val="left"/>
        <w:rPr>
          <w:rFonts w:ascii="Times New Roman" w:hAnsi="Times New Roman"/>
          <w:b/>
          <w:i/>
          <w:sz w:val="20"/>
        </w:rPr>
      </w:pPr>
      <w:r>
        <w:rPr>
          <w:rFonts w:ascii="Times New Roman" w:hAnsi="Times New Roman"/>
          <w:b/>
          <w:i/>
          <w:sz w:val="20"/>
        </w:rPr>
        <w:t xml:space="preserve">Kristyn A. Cook </w:t>
      </w:r>
    </w:p>
    <w:p>
      <w:pPr>
        <w:pStyle w:val="TextBody"/>
        <w:spacing w:before="120" w:after="0"/>
        <w:jc w:val="left"/>
        <w:rPr>
          <w:rFonts w:ascii="Times New Roman" w:hAnsi="Times New Roman"/>
          <w:sz w:val="20"/>
        </w:rPr>
      </w:pPr>
      <w:r>
        <w:rPr>
          <w:rFonts w:ascii="Times New Roman" w:hAnsi="Times New Roman"/>
          <w:sz w:val="20"/>
        </w:rPr>
        <w:t xml:space="preserve">Kristyn A. Cook has served as the Senior Vice President of Agency and Marketing at State Farm, an insurance agency since January 2019, where she 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w:t>
      </w:r>
    </w:p>
    <w:p>
      <w:pPr>
        <w:pStyle w:val="TextBody"/>
        <w:spacing w:before="240" w:after="0"/>
        <w:jc w:val="left"/>
        <w:rPr>
          <w:rFonts w:ascii="Times New Roman" w:hAnsi="Times New Roman"/>
          <w:sz w:val="20"/>
        </w:rPr>
      </w:pPr>
      <w:r>
        <w:rPr>
          <w:rFonts w:ascii="Times New Roman" w:hAnsi="Times New Roman"/>
          <w:sz w:val="20"/>
        </w:rPr>
        <w:t xml:space="preserve">Ms. Cook has a B.A. from in Policy Studies from Syracuse University and a masters degree in Public Administration (MPA) from the Syracuse Maxwell School of Citizenship and Public Affairs. </w:t>
      </w:r>
    </w:p>
    <w:p>
      <w:pPr>
        <w:pStyle w:val="TextBody"/>
        <w:spacing w:before="360" w:after="0"/>
        <w:jc w:val="left"/>
        <w:rPr>
          <w:rFonts w:ascii="Times New Roman" w:hAnsi="Times New Roman"/>
          <w:b/>
          <w:i/>
          <w:sz w:val="20"/>
        </w:rPr>
      </w:pPr>
      <w:r>
        <w:rPr>
          <w:rFonts w:ascii="Times New Roman" w:hAnsi="Times New Roman"/>
          <w:b/>
          <w:i/>
          <w:sz w:val="20"/>
        </w:rPr>
        <w:t xml:space="preserve">Michelle J. Goldberg </w:t>
      </w:r>
    </w:p>
    <w:p>
      <w:pPr>
        <w:pStyle w:val="TextBody"/>
        <w:spacing w:before="120" w:after="0"/>
        <w:jc w:val="left"/>
        <w:rPr>
          <w:rFonts w:ascii="Times New Roman" w:hAnsi="Times New Roman"/>
          <w:sz w:val="20"/>
        </w:rPr>
      </w:pPr>
      <w:r>
        <w:rPr>
          <w:rFonts w:ascii="Times New Roman" w:hAnsi="Times New Roman"/>
          <w:sz w:val="20"/>
        </w:rPr>
        <w:t xml:space="preserve">Michelle J. Goldberg is currently an advisor to SoGal Ventures, a venture capital firm, and has significant technology, investment, retail disruption, finance and digital media expertise. Prior to joining SoGal, Ms. Goldberg was a partner at Ignition, an early stage enterprise software venture capital firm, from 2000 to 2020. Ms. Goldberg is a seasoned technology investor with strategic, financial and governance experience and a focus on consumer-facing, digital media and retail opportunities leveraging data analytics and investing in emerging consumer technologies. </w:t>
      </w:r>
    </w:p>
    <w:p>
      <w:pPr>
        <w:pStyle w:val="TextBody"/>
        <w:spacing w:before="240" w:after="0"/>
        <w:jc w:val="left"/>
        <w:rPr>
          <w:rFonts w:ascii="Times New Roman" w:hAnsi="Times New Roman"/>
          <w:sz w:val="20"/>
        </w:rPr>
      </w:pPr>
      <w:r>
        <w:rPr>
          <w:rFonts w:ascii="Times New Roman" w:hAnsi="Times New Roman"/>
          <w:sz w:val="20"/>
        </w:rPr>
        <w:t xml:space="preserve">Ms. Goldberg has a masters degree from Harvard University and a B.A. from Columbia University. </w:t>
      </w:r>
    </w:p>
    <w:p>
      <w:pPr>
        <w:pStyle w:val="TextBody"/>
        <w:spacing w:before="360" w:after="0"/>
        <w:jc w:val="left"/>
        <w:rPr>
          <w:rFonts w:ascii="Times New Roman" w:hAnsi="Times New Roman"/>
          <w:b/>
          <w:i/>
          <w:sz w:val="20"/>
        </w:rPr>
      </w:pPr>
      <w:r>
        <w:rPr>
          <w:rFonts w:ascii="Times New Roman" w:hAnsi="Times New Roman"/>
          <w:b/>
          <w:i/>
          <w:sz w:val="20"/>
        </w:rPr>
        <w:t xml:space="preserve">Adrienne A. Harris </w:t>
      </w:r>
    </w:p>
    <w:p>
      <w:pPr>
        <w:pStyle w:val="TextBody"/>
        <w:spacing w:before="120" w:after="0"/>
        <w:jc w:val="left"/>
        <w:rPr>
          <w:rFonts w:ascii="Times New Roman" w:hAnsi="Times New Roman"/>
          <w:sz w:val="20"/>
        </w:rPr>
      </w:pPr>
      <w:r>
        <w:rPr>
          <w:rFonts w:ascii="Times New Roman" w:hAnsi="Times New Roman"/>
          <w:sz w:val="20"/>
        </w:rPr>
        <w:t xml:space="preserve">Adrienne A. Harris is currently a professor of the practice at the Gerald R. Ford School of Public Policy at the University of Michigan, as well as a Senior Research Fellow with the Center for Finance, Law and Policy since January 2019. Ms. Harris is also a Senior Advisor to the Brunswick Group, an advisory firm specializing in business critical issues, which she joined in March of 2021. Prior to her time at the University of Michigan and the Brunswick Group, Ms. Harris served from March, 2017 to April, 2019 as the founding Chief Business Officer and General Counsel of States Title (now Doma), a San Francisco-based, insur-tech start-up; Ms. Harris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presently remains an Advisor to them. Ms. Harris previously served as a Special Assistant to President Obama for Economic Policy at the National Economic Council in the Obama White House from February 2015 to January 2017, where her portfolio included financial reform, financial technology, cyber security, consumer protection, and housing finance reform. Prior to her tenure in the Obama White House, she worked at the U.S. Department of Treasury where she served as Senior Advisor to the Deputy Secretary from November 2013 to February 2015. </w:t>
      </w:r>
    </w:p>
    <w:p>
      <w:pPr>
        <w:pStyle w:val="TextBody"/>
        <w:spacing w:before="240" w:after="0"/>
        <w:jc w:val="left"/>
        <w:rPr>
          <w:rFonts w:ascii="Times New Roman" w:hAnsi="Times New Roman"/>
          <w:sz w:val="20"/>
        </w:rPr>
      </w:pPr>
      <w:r>
        <w:rPr>
          <w:rFonts w:ascii="Times New Roman" w:hAnsi="Times New Roman"/>
          <w:sz w:val="20"/>
        </w:rPr>
        <w:t xml:space="preserve">Ms. Harris earned her M.B.A. from the New York University Stern School of Business with specializations in Economics and Management, her J.D. from Columbia University Law School, and her B.A. from Georgetown University. </w:t>
      </w:r>
    </w:p>
    <w:p>
      <w:pPr>
        <w:pStyle w:val="TextBody"/>
        <w:spacing w:before="360" w:after="0"/>
        <w:jc w:val="left"/>
        <w:rPr>
          <w:rFonts w:ascii="Times New Roman" w:hAnsi="Times New Roman"/>
          <w:b/>
          <w:i/>
          <w:sz w:val="20"/>
        </w:rPr>
      </w:pPr>
      <w:r>
        <w:rPr>
          <w:rFonts w:ascii="Times New Roman" w:hAnsi="Times New Roman"/>
          <w:b/>
          <w:i/>
          <w:sz w:val="20"/>
        </w:rPr>
        <w:t xml:space="preserve">Andrew A. Main </w:t>
      </w:r>
    </w:p>
    <w:p>
      <w:pPr>
        <w:pStyle w:val="TextBody"/>
        <w:spacing w:before="120" w:after="0"/>
        <w:jc w:val="left"/>
        <w:rPr>
          <w:rFonts w:ascii="Times New Roman" w:hAnsi="Times New Roman"/>
          <w:sz w:val="20"/>
        </w:rPr>
      </w:pPr>
      <w:r>
        <w:rPr>
          <w:rFonts w:ascii="Times New Roman" w:hAnsi="Times New Roman"/>
          <w:sz w:val="20"/>
        </w:rPr>
        <w:t xml:space="preserve">Andrew A. Main currently serves at the Chief Executive Officer of Ogilvy, an advertising, marketing and public relations agency. Prior to joining Ogilvy, Mr. Main was the Global Head of Deloitte Digital, the digital consultancy branch of Deloitte from 2014 to 2020, where he oversaw the acquisition of multiple creative agencies to grow the brand. Mr. Main has more than 25 years of consulting experience, and has extensive experience working with businesses to modernize and bring new ideas to market quickly. </w:t>
      </w:r>
    </w:p>
    <w:p>
      <w:pPr>
        <w:pStyle w:val="TextBody"/>
        <w:spacing w:before="240" w:after="0"/>
        <w:jc w:val="left"/>
        <w:rPr>
          <w:rFonts w:ascii="Times New Roman" w:hAnsi="Times New Roman"/>
          <w:sz w:val="20"/>
        </w:rPr>
      </w:pPr>
      <w:r>
        <w:rPr>
          <w:rFonts w:ascii="Times New Roman" w:hAnsi="Times New Roman"/>
          <w:sz w:val="20"/>
        </w:rPr>
        <w:t xml:space="preserve">Mr. Main earned a Master of Arts from the University of Edinburgh in Business, Marketing and Geography. </w:t>
      </w:r>
    </w:p>
    <w:p>
      <w:pPr>
        <w:pStyle w:val="TextBody"/>
        <w:spacing w:before="360" w:after="0"/>
        <w:jc w:val="left"/>
        <w:rPr>
          <w:rFonts w:ascii="Times New Roman" w:hAnsi="Times New Roman"/>
          <w:b/>
          <w:i/>
          <w:sz w:val="20"/>
        </w:rPr>
      </w:pPr>
      <w:r>
        <w:rPr>
          <w:rFonts w:ascii="Times New Roman" w:hAnsi="Times New Roman"/>
          <w:b/>
          <w:i/>
          <w:sz w:val="20"/>
        </w:rPr>
        <w:t xml:space="preserve">Richard Lumb </w:t>
      </w:r>
    </w:p>
    <w:p>
      <w:pPr>
        <w:pStyle w:val="TextBody"/>
        <w:spacing w:before="120" w:after="0"/>
        <w:jc w:val="left"/>
        <w:rPr>
          <w:rFonts w:ascii="Times New Roman" w:hAnsi="Times New Roman"/>
          <w:sz w:val="20"/>
        </w:rPr>
      </w:pPr>
      <w:r>
        <w:rPr>
          <w:rFonts w:ascii="Times New Roman" w:hAnsi="Times New Roman"/>
          <w:sz w:val="20"/>
        </w:rPr>
        <w:t xml:space="preserve">Richard A. Lumb currently serves as an Industry Partner at Motive Partners, a private equity firm specializing in enterprise financial services, software growth and buy-out investments. Prior to joining Motive Partners, Mr. Lumb enjoyed a 35-year tenure at Accenture, where he held the position of Group Chief Executive of Financial Services from December 2010 to August 2019, serving clients in the banking, insurance and capital markets sectors. During his time at Accenture, Mr. Lumb played a leading role in multiple technology company acquisitions and minority investments, including the 2011 acquisition of Duck Creek Technologies. </w:t>
      </w:r>
    </w:p>
    <w:p>
      <w:pPr>
        <w:pStyle w:val="TextBody"/>
        <w:spacing w:before="240" w:after="0"/>
        <w:jc w:val="left"/>
        <w:rPr>
          <w:rFonts w:ascii="Times New Roman" w:hAnsi="Times New Roman"/>
          <w:sz w:val="20"/>
        </w:rPr>
      </w:pPr>
      <w:r>
        <w:rPr>
          <w:rFonts w:ascii="Times New Roman" w:hAnsi="Times New Roman"/>
          <w:sz w:val="20"/>
        </w:rPr>
        <w:t xml:space="preserve">Mr. Lumb earned a B.Sc. in Mechanical Engineering and an M.B.A. from the University of Bradford. </w:t>
      </w:r>
    </w:p>
    <w:p>
      <w:pPr>
        <w:pStyle w:val="TextBody"/>
        <w:spacing w:before="360" w:after="0"/>
        <w:jc w:val="left"/>
        <w:rPr>
          <w:rFonts w:ascii="Times New Roman" w:hAnsi="Times New Roman"/>
          <w:b/>
          <w:sz w:val="20"/>
        </w:rPr>
      </w:pPr>
      <w:r>
        <w:rPr>
          <w:rFonts w:ascii="Times New Roman" w:hAnsi="Times New Roman"/>
          <w:b/>
          <w:sz w:val="20"/>
        </w:rPr>
        <w:t xml:space="preserve">Corporate Governance Guidelines and Code of Business Conduct </w:t>
      </w:r>
    </w:p>
    <w:p>
      <w:pPr>
        <w:pStyle w:val="TextBody"/>
        <w:spacing w:before="120" w:after="0"/>
        <w:jc w:val="left"/>
        <w:rPr>
          <w:rFonts w:ascii="Times New Roman" w:hAnsi="Times New Roman"/>
          <w:sz w:val="20"/>
        </w:rPr>
      </w:pPr>
      <w:r>
        <w:rPr>
          <w:rFonts w:ascii="Times New Roman" w:hAnsi="Times New Roman"/>
          <w:sz w:val="20"/>
        </w:rPr>
        <w:t xml:space="preserve">The Company Board will adopt corporate governance guidelines that address items such as the qualifications and responsibilities of its directors and director candidates and corporate governance policies and standards applicable. In addition, the Company Board will adopt a code of business conduct and ethics that applies to all of its employees, officers and directors, including its Chief Executive Officer, Chief Financial Officer and other executive and senior financial officers. The full text of the Companys corporate governance guidelines and its code of business conduct and ethics will be posted on the Corporate Governance portion of the Companys website. The Company will post amendments to its code of business conduct and ethics or waivers of its code of business conduct and ethics for directors and officers on the same website. </w:t>
      </w:r>
    </w:p>
    <w:p>
      <w:pPr>
        <w:pStyle w:val="TextBody"/>
        <w:spacing w:before="360" w:after="0"/>
        <w:jc w:val="left"/>
        <w:rPr>
          <w:rFonts w:ascii="Times New Roman" w:hAnsi="Times New Roman"/>
          <w:b/>
          <w:sz w:val="20"/>
        </w:rPr>
      </w:pPr>
      <w:r>
        <w:rPr>
          <w:rFonts w:ascii="Times New Roman" w:hAnsi="Times New Roman"/>
          <w:b/>
          <w:sz w:val="20"/>
        </w:rPr>
        <w:t xml:space="preserve">Board Composition </w:t>
      </w:r>
    </w:p>
    <w:p>
      <w:pPr>
        <w:pStyle w:val="TextBody"/>
        <w:spacing w:before="120" w:after="0"/>
        <w:jc w:val="left"/>
        <w:rPr>
          <w:rFonts w:ascii="Times New Roman" w:hAnsi="Times New Roman"/>
          <w:sz w:val="20"/>
        </w:rPr>
      </w:pPr>
      <w:r>
        <w:rPr>
          <w:rFonts w:ascii="Times New Roman" w:hAnsi="Times New Roman"/>
          <w:sz w:val="20"/>
        </w:rPr>
        <w:t xml:space="preserve">The Companys business affairs will be managed under the direction of the Company Board. The Merger Agreement provides that the Company Board will consist of five to nine members, at least the majority of whom will qualify as independent within the meaning of the independent director guidelines of the NYSE. Messrs. Gavin Michael, Gordon Watson and David Clifton will not be considered independent. </w:t>
      </w:r>
    </w:p>
    <w:p>
      <w:pPr>
        <w:pStyle w:val="TextBody"/>
        <w:spacing w:before="240" w:after="0"/>
        <w:jc w:val="left"/>
        <w:rPr>
          <w:rFonts w:ascii="Times New Roman" w:hAnsi="Times New Roman"/>
          <w:sz w:val="20"/>
        </w:rPr>
      </w:pPr>
      <w:r>
        <w:rPr>
          <w:rFonts w:ascii="Times New Roman" w:hAnsi="Times New Roman"/>
          <w:sz w:val="20"/>
        </w:rPr>
        <w:t>As discussed more fully under the section entitled </w:t>
      </w:r>
      <w:r>
        <w:rPr>
          <w:rFonts w:ascii="Times New Roman" w:hAnsi="Times New Roman"/>
          <w:i/>
          <w:sz w:val="20"/>
        </w:rPr>
        <w:t>The Business Combination ProposalRelated AgreementsStockholders Agreement</w:t>
      </w:r>
      <w:r>
        <w:rPr>
          <w:rFonts w:ascii="Times New Roman" w:hAnsi="Times New Roman"/>
          <w:sz w:val="20"/>
        </w:rPr>
        <w:t xml:space="preserve"> beginning on page 141 of this proxy statement/prospectus, the Company will enter into a Stockholders Agreement with the Sponsor and the Bakkt Equity Holders at the Closing. Pursuant to such Stockholders Agreement, the Company will agree to nominate five to nine directors (a) one director designated by the Sponsor, who will initially be Gordon Watson, (b) one director designated by Bakkt Opco, who will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initially be David Clifton, and (c) the remaining directors jointly designated by the Sponsor and Bakkt Opco, who will be Kristyn Cook, Michelle Goldberg, Adrienne Harris, Sean Collins, Andrew A. Main, Richard Lumb and Gavin Michael. The majority of the Companys directors will qualify as independent directors under NYSE listing rules. </w:t>
      </w:r>
    </w:p>
    <w:p>
      <w:pPr>
        <w:pStyle w:val="TextBody"/>
        <w:spacing w:before="240" w:after="0"/>
        <w:jc w:val="left"/>
        <w:rPr>
          <w:rFonts w:ascii="Times New Roman" w:hAnsi="Times New Roman"/>
          <w:sz w:val="20"/>
        </w:rPr>
      </w:pPr>
      <w:r>
        <w:rPr>
          <w:rFonts w:ascii="Times New Roman" w:hAnsi="Times New Roman"/>
          <w:sz w:val="20"/>
        </w:rPr>
        <w:t xml:space="preserve">Pursuant to the Stockholders Agreement, each stockholder party thereto agrees that the initial Company Board upon the completion of the Business Combination will be composed of five to nine individuals who will be nominated pursuant to the Director Election Proposal, of whom the following have been identified: Mr. David Clifton, Mr. Gavin Michael, Mr. Gordon Watson, Ms. Kristyn Cook, Ms. Michelle Goldberg, Ms. Adrienne Harris, Mr. Sean Collins, Mr. Andrew A. Main, and Mr. Richard Lumb. In the event that any of the individuals is unable or unwilling to serve as a director upon the Closing, their replacement will be designated as set forth in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The Company Board will be divided into three staggered classes of directors. At each annual meeting of its stockholders, a class of directors will be elected for a three-year term to succeed the same class whose term is then expiring,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 directors will be Ms. Michelle Goldberg, Ms. Adrienne Harris and Mr. Gavin Michael, whose terms will expire at the annual meeting of stockholders to be held in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II directors will be Messrs. Gordon Watson and David Clifton and Ms. Kristyn Cook, whose terms will expire at the annual meeting of stockholders to be held in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III directors will be Messrs. Sean Collins, Andrew A. Main and Richard Lumb, whose terms will expire at the annual meeting of stockholders to be held in 2024. </w:t>
            </w:r>
          </w:p>
        </w:tc>
      </w:tr>
    </w:tbl>
    <w:p>
      <w:pPr>
        <w:pStyle w:val="TextBody"/>
        <w:spacing w:before="240" w:after="0"/>
        <w:jc w:val="left"/>
        <w:rPr>
          <w:rFonts w:ascii="Times New Roman" w:hAnsi="Times New Roman"/>
          <w:sz w:val="20"/>
        </w:rPr>
      </w:pPr>
      <w:r>
        <w:rPr>
          <w:rFonts w:ascii="Times New Roman" w:hAnsi="Times New Roman"/>
          <w:sz w:val="20"/>
        </w:rPr>
        <w:t xml:space="preserve">The Proposed Certificate of Incorporation and Proposed By-Laws will provide that the Company Board will consist of one or more members, and the number of directors may be increased or decreased from time to time by a resolution of the Company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Company Board may have the effect of delaying or preventing changes in control of the Company. </w:t>
      </w:r>
    </w:p>
    <w:p>
      <w:pPr>
        <w:pStyle w:val="TextBody"/>
        <w:spacing w:before="240" w:after="0"/>
        <w:jc w:val="left"/>
        <w:rPr>
          <w:rFonts w:ascii="Times New Roman" w:hAnsi="Times New Roman"/>
          <w:sz w:val="20"/>
        </w:rPr>
      </w:pPr>
      <w:r>
        <w:rPr>
          <w:rFonts w:ascii="Times New Roman" w:hAnsi="Times New Roman"/>
          <w:sz w:val="20"/>
        </w:rPr>
        <w:t xml:space="preserve">Each of the Companys officers will serve at the discretion of the Company Board and will hold office until his or her successor is duly appointed and qualified or until his or her earlier resignation or removal. There are no family relationships among any of the persons expected to be directors or officers of the Company upon the consummation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the Bakkt Pubco Common Stock will be listed on the NYSE. Under the rules of the NYSE, independent directors must comprise a majority of a listed companys board of directors. In addition, the rules of the NYSE require that, subject to specified exceptions, each member of a listed companys audit, compensation and nominating and corporate governance committees be independent.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the NYSE. Compensation committee members must also satisfy the additional independence criteria set forth in Rule 10C-1 under the Exchange Act and the rules of the NYSE. </w:t>
      </w:r>
    </w:p>
    <w:p>
      <w:pPr>
        <w:pStyle w:val="TextBody"/>
        <w:spacing w:before="240" w:after="0"/>
        <w:jc w:val="left"/>
        <w:rPr>
          <w:rFonts w:ascii="Times New Roman" w:hAnsi="Times New Roman"/>
          <w:sz w:val="20"/>
        </w:rPr>
      </w:pPr>
      <w:r>
        <w:rPr>
          <w:rFonts w:ascii="Times New Roman" w:hAnsi="Times New Roman"/>
          <w:sz w:val="20"/>
        </w:rPr>
        <w:t xml:space="preserve">In order to be considered independent for purposes of Rule 10A-3 under the Exchange Act and under the rules of the NYSE, a member of an audit committee of a listed company may not, other than in his or her capacity as a member of the committee, the board of directors, or any other board committee: (a) accept, directly or indirectly,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consulting, advisory, or other compensatory fee from the listed company or any of its subsidiaries; or (b) be an affiliated person of the listed company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To be considered independent for purposes of Rule 10C-1 under the Exchange Act and under the rules of the NYSE,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source of compensation of such director, including any consulting, advisory or other compensatory fee paid by the company to such director;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such director is affiliated with the company, a subsidiary of the company or an affiliate of a subsidiary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The VIH Board has undertaken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VIH anticipates that Kristyn Cook, Michelle Goldberg, Adrienne Harris, Andrew A. Main and Richard Lumb will be considered independent directors as defined under the listing requirements and rules of the NYSE and the applicable rules of the Exchange Act. </w:t>
      </w:r>
    </w:p>
    <w:p>
      <w:pPr>
        <w:pStyle w:val="TextBody"/>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VIH believes that the structure of the Company Board and its committees will provide strong overall management of the Company. </w:t>
      </w:r>
    </w:p>
    <w:p>
      <w:pPr>
        <w:pStyle w:val="TextBody"/>
        <w:spacing w:before="360" w:after="0"/>
        <w:jc w:val="left"/>
        <w:rPr>
          <w:rFonts w:ascii="Times New Roman" w:hAnsi="Times New Roman"/>
          <w:b/>
          <w:sz w:val="20"/>
        </w:rPr>
      </w:pPr>
      <w:r>
        <w:rPr>
          <w:rFonts w:ascii="Times New Roman" w:hAnsi="Times New Roman"/>
          <w:b/>
          <w:sz w:val="20"/>
        </w:rPr>
        <w:t xml:space="preserve">Committees of the Company Board </w:t>
      </w:r>
    </w:p>
    <w:p>
      <w:pPr>
        <w:pStyle w:val="TextBody"/>
        <w:spacing w:before="120" w:after="0"/>
        <w:jc w:val="left"/>
        <w:rPr>
          <w:rFonts w:ascii="Times New Roman" w:hAnsi="Times New Roman"/>
          <w:sz w:val="20"/>
        </w:rPr>
      </w:pPr>
      <w:r>
        <w:rPr>
          <w:rFonts w:ascii="Times New Roman" w:hAnsi="Times New Roman"/>
          <w:sz w:val="20"/>
        </w:rPr>
        <w:t xml:space="preserve">The Company Board will have an audit committee, a compensation committee and a nominating and corporate governance committee. The composition and responsibilities of each of the committees of the Company Board is described below. Members will serve on these committees until their resignation or until as otherwise determined by the Company Board. </w:t>
      </w:r>
    </w:p>
    <w:p>
      <w:pPr>
        <w:pStyle w:val="TextBody"/>
        <w:spacing w:before="36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Each of the members of the Companys audit committee will satisfy the requirements for independence and financial literacy under the applicable rules and regulations of the SEC and rules of the NYSE. The Company will also determine that a member of the audit committee will qualify as an audit committee financial expert as defined in the SEC rules and will satisfy the accounting or related financial management expertise requirements of the NYSE. VIH anticipates that Mr. Richard Lumb will be considered an audit committee financial expert as defined by the SEC rules and the listing requirements of the NYSE. The Companys audit committee will be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selecting a qualified firm to serve as the independent registered public accounting firm to audit the Companys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helping to ensure the independence and performance of the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registered public accounting firm, the Companys interim and year-end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the Companys policies on and oversees risk assessment and risk management, including enterprise risk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the adequacy and effectiveness of internal control policies and procedures and the Companys disclosure controls and procedures;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approving or, as required, pre-approving, all audit and all permissible non-audit services, other than de minimis non-audit services, to be performed by the independent registered public accounting firm. </w:t>
            </w:r>
          </w:p>
        </w:tc>
      </w:tr>
    </w:tbl>
    <w:p>
      <w:pPr>
        <w:pStyle w:val="TextBody"/>
        <w:spacing w:before="240" w:after="0"/>
        <w:jc w:val="left"/>
        <w:rPr>
          <w:rFonts w:ascii="Times New Roman" w:hAnsi="Times New Roman"/>
          <w:sz w:val="20"/>
        </w:rPr>
      </w:pPr>
      <w:r>
        <w:rPr>
          <w:rFonts w:ascii="Times New Roman" w:hAnsi="Times New Roman"/>
          <w:sz w:val="20"/>
        </w:rPr>
        <w:t xml:space="preserve">The Company Board will adopt a written charter for the audit committee which will be available on the Companys website upon the Closing.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Each of the members of the Companys compensation committee will meet the requirements for independence under the under the applicable rules and regulations of the SEC and rules of the NYSE. The Companys compensation committee will be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approving and determining the compensation of the Companys officers and key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approving and determining compensation and benefits, including equity awards, to directors for service on the Company Board or any committee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administering the Companys equity compensation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approving and making recommendations to the Company Board regarding incentive compensation and equity compensation plans;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and reviewing general policies relating to compensation and benefits of the Companys employees. </w:t>
            </w:r>
          </w:p>
        </w:tc>
      </w:tr>
    </w:tbl>
    <w:p>
      <w:pPr>
        <w:pStyle w:val="TextBody"/>
        <w:spacing w:before="240" w:after="0"/>
        <w:jc w:val="left"/>
        <w:rPr>
          <w:rFonts w:ascii="Times New Roman" w:hAnsi="Times New Roman"/>
          <w:sz w:val="20"/>
        </w:rPr>
      </w:pPr>
      <w:r>
        <w:rPr>
          <w:rFonts w:ascii="Times New Roman" w:hAnsi="Times New Roman"/>
          <w:sz w:val="20"/>
        </w:rPr>
        <w:t xml:space="preserve">The Company Board will adopt a written charter for the compensation committee which will be available on its website upon the completion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Each of the members of the nominating and corporate governance committee will meet the requirements for independence under the applicable rules and regulations of the SEC and rules of the NYSE. The nominating and corporate governance committee is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evaluating and selecting, or making recommendations to the Company Board regarding, nominees for election to the Company Board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evaluating the performance of the Company Board and of individual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considering, and making recommendations to the Company Board regarding, the composition of the Company Board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developments in corporate governance practices;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evaluating the adequacy of the corporate governance practices and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related person transactions;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and making recommendations to the Company Board regarding, corporate governance guidelines and matters. </w:t>
            </w:r>
          </w:p>
        </w:tc>
      </w:tr>
    </w:tbl>
    <w:p>
      <w:pPr>
        <w:pStyle w:val="TextBody"/>
        <w:spacing w:before="240" w:after="0"/>
        <w:jc w:val="left"/>
        <w:rPr>
          <w:rFonts w:ascii="Times New Roman" w:hAnsi="Times New Roman"/>
          <w:sz w:val="20"/>
        </w:rPr>
      </w:pPr>
      <w:r>
        <w:rPr>
          <w:rFonts w:ascii="Times New Roman" w:hAnsi="Times New Roman"/>
          <w:sz w:val="20"/>
        </w:rPr>
        <w:t xml:space="preserve">The Company Board will adopt a written charter for the nominating and corporate governance committee which will be available on its website upon the completion of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Code of Conduct and Ethics </w:t>
      </w:r>
    </w:p>
    <w:p>
      <w:pPr>
        <w:pStyle w:val="TextBody"/>
        <w:spacing w:before="120" w:after="0"/>
        <w:jc w:val="left"/>
        <w:rPr>
          <w:rFonts w:ascii="Times New Roman" w:hAnsi="Times New Roman"/>
          <w:sz w:val="20"/>
        </w:rPr>
      </w:pPr>
      <w:r>
        <w:rPr>
          <w:rFonts w:ascii="Times New Roman" w:hAnsi="Times New Roman"/>
          <w:sz w:val="20"/>
        </w:rPr>
        <w:t xml:space="preserve">Following the Closing, the Company intends to post its code of conduct and ethics and to post any amendments to or any waivers from a provision of its code of conduct and ethics on its website, and also intends to disclose any amendments to or waivers of certain provisions of its code of conduct and ethics in a Form 8-K.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None of the Companys officers currently serves, and in the past year has not served, (a) as a member of the compensation committee or the board of directors of another entity, one of whose officers served on the Companys compensation committee, or (b) as a member of the compensation committee of another entity, one of whose officers served on the Company Board. </w:t>
      </w:r>
    </w:p>
    <w:p>
      <w:pPr>
        <w:pStyle w:val="TextBody"/>
        <w:spacing w:before="360" w:after="0"/>
        <w:jc w:val="left"/>
        <w:rPr>
          <w:rFonts w:ascii="Times New Roman" w:hAnsi="Times New Roman"/>
          <w:b/>
          <w:sz w:val="20"/>
        </w:rPr>
      </w:pPr>
      <w:bookmarkStart w:id="101" w:name="29f"/>
      <w:bookmarkEnd w:id="101"/>
      <w:r>
        <w:rPr>
          <w:rFonts w:ascii="Times New Roman" w:hAnsi="Times New Roman"/>
          <w:b/>
          <w:sz w:val="20"/>
        </w:rPr>
        <w:t xml:space="preserve">Related Person Policy of the Company </w:t>
      </w:r>
    </w:p>
    <w:p>
      <w:pPr>
        <w:pStyle w:val="TextBody"/>
        <w:spacing w:before="120" w:after="0"/>
        <w:jc w:val="left"/>
        <w:rPr>
          <w:rFonts w:ascii="Times New Roman" w:hAnsi="Times New Roman"/>
          <w:sz w:val="20"/>
        </w:rPr>
      </w:pPr>
      <w:r>
        <w:rPr>
          <w:rFonts w:ascii="Times New Roman" w:hAnsi="Times New Roman"/>
          <w:sz w:val="20"/>
        </w:rPr>
        <w:t xml:space="preserve">The Company will adopt a formal written policy that will be effective upon the Closing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Companys nominating and corporate governance committee, subject to the exceptions described below. </w:t>
      </w:r>
    </w:p>
    <w:p>
      <w:pPr>
        <w:pStyle w:val="TextBody"/>
        <w:spacing w:before="240" w:after="0"/>
        <w:jc w:val="left"/>
        <w:rPr>
          <w:rFonts w:ascii="Times New Roman" w:hAnsi="Times New Roman"/>
          <w:sz w:val="20"/>
        </w:rPr>
      </w:pPr>
      <w:r>
        <w:rPr>
          <w:rFonts w:ascii="Times New Roman" w:hAnsi="Times New Roman"/>
          <w:sz w:val="20"/>
        </w:rPr>
        <w:t xml:space="preserve">A related person transaction is a transaction, arrangement or relationship, or any series of similar transactions, arrangements or relationships, in which the Company and any related person are, were or will be participants in which the amount involved exceeds $120,000. Transactions involving compensation for services provided to the Company as an employee or director are not covered by this policy. </w:t>
      </w:r>
    </w:p>
    <w:p>
      <w:pPr>
        <w:pStyle w:val="TextBody"/>
        <w:spacing w:before="240" w:after="0"/>
        <w:jc w:val="left"/>
        <w:rPr>
          <w:rFonts w:ascii="Times New Roman" w:hAnsi="Times New Roman"/>
          <w:sz w:val="20"/>
        </w:rPr>
      </w:pPr>
      <w:r>
        <w:rPr>
          <w:rFonts w:ascii="Times New Roman" w:hAnsi="Times New Roman"/>
          <w:sz w:val="20"/>
        </w:rPr>
        <w:t xml:space="preserve">Under the policy, the Company will collect information that the Company deems reasonably necessary from each director, executive officer and, to the extent feasible, significant stockholder, to enable the Company to identify any existing or potential related-person transactions and to effectuate the terms of the policy. In addition, under the Companys code of conduct and ethics, employees and directors have an affirmative responsibility to disclose any transaction or relationship that reasonably could be expected to give rise to a conflict of interest. </w:t>
      </w:r>
    </w:p>
    <w:p>
      <w:pPr>
        <w:pStyle w:val="TextBody"/>
        <w:spacing w:before="240" w:after="0"/>
        <w:jc w:val="left"/>
        <w:rPr>
          <w:rFonts w:ascii="Times New Roman" w:hAnsi="Times New Roman"/>
          <w:sz w:val="20"/>
        </w:rPr>
      </w:pPr>
      <w:r>
        <w:rPr>
          <w:rFonts w:ascii="Times New Roman" w:hAnsi="Times New Roman"/>
          <w:sz w:val="20"/>
        </w:rPr>
        <w:t xml:space="preserve">The policy will require that, in determining whether to approve, ratify or reject a related person transaction, the Companys nominating and corporate governance committee, or other independent body of the Company Board, must consider, in light of known circumstances, whether the transaction is in, or is not inconsistent with, the Companys best interests and those of the Companys stockholders, as the Companys nominating and corporate governance committee, or other independent body of the Company Board, determines in the good faith exercise of its discretion. </w:t>
      </w:r>
    </w:p>
    <w:p>
      <w:pPr>
        <w:pStyle w:val="TextBody"/>
        <w:spacing w:before="240" w:after="0"/>
        <w:jc w:val="left"/>
        <w:rPr>
          <w:rFonts w:ascii="Times New Roman" w:hAnsi="Times New Roman"/>
          <w:sz w:val="20"/>
        </w:rPr>
      </w:pPr>
      <w:r>
        <w:rPr>
          <w:rFonts w:ascii="Times New Roman" w:hAnsi="Times New Roman"/>
          <w:sz w:val="20"/>
        </w:rPr>
        <w:t xml:space="preserve">The Companys nominating and corporate governance committee has determined that certain transactions will not require the approval of the nominating and corporate governance committee,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the Companys Shares and all holders of the Companys Shares received the same benefit on a </w:t>
      </w:r>
      <w:r>
        <w:rPr>
          <w:rFonts w:ascii="Times New Roman" w:hAnsi="Times New Roman"/>
          <w:i/>
          <w:sz w:val="20"/>
        </w:rPr>
        <w:t>pro rata</w:t>
      </w:r>
      <w:r>
        <w:rPr>
          <w:rFonts w:ascii="Times New Roman" w:hAnsi="Times New Roman"/>
          <w:sz w:val="20"/>
        </w:rPr>
        <w:t xml:space="preserve"> basis and transactions available to all employees generally.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2" w:name="toc108105_33"/>
      <w:bookmarkEnd w:id="102"/>
      <w:r>
        <w:rPr>
          <w:rFonts w:ascii="Times New Roman" w:hAnsi="Times New Roman"/>
          <w:b/>
          <w:sz w:val="20"/>
        </w:rPr>
        <w:t xml:space="preserve">SECURITIES ACT RESTRICTIONS ON RESALE OF THE COMPANYS SECURITIES </w:t>
      </w:r>
    </w:p>
    <w:p>
      <w:pPr>
        <w:pStyle w:val="TextBody"/>
        <w:spacing w:before="240" w:after="0"/>
        <w:jc w:val="left"/>
        <w:rPr>
          <w:rFonts w:ascii="Times New Roman" w:hAnsi="Times New Roman"/>
          <w:sz w:val="20"/>
        </w:rPr>
      </w:pPr>
      <w:r>
        <w:rPr>
          <w:rFonts w:ascii="Times New Roman" w:hAnsi="Times New Roman"/>
          <w:sz w:val="20"/>
        </w:rPr>
        <w:t>Pursuant to Rule 144 under the Securities Act (</w:t>
      </w:r>
      <w:r>
        <w:rPr>
          <w:rFonts w:ascii="Times New Roman" w:hAnsi="Times New Roman"/>
          <w:b/>
          <w:sz w:val="20"/>
        </w:rPr>
        <w:t>Rule</w:t>
      </w:r>
      <w:r>
        <w:rPr>
          <w:rFonts w:ascii="Times New Roman" w:hAnsi="Times New Roman"/>
          <w:sz w:val="20"/>
        </w:rPr>
        <w:t> </w:t>
      </w:r>
      <w:r>
        <w:rPr>
          <w:rFonts w:ascii="Times New Roman" w:hAnsi="Times New Roman"/>
          <w:b/>
          <w:sz w:val="20"/>
        </w:rPr>
        <w:t>144</w:t>
      </w:r>
      <w:r>
        <w:rPr>
          <w:rFonts w:ascii="Times New Roman" w:hAnsi="Times New Roman"/>
          <w:sz w:val="20"/>
        </w:rPr>
        <w:t xml:space="preserve">), a Person who has beneficially owned restricted Bakkt Pubco Class A Common Stock or Bakkt Pubco Warrants for at least six months would be entitled to sell their securities, </w:t>
      </w:r>
      <w:r>
        <w:rPr>
          <w:rFonts w:ascii="Times New Roman" w:hAnsi="Times New Roman"/>
          <w:i/>
          <w:sz w:val="20"/>
        </w:rPr>
        <w:t>provided that</w:t>
      </w:r>
      <w:r>
        <w:rPr>
          <w:rFonts w:ascii="Times New Roman" w:hAnsi="Times New Roman"/>
          <w:sz w:val="20"/>
        </w:rPr>
        <w:t xml:space="preserve"> (a) such Person is not deemed to have been an affiliate of the Company at the time of, or at any time during the three months preceding, a sale and (b) the Company is subject to the Exchange Act periodic reporting requirements for at least three months before the sale and have filed all required reports under Section 13 or 15(d) of the Exchange Act during the twelve months (or such shorter period as the Company was required to file reports) preceding the sale. </w:t>
      </w:r>
    </w:p>
    <w:p>
      <w:pPr>
        <w:pStyle w:val="TextBody"/>
        <w:spacing w:before="240" w:after="0"/>
        <w:jc w:val="left"/>
        <w:rPr>
          <w:rFonts w:ascii="Times New Roman" w:hAnsi="Times New Roman"/>
          <w:sz w:val="20"/>
        </w:rPr>
      </w:pPr>
      <w:r>
        <w:rPr>
          <w:rFonts w:ascii="Times New Roman" w:hAnsi="Times New Roman"/>
          <w:sz w:val="20"/>
        </w:rPr>
        <w:t xml:space="preserve">Persons who have beneficially owned restricted Bakkt Pubco Class A Common Stock or Bakkt Pubco Warrants for at least six months but who are affiliates of the Company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 of the total number of Bakkt Pubco Class A Shares then outstanding (as of the date of this proxy statement/prospectus, VIH has 25,921,502 VIH Shares outstanding);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average weekly reported trading volume of the Bakkt Pubco Class A Common Stock during the four calendar weeks preceding the filing of a notice on Form 144 with respect to the sale. </w:t>
            </w:r>
          </w:p>
        </w:tc>
      </w:tr>
    </w:tbl>
    <w:p>
      <w:pPr>
        <w:pStyle w:val="TextBody"/>
        <w:spacing w:before="240" w:after="0"/>
        <w:jc w:val="left"/>
        <w:rPr>
          <w:rFonts w:ascii="Times New Roman" w:hAnsi="Times New Roman"/>
          <w:sz w:val="20"/>
        </w:rPr>
      </w:pPr>
      <w:r>
        <w:rPr>
          <w:rFonts w:ascii="Times New Roman" w:hAnsi="Times New Roman"/>
          <w:sz w:val="20"/>
        </w:rPr>
        <w:t xml:space="preserve">Sales by affiliates of the Company under Rule 144 are also limited by manner of sale provisions and notice requirements and to the availability of current public information about the Company. </w:t>
      </w:r>
    </w:p>
    <w:p>
      <w:pPr>
        <w:pStyle w:val="TextBody"/>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spacing w:before="240" w:after="0"/>
        <w:jc w:val="left"/>
        <w:rPr>
          <w:rFonts w:ascii="Times New Roman" w:hAnsi="Times New Roman"/>
          <w:sz w:val="20"/>
        </w:rPr>
      </w:pPr>
      <w:r>
        <w:rPr>
          <w:rFonts w:ascii="Times New Roman" w:hAnsi="Times New Roman"/>
          <w:sz w:val="20"/>
        </w:rPr>
        <w:t xml:space="preserve">As a result, the Sponsor will be able to sell its Founder Shares pursuant to Rule 144 without registration one year after the Closing. </w:t>
      </w:r>
    </w:p>
    <w:p>
      <w:pPr>
        <w:pStyle w:val="TextBody"/>
        <w:spacing w:before="240" w:after="0"/>
        <w:jc w:val="left"/>
        <w:rPr>
          <w:rFonts w:ascii="Times New Roman" w:hAnsi="Times New Roman"/>
          <w:sz w:val="20"/>
        </w:rPr>
      </w:pPr>
      <w:r>
        <w:rPr>
          <w:rFonts w:ascii="Times New Roman" w:hAnsi="Times New Roman"/>
          <w:sz w:val="20"/>
        </w:rPr>
        <w:t xml:space="preserve">VIH anticipates that following the Closing, the Company will no longer be a shell company, and so, once the conditions set forth in the exceptions listed above are satisfied, Rule 144 will become available for the resale of the above noted restricted securities. </w:t>
      </w:r>
    </w:p>
    <w:p>
      <w:pPr>
        <w:pStyle w:val="TextBody"/>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Description of VIHs and the Companys SecuritiesStockholder Registration Rights</w:t>
      </w:r>
      <w:r>
        <w:rPr>
          <w:rFonts w:ascii="Times New Roman" w:hAnsi="Times New Roman"/>
          <w:sz w:val="20"/>
        </w:rPr>
        <w:t xml:space="preserve"> beginning on page 251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3" w:name="toc108105_34"/>
      <w:bookmarkEnd w:id="103"/>
      <w:r>
        <w:rPr>
          <w:rFonts w:ascii="Times New Roman" w:hAnsi="Times New Roman"/>
          <w:b/>
          <w:sz w:val="20"/>
        </w:rPr>
        <w:t xml:space="preserve">SHAREHOLDER PROPOSALS AND NOMINATIONS </w:t>
      </w:r>
    </w:p>
    <w:p>
      <w:pPr>
        <w:pStyle w:val="TextBody"/>
        <w:spacing w:before="240" w:after="0"/>
        <w:jc w:val="left"/>
        <w:rPr>
          <w:rFonts w:ascii="Times New Roman" w:hAnsi="Times New Roman"/>
          <w:b/>
          <w:sz w:val="20"/>
        </w:rPr>
      </w:pPr>
      <w:bookmarkStart w:id="104" w:name="38f"/>
      <w:bookmarkEnd w:id="104"/>
      <w:r>
        <w:rPr>
          <w:rFonts w:ascii="Times New Roman" w:hAnsi="Times New Roman"/>
          <w:b/>
          <w:sz w:val="20"/>
        </w:rPr>
        <w:t xml:space="preserve">Stockholder Proposals </w:t>
      </w:r>
    </w:p>
    <w:p>
      <w:pPr>
        <w:pStyle w:val="TextBody"/>
        <w:spacing w:before="120" w:after="0"/>
        <w:jc w:val="left"/>
        <w:rPr>
          <w:rFonts w:ascii="Times New Roman" w:hAnsi="Times New Roman"/>
          <w:sz w:val="20"/>
        </w:rPr>
      </w:pPr>
      <w:r>
        <w:rPr>
          <w:rFonts w:ascii="Times New Roman" w:hAnsi="Times New Roman"/>
          <w:sz w:val="20"/>
        </w:rPr>
        <w:t xml:space="preserve">The Proposed By-Laws establish an advance notice procedure for stockholders who wish to present a proposal before an annual meeting of stockholders. The Proposed By-Laws provide that the only business that may be conducted at an annual meeting of stockholders is business that is (a) specified in the notice of such meeting (or any supplement or amendment thereto) given by or at the direction of the Company Board or any authorized committee of the Company Board, (b) otherwise properly brought before such meeting by or at the direction of the Company Board or the chairperson of the Company Board, or (c) otherwise properly brought before such meeting by a stockholder present in person who (A) (1) was a record owner of Companys Shares at the time of giving the notice, (2) is entitled to vote at such meeting, and (3) has complied with notice procedures specified in the Proposed By-Laws in all applicable respects or (B) properly made such proposal in accordance with Rule 14a-8 under the Exchange Act. To be timely for the Companys annual meeting of stockholders, a stockholders notice must be delivered to the Companys secretary at the Companys principal executive offices: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later than the 90th day;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earlier than the 120th day, </w:t>
            </w:r>
          </w:p>
        </w:tc>
      </w:tr>
    </w:tbl>
    <w:p>
      <w:pPr>
        <w:pStyle w:val="TextBody"/>
        <w:spacing w:before="240" w:after="0"/>
        <w:jc w:val="left"/>
        <w:rPr>
          <w:rFonts w:ascii="Times New Roman" w:hAnsi="Times New Roman"/>
          <w:sz w:val="20"/>
        </w:rPr>
      </w:pPr>
      <w:r>
        <w:rPr>
          <w:rFonts w:ascii="Times New Roman" w:hAnsi="Times New Roman"/>
          <w:sz w:val="20"/>
        </w:rPr>
        <w:t xml:space="preserve">prior to the first anniversary of the preceding years annual meeting. </w:t>
      </w:r>
    </w:p>
    <w:p>
      <w:pPr>
        <w:pStyle w:val="TextBody"/>
        <w:spacing w:before="240" w:after="0"/>
        <w:jc w:val="left"/>
        <w:rPr>
          <w:rFonts w:ascii="Times New Roman" w:hAnsi="Times New Roman"/>
          <w:sz w:val="20"/>
        </w:rPr>
      </w:pPr>
      <w:r>
        <w:rPr>
          <w:rFonts w:ascii="Times New Roman" w:hAnsi="Times New Roman"/>
          <w:sz w:val="20"/>
        </w:rPr>
        <w:t xml:space="preserve">In the event that no annual meeting was held in the previous year or the Company holds its annual meeting of stockholders more than 30 days before or more than 70 days after the one-year anniversary of a preceding years annual meeting, to be timely, notice of a stockholder proposal must be delivered not earlier than the close of business on the 120th day prior to such annual meeting and not later than the 90th day prior to such annual meeting or, the 10th day following the day on which public disclosure of the date of such annual meeting was first made. </w:t>
      </w:r>
    </w:p>
    <w:p>
      <w:pPr>
        <w:pStyle w:val="TextBody"/>
        <w:spacing w:before="240" w:after="0"/>
        <w:jc w:val="left"/>
        <w:rPr>
          <w:rFonts w:ascii="Times New Roman" w:hAnsi="Times New Roman"/>
          <w:sz w:val="20"/>
        </w:rPr>
      </w:pPr>
      <w:r>
        <w:rPr>
          <w:rFonts w:ascii="Times New Roman" w:hAnsi="Times New Roman"/>
          <w:sz w:val="20"/>
        </w:rPr>
        <w:t xml:space="preserve">We currently anticipate the 2021 annual meeting of stockholders of the Company will be held on [●], 2021. Notice of a nomination or proposal must be delivered to the Company no later than the 10th day following the earlier of the day on which such notice of the date of such meeting was mailed and the day the public disclosure of the date of the 2021 annual meeting is made. Nominations and proposals also must satisfy other requirements set forth in the Proposed By-Laws and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Under Rule 14a-8 of the Exchange Act, a stockholder proposal (other than nominations) to be included in the proxy statement and proxy card for the 2021 annual general meeting pursuant to Rule 14a-8 must be received at the Companys principal office at a reasonable time before the Company begins to print and send its proxy materials and must comply with Rule 14a-8. </w:t>
      </w:r>
    </w:p>
    <w:p>
      <w:pPr>
        <w:pStyle w:val="TextBody"/>
        <w:spacing w:before="240" w:after="0"/>
        <w:jc w:val="left"/>
        <w:rPr>
          <w:rFonts w:ascii="Times New Roman" w:hAnsi="Times New Roman"/>
          <w:sz w:val="20"/>
        </w:rPr>
      </w:pPr>
      <w:r>
        <w:rPr>
          <w:rFonts w:ascii="Times New Roman" w:hAnsi="Times New Roman"/>
          <w:sz w:val="20"/>
        </w:rPr>
        <w:t xml:space="preserve">A stockholder will update and supplement its notice to the Companys secretary, if necessary, so that the information provided or required to be provided in such notice as described above will be true and correct as of the record date for notice of the annual meeting and as of the date that is 15 business days prior to the annual meeting or any adjournment or postponement thereof, and such update and supplement will be delivered to, or mailed and received by, the Companys secretary not later than 5 days after the record date for notice of the extraordinary general meeting (in the case of the update and supplement required to be made as of such record date), and not later than 10 days prior to the date for the extraordinary general meeting or, if practicable, any adjournment or postponement thereof (and, if not practicable, on the first practicable date prior to the date to which the extraordinary general meeting has been adjourned or postponed) (in the case of the update and supplement required to be made as of 15 business days prior to the extraordinary general meeting or any adjournment or postponement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Stockholder Director Nominees </w:t>
      </w:r>
    </w:p>
    <w:p>
      <w:pPr>
        <w:pStyle w:val="TextBody"/>
        <w:spacing w:before="120" w:after="0"/>
        <w:jc w:val="left"/>
        <w:rPr>
          <w:rFonts w:ascii="Times New Roman" w:hAnsi="Times New Roman"/>
          <w:sz w:val="20"/>
        </w:rPr>
      </w:pPr>
      <w:r>
        <w:rPr>
          <w:rFonts w:ascii="Times New Roman" w:hAnsi="Times New Roman"/>
          <w:sz w:val="20"/>
        </w:rPr>
        <w:t>The Proposed By-Laws permit stockholders to nominate directors for election at an annual meeting or at a special meeting (but only if the election of directors is a matter specified in the notice of meeting given by or at the direction of the person calling such special meeting) of stockholders, subject to the provisions of the Proposed Certificate of Incorporation and the Stockholders Agreement. To nominate a director, the stockholder must provide the information required by the Proposed By-Laws. In addition, the stockholder must give timely notice to the Companys secretary in accordance with the Proposed By-Laws, which, in general, require that the notice be received by the Companys secretary within the time periods described above under the section entitled </w:t>
      </w:r>
      <w:r>
        <w:rPr>
          <w:rFonts w:ascii="Times New Roman" w:hAnsi="Times New Roman"/>
          <w:i/>
          <w:sz w:val="20"/>
        </w:rPr>
        <w:t>Shareholder Proposals and Nominations</w:t>
      </w:r>
      <w:r>
        <w:rPr>
          <w:rFonts w:ascii="Times New Roman" w:hAnsi="Times New Roman"/>
          <w:sz w:val="20"/>
        </w:rPr>
        <w:t></w:t>
      </w:r>
      <w:r>
        <w:rPr>
          <w:rFonts w:ascii="Times New Roman" w:hAnsi="Times New Roman"/>
          <w:i/>
          <w:sz w:val="20"/>
        </w:rPr>
        <w:t>Stockholder Proposals</w:t>
      </w:r>
      <w:r>
        <w:rPr>
          <w:rFonts w:ascii="Times New Roman" w:hAnsi="Times New Roman"/>
          <w:sz w:val="20"/>
        </w:rPr>
        <w:t xml:space="preserve"> beginning on page 313 of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5" w:name="toc108105_35"/>
      <w:bookmarkEnd w:id="105"/>
      <w:r>
        <w:rPr>
          <w:rFonts w:ascii="Times New Roman" w:hAnsi="Times New Roman"/>
          <w:b/>
          <w:sz w:val="20"/>
        </w:rPr>
        <w:t xml:space="preserve">SHAREHOLDER COMMUNICATIONS </w:t>
      </w:r>
    </w:p>
    <w:p>
      <w:pPr>
        <w:pStyle w:val="TextBody"/>
        <w:spacing w:before="240" w:after="0"/>
        <w:jc w:val="left"/>
        <w:rPr>
          <w:rFonts w:ascii="Times New Roman" w:hAnsi="Times New Roman"/>
          <w:sz w:val="20"/>
        </w:rPr>
      </w:pPr>
      <w:r>
        <w:rPr>
          <w:rFonts w:ascii="Times New Roman" w:hAnsi="Times New Roman"/>
          <w:sz w:val="20"/>
        </w:rPr>
        <w:t xml:space="preserve">Shareholders and interested parties may communicate with the VIH Board, any committee chairperson or the non-management directors as a group by writing to the VIH Board or committee chairperson in care of VPC Impact Acquisition Holdings, 150 North Riverside Plaza, Suite 5200, Chicago, IL 60606. Following the Closing, such communications should be sent to Bakkt Holdings, Inc., 5900 Windward Parkway, Suite 450, Alpharetta, GA 30005. Each communication will be forwarded, depending on the subject matter, to the Company Board, the appropriate committee chairperson or all non-management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6" w:name="toc108105_36"/>
      <w:bookmarkEnd w:id="106"/>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White &amp; Case LLP will pass upon the validity of the securities of the Company to be issued in connection with the Domestication and upon certain U.S. federal income tax consequences to VIHs shareholders as a result of the Proposed Transaction and the Domestication.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7" w:name="toc108105_37"/>
      <w:bookmarkEnd w:id="107"/>
      <w:r>
        <w:rPr>
          <w:rFonts w:ascii="Times New Roman" w:hAnsi="Times New Roman"/>
          <w:b/>
          <w:sz w:val="20"/>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statement/prospectus, the VIH Board does not know of any matters that will be presented for consideration at the extraordinary general meeting other than as described in this proxy statement/prospectus. If any other matters properly come before the extraordinary general meeting, or any adjournment or postponement thereof, and are voted upon, the enclosed proxy will be deemed to confer discretionary authority on the individuals that it names as proxies to vote the shares represented by the proxy as to any of these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8" w:name="toc108105_38"/>
      <w:bookmarkEnd w:id="108"/>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VIH, as of December 31, 2020, and for the period from July 31, 2020 through December 31, 2020, included in this proxy statement/prospectus have been audited by WithumSmith+Brown, PC, independent registered public accountants, as set forth in their report thereon appearing elsewhere in this proxy statement/prospectus, and are included in reliance on such report given on the authority of said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Bakkt Holdings, LLC and subsidiaries as of December 31, 2020 and December 31, 2019 and for the years then ended included in this proxy statement/prospectus have been audited by Ernst &amp; Young LLP, independent registered public accounting firm, as set forth in their report appearing elsewhere herein, and are included in reliance upon such report given on the authority of said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B2S Holdings, Inc. and its subsidiaries as of and for the year ended December 31, 2019 included in this proxy statement/prospectus has been audited by Bennett Thrasher LLP, independent auditor, as set forth in their report appearing elsewhere herein, and are included in reliance upon such report given on the authority of said firm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9" w:name="toc108105_39"/>
      <w:bookmarkEnd w:id="109"/>
      <w:r>
        <w:rPr>
          <w:rFonts w:ascii="Times New Roman" w:hAnsi="Times New Roman"/>
          <w:b/>
          <w:sz w:val="20"/>
        </w:rPr>
        <w:t xml:space="preserve">DELIVERY OF DOCUMENTS TO SHAREHOLDERS </w:t>
      </w:r>
    </w:p>
    <w:p>
      <w:pPr>
        <w:pStyle w:val="TextBody"/>
        <w:spacing w:before="240" w:after="0"/>
        <w:jc w:val="left"/>
        <w:rPr>
          <w:rFonts w:ascii="Times New Roman" w:hAnsi="Times New Roman"/>
          <w:sz w:val="20"/>
        </w:rPr>
      </w:pPr>
      <w:r>
        <w:rPr>
          <w:rFonts w:ascii="Times New Roman" w:hAnsi="Times New Roman"/>
          <w:sz w:val="20"/>
        </w:rPr>
        <w:t xml:space="preserve">Pursuant to the rules of the SEC, VIH and services that it employs to deliver communications to its shareholders are permitted to deliver to two or more shareholders sharing the same address a single copy of each of VIHs annual report to shareholders and VIHs proxy statement. Upon written or oral request, VIH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VIH deliver single copies of such documents in the future. Shareholders receiving multiple copies of such documents may request that VIH deliver single copies of such documents in the future. Shareholders may notify VIH of their requests by calling or writing VIH at its principal executive offices at 150 North Riverside Plaza, Suite 5200, Chicago, IL 60606, or (312)-701-1777.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0" w:name="toc108105_40"/>
      <w:bookmarkEnd w:id="110"/>
      <w:r>
        <w:rPr>
          <w:rFonts w:ascii="Times New Roman" w:hAnsi="Times New Roman"/>
          <w:b/>
          <w:sz w:val="20"/>
        </w:rPr>
        <w:t xml:space="preserve">ENFORCEABILITY OF CIVIL LIABILITY </w:t>
      </w:r>
    </w:p>
    <w:p>
      <w:pPr>
        <w:pStyle w:val="TextBody"/>
        <w:spacing w:before="240" w:after="0"/>
        <w:jc w:val="left"/>
        <w:rPr>
          <w:rFonts w:ascii="Times New Roman" w:hAnsi="Times New Roman"/>
          <w:sz w:val="20"/>
        </w:rPr>
      </w:pPr>
      <w:r>
        <w:rPr>
          <w:rFonts w:ascii="Times New Roman" w:hAnsi="Times New Roman"/>
          <w:sz w:val="20"/>
        </w:rPr>
        <w:t xml:space="preserve">VIH is a Cayman Islands exempted company. If VIH does not change its jurisdiction of incorporation from the Cayman Islands to Delaware by effecting the Domestication, you may have difficulty serving legal process within the United States upon VIH. You may also have difficulty enforcing, both in and outside the United States, judgments you may obtain in U.S. courts against VIH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VIH may be served with process in the United States with respect to actions against VIH arising out of or in connection with violation of U.S. federal securities laws relating to offers and sales of VIHs securities by serving VIHs U.S. agent irrevocably appointed for that purpose.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1" w:name="toc108105_41"/>
      <w:bookmarkEnd w:id="111"/>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VIH has filed a registration statement on Form S-4 to register the issuance of securities described elsewhere in this proxy statement/prospectus. This proxy statement/prospectus is a part of that registration statement. </w:t>
      </w:r>
    </w:p>
    <w:p>
      <w:pPr>
        <w:pStyle w:val="TextBody"/>
        <w:spacing w:before="240" w:after="0"/>
        <w:jc w:val="left"/>
        <w:rPr>
          <w:rFonts w:ascii="Times New Roman" w:hAnsi="Times New Roman"/>
          <w:sz w:val="20"/>
        </w:rPr>
      </w:pPr>
      <w:r>
        <w:rPr>
          <w:rFonts w:ascii="Times New Roman" w:hAnsi="Times New Roman"/>
          <w:sz w:val="20"/>
        </w:rPr>
        <w:t xml:space="preserve">VIH files reports, proxy statements and other information with the SEC as required by the Exchange Act. You may access information on VIH at the SEC website containing reports, proxy statements and other information at: http://www.sec.gov. </w:t>
      </w:r>
    </w:p>
    <w:p>
      <w:pPr>
        <w:pStyle w:val="TextBody"/>
        <w:spacing w:before="240" w:after="0"/>
        <w:jc w:val="left"/>
        <w:rPr>
          <w:rFonts w:ascii="Times New Roman" w:hAnsi="Times New Roman"/>
          <w:sz w:val="20"/>
        </w:rPr>
      </w:pPr>
      <w:r>
        <w:rPr>
          <w:rFonts w:ascii="Times New Roman" w:hAnsi="Times New Roman"/>
          <w:sz w:val="20"/>
        </w:rPr>
        <w:t xml:space="preserve">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 </w:t>
      </w:r>
    </w:p>
    <w:p>
      <w:pPr>
        <w:pStyle w:val="TextBody"/>
        <w:spacing w:before="240" w:after="0"/>
        <w:jc w:val="left"/>
        <w:rPr>
          <w:rFonts w:ascii="Times New Roman" w:hAnsi="Times New Roman"/>
          <w:sz w:val="20"/>
        </w:rPr>
      </w:pPr>
      <w:r>
        <w:rPr>
          <w:rFonts w:ascii="Times New Roman" w:hAnsi="Times New Roman"/>
          <w:sz w:val="20"/>
        </w:rPr>
        <w:t xml:space="preserve">All information contained in this proxy statement/prospectus relating to VIH has been supplied by VIH, and all such information relating to Bakkt has been supplied by Bakkt, respectively. Information provided by one another does not constitute any representation, estimate or projection of the other. </w:t>
      </w:r>
    </w:p>
    <w:p>
      <w:pPr>
        <w:pStyle w:val="TextBody"/>
        <w:spacing w:before="240" w:after="0"/>
        <w:jc w:val="left"/>
        <w:rPr>
          <w:rFonts w:ascii="Times New Roman" w:hAnsi="Times New Roman"/>
          <w:sz w:val="20"/>
        </w:rPr>
      </w:pPr>
      <w:r>
        <w:rPr>
          <w:rFonts w:ascii="Times New Roman" w:hAnsi="Times New Roman"/>
          <w:sz w:val="20"/>
        </w:rPr>
        <w:t xml:space="preserve">This document is a proxy statement/prospectus of VIH for the extraordinary general meeting. VIH has not authorized anyone to give any information or make any representation about the Business Combination, VIH or Bakkt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 </w:t>
      </w:r>
    </w:p>
    <w:p>
      <w:pPr>
        <w:pStyle w:val="TextBody"/>
        <w:spacing w:before="240" w:after="0"/>
        <w:jc w:val="left"/>
        <w:rPr>
          <w:rFonts w:ascii="Times New Roman" w:hAnsi="Times New Roman"/>
          <w:sz w:val="20"/>
        </w:rPr>
      </w:pPr>
      <w:r>
        <w:rPr>
          <w:rFonts w:ascii="Times New Roman" w:hAnsi="Times New Roman"/>
          <w:sz w:val="20"/>
        </w:rPr>
        <w:t xml:space="preserve">If you would like additional copies of this proxy statement/prospectus, or if you have questions about the Business Combination, you should contact via phone or in writing: </w:t>
      </w:r>
    </w:p>
    <w:p>
      <w:pPr>
        <w:pStyle w:val="TextBody"/>
        <w:spacing w:before="240" w:after="0"/>
        <w:jc w:val="center"/>
        <w:rPr>
          <w:rFonts w:ascii="Times New Roman" w:hAnsi="Times New Roman"/>
          <w:sz w:val="20"/>
        </w:rPr>
      </w:pPr>
      <w:r>
        <w:rPr>
          <w:rFonts w:ascii="Times New Roman" w:hAnsi="Times New Roman"/>
          <w:sz w:val="20"/>
        </w:rPr>
        <w:t xml:space="preserve">Morrow Sodali LLC </w:t>
      </w:r>
    </w:p>
    <w:p>
      <w:pPr>
        <w:pStyle w:val="TextBody"/>
        <w:spacing w:before="0" w:after="0"/>
        <w:jc w:val="center"/>
        <w:rPr>
          <w:rFonts w:ascii="Times New Roman" w:hAnsi="Times New Roman"/>
          <w:sz w:val="20"/>
        </w:rPr>
      </w:pPr>
      <w:r>
        <w:rPr>
          <w:rFonts w:ascii="Times New Roman" w:hAnsi="Times New Roman"/>
          <w:sz w:val="20"/>
        </w:rPr>
        <w:t xml:space="preserve">470 West Avenue </w:t>
      </w:r>
    </w:p>
    <w:p>
      <w:pPr>
        <w:pStyle w:val="TextBody"/>
        <w:spacing w:before="0" w:after="0"/>
        <w:jc w:val="center"/>
        <w:rPr>
          <w:rFonts w:ascii="Times New Roman" w:hAnsi="Times New Roman"/>
          <w:sz w:val="20"/>
        </w:rPr>
      </w:pPr>
      <w:r>
        <w:rPr>
          <w:rFonts w:ascii="Times New Roman" w:hAnsi="Times New Roman"/>
          <w:sz w:val="20"/>
        </w:rPr>
        <w:t xml:space="preserve">Stamford, CT 06902 </w:t>
      </w:r>
    </w:p>
    <w:p>
      <w:pPr>
        <w:pStyle w:val="TextBody"/>
        <w:spacing w:before="0" w:after="0"/>
        <w:jc w:val="center"/>
        <w:rPr>
          <w:rFonts w:ascii="Times New Roman" w:hAnsi="Times New Roman"/>
          <w:sz w:val="20"/>
        </w:rPr>
      </w:pPr>
      <w:r>
        <w:rPr>
          <w:rFonts w:ascii="Times New Roman" w:hAnsi="Times New Roman"/>
          <w:sz w:val="20"/>
        </w:rPr>
        <w:t xml:space="preserve">Telephone: (800) 662-5200 </w:t>
      </w:r>
    </w:p>
    <w:p>
      <w:pPr>
        <w:pStyle w:val="TextBody"/>
        <w:spacing w:before="0" w:after="0"/>
        <w:jc w:val="center"/>
        <w:rPr>
          <w:rFonts w:ascii="Times New Roman" w:hAnsi="Times New Roman"/>
          <w:sz w:val="20"/>
        </w:rPr>
      </w:pPr>
      <w:r>
        <w:rPr>
          <w:rFonts w:ascii="Times New Roman" w:hAnsi="Times New Roman"/>
          <w:sz w:val="20"/>
        </w:rPr>
        <w:t xml:space="preserve">(Banks and brokers can call: (203) 658-9400) </w:t>
      </w:r>
    </w:p>
    <w:p>
      <w:pPr>
        <w:pStyle w:val="TextBody"/>
        <w:spacing w:before="0" w:after="0"/>
        <w:jc w:val="center"/>
        <w:rPr>
          <w:rFonts w:ascii="Times New Roman" w:hAnsi="Times New Roman"/>
          <w:sz w:val="20"/>
        </w:rPr>
      </w:pPr>
      <w:r>
        <w:rPr>
          <w:rFonts w:ascii="Times New Roman" w:hAnsi="Times New Roman"/>
          <w:sz w:val="20"/>
        </w:rPr>
        <w:t xml:space="preserve">Email: VIH.info@investor.morrowsodali.com </w:t>
      </w:r>
    </w:p>
    <w:p>
      <w:pPr>
        <w:pStyle w:val="TextBody"/>
        <w:spacing w:before="240" w:after="0"/>
        <w:jc w:val="left"/>
        <w:rPr>
          <w:rFonts w:ascii="Times New Roman" w:hAnsi="Times New Roman"/>
          <w:sz w:val="20"/>
        </w:rPr>
      </w:pPr>
      <w:r>
        <w:rPr>
          <w:rFonts w:ascii="Times New Roman" w:hAnsi="Times New Roman"/>
          <w:sz w:val="20"/>
        </w:rPr>
        <w:t xml:space="preserve">If you are a shareholder of VIH and would like to request documents, please do so no later than five business days before the extraordinary general meeting in order to receive them before the extraordinary general meeting. If you request any documents from VIH, VIH will mail them to you by first class mail, or another equally prompt means. 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2" w:name="toc108105_42"/>
      <w:bookmarkEnd w:id="112"/>
      <w:r>
        <w:rPr>
          <w:rFonts w:ascii="Times New Roman" w:hAnsi="Times New Roman"/>
          <w:b/>
          <w:sz w:val="20"/>
        </w:rPr>
        <w:t xml:space="preserve">INDEX TO FINANCIAL STATEMENTS </w:t>
      </w:r>
    </w:p>
    <w:p>
      <w:pPr>
        <w:pStyle w:val="TextBody"/>
        <w:spacing w:before="24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59"/>
        <w:gridCol w:w="255"/>
        <w:gridCol w:w="75"/>
        <w:gridCol w:w="454"/>
        <w:gridCol w:w="62"/>
      </w:tblGrid>
      <w:tr>
        <w:trPr/>
        <w:tc>
          <w:tcPr>
            <w:tcW w:w="935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35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5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359" w:type="dxa"/>
            <w:tcBorders/>
            <w:shd w:fill="auto" w:val="clear"/>
          </w:tcPr>
          <w:p>
            <w:pPr>
              <w:pStyle w:val="TableContents"/>
              <w:spacing w:before="0" w:after="20"/>
              <w:rPr/>
            </w:pPr>
            <w:hyperlink w:anchor="fin108105_1">
              <w:r>
                <w:rPr>
                  <w:rStyle w:val="InternetLink"/>
                  <w:rFonts w:ascii="Times New Roman" w:hAnsi="Times New Roman"/>
                  <w:sz w:val="20"/>
                </w:rPr>
                <w:t>Report of Independent Registered Public Accounting Firm</w:t>
              </w:r>
            </w:hyperlink>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pPr>
            <w:r>
              <w:rPr/>
              <w:t>F-2</w:t>
            </w:r>
          </w:p>
        </w:tc>
        <w:tc>
          <w:tcPr>
            <w:tcW w:w="62" w:type="dxa"/>
            <w:tcBorders/>
            <w:shd w:fill="auto" w:val="clear"/>
            <w:vAlign w:val="bottom"/>
          </w:tcPr>
          <w:p>
            <w:pPr>
              <w:pStyle w:val="TableContents"/>
              <w:spacing w:before="0" w:after="283"/>
              <w:rPr/>
            </w:pPr>
            <w:r>
              <w:rPr/>
              <w:t> </w:t>
            </w:r>
          </w:p>
        </w:tc>
      </w:tr>
      <w:tr>
        <w:trPr/>
        <w:tc>
          <w:tcPr>
            <w:tcW w:w="9359" w:type="dxa"/>
            <w:tcBorders/>
            <w:shd w:fill="auto" w:val="clear"/>
          </w:tcPr>
          <w:p>
            <w:pPr>
              <w:pStyle w:val="TableContents"/>
              <w:spacing w:before="0" w:after="0"/>
              <w:rPr>
                <w:rFonts w:ascii="Times New Roman" w:hAnsi="Times New Roman"/>
                <w:sz w:val="20"/>
              </w:rPr>
            </w:pPr>
            <w:r>
              <w:rPr>
                <w:rFonts w:ascii="Times New Roman" w:hAnsi="Times New Roman"/>
                <w:sz w:val="20"/>
              </w:rPr>
              <w:t>Financial Statements:</w:t>
            </w:r>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9359" w:type="dxa"/>
            <w:tcBorders/>
            <w:shd w:fill="auto" w:val="clear"/>
          </w:tcPr>
          <w:p>
            <w:pPr>
              <w:pStyle w:val="TableContents"/>
              <w:spacing w:before="0" w:after="0"/>
              <w:rPr/>
            </w:pPr>
            <w:hyperlink w:anchor="fin108105_2">
              <w:r>
                <w:rPr>
                  <w:rStyle w:val="InternetLink"/>
                  <w:rFonts w:ascii="Times New Roman" w:hAnsi="Times New Roman"/>
                  <w:sz w:val="20"/>
                </w:rPr>
                <w:t>Balance Sheet</w:t>
              </w:r>
            </w:hyperlink>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pPr>
            <w:r>
              <w:rPr/>
              <w:t>F-3</w:t>
            </w:r>
          </w:p>
        </w:tc>
        <w:tc>
          <w:tcPr>
            <w:tcW w:w="62" w:type="dxa"/>
            <w:tcBorders/>
            <w:shd w:fill="auto" w:val="clear"/>
            <w:vAlign w:val="bottom"/>
          </w:tcPr>
          <w:p>
            <w:pPr>
              <w:pStyle w:val="TableContents"/>
              <w:spacing w:before="0" w:after="283"/>
              <w:rPr/>
            </w:pPr>
            <w:r>
              <w:rPr/>
              <w:t> </w:t>
            </w:r>
          </w:p>
        </w:tc>
      </w:tr>
      <w:tr>
        <w:trPr/>
        <w:tc>
          <w:tcPr>
            <w:tcW w:w="9359" w:type="dxa"/>
            <w:tcBorders/>
            <w:shd w:fill="auto" w:val="clear"/>
          </w:tcPr>
          <w:p>
            <w:pPr>
              <w:pStyle w:val="TableContents"/>
              <w:spacing w:before="0" w:after="0"/>
              <w:rPr/>
            </w:pPr>
            <w:hyperlink w:anchor="fin108105_3">
              <w:r>
                <w:rPr>
                  <w:rStyle w:val="InternetLink"/>
                  <w:rFonts w:ascii="Times New Roman" w:hAnsi="Times New Roman"/>
                  <w:sz w:val="20"/>
                </w:rPr>
                <w:t>Statement of Operations</w:t>
              </w:r>
            </w:hyperlink>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pPr>
            <w:r>
              <w:rPr/>
              <w:t>F-4</w:t>
            </w:r>
          </w:p>
        </w:tc>
        <w:tc>
          <w:tcPr>
            <w:tcW w:w="62" w:type="dxa"/>
            <w:tcBorders/>
            <w:shd w:fill="auto" w:val="clear"/>
            <w:vAlign w:val="bottom"/>
          </w:tcPr>
          <w:p>
            <w:pPr>
              <w:pStyle w:val="TableContents"/>
              <w:spacing w:before="0" w:after="283"/>
              <w:rPr/>
            </w:pPr>
            <w:r>
              <w:rPr/>
              <w:t> </w:t>
            </w:r>
          </w:p>
        </w:tc>
      </w:tr>
      <w:tr>
        <w:trPr/>
        <w:tc>
          <w:tcPr>
            <w:tcW w:w="9359" w:type="dxa"/>
            <w:tcBorders/>
            <w:shd w:fill="auto" w:val="clear"/>
          </w:tcPr>
          <w:p>
            <w:pPr>
              <w:pStyle w:val="TableContents"/>
              <w:spacing w:before="0" w:after="0"/>
              <w:rPr/>
            </w:pPr>
            <w:hyperlink w:anchor="fin108105_4">
              <w:r>
                <w:rPr>
                  <w:rStyle w:val="InternetLink"/>
                  <w:rFonts w:ascii="Times New Roman" w:hAnsi="Times New Roman"/>
                  <w:sz w:val="20"/>
                </w:rPr>
                <w:t>Statement of Changes in Shareholders Equity</w:t>
              </w:r>
            </w:hyperlink>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pPr>
            <w:r>
              <w:rPr/>
              <w:t>F-5</w:t>
            </w:r>
          </w:p>
        </w:tc>
        <w:tc>
          <w:tcPr>
            <w:tcW w:w="62" w:type="dxa"/>
            <w:tcBorders/>
            <w:shd w:fill="auto" w:val="clear"/>
            <w:vAlign w:val="bottom"/>
          </w:tcPr>
          <w:p>
            <w:pPr>
              <w:pStyle w:val="TableContents"/>
              <w:spacing w:before="0" w:after="283"/>
              <w:rPr/>
            </w:pPr>
            <w:r>
              <w:rPr/>
              <w:t> </w:t>
            </w:r>
          </w:p>
        </w:tc>
      </w:tr>
      <w:tr>
        <w:trPr/>
        <w:tc>
          <w:tcPr>
            <w:tcW w:w="9359" w:type="dxa"/>
            <w:tcBorders/>
            <w:shd w:fill="auto" w:val="clear"/>
          </w:tcPr>
          <w:p>
            <w:pPr>
              <w:pStyle w:val="TableContents"/>
              <w:spacing w:before="0" w:after="0"/>
              <w:rPr/>
            </w:pPr>
            <w:hyperlink w:anchor="fin108105_5">
              <w:r>
                <w:rPr>
                  <w:rStyle w:val="InternetLink"/>
                  <w:rFonts w:ascii="Times New Roman" w:hAnsi="Times New Roman"/>
                  <w:sz w:val="20"/>
                </w:rPr>
                <w:t>Statement of Cash Flows</w:t>
              </w:r>
            </w:hyperlink>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pPr>
            <w:r>
              <w:rPr/>
              <w:t>F-6</w:t>
            </w:r>
          </w:p>
        </w:tc>
        <w:tc>
          <w:tcPr>
            <w:tcW w:w="62" w:type="dxa"/>
            <w:tcBorders/>
            <w:shd w:fill="auto" w:val="clear"/>
            <w:vAlign w:val="bottom"/>
          </w:tcPr>
          <w:p>
            <w:pPr>
              <w:pStyle w:val="TableContents"/>
              <w:spacing w:before="0" w:after="283"/>
              <w:rPr/>
            </w:pPr>
            <w:r>
              <w:rPr/>
              <w:t> </w:t>
            </w:r>
          </w:p>
        </w:tc>
      </w:tr>
      <w:tr>
        <w:trPr/>
        <w:tc>
          <w:tcPr>
            <w:tcW w:w="9359" w:type="dxa"/>
            <w:tcBorders/>
            <w:shd w:fill="auto" w:val="clear"/>
          </w:tcPr>
          <w:p>
            <w:pPr>
              <w:pStyle w:val="TableContents"/>
              <w:spacing w:before="0" w:after="0"/>
              <w:rPr/>
            </w:pPr>
            <w:hyperlink w:anchor="fin108105_6">
              <w:r>
                <w:rPr>
                  <w:rStyle w:val="InternetLink"/>
                  <w:rFonts w:ascii="Times New Roman" w:hAnsi="Times New Roman"/>
                  <w:sz w:val="20"/>
                </w:rPr>
                <w:t>Notes to Financial Statements</w:t>
              </w:r>
            </w:hyperlink>
          </w:p>
        </w:tc>
        <w:tc>
          <w:tcPr>
            <w:tcW w:w="2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pPr>
            <w:r>
              <w:rPr/>
              <w:t>F-7</w:t>
            </w:r>
          </w:p>
        </w:tc>
        <w:tc>
          <w:tcPr>
            <w:tcW w:w="62" w:type="dxa"/>
            <w:tcBorders/>
            <w:shd w:fill="auto" w:val="clear"/>
            <w:vAlign w:val="bottom"/>
          </w:tcPr>
          <w:p>
            <w:pPr>
              <w:pStyle w:val="TableContents"/>
              <w:spacing w:before="0" w:after="283"/>
              <w:rPr/>
            </w:pPr>
            <w:r>
              <w:rPr/>
              <w:t> </w:t>
            </w:r>
          </w:p>
        </w:tc>
      </w:tr>
    </w:tbl>
    <w:p>
      <w:pPr>
        <w:pStyle w:val="TextBody"/>
        <w:spacing w:before="240" w:after="0"/>
        <w:jc w:val="center"/>
        <w:rPr>
          <w:rFonts w:ascii="Times New Roman" w:hAnsi="Times New Roman"/>
          <w:b/>
          <w:sz w:val="20"/>
        </w:rPr>
      </w:pPr>
      <w:r>
        <w:rPr>
          <w:rFonts w:ascii="Times New Roman" w:hAnsi="Times New Roman"/>
          <w:b/>
          <w:sz w:val="20"/>
        </w:rPr>
        <w:t xml:space="preserve">BAKKT HOLDINGS, LLC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23"/>
        <w:gridCol w:w="126"/>
        <w:gridCol w:w="456"/>
      </w:tblGrid>
      <w:tr>
        <w:trPr/>
        <w:tc>
          <w:tcPr>
            <w:tcW w:w="962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r>
      <w:tr>
        <w:trPr/>
        <w:tc>
          <w:tcPr>
            <w:tcW w:w="9623" w:type="dxa"/>
            <w:tcBorders/>
            <w:shd w:fill="auto" w:val="clear"/>
            <w:vAlign w:val="bottom"/>
          </w:tcPr>
          <w:p>
            <w:pPr>
              <w:pStyle w:val="TableContents"/>
              <w:spacing w:before="0" w:after="283"/>
              <w:rPr>
                <w:b/>
                <w:sz w:val="22"/>
              </w:rPr>
            </w:pPr>
            <w:r>
              <w:rPr>
                <w:b/>
                <w:sz w:val="22"/>
              </w:rPr>
              <w:t>Audited Consolidated Financial Statements</w:t>
            </w:r>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sz w:val="4"/>
                <w:szCs w:val="4"/>
              </w:rPr>
            </w:pPr>
            <w:r>
              <w:rPr>
                <w:sz w:val="4"/>
                <w:szCs w:val="4"/>
              </w:rPr>
            </w:r>
          </w:p>
        </w:tc>
      </w:tr>
      <w:tr>
        <w:trPr/>
        <w:tc>
          <w:tcPr>
            <w:tcW w:w="9623" w:type="dxa"/>
            <w:tcBorders/>
            <w:shd w:fill="auto" w:val="clear"/>
            <w:vAlign w:val="bottom"/>
          </w:tcPr>
          <w:p>
            <w:pPr>
              <w:pStyle w:val="TableContents"/>
              <w:spacing w:before="0" w:after="0"/>
              <w:rPr/>
            </w:pPr>
            <w:hyperlink w:anchor="fin108105_14">
              <w:r>
                <w:rPr>
                  <w:rStyle w:val="InternetLink"/>
                  <w:rFonts w:ascii="Times New Roman" w:hAnsi="Times New Roman"/>
                  <w:sz w:val="20"/>
                </w:rPr>
                <w:t>Report of Independent Registered Public Accounting Firm</w:t>
              </w:r>
            </w:hyperlink>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center"/>
              <w:rPr/>
            </w:pPr>
            <w:r>
              <w:rPr/>
              <w:t>F-22</w:t>
            </w:r>
          </w:p>
        </w:tc>
      </w:tr>
      <w:tr>
        <w:trPr/>
        <w:tc>
          <w:tcPr>
            <w:tcW w:w="9623" w:type="dxa"/>
            <w:tcBorders/>
            <w:shd w:fill="auto" w:val="clear"/>
            <w:vAlign w:val="bottom"/>
          </w:tcPr>
          <w:p>
            <w:pPr>
              <w:pStyle w:val="TableContents"/>
              <w:spacing w:before="0" w:after="0"/>
              <w:rPr/>
            </w:pPr>
            <w:hyperlink w:anchor="fin108105_15">
              <w:r>
                <w:rPr>
                  <w:rStyle w:val="InternetLink"/>
                  <w:rFonts w:ascii="Times New Roman" w:hAnsi="Times New Roman"/>
                  <w:sz w:val="20"/>
                </w:rPr>
                <w:t>Consolidated Balance Sheet as of December 31, 2020 and 2019</w:t>
              </w:r>
            </w:hyperlink>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center"/>
              <w:rPr/>
            </w:pPr>
            <w:r>
              <w:rPr/>
              <w:t>F-23</w:t>
            </w:r>
          </w:p>
        </w:tc>
      </w:tr>
      <w:tr>
        <w:trPr/>
        <w:tc>
          <w:tcPr>
            <w:tcW w:w="9623" w:type="dxa"/>
            <w:tcBorders/>
            <w:shd w:fill="auto" w:val="clear"/>
            <w:vAlign w:val="bottom"/>
          </w:tcPr>
          <w:p>
            <w:pPr>
              <w:pStyle w:val="TableContents"/>
              <w:spacing w:before="0" w:after="0"/>
              <w:rPr/>
            </w:pPr>
            <w:hyperlink w:anchor="fin108105_16">
              <w:r>
                <w:rPr>
                  <w:rStyle w:val="InternetLink"/>
                  <w:rFonts w:ascii="Times New Roman" w:hAnsi="Times New Roman"/>
                  <w:sz w:val="20"/>
                </w:rPr>
                <w:t>Consolidated Statement of Operations for the year ended December  31, 2020 and 2019</w:t>
              </w:r>
            </w:hyperlink>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center"/>
              <w:rPr/>
            </w:pPr>
            <w:r>
              <w:rPr/>
              <w:t>F-24</w:t>
            </w:r>
          </w:p>
        </w:tc>
      </w:tr>
      <w:tr>
        <w:trPr/>
        <w:tc>
          <w:tcPr>
            <w:tcW w:w="9623" w:type="dxa"/>
            <w:tcBorders/>
            <w:shd w:fill="auto" w:val="clear"/>
            <w:vAlign w:val="bottom"/>
          </w:tcPr>
          <w:p>
            <w:pPr>
              <w:pStyle w:val="TableContents"/>
              <w:spacing w:before="0" w:after="0"/>
              <w:rPr/>
            </w:pPr>
            <w:hyperlink w:anchor="fin108105_17">
              <w:r>
                <w:rPr>
                  <w:rStyle w:val="InternetLink"/>
                  <w:rFonts w:ascii="Times New Roman" w:hAnsi="Times New Roman"/>
                  <w:sz w:val="20"/>
                </w:rPr>
                <w:t>Consolidated Statement of Members Equity and Mezzanine Equity for the year ended December 31, 2019</w:t>
              </w:r>
            </w:hyperlink>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center"/>
              <w:rPr/>
            </w:pPr>
            <w:r>
              <w:rPr/>
              <w:t>F-25</w:t>
            </w:r>
          </w:p>
        </w:tc>
      </w:tr>
      <w:tr>
        <w:trPr/>
        <w:tc>
          <w:tcPr>
            <w:tcW w:w="9623" w:type="dxa"/>
            <w:tcBorders/>
            <w:shd w:fill="auto" w:val="clear"/>
            <w:vAlign w:val="bottom"/>
          </w:tcPr>
          <w:p>
            <w:pPr>
              <w:pStyle w:val="TableContents"/>
              <w:spacing w:before="0" w:after="0"/>
              <w:rPr/>
            </w:pPr>
            <w:hyperlink w:anchor="fin108105_18">
              <w:r>
                <w:rPr>
                  <w:rStyle w:val="InternetLink"/>
                  <w:rFonts w:ascii="Times New Roman" w:hAnsi="Times New Roman"/>
                  <w:sz w:val="20"/>
                </w:rPr>
                <w:t>Consolidated Statement of Cash Flows for the year ended December  31, 2020 and 2019</w:t>
              </w:r>
            </w:hyperlink>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center"/>
              <w:rPr/>
            </w:pPr>
            <w:r>
              <w:rPr/>
              <w:t>F-26</w:t>
            </w:r>
          </w:p>
        </w:tc>
      </w:tr>
      <w:tr>
        <w:trPr/>
        <w:tc>
          <w:tcPr>
            <w:tcW w:w="9623" w:type="dxa"/>
            <w:tcBorders/>
            <w:shd w:fill="auto" w:val="clear"/>
            <w:vAlign w:val="bottom"/>
          </w:tcPr>
          <w:p>
            <w:pPr>
              <w:pStyle w:val="TableContents"/>
              <w:spacing w:before="0" w:after="0"/>
              <w:rPr/>
            </w:pPr>
            <w:hyperlink w:anchor="fin108105_19">
              <w:r>
                <w:rPr>
                  <w:rStyle w:val="InternetLink"/>
                  <w:rFonts w:ascii="Times New Roman" w:hAnsi="Times New Roman"/>
                  <w:sz w:val="20"/>
                </w:rPr>
                <w:t>Notes to the Consolidated Financial Statements</w:t>
              </w:r>
            </w:hyperlink>
          </w:p>
        </w:tc>
        <w:tc>
          <w:tcPr>
            <w:tcW w:w="126"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center"/>
              <w:rPr/>
            </w:pPr>
            <w:r>
              <w:rPr/>
              <w:t>F-28</w:t>
            </w:r>
          </w:p>
        </w:tc>
      </w:tr>
    </w:tbl>
    <w:p>
      <w:pPr>
        <w:pStyle w:val="TextBody"/>
        <w:spacing w:before="240" w:after="0"/>
        <w:jc w:val="center"/>
        <w:rPr>
          <w:rFonts w:ascii="Times New Roman" w:hAnsi="Times New Roman"/>
          <w:b/>
          <w:sz w:val="20"/>
        </w:rPr>
      </w:pPr>
      <w:r>
        <w:rPr>
          <w:rFonts w:ascii="Times New Roman" w:hAnsi="Times New Roman"/>
          <w:b/>
          <w:sz w:val="20"/>
        </w:rPr>
        <w:t xml:space="preserve">B2S HOLDINGS, INC. AND SUBSIDIARIES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68"/>
        <w:gridCol w:w="142"/>
        <w:gridCol w:w="60"/>
        <w:gridCol w:w="473"/>
        <w:gridCol w:w="62"/>
      </w:tblGrid>
      <w:tr>
        <w:trPr/>
        <w:tc>
          <w:tcPr>
            <w:tcW w:w="946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68" w:type="dxa"/>
            <w:tcBorders/>
            <w:shd w:fill="CCEEFF" w:val="clear"/>
          </w:tcPr>
          <w:p>
            <w:pPr>
              <w:pStyle w:val="TableContents"/>
              <w:spacing w:before="0" w:after="283"/>
              <w:rPr>
                <w:b/>
              </w:rPr>
            </w:pPr>
            <w:r>
              <w:rPr>
                <w:b/>
              </w:rPr>
              <w:t>Audited Consolidated Financial Statements</w:t>
            </w:r>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73"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9468" w:type="dxa"/>
            <w:tcBorders/>
            <w:shd w:fill="auto" w:val="clear"/>
          </w:tcPr>
          <w:p>
            <w:pPr>
              <w:pStyle w:val="TableContents"/>
              <w:spacing w:before="0" w:after="0"/>
              <w:rPr/>
            </w:pPr>
            <w:hyperlink w:anchor="fin108105_20">
              <w:r>
                <w:rPr>
                  <w:rStyle w:val="InternetLink"/>
                  <w:rFonts w:ascii="Times New Roman" w:hAnsi="Times New Roman"/>
                  <w:sz w:val="20"/>
                </w:rPr>
                <w:t>Independent Auditors Report</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F-62</w:t>
            </w:r>
          </w:p>
        </w:tc>
        <w:tc>
          <w:tcPr>
            <w:tcW w:w="62" w:type="dxa"/>
            <w:tcBorders/>
            <w:shd w:fill="auto" w:val="clear"/>
            <w:vAlign w:val="bottom"/>
          </w:tcPr>
          <w:p>
            <w:pPr>
              <w:pStyle w:val="TableContents"/>
              <w:spacing w:before="0" w:after="283"/>
              <w:rPr/>
            </w:pPr>
            <w:r>
              <w:rPr/>
              <w:t> </w:t>
            </w:r>
          </w:p>
        </w:tc>
      </w:tr>
      <w:tr>
        <w:trPr/>
        <w:tc>
          <w:tcPr>
            <w:tcW w:w="9468" w:type="dxa"/>
            <w:tcBorders/>
            <w:shd w:fill="CCEEFF" w:val="clear"/>
          </w:tcPr>
          <w:p>
            <w:pPr>
              <w:pStyle w:val="TableContents"/>
              <w:spacing w:before="0" w:after="0"/>
              <w:rPr/>
            </w:pPr>
            <w:hyperlink w:anchor="fin108105_21">
              <w:r>
                <w:rPr>
                  <w:rStyle w:val="InternetLink"/>
                  <w:rFonts w:ascii="Times New Roman" w:hAnsi="Times New Roman"/>
                  <w:sz w:val="20"/>
                </w:rPr>
                <w:t>Consolidated Balance Sheets as of December 31, 2019 and 2018</w:t>
              </w:r>
            </w:hyperlink>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jc w:val="right"/>
              <w:rPr/>
            </w:pPr>
            <w:r>
              <w:rPr/>
              <w:t>F-64</w:t>
            </w:r>
          </w:p>
        </w:tc>
        <w:tc>
          <w:tcPr>
            <w:tcW w:w="62" w:type="dxa"/>
            <w:tcBorders/>
            <w:shd w:fill="CCEEFF"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fin108105_22">
              <w:r>
                <w:rPr>
                  <w:rStyle w:val="InternetLink"/>
                  <w:rFonts w:ascii="Times New Roman" w:hAnsi="Times New Roman"/>
                  <w:sz w:val="20"/>
                </w:rPr>
                <w:t>Consolidated Statements of Operations and Comprehensive Income (Loss) for the years ended December 31, 2019 and 2018</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F-65</w:t>
            </w:r>
          </w:p>
        </w:tc>
        <w:tc>
          <w:tcPr>
            <w:tcW w:w="62" w:type="dxa"/>
            <w:tcBorders/>
            <w:shd w:fill="auto" w:val="clear"/>
            <w:vAlign w:val="bottom"/>
          </w:tcPr>
          <w:p>
            <w:pPr>
              <w:pStyle w:val="TableContents"/>
              <w:spacing w:before="0" w:after="283"/>
              <w:rPr/>
            </w:pPr>
            <w:r>
              <w:rPr/>
              <w:t> </w:t>
            </w:r>
          </w:p>
        </w:tc>
      </w:tr>
      <w:tr>
        <w:trPr/>
        <w:tc>
          <w:tcPr>
            <w:tcW w:w="9468" w:type="dxa"/>
            <w:tcBorders/>
            <w:shd w:fill="CCEEFF" w:val="clear"/>
          </w:tcPr>
          <w:p>
            <w:pPr>
              <w:pStyle w:val="TableContents"/>
              <w:spacing w:before="0" w:after="0"/>
              <w:rPr/>
            </w:pPr>
            <w:hyperlink w:anchor="fin108105_23">
              <w:r>
                <w:rPr>
                  <w:rStyle w:val="InternetLink"/>
                  <w:rFonts w:ascii="Times New Roman" w:hAnsi="Times New Roman"/>
                  <w:sz w:val="20"/>
                </w:rPr>
                <w:t>Consolidated Statements of Changes in Shareholders Deficit for the years ended December 31, 2019 and 2018</w:t>
              </w:r>
            </w:hyperlink>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jc w:val="right"/>
              <w:rPr/>
            </w:pPr>
            <w:r>
              <w:rPr/>
              <w:t>F-66</w:t>
            </w:r>
          </w:p>
        </w:tc>
        <w:tc>
          <w:tcPr>
            <w:tcW w:w="62" w:type="dxa"/>
            <w:tcBorders/>
            <w:shd w:fill="CCEEFF"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fin108105_24">
              <w:r>
                <w:rPr>
                  <w:rStyle w:val="InternetLink"/>
                  <w:rFonts w:ascii="Times New Roman" w:hAnsi="Times New Roman"/>
                  <w:sz w:val="20"/>
                </w:rPr>
                <w:t>Consolidated Statements of Cash Flows for the years ended December  31, 2019 and 2018</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F-67</w:t>
            </w:r>
          </w:p>
        </w:tc>
        <w:tc>
          <w:tcPr>
            <w:tcW w:w="62" w:type="dxa"/>
            <w:tcBorders/>
            <w:shd w:fill="auto" w:val="clear"/>
            <w:vAlign w:val="bottom"/>
          </w:tcPr>
          <w:p>
            <w:pPr>
              <w:pStyle w:val="TableContents"/>
              <w:spacing w:before="0" w:after="283"/>
              <w:rPr/>
            </w:pPr>
            <w:r>
              <w:rPr/>
              <w:t> </w:t>
            </w:r>
          </w:p>
        </w:tc>
      </w:tr>
      <w:tr>
        <w:trPr/>
        <w:tc>
          <w:tcPr>
            <w:tcW w:w="9468" w:type="dxa"/>
            <w:tcBorders/>
            <w:shd w:fill="CCEEFF" w:val="clear"/>
          </w:tcPr>
          <w:p>
            <w:pPr>
              <w:pStyle w:val="TableContents"/>
              <w:spacing w:before="0" w:after="0"/>
              <w:rPr/>
            </w:pPr>
            <w:hyperlink w:anchor="fin108105_25">
              <w:r>
                <w:rPr>
                  <w:rStyle w:val="InternetLink"/>
                  <w:rFonts w:ascii="Times New Roman" w:hAnsi="Times New Roman"/>
                  <w:sz w:val="20"/>
                </w:rPr>
                <w:t>Notes to the Consolidated Financial Statements</w:t>
              </w:r>
            </w:hyperlink>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jc w:val="right"/>
              <w:rPr/>
            </w:pPr>
            <w:r>
              <w:rPr/>
              <w:t>F-68</w:t>
            </w:r>
          </w:p>
        </w:tc>
        <w:tc>
          <w:tcPr>
            <w:tcW w:w="62"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3" w:name="fin108105_1"/>
      <w:bookmarkEnd w:id="113"/>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Shareholders and the Board of Directors of </w:t>
      </w:r>
    </w:p>
    <w:p>
      <w:pPr>
        <w:pStyle w:val="TextBody"/>
        <w:spacing w:before="0" w:after="0"/>
        <w:jc w:val="left"/>
        <w:rPr>
          <w:rFonts w:ascii="Times New Roman" w:hAnsi="Times New Roman"/>
          <w:sz w:val="20"/>
        </w:rPr>
      </w:pPr>
      <w:r>
        <w:rPr>
          <w:rFonts w:ascii="Times New Roman" w:hAnsi="Times New Roman"/>
          <w:sz w:val="20"/>
        </w:rPr>
        <w:t xml:space="preserve">VPC Impact Acquisition Holdings </w:t>
      </w:r>
    </w:p>
    <w:p>
      <w:pPr>
        <w:pStyle w:val="TextBody"/>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balance sheet of VPC Impact Acquisition Holdings (the Company) as of December 31, 2020, the related statement of operations, changes in shareholders equity and cash flows for the period from July 31,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 </w:t>
      </w:r>
    </w:p>
    <w:p>
      <w:pPr>
        <w:pStyle w:val="TextBody"/>
        <w:spacing w:before="360" w:after="0"/>
        <w:jc w:val="left"/>
        <w:rPr>
          <w:rFonts w:ascii="Times New Roman" w:hAnsi="Times New Roman"/>
          <w:b/>
          <w:sz w:val="20"/>
        </w:rPr>
      </w:pPr>
      <w:r>
        <w:rPr>
          <w:rFonts w:ascii="Times New Roman" w:hAnsi="Times New Roman"/>
          <w:b/>
          <w:sz w:val="20"/>
        </w:rPr>
        <w:t xml:space="preserve">Basis for Opinion </w:t>
      </w:r>
    </w:p>
    <w:p>
      <w:pPr>
        <w:pStyle w:val="TextBody"/>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spacing w:before="24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2020.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March 30,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bookmarkStart w:id="114" w:name="fin108105_2"/>
      <w:bookmarkEnd w:id="114"/>
      <w:r>
        <w:rPr>
          <w:rFonts w:ascii="Times New Roman" w:hAnsi="Times New Roman"/>
          <w:b/>
          <w:sz w:val="20"/>
        </w:rPr>
        <w:t xml:space="preserve">BALANCE SHEET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511"/>
        <w:gridCol w:w="141"/>
        <w:gridCol w:w="60"/>
        <w:gridCol w:w="1334"/>
        <w:gridCol w:w="159"/>
      </w:tblGrid>
      <w:tr>
        <w:trPr/>
        <w:tc>
          <w:tcPr>
            <w:tcW w:w="851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8511"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33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1,177,678</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234,959</w:t>
            </w:r>
          </w:p>
        </w:tc>
        <w:tc>
          <w:tcPr>
            <w:tcW w:w="159" w:type="dxa"/>
            <w:tcBorders/>
            <w:shd w:fill="auto"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1,412,637</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Cash and marketable securities held in Trust Account</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207,376,213</w:t>
            </w:r>
          </w:p>
        </w:tc>
        <w:tc>
          <w:tcPr>
            <w:tcW w:w="159" w:type="dxa"/>
            <w:tcBorders/>
            <w:shd w:fill="auto"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b/>
              </w:rPr>
            </w:pPr>
            <w:r>
              <w:rPr>
                <w:b/>
              </w:rPr>
              <w:t>208,788,850</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334"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b/>
                <w:sz w:val="20"/>
              </w:rPr>
            </w:pPr>
            <w:r>
              <w:rPr>
                <w:rFonts w:ascii="Times New Roman" w:hAnsi="Times New Roman"/>
                <w:b/>
                <w:sz w:val="20"/>
              </w:rPr>
              <w:t>LIABILITIES AND SHAREHOLDERS EQUITY</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33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893,415</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Accrued offering costs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2,230</w:t>
            </w:r>
          </w:p>
        </w:tc>
        <w:tc>
          <w:tcPr>
            <w:tcW w:w="159" w:type="dxa"/>
            <w:tcBorders/>
            <w:shd w:fill="auto"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895,645</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Deferred underwriting fee payable</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7,258,021</w:t>
            </w:r>
          </w:p>
        </w:tc>
        <w:tc>
          <w:tcPr>
            <w:tcW w:w="159" w:type="dxa"/>
            <w:tcBorders/>
            <w:shd w:fill="auto"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b/>
              </w:rPr>
            </w:pPr>
            <w:r>
              <w:rPr>
                <w:b/>
              </w:rPr>
              <w:t>8,153,666</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8511" w:type="dxa"/>
            <w:tcBorders/>
            <w:shd w:fill="auto" w:val="clear"/>
            <w:vAlign w:val="center"/>
          </w:tcPr>
          <w:p>
            <w:pPr>
              <w:pStyle w:val="TableContents"/>
              <w:spacing w:before="0" w:after="283"/>
              <w:rPr>
                <w:sz w:val="4"/>
                <w:szCs w:val="4"/>
              </w:rPr>
            </w:pPr>
            <w:r>
              <w:rPr>
                <w:sz w:val="4"/>
                <w:szCs w:val="4"/>
              </w:rPr>
            </w:r>
          </w:p>
        </w:tc>
        <w:tc>
          <w:tcPr>
            <w:tcW w:w="1694" w:type="dxa"/>
            <w:gridSpan w:val="4"/>
            <w:tcBorders/>
            <w:shd w:fill="auto" w:val="clear"/>
            <w:vAlign w:val="center"/>
          </w:tcPr>
          <w:p>
            <w:pPr>
              <w:pStyle w:val="TableContents"/>
              <w:spacing w:before="0" w:after="283"/>
              <w:rPr>
                <w:sz w:val="4"/>
                <w:szCs w:val="4"/>
              </w:rPr>
            </w:pPr>
            <w:r>
              <w:rPr>
                <w:sz w:val="4"/>
                <w:szCs w:val="4"/>
              </w:rPr>
            </w:r>
          </w:p>
        </w:tc>
      </w:tr>
      <w:tr>
        <w:trPr/>
        <w:tc>
          <w:tcPr>
            <w:tcW w:w="8511" w:type="dxa"/>
            <w:tcBorders/>
            <w:shd w:fill="auto" w:val="clear"/>
          </w:tcPr>
          <w:p>
            <w:pPr>
              <w:pStyle w:val="TableContents"/>
              <w:spacing w:before="0" w:after="0"/>
              <w:rPr>
                <w:rFonts w:ascii="Times New Roman" w:hAnsi="Times New Roman"/>
                <w:b/>
                <w:sz w:val="20"/>
              </w:rPr>
            </w:pPr>
            <w:r>
              <w:rPr>
                <w:rFonts w:ascii="Times New Roman" w:hAnsi="Times New Roman"/>
                <w:b/>
                <w:sz w:val="20"/>
              </w:rPr>
              <w:t>Commitments and Contingencies (Note 6)</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Class A ordinary shares subject to possible redemption, 19,563,518 shares at $10.00 per share</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195,635,180</w:t>
            </w:r>
          </w:p>
        </w:tc>
        <w:tc>
          <w:tcPr>
            <w:tcW w:w="159" w:type="dxa"/>
            <w:tcBorders/>
            <w:shd w:fill="CCEEFF" w:val="clear"/>
            <w:vAlign w:val="bottom"/>
          </w:tcPr>
          <w:p>
            <w:pPr>
              <w:pStyle w:val="TableContents"/>
              <w:spacing w:before="0" w:after="283"/>
              <w:rPr/>
            </w:pPr>
            <w:r>
              <w:rPr/>
              <w:t> </w:t>
            </w:r>
          </w:p>
        </w:tc>
      </w:tr>
      <w:tr>
        <w:trPr>
          <w:trHeight w:val="120" w:hRule="atLeast"/>
        </w:trPr>
        <w:tc>
          <w:tcPr>
            <w:tcW w:w="8511" w:type="dxa"/>
            <w:tcBorders/>
            <w:shd w:fill="auto" w:val="clear"/>
            <w:vAlign w:val="center"/>
          </w:tcPr>
          <w:p>
            <w:pPr>
              <w:pStyle w:val="TableContents"/>
              <w:spacing w:before="0" w:after="283"/>
              <w:rPr>
                <w:sz w:val="4"/>
                <w:szCs w:val="4"/>
              </w:rPr>
            </w:pPr>
            <w:r>
              <w:rPr>
                <w:sz w:val="4"/>
                <w:szCs w:val="4"/>
              </w:rPr>
            </w:r>
          </w:p>
        </w:tc>
        <w:tc>
          <w:tcPr>
            <w:tcW w:w="1694" w:type="dxa"/>
            <w:gridSpan w:val="4"/>
            <w:tcBorders/>
            <w:shd w:fill="auto" w:val="clear"/>
            <w:vAlign w:val="center"/>
          </w:tcPr>
          <w:p>
            <w:pPr>
              <w:pStyle w:val="TableContents"/>
              <w:spacing w:before="0" w:after="283"/>
              <w:rPr>
                <w:sz w:val="4"/>
                <w:szCs w:val="4"/>
              </w:rPr>
            </w:pPr>
            <w:r>
              <w:rPr>
                <w:sz w:val="4"/>
                <w:szCs w:val="4"/>
              </w:rPr>
            </w:r>
          </w:p>
        </w:tc>
      </w:tr>
      <w:tr>
        <w:trPr/>
        <w:tc>
          <w:tcPr>
            <w:tcW w:w="8511" w:type="dxa"/>
            <w:tcBorders/>
            <w:shd w:fill="auto" w:val="clear"/>
          </w:tcPr>
          <w:p>
            <w:pPr>
              <w:pStyle w:val="TableContents"/>
              <w:spacing w:before="0" w:after="0"/>
              <w:rPr>
                <w:rFonts w:ascii="Times New Roman" w:hAnsi="Times New Roman"/>
                <w:b/>
                <w:sz w:val="20"/>
              </w:rPr>
            </w:pPr>
            <w:r>
              <w:rPr>
                <w:rFonts w:ascii="Times New Roman" w:hAnsi="Times New Roman"/>
                <w:b/>
                <w:sz w:val="20"/>
              </w:rPr>
              <w:t>Shareholders Equity</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Preference shares, $0.0001 par value; 1,000,000 shares authorized; no shares issued and outstanding</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Class A ordinary shares, $0.0001 par value; 200,000,000 shares authorized; 1,173,684 shares issued and outstanding (excluding 19,563,518 shares subject to possible redemption)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118</w:t>
            </w:r>
          </w:p>
        </w:tc>
        <w:tc>
          <w:tcPr>
            <w:tcW w:w="159" w:type="dxa"/>
            <w:tcBorders/>
            <w:shd w:fill="auto" w:val="clear"/>
            <w:vAlign w:val="bottom"/>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Class B ordinary shares, $0.0001 par value; 20,000,000 shares authorized; 5,184,300 shares issued and outstanding(1)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518</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6,002,037</w:t>
            </w:r>
          </w:p>
        </w:tc>
        <w:tc>
          <w:tcPr>
            <w:tcW w:w="159" w:type="dxa"/>
            <w:tcBorders/>
            <w:shd w:fill="auto" w:val="clear"/>
            <w:vAlign w:val="bottom"/>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(1,002,669</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Shareholders Equity</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b/>
              </w:rPr>
            </w:pPr>
            <w:r>
              <w:rPr>
                <w:b/>
              </w:rPr>
              <w:t>5,000,004</w:t>
            </w:r>
          </w:p>
        </w:tc>
        <w:tc>
          <w:tcPr>
            <w:tcW w:w="159" w:type="dxa"/>
            <w:tcBorders/>
            <w:shd w:fill="auto"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1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LIABILITIES AND SHAREHOLDERS EQUITY</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b/>
              </w:rPr>
            </w:pPr>
            <w:r>
              <w:rPr>
                <w:b/>
              </w:rPr>
              <w:t>208,788,850</w:t>
            </w:r>
          </w:p>
        </w:tc>
        <w:tc>
          <w:tcPr>
            <w:tcW w:w="159" w:type="dxa"/>
            <w:tcBorders/>
            <w:shd w:fill="CCEEFF" w:val="clear"/>
            <w:vAlign w:val="bottom"/>
          </w:tcPr>
          <w:p>
            <w:pPr>
              <w:pStyle w:val="TableContents"/>
              <w:spacing w:before="0" w:after="283"/>
              <w:rPr/>
            </w:pPr>
            <w:r>
              <w:rPr/>
              <w:t> </w:t>
            </w:r>
          </w:p>
        </w:tc>
      </w:tr>
      <w:tr>
        <w:trPr/>
        <w:tc>
          <w:tcPr>
            <w:tcW w:w="851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334"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bookmarkStart w:id="115" w:name="fin108105_3"/>
      <w:bookmarkEnd w:id="115"/>
      <w:r>
        <w:rPr>
          <w:rFonts w:ascii="Times New Roman" w:hAnsi="Times New Roman"/>
          <w:b/>
          <w:sz w:val="20"/>
        </w:rPr>
        <w:t xml:space="preserve">STATEMENT OF OPERATIONS </w:t>
      </w:r>
    </w:p>
    <w:p>
      <w:pPr>
        <w:pStyle w:val="TextBody"/>
        <w:spacing w:before="0" w:after="0"/>
        <w:jc w:val="center"/>
        <w:rPr>
          <w:rFonts w:ascii="Times New Roman" w:hAnsi="Times New Roman"/>
          <w:b/>
          <w:sz w:val="20"/>
        </w:rPr>
      </w:pPr>
      <w:r>
        <w:rPr>
          <w:rFonts w:ascii="Times New Roman" w:hAnsi="Times New Roman"/>
          <w:b/>
          <w:sz w:val="20"/>
        </w:rPr>
        <w:t xml:space="preserve">FOR THE PERIOD FROM JULY 31, 2020 (INCEPTION) THROUGH 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563"/>
        <w:gridCol w:w="232"/>
        <w:gridCol w:w="149"/>
        <w:gridCol w:w="1102"/>
        <w:gridCol w:w="159"/>
      </w:tblGrid>
      <w:tr>
        <w:trPr/>
        <w:tc>
          <w:tcPr>
            <w:tcW w:w="856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8563"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23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1,006,862</w:t>
            </w:r>
          </w:p>
        </w:tc>
        <w:tc>
          <w:tcPr>
            <w:tcW w:w="159" w:type="dxa"/>
            <w:tcBorders/>
            <w:shd w:fill="CCEEFF" w:val="clear"/>
            <w:vAlign w:val="bottom"/>
          </w:tcPr>
          <w:p>
            <w:pPr>
              <w:pStyle w:val="TableContents"/>
              <w:spacing w:before="0" w:after="283"/>
              <w:rPr/>
            </w:pPr>
            <w:r>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63" w:type="dxa"/>
            <w:tcBorders/>
            <w:shd w:fill="auto"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b/>
              </w:rPr>
            </w:pPr>
            <w:r>
              <w:rPr>
                <w:b/>
              </w:rPr>
              <w:t>(1,006,862</w:t>
            </w:r>
          </w:p>
        </w:tc>
        <w:tc>
          <w:tcPr>
            <w:tcW w:w="159" w:type="dxa"/>
            <w:tcBorders/>
            <w:shd w:fill="auto" w:val="clear"/>
            <w:vAlign w:val="bottom"/>
          </w:tcPr>
          <w:p>
            <w:pPr>
              <w:pStyle w:val="TableContents"/>
              <w:spacing w:before="0" w:after="283"/>
              <w:rPr>
                <w:b/>
              </w:rPr>
            </w:pPr>
            <w:r>
              <w:rPr>
                <w:b/>
              </w:rPr>
              <w:t>) </w:t>
            </w:r>
          </w:p>
        </w:tc>
      </w:tr>
      <w:tr>
        <w:trPr/>
        <w:tc>
          <w:tcPr>
            <w:tcW w:w="8563"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w:t>
            </w:r>
          </w:p>
        </w:tc>
        <w:tc>
          <w:tcPr>
            <w:tcW w:w="23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8563" w:type="dxa"/>
            <w:tcBorders/>
            <w:shd w:fill="auto" w:val="clear"/>
          </w:tcPr>
          <w:p>
            <w:pPr>
              <w:pStyle w:val="TableContents"/>
              <w:spacing w:before="0" w:after="0"/>
              <w:rPr>
                <w:rFonts w:ascii="Times New Roman" w:hAnsi="Times New Roman"/>
                <w:sz w:val="20"/>
              </w:rPr>
            </w:pPr>
            <w:r>
              <w:rPr>
                <w:rFonts w:ascii="Times New Roman" w:hAnsi="Times New Roman"/>
                <w:sz w:val="20"/>
              </w:rPr>
              <w:t>Interest earned on marketable securities held in Trust Account</w:t>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4,193</w:t>
            </w:r>
          </w:p>
        </w:tc>
        <w:tc>
          <w:tcPr>
            <w:tcW w:w="159" w:type="dxa"/>
            <w:tcBorders/>
            <w:shd w:fill="auto" w:val="clear"/>
            <w:vAlign w:val="bottom"/>
          </w:tcPr>
          <w:p>
            <w:pPr>
              <w:pStyle w:val="TableContents"/>
              <w:spacing w:before="0" w:after="283"/>
              <w:rPr/>
            </w:pPr>
            <w:r>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63"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23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b/>
              </w:rPr>
            </w:pPr>
            <w:r>
              <w:rPr>
                <w:b/>
              </w:rPr>
              <w:t>$</w:t>
            </w:r>
          </w:p>
        </w:tc>
        <w:tc>
          <w:tcPr>
            <w:tcW w:w="1102" w:type="dxa"/>
            <w:tcBorders/>
            <w:shd w:fill="CCEEFF" w:val="clear"/>
            <w:vAlign w:val="bottom"/>
          </w:tcPr>
          <w:p>
            <w:pPr>
              <w:pStyle w:val="TableContents"/>
              <w:spacing w:before="0" w:after="283"/>
              <w:jc w:val="right"/>
              <w:rPr>
                <w:b/>
              </w:rPr>
            </w:pPr>
            <w:r>
              <w:rPr>
                <w:b/>
              </w:rPr>
              <w:t>(1,002,669</w:t>
            </w:r>
          </w:p>
        </w:tc>
        <w:tc>
          <w:tcPr>
            <w:tcW w:w="159" w:type="dxa"/>
            <w:tcBorders/>
            <w:shd w:fill="CCEEFF" w:val="clear"/>
            <w:vAlign w:val="bottom"/>
          </w:tcPr>
          <w:p>
            <w:pPr>
              <w:pStyle w:val="TableContents"/>
              <w:spacing w:before="0" w:after="283"/>
              <w:rPr>
                <w:b/>
              </w:rPr>
            </w:pPr>
            <w:r>
              <w:rPr>
                <w:b/>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63" w:type="dxa"/>
            <w:tcBorders/>
            <w:shd w:fill="auto" w:val="clea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563" w:type="dxa"/>
            <w:tcBorders/>
            <w:shd w:fill="CCEEFF" w:val="clear"/>
          </w:tcPr>
          <w:p>
            <w:pPr>
              <w:pStyle w:val="TableContents"/>
              <w:spacing w:before="0" w:after="0"/>
              <w:rPr>
                <w:rFonts w:ascii="Times New Roman" w:hAnsi="Times New Roman"/>
                <w:sz w:val="20"/>
              </w:rPr>
            </w:pPr>
            <w:r>
              <w:rPr>
                <w:rFonts w:ascii="Times New Roman" w:hAnsi="Times New Roman"/>
                <w:sz w:val="20"/>
              </w:rPr>
              <w:t>Weighted average shares outstanding of Class A redeemable ordinary shares</w:t>
            </w:r>
          </w:p>
        </w:tc>
        <w:tc>
          <w:tcPr>
            <w:tcW w:w="23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20,737,202</w:t>
            </w:r>
          </w:p>
        </w:tc>
        <w:tc>
          <w:tcPr>
            <w:tcW w:w="159" w:type="dxa"/>
            <w:tcBorders/>
            <w:shd w:fill="CCEEFF" w:val="clear"/>
            <w:vAlign w:val="bottom"/>
          </w:tcPr>
          <w:p>
            <w:pPr>
              <w:pStyle w:val="TableContents"/>
              <w:spacing w:before="0" w:after="283"/>
              <w:rPr/>
            </w:pPr>
            <w:r>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63" w:type="dxa"/>
            <w:tcBorders/>
            <w:shd w:fill="auto" w:val="clear"/>
          </w:tcPr>
          <w:p>
            <w:pPr>
              <w:pStyle w:val="TableContents"/>
              <w:spacing w:before="0" w:after="0"/>
              <w:rPr>
                <w:rFonts w:ascii="Times New Roman" w:hAnsi="Times New Roman"/>
                <w:b/>
                <w:sz w:val="20"/>
              </w:rPr>
            </w:pPr>
            <w:r>
              <w:rPr>
                <w:rFonts w:ascii="Times New Roman" w:hAnsi="Times New Roman"/>
                <w:b/>
                <w:sz w:val="20"/>
              </w:rPr>
              <w:t>Basic and diluted net income per share, Class A</w:t>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b/>
              </w:rPr>
            </w:pPr>
            <w:r>
              <w:rPr>
                <w:b/>
              </w:rPr>
              <w:t>$</w:t>
            </w:r>
          </w:p>
        </w:tc>
        <w:tc>
          <w:tcPr>
            <w:tcW w:w="1102" w:type="dxa"/>
            <w:tcBorders/>
            <w:shd w:fill="auto" w:val="clear"/>
            <w:vAlign w:val="bottom"/>
          </w:tcPr>
          <w:p>
            <w:pPr>
              <w:pStyle w:val="TableContents"/>
              <w:spacing w:before="0" w:after="283"/>
              <w:jc w:val="right"/>
              <w:rPr>
                <w:b/>
              </w:rPr>
            </w:pPr>
            <w:r>
              <w:rPr>
                <w:b/>
              </w:rPr>
              <w:t>  </w:t>
            </w:r>
          </w:p>
        </w:tc>
        <w:tc>
          <w:tcPr>
            <w:tcW w:w="159" w:type="dxa"/>
            <w:tcBorders/>
            <w:shd w:fill="auto" w:val="clear"/>
            <w:vAlign w:val="bottom"/>
          </w:tcPr>
          <w:p>
            <w:pPr>
              <w:pStyle w:val="TableContents"/>
              <w:spacing w:before="0" w:after="283"/>
              <w:rPr/>
            </w:pPr>
            <w:r>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63"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Weighted average shares outstanding of Class B non-redeemable ordinary shares(1) </w:t>
            </w:r>
          </w:p>
        </w:tc>
        <w:tc>
          <w:tcPr>
            <w:tcW w:w="23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5,184,300</w:t>
            </w:r>
          </w:p>
        </w:tc>
        <w:tc>
          <w:tcPr>
            <w:tcW w:w="159" w:type="dxa"/>
            <w:tcBorders/>
            <w:shd w:fill="CCEEFF" w:val="clear"/>
            <w:vAlign w:val="bottom"/>
          </w:tcPr>
          <w:p>
            <w:pPr>
              <w:pStyle w:val="TableContents"/>
              <w:spacing w:before="0" w:after="283"/>
              <w:rPr/>
            </w:pPr>
            <w:r>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563" w:type="dxa"/>
            <w:tcBorders/>
            <w:shd w:fill="auto" w:val="clear"/>
          </w:tcPr>
          <w:p>
            <w:pPr>
              <w:pStyle w:val="TableContents"/>
              <w:spacing w:before="0" w:after="0"/>
              <w:rPr>
                <w:rFonts w:ascii="Times New Roman" w:hAnsi="Times New Roman"/>
                <w:b/>
                <w:sz w:val="20"/>
              </w:rPr>
            </w:pPr>
            <w:r>
              <w:rPr>
                <w:rFonts w:ascii="Times New Roman" w:hAnsi="Times New Roman"/>
                <w:b/>
                <w:sz w:val="20"/>
              </w:rPr>
              <w:t>Basic and diluted net loss per share, Class B</w:t>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b/>
              </w:rPr>
            </w:pPr>
            <w:r>
              <w:rPr>
                <w:b/>
              </w:rPr>
              <w:t>$</w:t>
            </w:r>
          </w:p>
        </w:tc>
        <w:tc>
          <w:tcPr>
            <w:tcW w:w="1102" w:type="dxa"/>
            <w:tcBorders/>
            <w:shd w:fill="auto" w:val="clear"/>
            <w:vAlign w:val="bottom"/>
          </w:tcPr>
          <w:p>
            <w:pPr>
              <w:pStyle w:val="TableContents"/>
              <w:spacing w:before="0" w:after="283"/>
              <w:jc w:val="right"/>
              <w:rPr>
                <w:b/>
              </w:rPr>
            </w:pPr>
            <w:r>
              <w:rPr>
                <w:b/>
              </w:rPr>
              <w:t>(0.19</w:t>
            </w:r>
          </w:p>
        </w:tc>
        <w:tc>
          <w:tcPr>
            <w:tcW w:w="159" w:type="dxa"/>
            <w:tcBorders/>
            <w:shd w:fill="auto" w:val="clear"/>
            <w:vAlign w:val="bottom"/>
          </w:tcPr>
          <w:p>
            <w:pPr>
              <w:pStyle w:val="TableContents"/>
              <w:spacing w:before="0" w:after="283"/>
              <w:rPr>
                <w:b/>
              </w:rPr>
            </w:pPr>
            <w:r>
              <w:rPr>
                <w:b/>
              </w:rPr>
              <w:t>) </w:t>
            </w:r>
          </w:p>
        </w:tc>
      </w:tr>
      <w:tr>
        <w:trPr/>
        <w:tc>
          <w:tcPr>
            <w:tcW w:w="856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bookmarkStart w:id="116" w:name="fin108105_4"/>
      <w:bookmarkEnd w:id="116"/>
      <w:r>
        <w:rPr>
          <w:rFonts w:ascii="Times New Roman" w:hAnsi="Times New Roman"/>
          <w:b/>
          <w:sz w:val="20"/>
        </w:rPr>
        <w:t xml:space="preserve">STATEMENT OF CHANGES IN SHAREHOLDERS EQUITY </w:t>
      </w:r>
    </w:p>
    <w:p>
      <w:pPr>
        <w:pStyle w:val="TextBody"/>
        <w:spacing w:before="0" w:after="0"/>
        <w:jc w:val="center"/>
        <w:rPr>
          <w:rFonts w:ascii="Times New Roman" w:hAnsi="Times New Roman"/>
          <w:b/>
          <w:sz w:val="20"/>
        </w:rPr>
      </w:pPr>
      <w:r>
        <w:rPr>
          <w:rFonts w:ascii="Times New Roman" w:hAnsi="Times New Roman"/>
          <w:b/>
          <w:sz w:val="20"/>
        </w:rPr>
        <w:t xml:space="preserve">FOR THE PERIOD FROM JULY 31, 2020 (INCEPTION) THROUGH DECEMBER 31, 2020 </w:t>
      </w:r>
    </w:p>
    <w:p>
      <w:pPr>
        <w:pStyle w:val="TextBody"/>
        <w:spacing w:before="0" w:after="0"/>
        <w:jc w:val="left"/>
        <w:rPr/>
      </w:pPr>
      <w:r>
        <w:rPr/>
        <w:t> </w:t>
      </w:r>
    </w:p>
    <w:tbl>
      <w:tblPr>
        <w:tblW w:w="10740" w:type="dxa"/>
        <w:jc w:val="center"/>
        <w:tblInd w:w="0" w:type="dxa"/>
        <w:tblCellMar>
          <w:top w:w="0" w:type="dxa"/>
          <w:left w:w="0" w:type="dxa"/>
          <w:bottom w:w="0" w:type="dxa"/>
          <w:right w:w="0" w:type="dxa"/>
        </w:tblCellMar>
      </w:tblPr>
      <w:tblGrid>
        <w:gridCol w:w="1175"/>
        <w:gridCol w:w="60"/>
        <w:gridCol w:w="60"/>
        <w:gridCol w:w="1175"/>
        <w:gridCol w:w="155"/>
        <w:gridCol w:w="60"/>
        <w:gridCol w:w="155"/>
        <w:gridCol w:w="705"/>
        <w:gridCol w:w="155"/>
        <w:gridCol w:w="60"/>
        <w:gridCol w:w="60"/>
        <w:gridCol w:w="980"/>
        <w:gridCol w:w="155"/>
        <w:gridCol w:w="60"/>
        <w:gridCol w:w="231"/>
        <w:gridCol w:w="629"/>
        <w:gridCol w:w="155"/>
        <w:gridCol w:w="60"/>
        <w:gridCol w:w="140"/>
        <w:gridCol w:w="1295"/>
        <w:gridCol w:w="155"/>
        <w:gridCol w:w="60"/>
        <w:gridCol w:w="140"/>
        <w:gridCol w:w="1055"/>
        <w:gridCol w:w="155"/>
        <w:gridCol w:w="60"/>
        <w:gridCol w:w="140"/>
        <w:gridCol w:w="1295"/>
        <w:gridCol w:w="155"/>
      </w:tblGrid>
      <w:tr>
        <w:trPr/>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0" w:type="dxa"/>
            <w:gridSpan w:val="6"/>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Class A</w:t>
            </w:r>
          </w:p>
          <w:p>
            <w:pPr>
              <w:pStyle w:val="TableContents"/>
              <w:spacing w:before="0" w:after="20"/>
              <w:jc w:val="center"/>
              <w:rPr>
                <w:rFonts w:ascii="Times New Roman" w:hAnsi="Times New Roman"/>
                <w:b/>
                <w:sz w:val="16"/>
              </w:rPr>
            </w:pPr>
            <w:r>
              <w:rPr>
                <w:rFonts w:ascii="Times New Roman" w:hAnsi="Times New Roman"/>
                <w:b/>
                <w:sz w:val="16"/>
              </w:rPr>
              <w:t>Ordinary 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5" w:type="dxa"/>
            <w:gridSpan w:val="6"/>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Class B</w:t>
            </w:r>
          </w:p>
          <w:p>
            <w:pPr>
              <w:pStyle w:val="TableContents"/>
              <w:spacing w:before="0" w:after="20"/>
              <w:jc w:val="center"/>
              <w:rPr>
                <w:rFonts w:ascii="Times New Roman" w:hAnsi="Times New Roman"/>
                <w:b/>
                <w:sz w:val="16"/>
              </w:rPr>
            </w:pPr>
            <w:r>
              <w:rPr>
                <w:rFonts w:ascii="Times New Roman" w:hAnsi="Times New Roman"/>
                <w:b/>
                <w:sz w:val="16"/>
              </w:rPr>
              <w:t>Ordinary 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Additional</w:t>
            </w:r>
          </w:p>
          <w:p>
            <w:pPr>
              <w:pStyle w:val="TableContents"/>
              <w:spacing w:before="0" w:after="20"/>
              <w:jc w:val="center"/>
              <w:rPr>
                <w:rFonts w:ascii="Times New Roman" w:hAnsi="Times New Roman"/>
                <w:b/>
                <w:sz w:val="16"/>
              </w:rPr>
            </w:pPr>
            <w:r>
              <w:rPr>
                <w:rFonts w:ascii="Times New Roman" w:hAnsi="Times New Roman"/>
                <w:b/>
                <w:sz w:val="16"/>
              </w:rPr>
              <w:t>Paid in</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shd w:fill="auto" w:val="clear"/>
            <w:vAlign w:val="bottom"/>
          </w:tcPr>
          <w:p>
            <w:pPr>
              <w:pStyle w:val="TableContents"/>
              <w:spacing w:before="0" w:after="283"/>
              <w:jc w:val="center"/>
              <w:rPr>
                <w:b/>
              </w:rPr>
            </w:pPr>
            <w:r>
              <w:rPr>
                <w:b/>
              </w:rPr>
              <w:t>Retained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Total</w:t>
            </w:r>
          </w:p>
          <w:p>
            <w:pPr>
              <w:pStyle w:val="TableContents"/>
              <w:spacing w:before="0" w:after="20"/>
              <w:jc w:val="center"/>
              <w:rPr>
                <w:rFonts w:ascii="Times New Roman" w:hAnsi="Times New Roman"/>
                <w:b/>
                <w:sz w:val="16"/>
              </w:rPr>
            </w:pPr>
            <w:r>
              <w:rPr>
                <w:rFonts w:ascii="Times New Roman" w:hAnsi="Times New Roman"/>
                <w:b/>
                <w:sz w:val="16"/>
              </w:rPr>
              <w:t>Shareholders</w:t>
            </w:r>
          </w:p>
        </w:tc>
        <w:tc>
          <w:tcPr>
            <w:tcW w:w="155" w:type="dxa"/>
            <w:tcBorders/>
            <w:shd w:fill="auto"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Capital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Earnings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r>
          </w:p>
        </w:tc>
        <w:tc>
          <w:tcPr>
            <w:tcW w:w="155" w:type="dxa"/>
            <w:tcBorders/>
            <w:shd w:fill="auto" w:val="clear"/>
            <w:vAlign w:val="bottom"/>
          </w:tcPr>
          <w:p>
            <w:pPr>
              <w:pStyle w:val="TableContents"/>
              <w:spacing w:before="0" w:after="283"/>
              <w:rPr/>
            </w:pPr>
            <w:r>
              <w:rPr/>
              <w:t> </w:t>
            </w:r>
          </w:p>
        </w:tc>
      </w:tr>
      <w:tr>
        <w:trPr/>
        <w:tc>
          <w:tcPr>
            <w:tcW w:w="1175"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BalanceJuly 31, 2020 (inception)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b/>
              </w:rPr>
            </w:pPr>
            <w:r>
              <w:rPr>
                <w:b/>
              </w:rPr>
              <w:t>$</w:t>
            </w:r>
          </w:p>
        </w:tc>
        <w:tc>
          <w:tcPr>
            <w:tcW w:w="70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b/>
              </w:rPr>
            </w:pPr>
            <w:r>
              <w:rPr>
                <w:b/>
              </w:rPr>
              <w:t>$</w:t>
            </w:r>
          </w:p>
        </w:tc>
        <w:tc>
          <w:tcPr>
            <w:tcW w:w="629"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29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5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29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r>
      <w:tr>
        <w:trPr/>
        <w:tc>
          <w:tcPr>
            <w:tcW w:w="117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Issuance of Class B ordinary shares to Sponsor(1)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5,750,000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pPr>
            <w:r>
              <w:rPr/>
              <w:t>575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24,425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25,000</w:t>
            </w:r>
          </w:p>
        </w:tc>
        <w:tc>
          <w:tcPr>
            <w:tcW w:w="155" w:type="dxa"/>
            <w:tcBorders/>
            <w:shd w:fill="auto" w:val="clear"/>
            <w:vAlign w:val="bottom"/>
          </w:tcPr>
          <w:p>
            <w:pPr>
              <w:pStyle w:val="TableContents"/>
              <w:spacing w:before="0" w:after="283"/>
              <w:rPr/>
            </w:pPr>
            <w:r>
              <w:rPr/>
              <w:t> </w:t>
            </w:r>
          </w:p>
        </w:tc>
      </w:tr>
      <w:tr>
        <w:trPr/>
        <w:tc>
          <w:tcPr>
            <w:tcW w:w="1175" w:type="dxa"/>
            <w:tcBorders/>
            <w:shd w:fill="CCEEFF" w:val="clear"/>
          </w:tcPr>
          <w:p>
            <w:pPr>
              <w:pStyle w:val="TableContents"/>
              <w:spacing w:before="0" w:after="0"/>
              <w:rPr>
                <w:rFonts w:ascii="Times New Roman" w:hAnsi="Times New Roman"/>
                <w:sz w:val="20"/>
              </w:rPr>
            </w:pPr>
            <w:r>
              <w:rPr>
                <w:rFonts w:ascii="Times New Roman" w:hAnsi="Times New Roman"/>
                <w:sz w:val="20"/>
              </w:rPr>
              <w:t>Forfeiture of 565,700 Sponsor shares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(565,700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175" w:type="dxa"/>
            <w:tcBorders/>
            <w:shd w:fill="auto" w:val="clear"/>
          </w:tcPr>
          <w:p>
            <w:pPr>
              <w:pStyle w:val="TableContents"/>
              <w:spacing w:before="0" w:after="0"/>
              <w:rPr>
                <w:rFonts w:ascii="Times New Roman" w:hAnsi="Times New Roman"/>
                <w:sz w:val="20"/>
              </w:rPr>
            </w:pPr>
            <w:r>
              <w:rPr>
                <w:rFonts w:ascii="Times New Roman" w:hAnsi="Times New Roman"/>
                <w:sz w:val="20"/>
              </w:rPr>
              <w:t>Sale of 20,737,202 Units, net of underwriting discounts and offering costs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20,737,202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2,074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195,463,339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195,465,413</w:t>
            </w:r>
          </w:p>
        </w:tc>
        <w:tc>
          <w:tcPr>
            <w:tcW w:w="155" w:type="dxa"/>
            <w:tcBorders/>
            <w:shd w:fill="auto" w:val="clear"/>
            <w:vAlign w:val="bottom"/>
          </w:tcPr>
          <w:p>
            <w:pPr>
              <w:pStyle w:val="TableContents"/>
              <w:spacing w:before="0" w:after="283"/>
              <w:rPr/>
            </w:pPr>
            <w:r>
              <w:rPr/>
              <w:t> </w:t>
            </w:r>
          </w:p>
        </w:tc>
      </w:tr>
      <w:tr>
        <w:trPr/>
        <w:tc>
          <w:tcPr>
            <w:tcW w:w="1175" w:type="dxa"/>
            <w:tcBorders/>
            <w:shd w:fill="CCEEFF" w:val="clear"/>
          </w:tcPr>
          <w:p>
            <w:pPr>
              <w:pStyle w:val="TableContents"/>
              <w:spacing w:before="0" w:after="0"/>
              <w:rPr>
                <w:rFonts w:ascii="Times New Roman" w:hAnsi="Times New Roman"/>
                <w:sz w:val="20"/>
              </w:rPr>
            </w:pPr>
            <w:r>
              <w:rPr>
                <w:rFonts w:ascii="Times New Roman" w:hAnsi="Times New Roman"/>
                <w:sz w:val="20"/>
              </w:rPr>
              <w:t>Sale of 6,147,440 Private Placement Warrants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6,147,440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6,147,440</w:t>
            </w:r>
          </w:p>
        </w:tc>
        <w:tc>
          <w:tcPr>
            <w:tcW w:w="155" w:type="dxa"/>
            <w:tcBorders/>
            <w:shd w:fill="CCEEFF" w:val="clear"/>
            <w:vAlign w:val="bottom"/>
          </w:tcPr>
          <w:p>
            <w:pPr>
              <w:pStyle w:val="TableContents"/>
              <w:spacing w:before="0" w:after="283"/>
              <w:rPr/>
            </w:pPr>
            <w:r>
              <w:rPr/>
              <w:t> </w:t>
            </w:r>
          </w:p>
        </w:tc>
      </w:tr>
      <w:tr>
        <w:trPr/>
        <w:tc>
          <w:tcPr>
            <w:tcW w:w="1175" w:type="dxa"/>
            <w:tcBorders/>
            <w:shd w:fill="auto" w:val="clear"/>
          </w:tcPr>
          <w:p>
            <w:pPr>
              <w:pStyle w:val="TableContents"/>
              <w:spacing w:before="0" w:after="0"/>
              <w:rPr>
                <w:rFonts w:ascii="Times New Roman" w:hAnsi="Times New Roman"/>
                <w:sz w:val="20"/>
              </w:rPr>
            </w:pPr>
            <w:r>
              <w:rPr>
                <w:rFonts w:ascii="Times New Roman" w:hAnsi="Times New Roman"/>
                <w:sz w:val="20"/>
              </w:rPr>
              <w:t>Ordinary shares subject to possible redemption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(19,563,518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(1,956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(195,633,224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(195,635,180</w:t>
            </w:r>
          </w:p>
        </w:tc>
        <w:tc>
          <w:tcPr>
            <w:tcW w:w="155" w:type="dxa"/>
            <w:tcBorders/>
            <w:shd w:fill="auto" w:val="clear"/>
            <w:vAlign w:val="bottom"/>
          </w:tcPr>
          <w:p>
            <w:pPr>
              <w:pStyle w:val="TableContents"/>
              <w:spacing w:before="0" w:after="283"/>
              <w:rPr/>
            </w:pPr>
            <w:r>
              <w:rPr/>
              <w:t> </w:t>
            </w:r>
          </w:p>
        </w:tc>
      </w:tr>
      <w:tr>
        <w:trPr/>
        <w:tc>
          <w:tcPr>
            <w:tcW w:w="1175" w:type="dxa"/>
            <w:tcBorders/>
            <w:shd w:fill="CCEEFF" w:val="clear"/>
          </w:tcPr>
          <w:p>
            <w:pPr>
              <w:pStyle w:val="TableContents"/>
              <w:spacing w:before="0" w:after="0"/>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(1,002,669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(1,002,669</w:t>
            </w:r>
          </w:p>
        </w:tc>
        <w:tc>
          <w:tcPr>
            <w:tcW w:w="155" w:type="dxa"/>
            <w:tcBorders/>
            <w:shd w:fill="CCEEFF"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6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175"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BalanceDecember 31, 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b/>
              </w:rPr>
            </w:pPr>
            <w:r>
              <w:rPr>
                <w:b/>
              </w:rPr>
              <w:t>1,173,684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b/>
              </w:rPr>
            </w:pPr>
            <w:r>
              <w:rPr>
                <w:b/>
              </w:rPr>
              <w:t>$</w:t>
            </w:r>
          </w:p>
        </w:tc>
        <w:tc>
          <w:tcPr>
            <w:tcW w:w="705" w:type="dxa"/>
            <w:tcBorders/>
            <w:shd w:fill="auto" w:val="clear"/>
            <w:vAlign w:val="bottom"/>
          </w:tcPr>
          <w:p>
            <w:pPr>
              <w:pStyle w:val="TableContents"/>
              <w:spacing w:before="0" w:after="283"/>
              <w:jc w:val="right"/>
              <w:rPr>
                <w:b/>
              </w:rPr>
            </w:pPr>
            <w:r>
              <w:rPr>
                <w:b/>
              </w:rPr>
              <w:t xml:space="preserve">118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5,184,300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b/>
              </w:rPr>
            </w:pPr>
            <w:r>
              <w:rPr>
                <w:b/>
              </w:rPr>
              <w:t>$</w:t>
            </w:r>
          </w:p>
        </w:tc>
        <w:tc>
          <w:tcPr>
            <w:tcW w:w="629" w:type="dxa"/>
            <w:tcBorders/>
            <w:shd w:fill="auto" w:val="clear"/>
            <w:vAlign w:val="bottom"/>
          </w:tcPr>
          <w:p>
            <w:pPr>
              <w:pStyle w:val="TableContents"/>
              <w:spacing w:before="0" w:after="283"/>
              <w:jc w:val="right"/>
              <w:rPr>
                <w:b/>
              </w:rPr>
            </w:pPr>
            <w:r>
              <w:rPr>
                <w:b/>
              </w:rPr>
              <w:t>518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295" w:type="dxa"/>
            <w:tcBorders/>
            <w:shd w:fill="auto" w:val="clear"/>
            <w:vAlign w:val="bottom"/>
          </w:tcPr>
          <w:p>
            <w:pPr>
              <w:pStyle w:val="TableContents"/>
              <w:spacing w:before="0" w:after="283"/>
              <w:jc w:val="right"/>
              <w:rPr>
                <w:b/>
              </w:rPr>
            </w:pPr>
            <w:r>
              <w:rPr>
                <w:b/>
              </w:rPr>
              <w:t xml:space="preserve">6,002,037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055" w:type="dxa"/>
            <w:tcBorders/>
            <w:shd w:fill="auto" w:val="clear"/>
            <w:vAlign w:val="bottom"/>
          </w:tcPr>
          <w:p>
            <w:pPr>
              <w:pStyle w:val="TableContents"/>
              <w:spacing w:before="0" w:after="283"/>
              <w:jc w:val="right"/>
              <w:rPr>
                <w:b/>
              </w:rPr>
            </w:pPr>
            <w:r>
              <w:rPr>
                <w:b/>
              </w:rPr>
              <w:t>(1,002,669</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295" w:type="dxa"/>
            <w:tcBorders/>
            <w:shd w:fill="auto" w:val="clear"/>
            <w:vAlign w:val="bottom"/>
          </w:tcPr>
          <w:p>
            <w:pPr>
              <w:pStyle w:val="TableContents"/>
              <w:spacing w:before="0" w:after="283"/>
              <w:jc w:val="right"/>
              <w:rPr>
                <w:b/>
              </w:rPr>
            </w:pPr>
            <w:r>
              <w:rPr>
                <w:b/>
              </w:rPr>
              <w:t xml:space="preserve">5,000,004 </w:t>
            </w:r>
          </w:p>
        </w:tc>
        <w:tc>
          <w:tcPr>
            <w:tcW w:w="155" w:type="dxa"/>
            <w:tcBorders/>
            <w:shd w:fill="auto"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17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7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62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5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bookmarkStart w:id="117" w:name="fin108105_5"/>
      <w:bookmarkEnd w:id="117"/>
      <w:r>
        <w:rPr>
          <w:rFonts w:ascii="Times New Roman" w:hAnsi="Times New Roman"/>
          <w:b/>
          <w:sz w:val="20"/>
        </w:rPr>
        <w:t xml:space="preserve">STATEMENT OF CASH FLOWS </w:t>
      </w:r>
    </w:p>
    <w:p>
      <w:pPr>
        <w:pStyle w:val="TextBody"/>
        <w:spacing w:before="0" w:after="0"/>
        <w:jc w:val="center"/>
        <w:rPr>
          <w:rFonts w:ascii="Times New Roman" w:hAnsi="Times New Roman"/>
          <w:b/>
          <w:sz w:val="20"/>
        </w:rPr>
      </w:pPr>
      <w:r>
        <w:rPr>
          <w:rFonts w:ascii="Times New Roman" w:hAnsi="Times New Roman"/>
          <w:b/>
          <w:sz w:val="20"/>
        </w:rPr>
        <w:t xml:space="preserve">FOR THE PERIOD FROM JULY 31, 2020 (INCEPTION) THROUGH 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268"/>
        <w:gridCol w:w="325"/>
        <w:gridCol w:w="140"/>
        <w:gridCol w:w="1309"/>
        <w:gridCol w:w="163"/>
      </w:tblGrid>
      <w:tr>
        <w:trPr/>
        <w:tc>
          <w:tcPr>
            <w:tcW w:w="826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Net income (loss)</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09" w:type="dxa"/>
            <w:tcBorders/>
            <w:shd w:fill="auto" w:val="clear"/>
            <w:vAlign w:val="bottom"/>
          </w:tcPr>
          <w:p>
            <w:pPr>
              <w:pStyle w:val="TableContents"/>
              <w:spacing w:before="0" w:after="283"/>
              <w:jc w:val="right"/>
              <w:rPr/>
            </w:pPr>
            <w:r>
              <w:rPr/>
              <w:t>(1,002,669</w:t>
            </w:r>
          </w:p>
        </w:tc>
        <w:tc>
          <w:tcPr>
            <w:tcW w:w="163" w:type="dxa"/>
            <w:tcBorders/>
            <w:shd w:fill="auto" w:val="clear"/>
            <w:vAlign w:val="bottom"/>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income (loss) to net cash used in operating activities: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Interest earned on marketable securities held in Trust Account</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(4,193</w:t>
            </w:r>
          </w:p>
        </w:tc>
        <w:tc>
          <w:tcPr>
            <w:tcW w:w="163" w:type="dxa"/>
            <w:tcBorders/>
            <w:shd w:fill="auto" w:val="clear"/>
            <w:vAlign w:val="bottom"/>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costs paid by Sponsor in exchange for Founder shares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6,606</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(234,959</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893,415</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used in operating activities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(341,800</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auto" w:val="clea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Investment of cash in Trust Account</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(207,372,020</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used in investing activities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(207,372,020</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auto" w:val="clea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sale of Units, net of underwriting discounts paid</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203,224,580</w:t>
            </w:r>
          </w:p>
        </w:tc>
        <w:tc>
          <w:tcPr>
            <w:tcW w:w="163" w:type="dxa"/>
            <w:tcBorders/>
            <w:shd w:fill="auto" w:val="clear"/>
            <w:vAlign w:val="bottom"/>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sale of Private Placements Warrants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6,147,440</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Repayment of promissory noterelated party</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(82,729</w:t>
            </w:r>
          </w:p>
        </w:tc>
        <w:tc>
          <w:tcPr>
            <w:tcW w:w="163" w:type="dxa"/>
            <w:tcBorders/>
            <w:shd w:fill="auto" w:val="clear"/>
            <w:vAlign w:val="bottom"/>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Payment of offering costs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(397,793</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b/>
                <w:sz w:val="20"/>
              </w:rPr>
            </w:pPr>
            <w:r>
              <w:rPr>
                <w:rFonts w:ascii="Times New Roman" w:hAnsi="Times New Roman"/>
                <w:b/>
                <w:sz w:val="20"/>
              </w:rPr>
              <w:t>Net cash provided by financing activities</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b/>
              </w:rPr>
            </w:pPr>
            <w:r>
              <w:rPr>
                <w:b/>
              </w:rPr>
              <w:t>208,891,498</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8268" w:type="dxa"/>
            <w:tcBorders/>
            <w:shd w:fill="auto" w:val="clear"/>
            <w:vAlign w:val="center"/>
          </w:tcPr>
          <w:p>
            <w:pPr>
              <w:pStyle w:val="TableContents"/>
              <w:spacing w:before="0" w:after="283"/>
              <w:rPr>
                <w:sz w:val="4"/>
                <w:szCs w:val="4"/>
              </w:rPr>
            </w:pPr>
            <w:r>
              <w:rPr>
                <w:sz w:val="4"/>
                <w:szCs w:val="4"/>
              </w:rPr>
            </w:r>
          </w:p>
        </w:tc>
        <w:tc>
          <w:tcPr>
            <w:tcW w:w="1937" w:type="dxa"/>
            <w:gridSpan w:val="4"/>
            <w:tcBorders/>
            <w:shd w:fill="auto" w:val="clear"/>
            <w:vAlign w:val="center"/>
          </w:tcPr>
          <w:p>
            <w:pPr>
              <w:pStyle w:val="TableContents"/>
              <w:spacing w:before="0" w:after="283"/>
              <w:rPr>
                <w:sz w:val="4"/>
                <w:szCs w:val="4"/>
              </w:rPr>
            </w:pPr>
            <w:r>
              <w:rPr>
                <w:sz w:val="4"/>
                <w:szCs w:val="4"/>
              </w:rPr>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Change in Cash</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1,177,678</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CashBeginning</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9"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CashEnding</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309" w:type="dxa"/>
            <w:tcBorders/>
            <w:shd w:fill="CCEEFF" w:val="clear"/>
            <w:vAlign w:val="bottom"/>
          </w:tcPr>
          <w:p>
            <w:pPr>
              <w:pStyle w:val="TableContents"/>
              <w:spacing w:before="0" w:after="283"/>
              <w:jc w:val="right"/>
              <w:rPr/>
            </w:pPr>
            <w:r>
              <w:rPr/>
              <w:t>1,177,678</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8268" w:type="dxa"/>
            <w:tcBorders/>
            <w:shd w:fill="auto" w:val="clear"/>
            <w:vAlign w:val="center"/>
          </w:tcPr>
          <w:p>
            <w:pPr>
              <w:pStyle w:val="TableContents"/>
              <w:spacing w:before="0" w:after="283"/>
              <w:rPr>
                <w:sz w:val="4"/>
                <w:szCs w:val="4"/>
              </w:rPr>
            </w:pPr>
            <w:r>
              <w:rPr>
                <w:sz w:val="4"/>
                <w:szCs w:val="4"/>
              </w:rPr>
            </w:r>
          </w:p>
        </w:tc>
        <w:tc>
          <w:tcPr>
            <w:tcW w:w="1937" w:type="dxa"/>
            <w:gridSpan w:val="4"/>
            <w:tcBorders/>
            <w:shd w:fill="auto" w:val="clear"/>
            <w:vAlign w:val="center"/>
          </w:tcPr>
          <w:p>
            <w:pPr>
              <w:pStyle w:val="TableContents"/>
              <w:spacing w:before="0" w:after="283"/>
              <w:rPr>
                <w:sz w:val="4"/>
                <w:szCs w:val="4"/>
              </w:rPr>
            </w:pPr>
            <w:r>
              <w:rPr>
                <w:sz w:val="4"/>
                <w:szCs w:val="4"/>
              </w:rPr>
            </w:r>
          </w:p>
        </w:tc>
      </w:tr>
      <w:tr>
        <w:trPr/>
        <w:tc>
          <w:tcPr>
            <w:tcW w:w="8268" w:type="dxa"/>
            <w:tcBorders/>
            <w:shd w:fill="auto" w:val="clear"/>
          </w:tcPr>
          <w:p>
            <w:pPr>
              <w:pStyle w:val="TableContents"/>
              <w:spacing w:before="0" w:after="0"/>
              <w:rPr>
                <w:rFonts w:ascii="Times New Roman" w:hAnsi="Times New Roman"/>
                <w:b/>
                <w:sz w:val="20"/>
              </w:rPr>
            </w:pPr>
            <w:r>
              <w:rPr>
                <w:rFonts w:ascii="Times New Roman" w:hAnsi="Times New Roman"/>
                <w:b/>
                <w:sz w:val="20"/>
              </w:rPr>
              <w:t>Non-Cash Investing and Financing Activities:</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Initial classification of Class A ordinary shares subject to possible redemption</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09" w:type="dxa"/>
            <w:tcBorders/>
            <w:shd w:fill="CCEEFF" w:val="clear"/>
            <w:vAlign w:val="bottom"/>
          </w:tcPr>
          <w:p>
            <w:pPr>
              <w:pStyle w:val="TableContents"/>
              <w:spacing w:before="0" w:after="283"/>
              <w:jc w:val="right"/>
              <w:rPr/>
            </w:pPr>
            <w:r>
              <w:rPr/>
              <w:t>196,631,240</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Change in value of Class A ordinary shares subject to possible redemption</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09" w:type="dxa"/>
            <w:tcBorders/>
            <w:shd w:fill="auto" w:val="clear"/>
            <w:vAlign w:val="bottom"/>
          </w:tcPr>
          <w:p>
            <w:pPr>
              <w:pStyle w:val="TableContents"/>
              <w:spacing w:before="0" w:after="283"/>
              <w:jc w:val="right"/>
              <w:rPr/>
            </w:pPr>
            <w:r>
              <w:rPr/>
              <w:t>(996,060</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underwriting fee payable</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09" w:type="dxa"/>
            <w:tcBorders/>
            <w:shd w:fill="CCEEFF" w:val="clear"/>
            <w:vAlign w:val="bottom"/>
          </w:tcPr>
          <w:p>
            <w:pPr>
              <w:pStyle w:val="TableContents"/>
              <w:spacing w:before="0" w:after="283"/>
              <w:jc w:val="right"/>
              <w:rPr/>
            </w:pPr>
            <w:r>
              <w:rPr/>
              <w:t>7,258,021</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Payment of offering costs through promissory note</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09" w:type="dxa"/>
            <w:tcBorders/>
            <w:shd w:fill="auto" w:val="clear"/>
            <w:vAlign w:val="bottom"/>
          </w:tcPr>
          <w:p>
            <w:pPr>
              <w:pStyle w:val="TableContents"/>
              <w:spacing w:before="0" w:after="283"/>
              <w:jc w:val="right"/>
              <w:rPr/>
            </w:pPr>
            <w:r>
              <w:rPr/>
              <w:t>82,729</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Offering costs paid by Sponsor in exchange for issuance of Founder shares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09" w:type="dxa"/>
            <w:tcBorders/>
            <w:shd w:fill="CCEEFF" w:val="clear"/>
            <w:vAlign w:val="bottom"/>
          </w:tcPr>
          <w:p>
            <w:pPr>
              <w:pStyle w:val="TableContents"/>
              <w:spacing w:before="0" w:after="283"/>
              <w:jc w:val="right"/>
              <w:rPr/>
            </w:pPr>
            <w:r>
              <w:rPr/>
              <w:t>18,394</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auto" w:val="clear"/>
          </w:tcPr>
          <w:p>
            <w:pPr>
              <w:pStyle w:val="TableContents"/>
              <w:spacing w:before="0" w:after="0"/>
              <w:rPr>
                <w:rFonts w:ascii="Times New Roman" w:hAnsi="Times New Roman"/>
                <w:sz w:val="20"/>
              </w:rPr>
            </w:pPr>
            <w:r>
              <w:rPr>
                <w:rFonts w:ascii="Times New Roman" w:hAnsi="Times New Roman"/>
                <w:sz w:val="20"/>
              </w:rPr>
              <w:t>Offering costs included in accrued offering costs</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09" w:type="dxa"/>
            <w:tcBorders/>
            <w:shd w:fill="auto" w:val="clear"/>
            <w:vAlign w:val="bottom"/>
          </w:tcPr>
          <w:p>
            <w:pPr>
              <w:pStyle w:val="TableContents"/>
              <w:spacing w:before="0" w:after="283"/>
              <w:jc w:val="right"/>
              <w:rPr/>
            </w:pPr>
            <w:r>
              <w:rPr/>
              <w:t>2,230</w:t>
            </w:r>
          </w:p>
        </w:tc>
        <w:tc>
          <w:tcPr>
            <w:tcW w:w="163" w:type="dxa"/>
            <w:tcBorders/>
            <w:shd w:fill="auto"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8268" w:type="dxa"/>
            <w:tcBorders/>
            <w:shd w:fill="CCEEFF" w:val="clear"/>
          </w:tcPr>
          <w:p>
            <w:pPr>
              <w:pStyle w:val="TableContents"/>
              <w:spacing w:before="0" w:after="0"/>
              <w:rPr>
                <w:rFonts w:ascii="Times New Roman" w:hAnsi="Times New Roman"/>
                <w:sz w:val="20"/>
              </w:rPr>
            </w:pPr>
            <w:r>
              <w:rPr>
                <w:rFonts w:ascii="Times New Roman" w:hAnsi="Times New Roman"/>
                <w:sz w:val="20"/>
              </w:rPr>
              <w:t>Forfeiture of Founder Shares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09" w:type="dxa"/>
            <w:tcBorders/>
            <w:shd w:fill="CCEEFF" w:val="clear"/>
            <w:vAlign w:val="bottom"/>
          </w:tcPr>
          <w:p>
            <w:pPr>
              <w:pStyle w:val="TableContents"/>
              <w:spacing w:before="0" w:after="283"/>
              <w:jc w:val="right"/>
              <w:rPr/>
            </w:pPr>
            <w:r>
              <w:rPr/>
              <w:t>(57</w:t>
            </w:r>
          </w:p>
        </w:tc>
        <w:tc>
          <w:tcPr>
            <w:tcW w:w="163" w:type="dxa"/>
            <w:tcBorders/>
            <w:shd w:fill="CCEEFF" w:val="clear"/>
            <w:vAlign w:val="bottom"/>
          </w:tcPr>
          <w:p>
            <w:pPr>
              <w:pStyle w:val="TableContents"/>
              <w:spacing w:before="0" w:after="283"/>
              <w:rPr/>
            </w:pPr>
            <w:r>
              <w:rPr/>
              <w:t>) </w:t>
            </w:r>
          </w:p>
        </w:tc>
      </w:tr>
      <w:tr>
        <w:trPr/>
        <w:tc>
          <w:tcPr>
            <w:tcW w:w="8268"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9"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8" w:name="fin108105_6"/>
      <w:bookmarkEnd w:id="118"/>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240" w:after="0"/>
        <w:jc w:val="left"/>
        <w:rPr>
          <w:rFonts w:ascii="Times New Roman" w:hAnsi="Times New Roman"/>
          <w:b/>
          <w:sz w:val="20"/>
        </w:rPr>
      </w:pPr>
      <w:r>
        <w:rPr>
          <w:rFonts w:ascii="Times New Roman" w:hAnsi="Times New Roman"/>
          <w:b/>
          <w:sz w:val="20"/>
        </w:rPr>
        <w:t xml:space="preserve">NOTE 1DESCRIPTION OF ORGANIZATION AND BUSINESS OPERATIONS </w:t>
      </w:r>
    </w:p>
    <w:p>
      <w:pPr>
        <w:pStyle w:val="TextBody"/>
        <w:spacing w:before="120" w:after="0"/>
        <w:jc w:val="left"/>
        <w:rPr>
          <w:rFonts w:ascii="Times New Roman" w:hAnsi="Times New Roman"/>
          <w:sz w:val="20"/>
        </w:rPr>
      </w:pPr>
      <w:r>
        <w:rPr>
          <w:rFonts w:ascii="Times New Roman" w:hAnsi="Times New Roman"/>
          <w:sz w:val="20"/>
        </w:rPr>
        <w:t xml:space="preserve">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 </w:t>
      </w:r>
    </w:p>
    <w:p>
      <w:pPr>
        <w:pStyle w:val="TextBody"/>
        <w:spacing w:before="240" w:after="0"/>
        <w:jc w:val="left"/>
        <w:rPr>
          <w:rFonts w:ascii="Times New Roman" w:hAnsi="Times New Roman"/>
          <w:sz w:val="20"/>
        </w:rPr>
      </w:pPr>
      <w:r>
        <w:rPr>
          <w:rFonts w:ascii="Times New Roman" w:hAnsi="Times New Roman"/>
          <w:sz w:val="20"/>
        </w:rPr>
        <w:t xml:space="preserve">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 </w:t>
      </w:r>
    </w:p>
    <w:p>
      <w:pPr>
        <w:pStyle w:val="TextBody"/>
        <w:spacing w:before="24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 </w:t>
      </w:r>
    </w:p>
    <w:p>
      <w:pPr>
        <w:pStyle w:val="TextBody"/>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 </w:t>
      </w:r>
    </w:p>
    <w:p>
      <w:pPr>
        <w:pStyle w:val="TextBody"/>
        <w:spacing w:before="240" w:after="0"/>
        <w:jc w:val="left"/>
        <w:rPr>
          <w:rFonts w:ascii="Times New Roman" w:hAnsi="Times New Roman"/>
          <w:sz w:val="20"/>
        </w:rPr>
      </w:pPr>
      <w:r>
        <w:rPr>
          <w:rFonts w:ascii="Times New Roman" w:hAnsi="Times New Roman"/>
          <w:sz w:val="20"/>
        </w:rPr>
        <w:t xml:space="preserve">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 at $1.00 per Private Warrant, generating total gross proceeds of $7,519,460. </w:t>
      </w:r>
    </w:p>
    <w:p>
      <w:pPr>
        <w:pStyle w:val="TextBody"/>
        <w:spacing w:before="240" w:after="0"/>
        <w:jc w:val="left"/>
        <w:rPr>
          <w:rFonts w:ascii="Times New Roman" w:hAnsi="Times New Roman"/>
          <w:sz w:val="20"/>
        </w:rPr>
      </w:pPr>
      <w:r>
        <w:rPr>
          <w:rFonts w:ascii="Times New Roman" w:hAnsi="Times New Roman"/>
          <w:sz w:val="20"/>
        </w:rPr>
        <w:t xml:space="preserve">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Initial Public Offering on September 25, 2020 and the partial exercise of the underwriters over-allotment on October 1, 2020, an amount of $207,372,020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 </w:t>
      </w:r>
    </w:p>
    <w:p>
      <w:pPr>
        <w:pStyle w:val="TextBody"/>
        <w:spacing w:before="240" w:after="0"/>
        <w:jc w:val="left"/>
        <w:rPr>
          <w:rFonts w:ascii="Times New Roman" w:hAnsi="Times New Roman"/>
          <w:sz w:val="20"/>
        </w:rPr>
      </w:pPr>
      <w:r>
        <w:rPr>
          <w:rFonts w:ascii="Times New Roman" w:hAnsi="Times New Roman"/>
          <w:sz w:val="20"/>
        </w:rPr>
        <w:t xml:space="preserve">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 </w:t>
      </w:r>
    </w:p>
    <w:p>
      <w:pPr>
        <w:pStyle w:val="TextBody"/>
        <w:spacing w:before="240" w:after="0"/>
        <w:jc w:val="left"/>
        <w:rPr>
          <w:rFonts w:ascii="Times New Roman" w:hAnsi="Times New Roman"/>
          <w:sz w:val="20"/>
        </w:rPr>
      </w:pPr>
      <w:r>
        <w:rPr>
          <w:rFonts w:ascii="Times New Roman" w:hAnsi="Times New Roman"/>
          <w:sz w:val="20"/>
        </w:rPr>
        <w:t xml:space="preserve">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 </w:t>
      </w:r>
    </w:p>
    <w:p>
      <w:pPr>
        <w:pStyle w:val="TextBody"/>
        <w:spacing w:before="240" w:after="0"/>
        <w:jc w:val="left"/>
        <w:rPr>
          <w:rFonts w:ascii="Times New Roman" w:hAnsi="Times New Roman"/>
          <w:sz w:val="20"/>
        </w:rPr>
      </w:pPr>
      <w:r>
        <w:rPr>
          <w:rFonts w:ascii="Times New Roman" w:hAnsi="Times New Roman"/>
          <w:sz w:val="20"/>
        </w:rPr>
        <w:t xml:space="preserve">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 </w:t>
      </w:r>
    </w:p>
    <w:p>
      <w:pPr>
        <w:pStyle w:val="TextBody"/>
        <w:spacing w:before="240" w:after="0"/>
        <w:jc w:val="left"/>
        <w:rPr>
          <w:rFonts w:ascii="Times New Roman" w:hAnsi="Times New Roman"/>
          <w:sz w:val="20"/>
        </w:rPr>
      </w:pPr>
      <w:r>
        <w:rPr>
          <w:rFonts w:ascii="Times New Roman" w:hAnsi="Times New Roman"/>
          <w:sz w:val="20"/>
        </w:rPr>
        <w:t xml:space="preserve">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 </w:t>
      </w:r>
    </w:p>
    <w:p>
      <w:pPr>
        <w:pStyle w:val="TextBody"/>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registered public accounting firm), prospective target businesses or other entities with which the Company does business, execute agreements with the Company waiving any right, title, interest or claim of any kind in or to monies held in the Trust Account. </w:t>
      </w:r>
    </w:p>
    <w:p>
      <w:pPr>
        <w:pStyle w:val="TextBody"/>
        <w:spacing w:before="0" w:after="0"/>
        <w:jc w:val="left"/>
        <w:rPr>
          <w:rFonts w:ascii="Times New Roman" w:hAnsi="Times New Roman"/>
          <w:sz w:val="20"/>
        </w:rPr>
      </w:pPr>
      <w:r>
        <w:rPr>
          <w:rFonts w:ascii="Times New Roman" w:hAnsi="Times New Roman"/>
          <w:sz w:val="20"/>
        </w:rPr>
        <w:t xml:space="preserve">Francis </w:t>
      </w:r>
    </w:p>
    <w:p>
      <w:pPr>
        <w:pStyle w:val="TextBody"/>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As of December 31, 2020, the Company had approximately $1.2 million in its operating bank accounts and working capital of approximately $0.5 million. </w:t>
      </w:r>
    </w:p>
    <w:p>
      <w:pPr>
        <w:pStyle w:val="TextBody"/>
        <w:spacing w:before="240" w:after="0"/>
        <w:jc w:val="left"/>
        <w:rPr>
          <w:rFonts w:ascii="Times New Roman" w:hAnsi="Times New Roman"/>
          <w:sz w:val="20"/>
        </w:rPr>
      </w:pPr>
      <w:r>
        <w:rPr>
          <w:rFonts w:ascii="Times New Roman" w:hAnsi="Times New Roman"/>
          <w:sz w:val="20"/>
        </w:rPr>
        <w:t xml:space="preserve">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5). As of December 31, 2020, there were no amounts outstanding under any Working Capital Loan. </w:t>
      </w:r>
    </w:p>
    <w:p>
      <w:pPr>
        <w:pStyle w:val="TextBody"/>
        <w:spacing w:before="240" w:after="0"/>
        <w:jc w:val="left"/>
        <w:rPr>
          <w:rFonts w:ascii="Times New Roman" w:hAnsi="Times New Roman"/>
          <w:sz w:val="20"/>
        </w:rPr>
      </w:pPr>
      <w:r>
        <w:rPr>
          <w:rFonts w:ascii="Times New Roman" w:hAnsi="Times New Roman"/>
          <w:sz w:val="20"/>
        </w:rPr>
        <w:t xml:space="preserve">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NOTE 2SUMMARY OF SIGNIFICANT ACCOUNTING POLICIES </w:t>
      </w:r>
    </w:p>
    <w:p>
      <w:pPr>
        <w:pStyle w:val="TextBody"/>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accounting principles generally accepted in the United States of America (U.S. GAAP) and pursuant to the rules and regulations of the SEC. </w:t>
      </w:r>
    </w:p>
    <w:p>
      <w:pPr>
        <w:pStyle w:val="TextBody"/>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w:t>
      </w:r>
    </w:p>
    <w:p>
      <w:pPr>
        <w:pStyle w:val="TextBody"/>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 </w:t>
      </w:r>
    </w:p>
    <w:p>
      <w:pPr>
        <w:pStyle w:val="TextBody"/>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no cash equivalents as of December 31, 2020. </w:t>
      </w:r>
    </w:p>
    <w:p>
      <w:pPr>
        <w:pStyle w:val="TextBody"/>
        <w:spacing w:before="360" w:after="0"/>
        <w:jc w:val="left"/>
        <w:rPr>
          <w:rFonts w:ascii="Times New Roman" w:hAnsi="Times New Roman"/>
          <w:b/>
          <w:i/>
          <w:sz w:val="20"/>
        </w:rPr>
      </w:pPr>
      <w:r>
        <w:rPr>
          <w:rFonts w:ascii="Times New Roman" w:hAnsi="Times New Roman"/>
          <w:b/>
          <w:i/>
          <w:sz w:val="20"/>
        </w:rPr>
        <w:t xml:space="preserve">Investments held in Trust Account </w:t>
      </w:r>
    </w:p>
    <w:p>
      <w:pPr>
        <w:pStyle w:val="TextBody"/>
        <w:spacing w:before="120" w:after="0"/>
        <w:jc w:val="left"/>
        <w:rPr>
          <w:rFonts w:ascii="Times New Roman" w:hAnsi="Times New Roman"/>
          <w:sz w:val="20"/>
        </w:rPr>
      </w:pPr>
      <w:r>
        <w:rPr>
          <w:rFonts w:ascii="Times New Roman" w:hAnsi="Times New Roman"/>
          <w:sz w:val="20"/>
        </w:rPr>
        <w:t xml:space="preserve">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statement of operations. The estimated fair values of investments held in the Trust Account are determined using available market information. </w:t>
      </w:r>
    </w:p>
    <w:p>
      <w:pPr>
        <w:pStyle w:val="TextBody"/>
        <w:spacing w:before="360" w:after="0"/>
        <w:jc w:val="left"/>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Class A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December 31, 2020, 19,563,518 Class A ordinary shares subject to possible redemption are presented as temporary equity, outside of the shareholders equity section of the Companys balance sheet.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b/>
          <w:i/>
          <w:sz w:val="20"/>
        </w:rPr>
      </w:pPr>
      <w:r>
        <w:rPr>
          <w:rFonts w:ascii="Times New Roman" w:hAnsi="Times New Roman"/>
          <w:b/>
          <w:i/>
          <w:sz w:val="20"/>
        </w:rPr>
        <w:t xml:space="preserve">Offering Costs </w:t>
      </w:r>
    </w:p>
    <w:p>
      <w:pPr>
        <w:pStyle w:val="TextBody"/>
        <w:spacing w:before="120" w:after="0"/>
        <w:jc w:val="left"/>
        <w:rPr>
          <w:rFonts w:ascii="Times New Roman" w:hAnsi="Times New Roman"/>
          <w:sz w:val="20"/>
        </w:rPr>
      </w:pPr>
      <w:r>
        <w:rPr>
          <w:rFonts w:ascii="Times New Roman" w:hAnsi="Times New Roman"/>
          <w:sz w:val="20"/>
        </w:rPr>
        <w:t xml:space="preserve">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 </w:t>
      </w:r>
    </w:p>
    <w:p>
      <w:pPr>
        <w:pStyle w:val="TextBody"/>
        <w:spacing w:before="360" w:after="0"/>
        <w:jc w:val="left"/>
        <w:rPr>
          <w:rFonts w:ascii="Times New Roman" w:hAnsi="Times New Roman"/>
          <w:b/>
          <w:i/>
          <w:sz w:val="20"/>
        </w:rPr>
      </w:pPr>
      <w:r>
        <w:rPr>
          <w:rFonts w:ascii="Times New Roman" w:hAnsi="Times New Roman"/>
          <w:b/>
          <w:i/>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 </w:t>
      </w:r>
    </w:p>
    <w:p>
      <w:pPr>
        <w:pStyle w:val="TextBody"/>
        <w:spacing w:before="360" w:after="0"/>
        <w:jc w:val="left"/>
        <w:rPr>
          <w:rFonts w:ascii="Times New Roman" w:hAnsi="Times New Roman"/>
          <w:b/>
          <w:i/>
          <w:sz w:val="20"/>
        </w:rPr>
      </w:pPr>
      <w:r>
        <w:rPr>
          <w:rFonts w:ascii="Times New Roman" w:hAnsi="Times New Roman"/>
          <w:b/>
          <w:i/>
          <w:sz w:val="20"/>
        </w:rPr>
        <w:t xml:space="preserve">Net Loss Per Ordinary Share </w:t>
      </w:r>
    </w:p>
    <w:p>
      <w:pPr>
        <w:pStyle w:val="TextBody"/>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income (loss) per share is computed by dividing net income (loss) by the weighted average 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16,516,041 shares of Class A ordinary shares in the aggregate. </w:t>
      </w:r>
    </w:p>
    <w:p>
      <w:pPr>
        <w:pStyle w:val="TextBody"/>
        <w:spacing w:before="240" w:after="0"/>
        <w:jc w:val="left"/>
        <w:rPr>
          <w:rFonts w:ascii="Times New Roman" w:hAnsi="Times New Roman"/>
          <w:sz w:val="20"/>
        </w:rPr>
      </w:pPr>
      <w:r>
        <w:rPr>
          <w:rFonts w:ascii="Times New Roman" w:hAnsi="Times New Roman"/>
          <w:sz w:val="20"/>
        </w:rPr>
        <w:t xml:space="preserve">The Companys statement of operations includes a presentation of income (loss) per share for ordinary shares subject to possible redemption in a manner similar to the two-class method of income (loss) per share. Net income per share, basic and diluted, for Class A redeemable ordinary shares is calculated by dividing the interest income earned on the Trust Account of $4,193 for the period from July 31, 2020 (inception) through December 31, 2020 by the weighted average number of Class A redeemable ordinary shares outstanding for the period. Net loss per share, basic and diluted, for Class B non-redeemable ordinary shares is calculated by dividing the net loss, adjusted for income attributable to Class A redeemable ordinary shares of $4,193 by the weighted average number of Class B non-redeemable ordinary shares outstanding for the period. Class B non-redeemable ordinary shares includes the Founder Shares as these shares do not have any redemption features and do not participate in the income earned on the Trust Account.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 following table reflects the calculation of basic and diluted net income (loss) per ordinary share (in dollars, except per share amounts):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09"/>
        <w:gridCol w:w="427"/>
        <w:gridCol w:w="156"/>
        <w:gridCol w:w="1302"/>
        <w:gridCol w:w="161"/>
      </w:tblGrid>
      <w:tr>
        <w:trPr/>
        <w:tc>
          <w:tcPr>
            <w:tcW w:w="57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0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458" w:type="dxa"/>
            <w:gridSpan w:val="2"/>
            <w:tcBorders>
              <w:bottom w:val="single" w:sz="8" w:space="0" w:color="000000"/>
            </w:tcBorders>
            <w:shd w:fill="auto" w:val="clear"/>
            <w:tcMar>
              <w:bottom w:w="28" w:type="dxa"/>
            </w:tcMar>
            <w:vAlign w:val="bottom"/>
          </w:tcPr>
          <w:p>
            <w:pPr>
              <w:pStyle w:val="TableContents"/>
              <w:spacing w:before="0" w:after="283"/>
              <w:jc w:val="center"/>
              <w:rPr/>
            </w:pPr>
            <w:r>
              <w:rPr/>
              <w:t>For the Period</w:t>
              <w:br/>
              <w:t>from</w:t>
              <w:br/>
              <w:t>July 31, 2020</w:t>
              <w:br/>
              <w:t>(inception)</w:t>
              <w:br/>
              <w:t>Through</w:t>
              <w:br/>
              <w:t>December 31,</w:t>
              <w:br/>
              <w:t>2020</w:t>
            </w:r>
          </w:p>
        </w:tc>
        <w:tc>
          <w:tcPr>
            <w:tcW w:w="161" w:type="dxa"/>
            <w:tcBorders/>
            <w:shd w:fill="auto" w:val="clear"/>
            <w:vAlign w:val="bottom"/>
          </w:tcPr>
          <w:p>
            <w:pPr>
              <w:pStyle w:val="TableContents"/>
              <w:spacing w:before="0" w:after="283"/>
              <w:rPr/>
            </w:pPr>
            <w:r>
              <w:rPr/>
              <w:t> </w:t>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Redeemable Class A Ordinary Shares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sz w:val="4"/>
                <w:szCs w:val="4"/>
              </w:rPr>
            </w:pPr>
            <w:r>
              <w:rPr>
                <w:sz w:val="4"/>
                <w:szCs w:val="4"/>
              </w:rPr>
            </w:r>
          </w:p>
        </w:tc>
        <w:tc>
          <w:tcPr>
            <w:tcW w:w="1302"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Numerator: Earnings allocable to Redeemable Class A Ordinary Shares</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sz w:val="4"/>
                <w:szCs w:val="4"/>
              </w:rPr>
            </w:pPr>
            <w:r>
              <w:rPr>
                <w:sz w:val="4"/>
                <w:szCs w:val="4"/>
              </w:rPr>
            </w:r>
          </w:p>
        </w:tc>
        <w:tc>
          <w:tcPr>
            <w:tcW w:w="1302"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Interest Income</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1302" w:type="dxa"/>
            <w:tcBorders/>
            <w:shd w:fill="CCEEFF" w:val="clear"/>
            <w:vAlign w:val="bottom"/>
          </w:tcPr>
          <w:p>
            <w:pPr>
              <w:pStyle w:val="TableContents"/>
              <w:spacing w:before="0" w:after="283"/>
              <w:jc w:val="right"/>
              <w:rPr/>
            </w:pPr>
            <w:r>
              <w:rPr/>
              <w:t>4,193</w:t>
            </w:r>
          </w:p>
        </w:tc>
        <w:tc>
          <w:tcPr>
            <w:tcW w:w="161" w:type="dxa"/>
            <w:tcBorders/>
            <w:shd w:fill="CCEEFF" w:val="clear"/>
            <w:vAlign w:val="bottom"/>
          </w:tcPr>
          <w:p>
            <w:pPr>
              <w:pStyle w:val="TableContents"/>
              <w:spacing w:before="0" w:after="283"/>
              <w:rPr/>
            </w:pPr>
            <w:r>
              <w:rPr/>
              <w:t> </w:t>
            </w:r>
          </w:p>
        </w:tc>
      </w:tr>
      <w:tr>
        <w:trPr/>
        <w:tc>
          <w:tcPr>
            <w:tcW w:w="570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130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Redeemable Net Earnings</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w:t>
            </w:r>
          </w:p>
        </w:tc>
        <w:tc>
          <w:tcPr>
            <w:tcW w:w="1302" w:type="dxa"/>
            <w:tcBorders/>
            <w:shd w:fill="auto" w:val="clear"/>
            <w:vAlign w:val="bottom"/>
          </w:tcPr>
          <w:p>
            <w:pPr>
              <w:pStyle w:val="TableContents"/>
              <w:spacing w:before="0" w:after="283"/>
              <w:jc w:val="right"/>
              <w:rPr/>
            </w:pPr>
            <w:r>
              <w:rPr/>
              <w:t>4,193</w:t>
            </w:r>
          </w:p>
        </w:tc>
        <w:tc>
          <w:tcPr>
            <w:tcW w:w="161" w:type="dxa"/>
            <w:tcBorders/>
            <w:shd w:fill="auto" w:val="clear"/>
            <w:vAlign w:val="bottom"/>
          </w:tcPr>
          <w:p>
            <w:pPr>
              <w:pStyle w:val="TableContents"/>
              <w:spacing w:before="0" w:after="283"/>
              <w:rPr/>
            </w:pPr>
            <w:r>
              <w:rPr/>
              <w:t> </w:t>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Denominator: Weighted Average Redeemable Class A Ordinary Shares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sz w:val="4"/>
                <w:szCs w:val="4"/>
              </w:rPr>
            </w:pPr>
            <w:r>
              <w:rPr>
                <w:sz w:val="4"/>
                <w:szCs w:val="4"/>
              </w:rPr>
            </w:r>
          </w:p>
        </w:tc>
        <w:tc>
          <w:tcPr>
            <w:tcW w:w="1302"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Redeemable Class A Ordinary Shares, Basic and Diluted</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20,737,202</w:t>
            </w:r>
          </w:p>
        </w:tc>
        <w:tc>
          <w:tcPr>
            <w:tcW w:w="161" w:type="dxa"/>
            <w:tcBorders/>
            <w:shd w:fill="auto" w:val="clear"/>
            <w:vAlign w:val="bottom"/>
          </w:tcPr>
          <w:p>
            <w:pPr>
              <w:pStyle w:val="TableContents"/>
              <w:spacing w:before="0" w:after="283"/>
              <w:rPr/>
            </w:pPr>
            <w:r>
              <w:rPr/>
              <w:t> </w:t>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Earnings/Basic and Diluted Redeemable Class A Ordinary Shares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1302"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rHeight w:val="120" w:hRule="atLeast"/>
        </w:trPr>
        <w:tc>
          <w:tcPr>
            <w:tcW w:w="5709" w:type="dxa"/>
            <w:tcBorders/>
            <w:shd w:fill="auto" w:val="clear"/>
            <w:vAlign w:val="center"/>
          </w:tcPr>
          <w:p>
            <w:pPr>
              <w:pStyle w:val="TableContents"/>
              <w:spacing w:before="0" w:after="283"/>
              <w:rPr>
                <w:sz w:val="4"/>
                <w:szCs w:val="4"/>
              </w:rPr>
            </w:pPr>
            <w:r>
              <w:rPr>
                <w:sz w:val="4"/>
                <w:szCs w:val="4"/>
              </w:rPr>
            </w:r>
          </w:p>
        </w:tc>
        <w:tc>
          <w:tcPr>
            <w:tcW w:w="2046" w:type="dxa"/>
            <w:gridSpan w:val="4"/>
            <w:tcBorders/>
            <w:shd w:fill="auto" w:val="clear"/>
            <w:vAlign w:val="center"/>
          </w:tcPr>
          <w:p>
            <w:pPr>
              <w:pStyle w:val="TableContents"/>
              <w:spacing w:before="0" w:after="283"/>
              <w:rPr>
                <w:sz w:val="4"/>
                <w:szCs w:val="4"/>
              </w:rPr>
            </w:pPr>
            <w:r>
              <w:rPr>
                <w:sz w:val="4"/>
                <w:szCs w:val="4"/>
              </w:rPr>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Non-Redeemable Class B Ordinary Shares</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sz w:val="4"/>
                <w:szCs w:val="4"/>
              </w:rPr>
            </w:pPr>
            <w:r>
              <w:rPr>
                <w:sz w:val="4"/>
                <w:szCs w:val="4"/>
              </w:rPr>
            </w:r>
          </w:p>
        </w:tc>
        <w:tc>
          <w:tcPr>
            <w:tcW w:w="1302"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Numerator: Net Income (Loss) minus Redeemable Net Earnings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sz w:val="4"/>
                <w:szCs w:val="4"/>
              </w:rPr>
            </w:pPr>
            <w:r>
              <w:rPr>
                <w:sz w:val="4"/>
                <w:szCs w:val="4"/>
              </w:rPr>
            </w:r>
          </w:p>
        </w:tc>
        <w:tc>
          <w:tcPr>
            <w:tcW w:w="1302"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Net Income (Loss)</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w:t>
            </w:r>
          </w:p>
        </w:tc>
        <w:tc>
          <w:tcPr>
            <w:tcW w:w="1302" w:type="dxa"/>
            <w:tcBorders/>
            <w:shd w:fill="auto" w:val="clear"/>
            <w:vAlign w:val="bottom"/>
          </w:tcPr>
          <w:p>
            <w:pPr>
              <w:pStyle w:val="TableContents"/>
              <w:spacing w:before="0" w:after="283"/>
              <w:jc w:val="right"/>
              <w:rPr/>
            </w:pPr>
            <w:r>
              <w:rPr/>
              <w:t>(1,002,669</w:t>
            </w:r>
          </w:p>
        </w:tc>
        <w:tc>
          <w:tcPr>
            <w:tcW w:w="161" w:type="dxa"/>
            <w:tcBorders/>
            <w:shd w:fill="auto" w:val="clear"/>
            <w:vAlign w:val="bottom"/>
          </w:tcPr>
          <w:p>
            <w:pPr>
              <w:pStyle w:val="TableContents"/>
              <w:spacing w:before="0" w:after="283"/>
              <w:rPr/>
            </w:pPr>
            <w:r>
              <w:rPr/>
              <w:t>) </w:t>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Redeemable Net Earnings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1302" w:type="dxa"/>
            <w:tcBorders/>
            <w:shd w:fill="CCEEFF" w:val="clear"/>
            <w:vAlign w:val="bottom"/>
          </w:tcPr>
          <w:p>
            <w:pPr>
              <w:pStyle w:val="TableContents"/>
              <w:spacing w:before="0" w:after="283"/>
              <w:jc w:val="right"/>
              <w:rPr/>
            </w:pPr>
            <w:r>
              <w:rPr/>
              <w:t>(4,193</w:t>
            </w:r>
          </w:p>
        </w:tc>
        <w:tc>
          <w:tcPr>
            <w:tcW w:w="161" w:type="dxa"/>
            <w:tcBorders/>
            <w:shd w:fill="CCEEFF" w:val="clear"/>
            <w:vAlign w:val="bottom"/>
          </w:tcPr>
          <w:p>
            <w:pPr>
              <w:pStyle w:val="TableContents"/>
              <w:spacing w:before="0" w:after="283"/>
              <w:rPr/>
            </w:pPr>
            <w:r>
              <w:rPr/>
              <w:t>) </w:t>
            </w:r>
          </w:p>
        </w:tc>
      </w:tr>
      <w:tr>
        <w:trPr/>
        <w:tc>
          <w:tcPr>
            <w:tcW w:w="570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130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Non-Redeemable Net Loss</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w:t>
            </w:r>
          </w:p>
        </w:tc>
        <w:tc>
          <w:tcPr>
            <w:tcW w:w="1302" w:type="dxa"/>
            <w:tcBorders/>
            <w:shd w:fill="auto" w:val="clear"/>
            <w:vAlign w:val="bottom"/>
          </w:tcPr>
          <w:p>
            <w:pPr>
              <w:pStyle w:val="TableContents"/>
              <w:spacing w:before="0" w:after="283"/>
              <w:jc w:val="right"/>
              <w:rPr/>
            </w:pPr>
            <w:r>
              <w:rPr/>
              <w:t>(1,006,862</w:t>
            </w:r>
          </w:p>
        </w:tc>
        <w:tc>
          <w:tcPr>
            <w:tcW w:w="161" w:type="dxa"/>
            <w:tcBorders/>
            <w:shd w:fill="auto" w:val="clear"/>
            <w:vAlign w:val="bottom"/>
          </w:tcPr>
          <w:p>
            <w:pPr>
              <w:pStyle w:val="TableContents"/>
              <w:spacing w:before="0" w:after="283"/>
              <w:rPr/>
            </w:pPr>
            <w:r>
              <w:rPr/>
              <w:t>) </w:t>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Denominator: Weighted Average Non-Redeemable Class B Ordinary Shares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sz w:val="4"/>
                <w:szCs w:val="4"/>
              </w:rPr>
            </w:pPr>
            <w:r>
              <w:rPr>
                <w:sz w:val="4"/>
                <w:szCs w:val="4"/>
              </w:rPr>
            </w:r>
          </w:p>
        </w:tc>
        <w:tc>
          <w:tcPr>
            <w:tcW w:w="1302"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709" w:type="dxa"/>
            <w:tcBorders/>
            <w:shd w:fill="auto" w:val="clear"/>
          </w:tcPr>
          <w:p>
            <w:pPr>
              <w:pStyle w:val="TableContents"/>
              <w:spacing w:before="0" w:after="0"/>
              <w:rPr>
                <w:rFonts w:ascii="Times New Roman" w:hAnsi="Times New Roman"/>
                <w:sz w:val="19"/>
              </w:rPr>
            </w:pPr>
            <w:r>
              <w:rPr>
                <w:rFonts w:ascii="Times New Roman" w:hAnsi="Times New Roman"/>
                <w:sz w:val="19"/>
              </w:rPr>
              <w:t>Non-Redeemable Class B Ordinary Shares, Basic and Diluted</w:t>
            </w:r>
          </w:p>
        </w:tc>
        <w:tc>
          <w:tcPr>
            <w:tcW w:w="4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5,184,300</w:t>
            </w:r>
          </w:p>
        </w:tc>
        <w:tc>
          <w:tcPr>
            <w:tcW w:w="161" w:type="dxa"/>
            <w:tcBorders/>
            <w:shd w:fill="auto" w:val="clear"/>
            <w:vAlign w:val="bottom"/>
          </w:tcPr>
          <w:p>
            <w:pPr>
              <w:pStyle w:val="TableContents"/>
              <w:spacing w:before="0" w:after="283"/>
              <w:rPr/>
            </w:pPr>
            <w:r>
              <w:rPr/>
              <w:t> </w:t>
            </w:r>
          </w:p>
        </w:tc>
      </w:tr>
      <w:tr>
        <w:trPr/>
        <w:tc>
          <w:tcPr>
            <w:tcW w:w="5709" w:type="dxa"/>
            <w:tcBorders/>
            <w:shd w:fill="CCEEFF" w:val="clear"/>
          </w:tcPr>
          <w:p>
            <w:pPr>
              <w:pStyle w:val="TableContents"/>
              <w:spacing w:before="0" w:after="0"/>
              <w:rPr>
                <w:rFonts w:ascii="Times New Roman" w:hAnsi="Times New Roman"/>
                <w:sz w:val="19"/>
              </w:rPr>
            </w:pPr>
            <w:r>
              <w:rPr>
                <w:rFonts w:ascii="Times New Roman" w:hAnsi="Times New Roman"/>
                <w:sz w:val="19"/>
              </w:rPr>
              <w:t>Loss/Basic and Diluted Non-Redeemable Class B Ordinary Shares</w:t>
            </w:r>
          </w:p>
        </w:tc>
        <w:tc>
          <w:tcPr>
            <w:tcW w:w="4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1302" w:type="dxa"/>
            <w:tcBorders/>
            <w:shd w:fill="CCEEFF" w:val="clear"/>
            <w:vAlign w:val="bottom"/>
          </w:tcPr>
          <w:p>
            <w:pPr>
              <w:pStyle w:val="TableContents"/>
              <w:spacing w:before="0" w:after="283"/>
              <w:jc w:val="right"/>
              <w:rPr/>
            </w:pPr>
            <w:r>
              <w:rPr/>
              <w:t>(0.19</w:t>
            </w:r>
          </w:p>
        </w:tc>
        <w:tc>
          <w:tcPr>
            <w:tcW w:w="161"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2020, basic and diluted shares are the same as there are no non-redeemable securities that are dilutive to the Companys ordinary shareholders. </w:t>
      </w:r>
    </w:p>
    <w:p>
      <w:pPr>
        <w:pStyle w:val="TextBody"/>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 </w:t>
      </w:r>
    </w:p>
    <w:p>
      <w:pPr>
        <w:pStyle w:val="TextBody"/>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Fair Value Measurement, approximates the carrying amounts represented in the Companys balance sheet, primarily due to their short-term nature. </w:t>
      </w:r>
    </w:p>
    <w:p>
      <w:pPr>
        <w:pStyle w:val="TextBody"/>
        <w:spacing w:before="360" w:after="0"/>
        <w:jc w:val="left"/>
        <w:rPr>
          <w:rFonts w:ascii="Times New Roman" w:hAnsi="Times New Roman"/>
          <w:b/>
          <w:i/>
          <w:sz w:val="20"/>
        </w:rPr>
      </w:pPr>
      <w:r>
        <w:rPr>
          <w:rFonts w:ascii="Times New Roman" w:hAnsi="Times New Roman"/>
          <w:b/>
          <w:i/>
          <w:sz w:val="20"/>
        </w:rPr>
        <w:t xml:space="preserve">Recent Accounting Standards </w:t>
      </w:r>
    </w:p>
    <w:p>
      <w:pPr>
        <w:pStyle w:val="TextBody"/>
        <w:spacing w:before="120" w:after="0"/>
        <w:jc w:val="left"/>
        <w:rPr>
          <w:rFonts w:ascii="Times New Roman" w:hAnsi="Times New Roman"/>
          <w:sz w:val="20"/>
        </w:rPr>
      </w:pPr>
      <w:r>
        <w:rPr>
          <w:rFonts w:ascii="Times New Roman" w:hAnsi="Times New Roman"/>
          <w:sz w:val="20"/>
        </w:rPr>
        <w:t xml:space="preserve">Management does not believe that any recently issued, but not yet effective, accounting standards, if currently adopted, would have a material effect on the Companys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3INITIAL PUBLIC OFFERING </w:t>
      </w:r>
    </w:p>
    <w:p>
      <w:pPr>
        <w:pStyle w:val="TextBody"/>
        <w:spacing w:before="120" w:after="0"/>
        <w:jc w:val="left"/>
        <w:rPr>
          <w:rFonts w:ascii="Times New Roman" w:hAnsi="Times New Roman"/>
          <w:sz w:val="20"/>
        </w:rPr>
      </w:pPr>
      <w:r>
        <w:rPr>
          <w:rFonts w:ascii="Times New Roman" w:hAnsi="Times New Roman"/>
          <w:sz w:val="20"/>
        </w:rPr>
        <w:t xml:space="preserve">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 </w:t>
      </w:r>
    </w:p>
    <w:p>
      <w:pPr>
        <w:pStyle w:val="TextBody"/>
        <w:spacing w:before="360" w:after="0"/>
        <w:jc w:val="left"/>
        <w:rPr>
          <w:rFonts w:ascii="Times New Roman" w:hAnsi="Times New Roman"/>
          <w:b/>
          <w:sz w:val="20"/>
        </w:rPr>
      </w:pPr>
      <w:r>
        <w:rPr>
          <w:rFonts w:ascii="Times New Roman" w:hAnsi="Times New Roman"/>
          <w:b/>
          <w:sz w:val="20"/>
        </w:rPr>
        <w:t xml:space="preserve">NOTE 4PRIVATE PLACEMENT </w:t>
      </w:r>
    </w:p>
    <w:p>
      <w:pPr>
        <w:pStyle w:val="TextBody"/>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 </w:t>
      </w:r>
    </w:p>
    <w:p>
      <w:pPr>
        <w:pStyle w:val="TextBody"/>
        <w:spacing w:before="360" w:after="0"/>
        <w:jc w:val="left"/>
        <w:rPr>
          <w:rFonts w:ascii="Times New Roman" w:hAnsi="Times New Roman"/>
          <w:b/>
          <w:sz w:val="20"/>
        </w:rPr>
      </w:pPr>
      <w:r>
        <w:rPr>
          <w:rFonts w:ascii="Times New Roman" w:hAnsi="Times New Roman"/>
          <w:b/>
          <w:sz w:val="20"/>
        </w:rPr>
        <w:t xml:space="preserve">NOTE 5RELATED PARTY TRANSACTIONS </w:t>
      </w:r>
    </w:p>
    <w:p>
      <w:pPr>
        <w:pStyle w:val="TextBody"/>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spacing w:before="120" w:after="0"/>
        <w:jc w:val="left"/>
        <w:rPr>
          <w:rFonts w:ascii="Times New Roman" w:hAnsi="Times New Roman"/>
          <w:sz w:val="20"/>
        </w:rPr>
      </w:pPr>
      <w:r>
        <w:rPr>
          <w:rFonts w:ascii="Times New Roman" w:hAnsi="Times New Roman"/>
          <w:sz w:val="20"/>
        </w:rPr>
        <w:t xml:space="preserve">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 </w:t>
      </w:r>
    </w:p>
    <w:p>
      <w:pPr>
        <w:pStyle w:val="TextBody"/>
        <w:spacing w:before="240" w:after="0"/>
        <w:jc w:val="left"/>
        <w:rPr>
          <w:rFonts w:ascii="Times New Roman" w:hAnsi="Times New Roman"/>
          <w:sz w:val="20"/>
        </w:rPr>
      </w:pPr>
      <w:r>
        <w:rPr>
          <w:rFonts w:ascii="Times New Roman" w:hAnsi="Times New Roman"/>
          <w:sz w:val="20"/>
        </w:rPr>
        <w:t xml:space="preserve">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 </w:t>
      </w:r>
    </w:p>
    <w:p>
      <w:pPr>
        <w:pStyle w:val="TextBody"/>
        <w:spacing w:before="360" w:after="0"/>
        <w:jc w:val="left"/>
        <w:rPr>
          <w:rFonts w:ascii="Times New Roman" w:hAnsi="Times New Roman"/>
          <w:b/>
          <w:i/>
          <w:sz w:val="20"/>
        </w:rPr>
      </w:pPr>
      <w:r>
        <w:rPr>
          <w:rFonts w:ascii="Times New Roman" w:hAnsi="Times New Roman"/>
          <w:b/>
          <w:i/>
          <w:sz w:val="20"/>
        </w:rPr>
        <w:t xml:space="preserve">Promissory NoteRelated Party </w:t>
      </w:r>
    </w:p>
    <w:p>
      <w:pPr>
        <w:pStyle w:val="TextBody"/>
        <w:spacing w:before="120" w:after="0"/>
        <w:jc w:val="left"/>
        <w:rPr>
          <w:rFonts w:ascii="Times New Roman" w:hAnsi="Times New Roman"/>
          <w:sz w:val="20"/>
        </w:rPr>
      </w:pPr>
      <w:r>
        <w:rPr>
          <w:rFonts w:ascii="Times New Roman" w:hAnsi="Times New Roman"/>
          <w:sz w:val="20"/>
        </w:rPr>
        <w:t xml:space="preserve">On August 3, 2020, the Company issued an unsecured promissory note (the Promissory Note) to the Sponsor, pursuant to which the Company may borrow up to an aggregate principal amount of $300,000.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Promissory Note was non-interest bearing and payable on the earlier of (i) December 31, 2020 and (ii) the completion of the Initial Public Offering. The outstanding balance under the Promissory Note of $82,729 was repaid at the closing of the Initial Public Offering on September 25, 2020. </w:t>
      </w:r>
    </w:p>
    <w:p>
      <w:pPr>
        <w:pStyle w:val="TextBody"/>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spacing w:before="120" w:after="0"/>
        <w:jc w:val="left"/>
        <w:rPr>
          <w:rFonts w:ascii="Times New Roman" w:hAnsi="Times New Roman"/>
          <w:sz w:val="20"/>
        </w:rPr>
      </w:pPr>
      <w:r>
        <w:rPr>
          <w:rFonts w:ascii="Times New Roman" w:hAnsi="Times New Roman"/>
          <w:sz w:val="20"/>
        </w:rPr>
        <w:t xml:space="preserve">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balance sheet. </w:t>
      </w:r>
    </w:p>
    <w:p>
      <w:pPr>
        <w:pStyle w:val="TextBody"/>
        <w:spacing w:before="360" w:after="0"/>
        <w:jc w:val="left"/>
        <w:rPr>
          <w:rFonts w:ascii="Times New Roman" w:hAnsi="Times New Roman"/>
          <w:b/>
          <w:i/>
          <w:sz w:val="20"/>
        </w:rPr>
      </w:pPr>
      <w:r>
        <w:rPr>
          <w:rFonts w:ascii="Times New Roman" w:hAnsi="Times New Roman"/>
          <w:b/>
          <w:i/>
          <w:sz w:val="20"/>
        </w:rPr>
        <w:t xml:space="preserve">Related Party Loans </w:t>
      </w:r>
    </w:p>
    <w:p>
      <w:pPr>
        <w:pStyle w:val="TextBody"/>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 </w:t>
      </w:r>
    </w:p>
    <w:p>
      <w:pPr>
        <w:pStyle w:val="TextBody"/>
        <w:spacing w:before="360" w:after="0"/>
        <w:jc w:val="left"/>
        <w:rPr>
          <w:rFonts w:ascii="Times New Roman" w:hAnsi="Times New Roman"/>
          <w:b/>
          <w:sz w:val="20"/>
        </w:rPr>
      </w:pPr>
      <w:r>
        <w:rPr>
          <w:rFonts w:ascii="Times New Roman" w:hAnsi="Times New Roman"/>
          <w:b/>
          <w:sz w:val="20"/>
        </w:rPr>
        <w:t xml:space="preserve">NOTE 6COMMITMENTS AND CONTINGENCIES </w:t>
      </w:r>
    </w:p>
    <w:p>
      <w:pPr>
        <w:pStyle w:val="TextBody"/>
        <w:spacing w:before="120" w:after="0"/>
        <w:jc w:val="left"/>
        <w:rPr>
          <w:rFonts w:ascii="Times New Roman" w:hAnsi="Times New Roman"/>
          <w:b/>
          <w:i/>
          <w:sz w:val="20"/>
        </w:rPr>
      </w:pPr>
      <w:r>
        <w:rPr>
          <w:rFonts w:ascii="Times New Roman" w:hAnsi="Times New Roman"/>
          <w:b/>
          <w:i/>
          <w:sz w:val="20"/>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 </w:t>
      </w:r>
    </w:p>
    <w:p>
      <w:pPr>
        <w:pStyle w:val="TextBody"/>
        <w:spacing w:before="360" w:after="0"/>
        <w:jc w:val="left"/>
        <w:rPr>
          <w:rFonts w:ascii="Times New Roman" w:hAnsi="Times New Roman"/>
          <w:b/>
          <w:i/>
          <w:sz w:val="20"/>
        </w:rPr>
      </w:pPr>
      <w:r>
        <w:rPr>
          <w:rFonts w:ascii="Times New Roman" w:hAnsi="Times New Roman"/>
          <w:b/>
          <w:i/>
          <w:sz w:val="20"/>
        </w:rPr>
        <w:t xml:space="preserve">Registration and Shareholders Rights </w:t>
      </w:r>
    </w:p>
    <w:p>
      <w:pPr>
        <w:pStyle w:val="TextBody"/>
        <w:spacing w:before="120" w:after="0"/>
        <w:jc w:val="left"/>
        <w:rPr>
          <w:rFonts w:ascii="Times New Roman" w:hAnsi="Times New Roman"/>
          <w:sz w:val="20"/>
        </w:rPr>
      </w:pPr>
      <w:r>
        <w:rPr>
          <w:rFonts w:ascii="Times New Roman" w:hAnsi="Times New Roman"/>
          <w:sz w:val="20"/>
        </w:rPr>
        <w:t xml:space="preserve">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b/>
          <w:i/>
          <w:sz w:val="20"/>
        </w:rPr>
      </w:pPr>
      <w:r>
        <w:rPr>
          <w:rFonts w:ascii="Times New Roman" w:hAnsi="Times New Roman"/>
          <w:b/>
          <w:i/>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 </w:t>
      </w:r>
    </w:p>
    <w:p>
      <w:pPr>
        <w:pStyle w:val="TextBody"/>
        <w:spacing w:before="360" w:after="0"/>
        <w:jc w:val="left"/>
        <w:rPr>
          <w:rFonts w:ascii="Times New Roman" w:hAnsi="Times New Roman"/>
          <w:b/>
          <w:sz w:val="20"/>
        </w:rPr>
      </w:pPr>
      <w:r>
        <w:rPr>
          <w:rFonts w:ascii="Times New Roman" w:hAnsi="Times New Roman"/>
          <w:b/>
          <w:sz w:val="20"/>
        </w:rPr>
        <w:t xml:space="preserve">NOTE 7SHAREHOLDERS EQUITY </w:t>
      </w:r>
    </w:p>
    <w:p>
      <w:pPr>
        <w:pStyle w:val="TextBody"/>
        <w:spacing w:before="120" w:after="0"/>
        <w:jc w:val="left"/>
        <w:rPr>
          <w:rFonts w:ascii="Times New Roman" w:hAnsi="Times New Roman"/>
          <w:sz w:val="20"/>
        </w:rPr>
      </w:pPr>
      <w:r>
        <w:rPr>
          <w:rFonts w:ascii="Times New Roman" w:hAnsi="Times New Roman"/>
          <w:b/>
          <w:i/>
          <w:sz w:val="20"/>
        </w:rPr>
        <w:t>Preference Shares</w:t>
      </w:r>
      <w:r>
        <w:rPr>
          <w:rFonts w:ascii="Times New Roman" w:hAnsi="Times New Roman"/>
          <w:sz w:val="20"/>
        </w:rPr>
        <w:t xml:space="preserve">The Company is authorized to issue 1,000,000 preference shares with a par value of $0.0001 per share, with such designations, voting and other rights and preferences as may be determined from time to time by the Companys board of directors. At December 31, 2020, there were no preference shares issued or outstanding. </w:t>
      </w:r>
    </w:p>
    <w:p>
      <w:pPr>
        <w:pStyle w:val="TextBody"/>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Shares</w:t>
      </w:r>
      <w:r>
        <w:rPr>
          <w:rFonts w:ascii="Times New Roman" w:hAnsi="Times New Roman"/>
          <w:sz w:val="20"/>
        </w:rPr>
        <w:t xml:space="preserve">The Company is authorized to issue 200,000,000 Class A ordinary shares, with a par value of $0.0001 per share. Holders of Class A ordinary shares are entitled to one vote for each share. At December 31, 2020, there were 1,173,684 Class A ordinary shares issued and outstanding, excluding 19,563,518 Class A ordinary shares subject to possible redemption. </w:t>
      </w:r>
    </w:p>
    <w:p>
      <w:pPr>
        <w:pStyle w:val="TextBody"/>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The Company is authorized to issue 20,000,000 Class B ordinary shares, with a par value of $0.0001 per share. Holders of the Class B ordinary shares are entitled to one vote for each share. At December 31, 2020, there were 5,184,300 Class B ordinary shares issued and outstanding. </w:t>
      </w:r>
    </w:p>
    <w:p>
      <w:pPr>
        <w:pStyle w:val="TextBody"/>
        <w:spacing w:before="240" w:after="0"/>
        <w:jc w:val="left"/>
        <w:rPr>
          <w:rFonts w:ascii="Times New Roman" w:hAnsi="Times New Roman"/>
          <w:sz w:val="20"/>
        </w:rPr>
      </w:pPr>
      <w:r>
        <w:rPr>
          <w:rFonts w:ascii="Times New Roman" w:hAnsi="Times New Roman"/>
          <w:sz w:val="20"/>
        </w:rPr>
        <w:t xml:space="preserve">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 </w:t>
      </w:r>
    </w:p>
    <w:p>
      <w:pPr>
        <w:pStyle w:val="TextBody"/>
        <w:spacing w:before="240" w:after="0"/>
        <w:jc w:val="left"/>
        <w:rPr>
          <w:rFonts w:ascii="Times New Roman" w:hAnsi="Times New Roman"/>
          <w:sz w:val="20"/>
        </w:rPr>
      </w:pPr>
      <w:r>
        <w:rPr>
          <w:rFonts w:ascii="Times New Roman" w:hAnsi="Times New Roman"/>
          <w:sz w:val="20"/>
        </w:rPr>
        <w:t xml:space="preserve">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 </w:t>
      </w:r>
    </w:p>
    <w:p>
      <w:pPr>
        <w:pStyle w:val="TextBody"/>
        <w:spacing w:before="240" w:after="0"/>
        <w:jc w:val="left"/>
        <w:rPr>
          <w:rFonts w:ascii="Times New Roman" w:hAnsi="Times New Roman"/>
          <w:sz w:val="20"/>
        </w:rPr>
      </w:pPr>
      <w:r>
        <w:rPr>
          <w:rFonts w:ascii="Times New Roman" w:hAnsi="Times New Roman"/>
          <w:b/>
          <w:i/>
          <w:sz w:val="20"/>
        </w:rPr>
        <w:t>Warrants</w:t>
      </w:r>
      <w:r>
        <w:rPr>
          <w:rFonts w:ascii="Times New Roman" w:hAnsi="Times New Roman"/>
          <w:sz w:val="20"/>
        </w:rPr>
        <w:t xml:space="preserve">Public Warrants may only be exercised for a whole number of shares. No fractional shares will be issued upon exercise of the Public 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 </w:t>
      </w:r>
    </w:p>
    <w:p>
      <w:pPr>
        <w:pStyle w:val="TextBody"/>
        <w:spacing w:before="24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warrant and will have no obligation to settle such warrant exercise unless a registration statement under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w:t>
      </w:r>
    </w:p>
    <w:p>
      <w:pPr>
        <w:pStyle w:val="TextBody"/>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 </w:t>
      </w:r>
    </w:p>
    <w:p>
      <w:pPr>
        <w:pStyle w:val="TextBody"/>
        <w:spacing w:before="240" w:after="0"/>
        <w:jc w:val="left"/>
        <w:rPr>
          <w:rFonts w:ascii="Times New Roman" w:hAnsi="Times New Roman"/>
          <w:sz w:val="20"/>
        </w:rPr>
      </w:pPr>
      <w:r>
        <w:rPr>
          <w:rFonts w:ascii="Times New Roman" w:hAnsi="Times New Roman"/>
          <w:b/>
          <w:i/>
          <w:sz w:val="20"/>
        </w:rPr>
        <w:t>Redemption of warrants when the price per Class</w:t>
      </w:r>
      <w:r>
        <w:rPr>
          <w:rFonts w:ascii="Times New Roman" w:hAnsi="Times New Roman"/>
          <w:sz w:val="20"/>
        </w:rPr>
        <w:t> </w:t>
      </w:r>
      <w:r>
        <w:rPr>
          <w:rFonts w:ascii="Times New Roman" w:hAnsi="Times New Roman"/>
          <w:b/>
          <w:i/>
          <w:sz w:val="20"/>
        </w:rPr>
        <w:t>A ordinary share equals or exceeds $18.00</w:t>
      </w:r>
      <w:r>
        <w:rPr>
          <w:rFonts w:ascii="Times New Roman" w:hAnsi="Times New Roman"/>
          <w:i/>
          <w:sz w:val="20"/>
        </w:rPr>
        <w:t>.</w:t>
      </w:r>
      <w:r>
        <w:rPr>
          <w:rFonts w:ascii="Times New Roman" w:hAnsi="Times New Roman"/>
          <w:sz w:val="20"/>
        </w:rPr>
        <w:t xml:space="preserve"> Once the warrants become exercisable, the Company may redeem the outstanding warrants (except as described with respect to the Private Placement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 </w:t>
            </w:r>
          </w:p>
        </w:tc>
      </w:tr>
    </w:tbl>
    <w:p>
      <w:pPr>
        <w:pStyle w:val="TextBody"/>
        <w:spacing w:before="240" w:after="0"/>
        <w:jc w:val="left"/>
        <w:rPr>
          <w:rFonts w:ascii="Times New Roman" w:hAnsi="Times New Roman"/>
          <w:sz w:val="20"/>
        </w:rPr>
      </w:pPr>
      <w:r>
        <w:rPr>
          <w:rFonts w:ascii="Times New Roman" w:hAnsi="Times New Roman"/>
          <w:sz w:val="20"/>
        </w:rPr>
        <w:t xml:space="preserve">If and when the warrants become redeemable by the Company, the Company may exercise its redemption right even if it is unable to register or qualify the underlying securities for sale under all applicable state securities laws. </w:t>
      </w:r>
    </w:p>
    <w:p>
      <w:pPr>
        <w:pStyle w:val="TextBody"/>
        <w:spacing w:before="240" w:after="0"/>
        <w:jc w:val="left"/>
        <w:rPr>
          <w:rFonts w:ascii="Times New Roman" w:hAnsi="Times New Roman"/>
          <w:sz w:val="20"/>
        </w:rPr>
      </w:pPr>
      <w:r>
        <w:rPr>
          <w:rFonts w:ascii="Times New Roman" w:hAnsi="Times New Roman"/>
          <w:b/>
          <w:i/>
          <w:sz w:val="20"/>
        </w:rPr>
        <w:t>Redemption of warrants when the price per Class</w:t>
      </w:r>
      <w:r>
        <w:rPr>
          <w:rFonts w:ascii="Times New Roman" w:hAnsi="Times New Roman"/>
          <w:sz w:val="20"/>
        </w:rPr>
        <w:t> </w:t>
      </w:r>
      <w:r>
        <w:rPr>
          <w:rFonts w:ascii="Times New Roman" w:hAnsi="Times New Roman"/>
          <w:b/>
          <w:i/>
          <w:sz w:val="20"/>
        </w:rPr>
        <w:t>A ordinary share equals or exceeds $10.00</w:t>
      </w:r>
      <w:r>
        <w:rPr>
          <w:rFonts w:ascii="Times New Roman" w:hAnsi="Times New Roman"/>
          <w:sz w:val="20"/>
        </w:rPr>
        <w:t xml:space="preserve">. Once the warrants become exercisable, the Company may redeem the outstanding warrants (except as described with respect to the Private Placement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$0.10 per warrant upon a minimum of 30 days prior written notice of redemption; </w:t>
            </w:r>
            <w:r>
              <w:rPr>
                <w:rFonts w:ascii="Times New Roman" w:hAnsi="Times New Roman"/>
                <w:i/>
                <w:sz w:val="20"/>
              </w:rPr>
              <w:t>provided</w:t>
            </w:r>
            <w:r>
              <w:rPr>
                <w:rFonts w:ascii="Times New Roman" w:hAnsi="Times New Roman"/>
                <w:sz w:val="20"/>
              </w:rPr>
              <w:t xml:space="preserve"> that holders will be able to exercise their warrants on a cashless basis prior to redemption and receive that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number of shares based on the redemption date and the fair market value of the Companys Class A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 </w:t>
            </w:r>
          </w:p>
        </w:tc>
      </w:tr>
    </w:tbl>
    <w:p>
      <w:pPr>
        <w:pStyle w:val="TextBody"/>
        <w:spacing w:before="240" w:after="0"/>
        <w:jc w:val="left"/>
        <w:rPr>
          <w:rFonts w:ascii="Times New Roman" w:hAnsi="Times New Roman"/>
          <w:sz w:val="20"/>
        </w:rPr>
      </w:pPr>
      <w:r>
        <w:rPr>
          <w:rFonts w:ascii="Times New Roman" w:hAnsi="Times New Roman"/>
          <w:sz w:val="20"/>
        </w:rPr>
        <w:t xml:space="preserve">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 </w:t>
      </w:r>
    </w:p>
    <w:p>
      <w:pPr>
        <w:pStyle w:val="TextBody"/>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 </w:t>
      </w:r>
    </w:p>
    <w:p>
      <w:pPr>
        <w:pStyle w:val="TextBody"/>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8FAIR VALUE MEASUREMENTS </w:t>
      </w:r>
    </w:p>
    <w:p>
      <w:pPr>
        <w:pStyle w:val="TextBody"/>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66"/>
        <w:gridCol w:w="210"/>
        <w:gridCol w:w="9229"/>
      </w:tblGrid>
      <w:tr>
        <w:trPr/>
        <w:tc>
          <w:tcPr>
            <w:tcW w:w="76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229" w:type="dxa"/>
            <w:tcBorders/>
            <w:shd w:fill="auto" w:val="clear"/>
            <w:vAlign w:val="center"/>
          </w:tcPr>
          <w:p>
            <w:pPr>
              <w:pStyle w:val="TableContents"/>
              <w:spacing w:before="0" w:after="283"/>
              <w:rPr>
                <w:sz w:val="4"/>
                <w:szCs w:val="4"/>
              </w:rPr>
            </w:pPr>
            <w:r>
              <w:rPr>
                <w:sz w:val="4"/>
                <w:szCs w:val="4"/>
              </w:rPr>
            </w:r>
          </w:p>
        </w:tc>
      </w:tr>
      <w:tr>
        <w:trPr/>
        <w:tc>
          <w:tcPr>
            <w:tcW w:w="766" w:type="dxa"/>
            <w:tcBorders/>
            <w:shd w:fill="auto" w:val="clear"/>
          </w:tcPr>
          <w:p>
            <w:pPr>
              <w:pStyle w:val="TableContents"/>
              <w:spacing w:before="0" w:after="283"/>
              <w:rPr/>
            </w:pPr>
            <w:r>
              <w:rPr/>
              <w:t>Level 1:</w:t>
            </w:r>
          </w:p>
        </w:tc>
        <w:tc>
          <w:tcPr>
            <w:tcW w:w="210" w:type="dxa"/>
            <w:tcBorders/>
            <w:shd w:fill="auto" w:val="clear"/>
            <w:vAlign w:val="bottom"/>
          </w:tcPr>
          <w:p>
            <w:pPr>
              <w:pStyle w:val="TableContents"/>
              <w:spacing w:before="0" w:after="283"/>
              <w:rPr/>
            </w:pPr>
            <w:r>
              <w:rPr/>
              <w:t>  </w:t>
            </w:r>
          </w:p>
        </w:tc>
        <w:tc>
          <w:tcPr>
            <w:tcW w:w="9229" w:type="dxa"/>
            <w:tcBorders/>
            <w:shd w:fill="auto" w:val="clear"/>
            <w:vAlign w:val="bottom"/>
          </w:tcPr>
          <w:p>
            <w:pPr>
              <w:pStyle w:val="TableContents"/>
              <w:spacing w:before="0" w:after="283"/>
              <w:rPr/>
            </w:pPr>
            <w:r>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rHeight w:val="120" w:hRule="atLeast"/>
        </w:trPr>
        <w:tc>
          <w:tcPr>
            <w:tcW w:w="766" w:type="dxa"/>
            <w:tcBorders/>
            <w:shd w:fill="auto" w:val="clear"/>
            <w:vAlign w:val="center"/>
          </w:tcPr>
          <w:p>
            <w:pPr>
              <w:pStyle w:val="TableContents"/>
              <w:spacing w:before="0" w:after="283"/>
              <w:rPr>
                <w:sz w:val="4"/>
                <w:szCs w:val="4"/>
              </w:rPr>
            </w:pPr>
            <w:r>
              <w:rPr>
                <w:sz w:val="4"/>
                <w:szCs w:val="4"/>
              </w:rPr>
            </w:r>
          </w:p>
        </w:tc>
        <w:tc>
          <w:tcPr>
            <w:tcW w:w="9439" w:type="dxa"/>
            <w:gridSpan w:val="2"/>
            <w:tcBorders/>
            <w:shd w:fill="auto" w:val="clear"/>
            <w:vAlign w:val="center"/>
          </w:tcPr>
          <w:p>
            <w:pPr>
              <w:pStyle w:val="TableContents"/>
              <w:spacing w:before="0" w:after="283"/>
              <w:rPr>
                <w:sz w:val="4"/>
                <w:szCs w:val="4"/>
              </w:rPr>
            </w:pPr>
            <w:r>
              <w:rPr>
                <w:sz w:val="4"/>
                <w:szCs w:val="4"/>
              </w:rPr>
            </w:r>
          </w:p>
        </w:tc>
      </w:tr>
      <w:tr>
        <w:trPr/>
        <w:tc>
          <w:tcPr>
            <w:tcW w:w="766" w:type="dxa"/>
            <w:tcBorders/>
            <w:shd w:fill="auto" w:val="clear"/>
          </w:tcPr>
          <w:p>
            <w:pPr>
              <w:pStyle w:val="TableContents"/>
              <w:spacing w:before="0" w:after="283"/>
              <w:rPr/>
            </w:pPr>
            <w:r>
              <w:rPr/>
              <w:t>Level 2:</w:t>
            </w:r>
          </w:p>
        </w:tc>
        <w:tc>
          <w:tcPr>
            <w:tcW w:w="210" w:type="dxa"/>
            <w:tcBorders/>
            <w:shd w:fill="auto" w:val="clear"/>
            <w:vAlign w:val="bottom"/>
          </w:tcPr>
          <w:p>
            <w:pPr>
              <w:pStyle w:val="TableContents"/>
              <w:spacing w:before="0" w:after="283"/>
              <w:rPr/>
            </w:pPr>
            <w:r>
              <w:rPr/>
              <w:t>  </w:t>
            </w:r>
          </w:p>
        </w:tc>
        <w:tc>
          <w:tcPr>
            <w:tcW w:w="9229" w:type="dxa"/>
            <w:tcBorders/>
            <w:shd w:fill="auto" w:val="clear"/>
            <w:vAlign w:val="bottom"/>
          </w:tcPr>
          <w:p>
            <w:pPr>
              <w:pStyle w:val="TableContents"/>
              <w:spacing w:before="0" w:after="283"/>
              <w:rPr/>
            </w:pPr>
            <w:r>
              <w:rPr/>
              <w:t>Observable inputs other than Level 1 inputs. Examples of Level 2 inputs include quoted prices in active markets for similar assets or liabilities and quoted prices for identical assets or liabilities in markets that are not active.</w:t>
            </w:r>
          </w:p>
        </w:tc>
      </w:tr>
      <w:tr>
        <w:trPr>
          <w:trHeight w:val="120" w:hRule="atLeast"/>
        </w:trPr>
        <w:tc>
          <w:tcPr>
            <w:tcW w:w="766" w:type="dxa"/>
            <w:tcBorders/>
            <w:shd w:fill="auto" w:val="clear"/>
            <w:vAlign w:val="center"/>
          </w:tcPr>
          <w:p>
            <w:pPr>
              <w:pStyle w:val="TableContents"/>
              <w:spacing w:before="0" w:after="283"/>
              <w:rPr>
                <w:sz w:val="4"/>
                <w:szCs w:val="4"/>
              </w:rPr>
            </w:pPr>
            <w:r>
              <w:rPr>
                <w:sz w:val="4"/>
                <w:szCs w:val="4"/>
              </w:rPr>
            </w:r>
          </w:p>
        </w:tc>
        <w:tc>
          <w:tcPr>
            <w:tcW w:w="9439" w:type="dxa"/>
            <w:gridSpan w:val="2"/>
            <w:tcBorders/>
            <w:shd w:fill="auto" w:val="clear"/>
            <w:vAlign w:val="center"/>
          </w:tcPr>
          <w:p>
            <w:pPr>
              <w:pStyle w:val="TableContents"/>
              <w:spacing w:before="0" w:after="283"/>
              <w:rPr>
                <w:sz w:val="4"/>
                <w:szCs w:val="4"/>
              </w:rPr>
            </w:pPr>
            <w:r>
              <w:rPr>
                <w:sz w:val="4"/>
                <w:szCs w:val="4"/>
              </w:rPr>
            </w:r>
          </w:p>
        </w:tc>
      </w:tr>
      <w:tr>
        <w:trPr/>
        <w:tc>
          <w:tcPr>
            <w:tcW w:w="766" w:type="dxa"/>
            <w:tcBorders/>
            <w:shd w:fill="auto" w:val="clear"/>
          </w:tcPr>
          <w:p>
            <w:pPr>
              <w:pStyle w:val="TableContents"/>
              <w:spacing w:before="0" w:after="283"/>
              <w:rPr/>
            </w:pPr>
            <w:r>
              <w:rPr/>
              <w:t>Level 3:</w:t>
            </w:r>
          </w:p>
        </w:tc>
        <w:tc>
          <w:tcPr>
            <w:tcW w:w="210" w:type="dxa"/>
            <w:tcBorders/>
            <w:shd w:fill="auto" w:val="clear"/>
            <w:vAlign w:val="bottom"/>
          </w:tcPr>
          <w:p>
            <w:pPr>
              <w:pStyle w:val="TableContents"/>
              <w:spacing w:before="0" w:after="283"/>
              <w:rPr/>
            </w:pPr>
            <w:r>
              <w:rPr/>
              <w:t>  </w:t>
            </w:r>
          </w:p>
        </w:tc>
        <w:tc>
          <w:tcPr>
            <w:tcW w:w="9229" w:type="dxa"/>
            <w:tcBorders/>
            <w:shd w:fill="auto" w:val="clear"/>
          </w:tcPr>
          <w:p>
            <w:pPr>
              <w:pStyle w:val="TableContents"/>
              <w:spacing w:before="0" w:after="283"/>
              <w:rPr/>
            </w:pPr>
            <w:r>
              <w:rPr/>
              <w:t>Unobservable inputs based on our assessment of the assumptions that market participants would use in pricing the asset or liability.</w:t>
            </w:r>
          </w:p>
        </w:tc>
      </w:tr>
    </w:tbl>
    <w:p>
      <w:pPr>
        <w:pStyle w:val="TextBody"/>
        <w:spacing w:before="240" w:after="0"/>
        <w:jc w:val="left"/>
        <w:rPr>
          <w:rFonts w:ascii="Times New Roman" w:hAnsi="Times New Roman"/>
          <w:sz w:val="20"/>
        </w:rPr>
      </w:pPr>
      <w:r>
        <w:rPr>
          <w:rFonts w:ascii="Times New Roman" w:hAnsi="Times New Roman"/>
          <w:sz w:val="20"/>
        </w:rPr>
        <w:t xml:space="preserve">At December 31, 2020, assets held in the Trust Account were comprised of $207,376,213 in money market funds which are invested primarily in U.S. Treasury Securities. During the year ended December 31, 2020, the Company did not withdraw any interest income from the Trust Account. </w:t>
      </w:r>
    </w:p>
    <w:p>
      <w:pPr>
        <w:pStyle w:val="TextBody"/>
        <w:spacing w:before="24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on a recurring basis at December 31, 2020 and indicates the fair value hierarchy of the valuation inputs the Company utilized to determine such fair value: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32"/>
        <w:gridCol w:w="463"/>
        <w:gridCol w:w="181"/>
        <w:gridCol w:w="406"/>
        <w:gridCol w:w="60"/>
        <w:gridCol w:w="463"/>
        <w:gridCol w:w="161"/>
        <w:gridCol w:w="1426"/>
        <w:gridCol w:w="63"/>
      </w:tblGrid>
      <w:tr>
        <w:trPr/>
        <w:tc>
          <w:tcPr>
            <w:tcW w:w="453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3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c>
          <w:tcPr>
            <w:tcW w:w="463" w:type="dxa"/>
            <w:tcBorders/>
            <w:shd w:fill="auto" w:val="clear"/>
            <w:vAlign w:val="bottom"/>
          </w:tcPr>
          <w:p>
            <w:pPr>
              <w:pStyle w:val="TableContents"/>
              <w:spacing w:before="0" w:after="283"/>
              <w:rPr/>
            </w:pPr>
            <w:r>
              <w:rPr/>
              <w:t>  </w:t>
            </w:r>
          </w:p>
        </w:tc>
        <w:tc>
          <w:tcPr>
            <w:tcW w:w="5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63" w:type="dxa"/>
            <w:tcBorders/>
            <w:shd w:fill="auto" w:val="clear"/>
            <w:vAlign w:val="bottom"/>
          </w:tcPr>
          <w:p>
            <w:pPr>
              <w:pStyle w:val="TableContents"/>
              <w:spacing w:before="0" w:after="283"/>
              <w:rPr/>
            </w:pPr>
            <w:r>
              <w:rPr/>
              <w:t> </w:t>
            </w:r>
          </w:p>
        </w:tc>
      </w:tr>
      <w:tr>
        <w:trPr/>
        <w:tc>
          <w:tcPr>
            <w:tcW w:w="4532" w:type="dxa"/>
            <w:tcBorders/>
            <w:shd w:fill="CCEEFF" w:val="clear"/>
          </w:tcPr>
          <w:p>
            <w:pPr>
              <w:pStyle w:val="TableContents"/>
              <w:spacing w:before="0" w:after="0"/>
              <w:rPr>
                <w:rFonts w:ascii="Times New Roman" w:hAnsi="Times New Roman"/>
                <w:sz w:val="20"/>
              </w:rPr>
            </w:pPr>
            <w:r>
              <w:rPr>
                <w:rFonts w:ascii="Times New Roman" w:hAnsi="Times New Roman"/>
                <w:sz w:val="20"/>
              </w:rPr>
              <w:t>Assets:</w:t>
            </w:r>
          </w:p>
        </w:tc>
        <w:tc>
          <w:tcPr>
            <w:tcW w:w="46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4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6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1426"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532" w:type="dxa"/>
            <w:tcBorders/>
            <w:shd w:fill="auto" w:val="clear"/>
          </w:tcPr>
          <w:p>
            <w:pPr>
              <w:pStyle w:val="TableContents"/>
              <w:spacing w:before="0" w:after="0"/>
              <w:rPr>
                <w:rFonts w:ascii="Times New Roman" w:hAnsi="Times New Roman"/>
                <w:sz w:val="20"/>
              </w:rPr>
            </w:pPr>
            <w:r>
              <w:rPr>
                <w:rFonts w:ascii="Times New Roman" w:hAnsi="Times New Roman"/>
                <w:sz w:val="20"/>
              </w:rPr>
              <w:t>Investments held in Trust AccountU.S. Treasury Securities Money Market Fund</w:t>
            </w:r>
          </w:p>
        </w:tc>
        <w:tc>
          <w:tcPr>
            <w:tcW w:w="46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1426" w:type="dxa"/>
            <w:tcBorders/>
            <w:shd w:fill="auto" w:val="clear"/>
            <w:vAlign w:val="bottom"/>
          </w:tcPr>
          <w:p>
            <w:pPr>
              <w:pStyle w:val="TableContents"/>
              <w:spacing w:before="0" w:after="283"/>
              <w:jc w:val="right"/>
              <w:rPr/>
            </w:pPr>
            <w:r>
              <w:rPr/>
              <w:t>207,376,213</w:t>
            </w:r>
          </w:p>
        </w:tc>
        <w:tc>
          <w:tcPr>
            <w:tcW w:w="6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Transfers to and from Levels 1, 2 and 3 are recognized at the end of the reporting period. There were no transfers between levels for the period from July 31, 2020 (inception) through December 31, 2020 </w:t>
      </w:r>
    </w:p>
    <w:p>
      <w:pPr>
        <w:pStyle w:val="TextBody"/>
        <w:spacing w:before="360" w:after="0"/>
        <w:jc w:val="left"/>
        <w:rPr>
          <w:rFonts w:ascii="Times New Roman" w:hAnsi="Times New Roman"/>
          <w:b/>
          <w:sz w:val="20"/>
        </w:rPr>
      </w:pPr>
      <w:r>
        <w:rPr>
          <w:rFonts w:ascii="Times New Roman" w:hAnsi="Times New Roman"/>
          <w:b/>
          <w:sz w:val="20"/>
        </w:rPr>
        <w:t xml:space="preserve">NOTE 9SUBSEQUENT EVENTS </w:t>
      </w:r>
    </w:p>
    <w:p>
      <w:pPr>
        <w:pStyle w:val="TextBody"/>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 with the exception of the following matters: </w:t>
      </w:r>
    </w:p>
    <w:p>
      <w:pPr>
        <w:pStyle w:val="TextBody"/>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spacing w:before="120" w:after="0"/>
        <w:jc w:val="left"/>
        <w:rPr>
          <w:rFonts w:ascii="Times New Roman" w:hAnsi="Times New Roman"/>
          <w:sz w:val="20"/>
        </w:rPr>
      </w:pPr>
      <w:r>
        <w:rPr>
          <w:rFonts w:ascii="Times New Roman" w:hAnsi="Times New Roman"/>
          <w:sz w:val="20"/>
        </w:rPr>
        <w:t xml:space="preserve">On January 11, 2021, the Company entered into an Agreement and Plan of Merger (the Merger Agreement), with Pylon Merger Company LLC, a Delaware limited liability company and a direct wholly-owned subsidiary of the Company (Merger Sub), and Bakkt Holdings, LLC, a Delaware limited liability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VPC IMPACT ACQUISITION HOLDINGS </w:t>
      </w:r>
    </w:p>
    <w:p>
      <w:pPr>
        <w:pStyle w:val="TextBody"/>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2020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company (Bakkt), a transformative digital asset marketplace launched in 2018 by Intercontinental Exchange, Inc. (ICE) and a group of investors and strategic partners. </w:t>
      </w:r>
    </w:p>
    <w:p>
      <w:pPr>
        <w:pStyle w:val="TextBody"/>
        <w:spacing w:before="240" w:after="0"/>
        <w:jc w:val="left"/>
        <w:rPr>
          <w:rFonts w:ascii="Times New Roman" w:hAnsi="Times New Roman"/>
          <w:sz w:val="20"/>
        </w:rPr>
      </w:pPr>
      <w:r>
        <w:rPr>
          <w:rFonts w:ascii="Times New Roman" w:hAnsi="Times New Roman"/>
          <w:sz w:val="20"/>
        </w:rPr>
        <w:t xml:space="preserve">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 </w:t>
      </w:r>
    </w:p>
    <w:p>
      <w:pPr>
        <w:pStyle w:val="TextBody"/>
        <w:spacing w:before="360" w:after="0"/>
        <w:jc w:val="left"/>
        <w:rPr>
          <w:rFonts w:ascii="Times New Roman" w:hAnsi="Times New Roman"/>
          <w:b/>
          <w:i/>
          <w:sz w:val="20"/>
        </w:rPr>
      </w:pPr>
      <w:r>
        <w:rPr>
          <w:rFonts w:ascii="Times New Roman" w:hAnsi="Times New Roman"/>
          <w:b/>
          <w:i/>
          <w:sz w:val="20"/>
        </w:rPr>
        <w:t xml:space="preserve">Subscription Agreements </w:t>
      </w:r>
    </w:p>
    <w:p>
      <w:pPr>
        <w:pStyle w:val="TextBody"/>
        <w:spacing w:before="120" w:after="0"/>
        <w:jc w:val="left"/>
        <w:rPr>
          <w:rFonts w:ascii="Times New Roman" w:hAnsi="Times New Roman"/>
          <w:sz w:val="20"/>
        </w:rPr>
      </w:pPr>
      <w:r>
        <w:rPr>
          <w:rFonts w:ascii="Times New Roman" w:hAnsi="Times New Roman"/>
          <w:sz w:val="20"/>
        </w:rPr>
        <w:t xml:space="preserve">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Bakkt Holdings, LLC </w:t>
      </w:r>
    </w:p>
    <w:p>
      <w:pPr>
        <w:pStyle w:val="TextBody"/>
        <w:spacing w:before="24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50"/>
        <w:gridCol w:w="146"/>
        <w:gridCol w:w="60"/>
        <w:gridCol w:w="487"/>
        <w:gridCol w:w="62"/>
      </w:tblGrid>
      <w:tr>
        <w:trPr/>
        <w:tc>
          <w:tcPr>
            <w:tcW w:w="9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vAlign w:val="bottom"/>
          </w:tcPr>
          <w:p>
            <w:pPr>
              <w:pStyle w:val="TableContents"/>
              <w:spacing w:before="0" w:after="0"/>
              <w:rPr/>
            </w:pPr>
            <w:hyperlink w:anchor="fin108105_14">
              <w:r>
                <w:rPr>
                  <w:rStyle w:val="InternetLink"/>
                  <w:rFonts w:ascii="Times New Roman" w:hAnsi="Times New Roman"/>
                  <w:sz w:val="20"/>
                </w:rPr>
                <w:t>Report of Independent Registered Public Accounting Firm</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F-22</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vAlign w:val="bottom"/>
          </w:tcPr>
          <w:p>
            <w:pPr>
              <w:pStyle w:val="TableContents"/>
              <w:spacing w:before="0" w:after="0"/>
              <w:rPr/>
            </w:pPr>
            <w:hyperlink w:anchor="fin108105_15">
              <w:r>
                <w:rPr>
                  <w:rStyle w:val="InternetLink"/>
                  <w:rFonts w:ascii="Times New Roman" w:hAnsi="Times New Roman"/>
                  <w:sz w:val="20"/>
                </w:rPr>
                <w:t>Consolidated Balance Sheets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F-23</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vAlign w:val="bottom"/>
          </w:tcPr>
          <w:p>
            <w:pPr>
              <w:pStyle w:val="TableContents"/>
              <w:spacing w:before="0" w:after="0"/>
              <w:rPr/>
            </w:pPr>
            <w:hyperlink w:anchor="fin108105_16">
              <w:r>
                <w:rPr>
                  <w:rStyle w:val="InternetLink"/>
                  <w:rFonts w:ascii="Times New Roman" w:hAnsi="Times New Roman"/>
                  <w:sz w:val="20"/>
                </w:rPr>
                <w:t>Consolidated Statements of Operations and Comprehensive Loss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F-24</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vAlign w:val="bottom"/>
          </w:tcPr>
          <w:p>
            <w:pPr>
              <w:pStyle w:val="TableContents"/>
              <w:spacing w:before="0" w:after="0"/>
              <w:rPr/>
            </w:pPr>
            <w:hyperlink w:anchor="fin108105_17">
              <w:r>
                <w:rPr>
                  <w:rStyle w:val="InternetLink"/>
                  <w:rFonts w:ascii="Times New Roman" w:hAnsi="Times New Roman"/>
                  <w:sz w:val="20"/>
                </w:rPr>
                <w:t xml:space="preserve">Consolidated Statements of Changes in Members Equity and Mezzanine Equity </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F-25</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vAlign w:val="bottom"/>
          </w:tcPr>
          <w:p>
            <w:pPr>
              <w:pStyle w:val="TableContents"/>
              <w:spacing w:before="0" w:after="0"/>
              <w:rPr/>
            </w:pPr>
            <w:hyperlink w:anchor="fin108105_18">
              <w:r>
                <w:rPr>
                  <w:rStyle w:val="InternetLink"/>
                  <w:rFonts w:ascii="Times New Roman" w:hAnsi="Times New Roman"/>
                  <w:sz w:val="20"/>
                </w:rPr>
                <w:t>Consolidated Statements of Cash Flows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F-26</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vAlign w:val="bottom"/>
          </w:tcPr>
          <w:p>
            <w:pPr>
              <w:pStyle w:val="TableContents"/>
              <w:spacing w:before="0" w:after="0"/>
              <w:rPr/>
            </w:pPr>
            <w:hyperlink w:anchor="fin108105_19">
              <w:r>
                <w:rPr>
                  <w:rStyle w:val="InternetLink"/>
                  <w:rFonts w:ascii="Times New Roman" w:hAnsi="Times New Roman"/>
                  <w:sz w:val="20"/>
                </w:rPr>
                <w:t>Notes to Consolidated Financial Statements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F-28</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9" w:name="fin108105_14"/>
      <w:bookmarkEnd w:id="119"/>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Members and the Board of Managers of Bakkt Holdings, LLC </w:t>
      </w:r>
    </w:p>
    <w:p>
      <w:pPr>
        <w:pStyle w:val="TextBody"/>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consolidated balance sheets of Bakkt Holdings, LLC and subsidiaries (the Company) as of December 31, 2020 and 2019, the related consolidated statements of operations and comprehensive loss, changes in members equity and mezzanine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 </w:t>
      </w:r>
    </w:p>
    <w:p>
      <w:pPr>
        <w:pStyle w:val="TextBody"/>
        <w:spacing w:before="360" w:after="0"/>
        <w:jc w:val="left"/>
        <w:rPr>
          <w:rFonts w:ascii="Times New Roman" w:hAnsi="Times New Roman"/>
          <w:b/>
          <w:sz w:val="20"/>
        </w:rPr>
      </w:pPr>
      <w:r>
        <w:rPr>
          <w:rFonts w:ascii="Times New Roman" w:hAnsi="Times New Roman"/>
          <w:b/>
          <w:sz w:val="20"/>
        </w:rPr>
        <w:t xml:space="preserve">Basis for Opinion </w:t>
      </w:r>
    </w:p>
    <w:p>
      <w:pPr>
        <w:pStyle w:val="TextBody"/>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Ernst &amp; Young LLP</w:t>
            </w:r>
          </w:p>
        </w:tc>
      </w:tr>
    </w:tbl>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2018. </w:t>
      </w:r>
    </w:p>
    <w:p>
      <w:pPr>
        <w:pStyle w:val="TextBody"/>
        <w:spacing w:before="240" w:after="0"/>
        <w:jc w:val="left"/>
        <w:rPr>
          <w:rFonts w:ascii="Times New Roman" w:hAnsi="Times New Roman"/>
          <w:sz w:val="20"/>
        </w:rPr>
      </w:pPr>
      <w:r>
        <w:rPr>
          <w:rFonts w:ascii="Times New Roman" w:hAnsi="Times New Roman"/>
          <w:sz w:val="20"/>
        </w:rPr>
        <w:t xml:space="preserve">Atlanta, GA </w:t>
      </w:r>
    </w:p>
    <w:p>
      <w:pPr>
        <w:pStyle w:val="TextBody"/>
        <w:spacing w:before="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0" w:name="fin108105_15"/>
      <w:bookmarkEnd w:id="120"/>
      <w:r>
        <w:rPr>
          <w:rFonts w:ascii="Times New Roman" w:hAnsi="Times New Roman"/>
          <w:b/>
          <w:sz w:val="20"/>
        </w:rPr>
        <w:t xml:space="preserve">Bakkt Holdings, LLC </w:t>
      </w:r>
    </w:p>
    <w:p>
      <w:pPr>
        <w:pStyle w:val="TextBody"/>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(in thousands, except unit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592"/>
        <w:gridCol w:w="154"/>
        <w:gridCol w:w="140"/>
        <w:gridCol w:w="938"/>
        <w:gridCol w:w="155"/>
        <w:gridCol w:w="118"/>
        <w:gridCol w:w="140"/>
        <w:gridCol w:w="810"/>
        <w:gridCol w:w="158"/>
      </w:tblGrid>
      <w:tr>
        <w:trPr/>
        <w:tc>
          <w:tcPr>
            <w:tcW w:w="759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59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30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158" w:type="dxa"/>
            <w:tcBorders/>
            <w:shd w:fill="auto"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b/>
                <w:sz w:val="17"/>
              </w:rPr>
            </w:pPr>
            <w:r>
              <w:rPr>
                <w:rFonts w:ascii="Times New Roman" w:hAnsi="Times New Roman"/>
                <w:b/>
                <w:sz w:val="17"/>
              </w:rPr>
              <w:t>Assets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10"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Current assets: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1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75,361</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10" w:type="dxa"/>
            <w:tcBorders/>
            <w:shd w:fill="CCEEFF" w:val="clear"/>
            <w:vAlign w:val="bottom"/>
          </w:tcPr>
          <w:p>
            <w:pPr>
              <w:pStyle w:val="TableContents"/>
              <w:spacing w:before="0" w:after="283"/>
              <w:jc w:val="right"/>
              <w:rPr/>
            </w:pPr>
            <w:r>
              <w:rPr/>
              <w:t>76,634</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Restricted cash</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16,500</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16,500</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Customer funds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81</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Short-term investments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1,988</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Accounts receivable, net</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10,408</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Other receivables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115</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Investment in shares of affiliate stock, current</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1,823</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Deposits with clearinghouse affiliate, current</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20,200</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1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7,690</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4,840</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Total current assets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132,063</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100,077</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Property, equipment and software, net</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19,957</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11,108</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Goodwill</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233,429</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16,854</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Intangible assets, net</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62,199</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2,092</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Deposits with clearinghouse affiliate, noncurrent</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15,150</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46,352</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Investment in shares of affiliate stock</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1,194</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Other assets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5,578</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4</w:t>
            </w:r>
          </w:p>
        </w:tc>
        <w:tc>
          <w:tcPr>
            <w:tcW w:w="158" w:type="dxa"/>
            <w:tcBorders/>
            <w:shd w:fill="auto"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468,376</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10" w:type="dxa"/>
            <w:tcBorders/>
            <w:shd w:fill="CCEEFF" w:val="clear"/>
            <w:vAlign w:val="bottom"/>
          </w:tcPr>
          <w:p>
            <w:pPr>
              <w:pStyle w:val="TableContents"/>
              <w:spacing w:before="0" w:after="283"/>
              <w:jc w:val="right"/>
              <w:rPr/>
            </w:pPr>
            <w:r>
              <w:rPr/>
              <w:t>177,681</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10"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b/>
                <w:sz w:val="17"/>
              </w:rPr>
            </w:pPr>
            <w:r>
              <w:rPr>
                <w:rFonts w:ascii="Times New Roman" w:hAnsi="Times New Roman"/>
                <w:b/>
                <w:sz w:val="17"/>
              </w:rPr>
              <w:t>Liabilities and Members Equity</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1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Current liabilities: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10"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 and accrued liabilities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38" w:type="dxa"/>
            <w:tcBorders/>
            <w:shd w:fill="auto" w:val="clear"/>
            <w:vAlign w:val="bottom"/>
          </w:tcPr>
          <w:p>
            <w:pPr>
              <w:pStyle w:val="TableContents"/>
              <w:spacing w:before="0" w:after="283"/>
              <w:jc w:val="right"/>
              <w:rPr/>
            </w:pPr>
            <w:r>
              <w:rPr/>
              <w:t>42,915</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10" w:type="dxa"/>
            <w:tcBorders/>
            <w:shd w:fill="auto" w:val="clear"/>
            <w:vAlign w:val="bottom"/>
          </w:tcPr>
          <w:p>
            <w:pPr>
              <w:pStyle w:val="TableContents"/>
              <w:spacing w:before="0" w:after="283"/>
              <w:jc w:val="right"/>
              <w:rPr/>
            </w:pPr>
            <w:r>
              <w:rPr/>
              <w:t>5,955</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Customer funds payable</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81</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Deferred revenue, current</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4,282</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Due to affiliates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1,856</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9,432</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Other current liabilities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1,943</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Total current liabilities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51,077</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15,387</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Deferred revenue, noncurrent</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4,103</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Deferred tax liabilities, net</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95</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104</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Other liabilities</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3,319</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158</w:t>
            </w:r>
          </w:p>
        </w:tc>
        <w:tc>
          <w:tcPr>
            <w:tcW w:w="158" w:type="dxa"/>
            <w:tcBorders/>
            <w:shd w:fill="auto"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Total liabilities</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58,594</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15,649</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Mezzanine equity:</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1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Class B and Class C incentive plan units (156,000,000 authorized, 103,318,325 unvested units and 85,875,000 unvested units issued and outstanding as of December 31, 2020 and 2019, respectively)</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21,452</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10,515</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Members equity:</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1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Class A voting units (413,000,000 units authorized, 400,000,000 units issued and outstanding as of December 31, 2020 and 2019)</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2,613</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1,916</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Class B voting units (212,500,000 units authorized, 182,500,000 units issued and outstanding as of December 31, 2020 and 2019)</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182,500</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182,500</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Class B warrant (see Note 8)</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5,426</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Class C voting units (284,000,000 units authorized, 270,270,270 units and 0 units issued and outstanding as of December 31, 2020 and 2019, respectively)</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310,104</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income</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191</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Accumulated deficit</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(112,504</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(32,899</w:t>
            </w:r>
          </w:p>
        </w:tc>
        <w:tc>
          <w:tcPr>
            <w:tcW w:w="158" w:type="dxa"/>
            <w:tcBorders/>
            <w:shd w:fill="auto"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CCEEFF" w:val="clear"/>
          </w:tcPr>
          <w:p>
            <w:pPr>
              <w:pStyle w:val="TableContents"/>
              <w:spacing w:before="0" w:after="0"/>
              <w:rPr>
                <w:rFonts w:ascii="Times New Roman" w:hAnsi="Times New Roman"/>
                <w:sz w:val="17"/>
              </w:rPr>
            </w:pPr>
            <w:r>
              <w:rPr>
                <w:rFonts w:ascii="Times New Roman" w:hAnsi="Times New Roman"/>
                <w:sz w:val="17"/>
              </w:rPr>
              <w:t>Total members equity</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388,330</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151,517</w:t>
            </w:r>
          </w:p>
        </w:tc>
        <w:tc>
          <w:tcPr>
            <w:tcW w:w="158" w:type="dxa"/>
            <w:tcBorders/>
            <w:shd w:fill="CCEEFF"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592" w:type="dxa"/>
            <w:tcBorders/>
            <w:shd w:fill="auto" w:val="clear"/>
          </w:tcPr>
          <w:p>
            <w:pPr>
              <w:pStyle w:val="TableContents"/>
              <w:spacing w:before="0" w:after="0"/>
              <w:rPr>
                <w:rFonts w:ascii="Times New Roman" w:hAnsi="Times New Roman"/>
                <w:sz w:val="17"/>
              </w:rPr>
            </w:pPr>
            <w:r>
              <w:rPr>
                <w:rFonts w:ascii="Times New Roman" w:hAnsi="Times New Roman"/>
                <w:sz w:val="17"/>
              </w:rPr>
              <w:t>Total liabilities and members equity</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38" w:type="dxa"/>
            <w:tcBorders/>
            <w:shd w:fill="auto" w:val="clear"/>
            <w:vAlign w:val="bottom"/>
          </w:tcPr>
          <w:p>
            <w:pPr>
              <w:pStyle w:val="TableContents"/>
              <w:spacing w:before="0" w:after="283"/>
              <w:jc w:val="right"/>
              <w:rPr/>
            </w:pPr>
            <w:r>
              <w:rPr/>
              <w:t>468,376</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10" w:type="dxa"/>
            <w:tcBorders/>
            <w:shd w:fill="auto" w:val="clear"/>
            <w:vAlign w:val="bottom"/>
          </w:tcPr>
          <w:p>
            <w:pPr>
              <w:pStyle w:val="TableContents"/>
              <w:spacing w:before="0" w:after="283"/>
              <w:jc w:val="right"/>
              <w:rPr/>
            </w:pPr>
            <w:r>
              <w:rPr/>
              <w:t>177,681</w:t>
            </w:r>
          </w:p>
        </w:tc>
        <w:tc>
          <w:tcPr>
            <w:tcW w:w="158" w:type="dxa"/>
            <w:tcBorders/>
            <w:shd w:fill="auto" w:val="clear"/>
            <w:vAlign w:val="bottom"/>
          </w:tcPr>
          <w:p>
            <w:pPr>
              <w:pStyle w:val="TableContents"/>
              <w:spacing w:before="0" w:after="283"/>
              <w:rPr/>
            </w:pPr>
            <w:r>
              <w:rPr/>
              <w:t> </w:t>
            </w:r>
          </w:p>
        </w:tc>
      </w:tr>
      <w:tr>
        <w:trPr/>
        <w:tc>
          <w:tcPr>
            <w:tcW w:w="759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10"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i/>
          <w:sz w:val="20"/>
        </w:rPr>
        <w:t>The accompanying notes are an integral part of these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1" w:name="fin108105_16"/>
      <w:bookmarkEnd w:id="121"/>
      <w:r>
        <w:rPr>
          <w:rFonts w:ascii="Times New Roman" w:hAnsi="Times New Roman"/>
          <w:b/>
          <w:sz w:val="20"/>
        </w:rPr>
        <w:t xml:space="preserve">Bakkt Holdings, LLC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513"/>
        <w:gridCol w:w="231"/>
        <w:gridCol w:w="140"/>
        <w:gridCol w:w="873"/>
        <w:gridCol w:w="171"/>
        <w:gridCol w:w="195"/>
        <w:gridCol w:w="140"/>
        <w:gridCol w:w="766"/>
        <w:gridCol w:w="176"/>
      </w:tblGrid>
      <w:tr>
        <w:trPr/>
        <w:tc>
          <w:tcPr>
            <w:tcW w:w="751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7513"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2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Net revenues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28,495</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66" w:type="dxa"/>
            <w:tcBorders/>
            <w:shd w:fill="auto" w:val="clear"/>
            <w:vAlign w:val="bottom"/>
          </w:tcPr>
          <w:p>
            <w:pPr>
              <w:pStyle w:val="TableContents"/>
              <w:spacing w:before="0" w:after="283"/>
              <w:jc w:val="right"/>
              <w:rPr/>
            </w:pPr>
            <w:r>
              <w:rPr/>
              <w:t>(881</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17</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Total revenues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28,495</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(864</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Compensation and benefits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43,141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23,237</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services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5,751</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4,150</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Technology and communication</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9,741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4,256</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8,219</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2,617</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Acquisition-related expenses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13,372</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731</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8,159</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324</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Affiliate expenses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3,082</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500</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15,292</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expenses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857</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107,614</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35,815</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Operating loss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(79,119</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(36,679</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 net</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123</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3,280</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 (expense), net</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(218</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224</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Loss before income taxes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(79,214</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(33,175</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 benefit</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(391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199</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(79,605</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66" w:type="dxa"/>
            <w:tcBorders/>
            <w:shd w:fill="CCEEFF" w:val="clear"/>
            <w:vAlign w:val="bottom"/>
          </w:tcPr>
          <w:p>
            <w:pPr>
              <w:pStyle w:val="TableContents"/>
              <w:spacing w:before="0" w:after="283"/>
              <w:jc w:val="right"/>
              <w:rPr/>
            </w:pPr>
            <w:r>
              <w:rPr/>
              <w:t>(32,976</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Currency translation adjustment, net of tax</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191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Comprehensive loss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(79,414</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66" w:type="dxa"/>
            <w:tcBorders/>
            <w:shd w:fill="CCEEFF" w:val="clear"/>
            <w:vAlign w:val="bottom"/>
          </w:tcPr>
          <w:p>
            <w:pPr>
              <w:pStyle w:val="TableContents"/>
              <w:spacing w:before="0" w:after="283"/>
              <w:jc w:val="right"/>
              <w:rPr/>
            </w:pPr>
            <w:r>
              <w:rPr/>
              <w:t>(32,976</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3" w:type="dxa"/>
            <w:tcBorders/>
            <w:shd w:fill="auto" w:val="clear"/>
            <w:vAlign w:val="bottom"/>
          </w:tcPr>
          <w:p>
            <w:pPr>
              <w:pStyle w:val="TableContents"/>
              <w:pBdr>
                <w:top w:val="double" w:sz="6"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66" w:type="dxa"/>
            <w:tcBorders/>
            <w:shd w:fill="auto" w:val="clear"/>
            <w:vAlign w:val="bottom"/>
          </w:tcPr>
          <w:p>
            <w:pPr>
              <w:pStyle w:val="TableContents"/>
              <w:pBdr>
                <w:top w:val="double" w:sz="6"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2400" w:after="0"/>
        <w:jc w:val="center"/>
        <w:rPr>
          <w:rFonts w:ascii="Times New Roman" w:hAnsi="Times New Roman"/>
          <w:sz w:val="20"/>
        </w:rPr>
      </w:pPr>
      <w:r>
        <w:rPr>
          <w:rFonts w:ascii="Times New Roman" w:hAnsi="Times New Roman"/>
          <w:i/>
          <w:sz w:val="20"/>
        </w:rPr>
        <w:t>The accompanying notes are an integral part of these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2" w:name="fin108105_17"/>
      <w:bookmarkEnd w:id="122"/>
      <w:r>
        <w:rPr>
          <w:rFonts w:ascii="Times New Roman" w:hAnsi="Times New Roman"/>
          <w:b/>
          <w:sz w:val="20"/>
        </w:rPr>
        <w:t xml:space="preserve">Bakkt Holdings, LLC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Changes in Members Equity and Mezzanine Equity </w:t>
      </w:r>
    </w:p>
    <w:p>
      <w:pPr>
        <w:pStyle w:val="TextBody"/>
        <w:spacing w:before="0" w:after="0"/>
        <w:jc w:val="center"/>
        <w:rPr>
          <w:rFonts w:ascii="Times New Roman" w:hAnsi="Times New Roman"/>
          <w:b/>
          <w:sz w:val="20"/>
        </w:rPr>
      </w:pPr>
      <w:r>
        <w:rPr>
          <w:rFonts w:ascii="Times New Roman" w:hAnsi="Times New Roman"/>
          <w:b/>
          <w:sz w:val="20"/>
        </w:rPr>
        <w:t xml:space="preserve">(in thousands, except unit data) </w:t>
      </w:r>
    </w:p>
    <w:p>
      <w:pPr>
        <w:pStyle w:val="TextBody"/>
        <w:spacing w:before="0" w:after="0"/>
        <w:jc w:val="left"/>
        <w:rPr/>
      </w:pPr>
      <w:r>
        <w:rPr/>
        <w:t> </w:t>
      </w:r>
    </w:p>
    <w:tbl>
      <w:tblPr>
        <w:tblW w:w="18255" w:type="dxa"/>
        <w:jc w:val="center"/>
        <w:tblInd w:w="0" w:type="dxa"/>
        <w:tblCellMar>
          <w:top w:w="0" w:type="dxa"/>
          <w:left w:w="0" w:type="dxa"/>
          <w:bottom w:w="0" w:type="dxa"/>
          <w:right w:w="0" w:type="dxa"/>
        </w:tblCellMar>
      </w:tblPr>
      <w:tblGrid>
        <w:gridCol w:w="995"/>
        <w:gridCol w:w="60"/>
        <w:gridCol w:w="61"/>
        <w:gridCol w:w="1249"/>
        <w:gridCol w:w="61"/>
        <w:gridCol w:w="61"/>
        <w:gridCol w:w="143"/>
        <w:gridCol w:w="575"/>
        <w:gridCol w:w="60"/>
        <w:gridCol w:w="60"/>
        <w:gridCol w:w="60"/>
        <w:gridCol w:w="1220"/>
        <w:gridCol w:w="60"/>
        <w:gridCol w:w="60"/>
        <w:gridCol w:w="140"/>
        <w:gridCol w:w="800"/>
        <w:gridCol w:w="60"/>
        <w:gridCol w:w="60"/>
        <w:gridCol w:w="159"/>
        <w:gridCol w:w="851"/>
        <w:gridCol w:w="60"/>
        <w:gridCol w:w="60"/>
        <w:gridCol w:w="140"/>
        <w:gridCol w:w="560"/>
        <w:gridCol w:w="60"/>
        <w:gridCol w:w="60"/>
        <w:gridCol w:w="60"/>
        <w:gridCol w:w="1220"/>
        <w:gridCol w:w="60"/>
        <w:gridCol w:w="60"/>
        <w:gridCol w:w="140"/>
        <w:gridCol w:w="800"/>
        <w:gridCol w:w="60"/>
        <w:gridCol w:w="60"/>
        <w:gridCol w:w="188"/>
        <w:gridCol w:w="1182"/>
        <w:gridCol w:w="155"/>
        <w:gridCol w:w="60"/>
        <w:gridCol w:w="433"/>
        <w:gridCol w:w="1177"/>
        <w:gridCol w:w="60"/>
        <w:gridCol w:w="60"/>
        <w:gridCol w:w="172"/>
        <w:gridCol w:w="988"/>
        <w:gridCol w:w="155"/>
        <w:gridCol w:w="60"/>
        <w:gridCol w:w="94"/>
        <w:gridCol w:w="503"/>
        <w:gridCol w:w="94"/>
        <w:gridCol w:w="94"/>
        <w:gridCol w:w="220"/>
        <w:gridCol w:w="1070"/>
        <w:gridCol w:w="60"/>
        <w:gridCol w:w="60"/>
        <w:gridCol w:w="190"/>
        <w:gridCol w:w="925"/>
        <w:gridCol w:w="60"/>
      </w:tblGrid>
      <w:tr>
        <w:trPr/>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A Voting 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B Voting 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B Warrant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C Voting Units</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5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61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Other</w:t>
              <w:br/>
              <w:t>Comprehensive</w:t>
              <w:br/>
              <w:t>Income</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6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Members</w:t>
              <w:br/>
              <w:t>Equity</w:t>
            </w:r>
          </w:p>
        </w:tc>
        <w:tc>
          <w:tcPr>
            <w:tcW w:w="15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B and Class C</w:t>
              <w:br/>
              <w:t>Incentive Plan 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b/>
              </w:rPr>
            </w:pPr>
            <w:r>
              <w:rPr>
                <w:b/>
              </w:rPr>
              <w:t>Total</w:t>
              <w:br/>
              <w:t>Mezzanine</w:t>
              <w:br/>
              <w:t>Equity</w:t>
            </w:r>
          </w:p>
        </w:tc>
        <w:tc>
          <w:tcPr>
            <w:tcW w:w="60" w:type="dxa"/>
            <w:tcBorders/>
            <w:shd w:fill="auto"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Units</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Warrants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37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61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6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5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Units</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pBdr>
                <w:bottom w:val="single" w:sz="8" w:space="1" w:color="000000"/>
              </w:pBdr>
              <w:spacing w:before="0" w:after="0"/>
              <w:rPr/>
            </w:pPr>
            <w:r>
              <w:rPr/>
              <w:t> </w:t>
            </w:r>
          </w:p>
        </w:tc>
        <w:tc>
          <w:tcPr>
            <w:tcW w:w="60"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Balance as of December 31, 2018</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400,000,000</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w:t>
            </w:r>
          </w:p>
        </w:tc>
        <w:tc>
          <w:tcPr>
            <w:tcW w:w="5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182,500,000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182,500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w:t>
            </w:r>
          </w:p>
        </w:tc>
        <w:tc>
          <w:tcPr>
            <w:tcW w:w="1182" w:type="dxa"/>
            <w:tcBorders/>
            <w:shd w:fill="CCEEFF" w:val="clear"/>
            <w:vAlign w:val="bottom"/>
          </w:tcPr>
          <w:p>
            <w:pPr>
              <w:pStyle w:val="TableContents"/>
              <w:spacing w:before="0" w:after="283"/>
              <w:jc w:val="right"/>
              <w:rPr/>
            </w:pPr>
            <w:r>
              <w:rPr/>
              <w:t>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182,577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107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0"/>
              <w:rPr>
                <w:rFonts w:ascii="Times New Roman" w:hAnsi="Times New Roman"/>
                <w:sz w:val="17"/>
              </w:rPr>
            </w:pPr>
            <w:r>
              <w:rPr>
                <w:rFonts w:ascii="Times New Roman" w:hAnsi="Times New Roman"/>
                <w:sz w:val="17"/>
              </w:rPr>
              <w:t>Issuance of Class A voting units in exchange of capital contribution (see Note 8)</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1,916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1,916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Unit-based compensation expense for Class B and Class C incentive units (see Note 9)</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10,515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10,515</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0"/>
              <w:rPr>
                <w:rFonts w:ascii="Times New Roman" w:hAnsi="Times New Roman"/>
                <w:sz w:val="17"/>
              </w:rPr>
            </w:pPr>
            <w:r>
              <w:rPr>
                <w:rFonts w:ascii="Times New Roman" w:hAnsi="Times New Roman"/>
                <w:sz w:val="17"/>
              </w:rPr>
              <w:t>Net loss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(32,976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(32,976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249" w:type="dxa"/>
            <w:tcBorders/>
            <w:shd w:fill="auto" w:val="clear"/>
            <w:vAlign w:val="bottom"/>
          </w:tcPr>
          <w:p>
            <w:pPr>
              <w:pStyle w:val="TableContents"/>
              <w:pBdr>
                <w:top w:val="single" w:sz="2" w:space="1" w:color="000000"/>
              </w:pBdr>
              <w:spacing w:before="0" w:after="0"/>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57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85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single" w:sz="2" w:space="1" w:color="000000"/>
              </w:pBdr>
              <w:spacing w:before="0" w:after="0"/>
              <w:rPr/>
            </w:pPr>
            <w:r>
              <w:rPr/>
              <w:t> </w:t>
            </w:r>
          </w:p>
        </w:tc>
        <w:tc>
          <w:tcPr>
            <w:tcW w:w="11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pBdr>
                <w:top w:val="single" w:sz="2" w:space="1" w:color="000000"/>
              </w:pBdr>
              <w:spacing w:before="0" w:after="0"/>
              <w:rPr/>
            </w:pPr>
            <w:r>
              <w:rPr/>
              <w:t> </w:t>
            </w:r>
          </w:p>
        </w:tc>
        <w:tc>
          <w:tcPr>
            <w:tcW w:w="11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503" w:type="dxa"/>
            <w:tcBorders/>
            <w:shd w:fill="auto" w:val="clear"/>
            <w:vAlign w:val="bottom"/>
          </w:tcPr>
          <w:p>
            <w:pPr>
              <w:pStyle w:val="TableContents"/>
              <w:pBdr>
                <w:top w:val="single" w:sz="2" w:space="1" w:color="000000"/>
              </w:pBdr>
              <w:spacing w:before="0" w:after="0"/>
              <w:rPr/>
            </w:pPr>
            <w:r>
              <w:rPr/>
              <w:t> </w:t>
            </w:r>
          </w:p>
        </w:tc>
        <w:tc>
          <w:tcPr>
            <w:tcW w:w="94"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Balance as of December 31, 2019</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400,000,000</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1,916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182,500,000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182,500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(32,899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151,517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10,515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10,515</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0"/>
              <w:rPr>
                <w:rFonts w:ascii="Times New Roman" w:hAnsi="Times New Roman"/>
                <w:sz w:val="17"/>
              </w:rPr>
            </w:pPr>
            <w:r>
              <w:rPr>
                <w:rFonts w:ascii="Times New Roman" w:hAnsi="Times New Roman"/>
                <w:sz w:val="17"/>
              </w:rPr>
              <w:t>Issuance of Class A voting units in exchange of capital contribution (see Note 8)</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697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Issuance of Class B warrant (Note 8)</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5,426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5,426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0"/>
              <w:rPr>
                <w:rFonts w:ascii="Times New Roman" w:hAnsi="Times New Roman"/>
                <w:sz w:val="17"/>
              </w:rPr>
            </w:pPr>
            <w:r>
              <w:rPr>
                <w:rFonts w:ascii="Times New Roman" w:hAnsi="Times New Roman"/>
                <w:sz w:val="17"/>
              </w:rPr>
              <w:t>Unit-based compensation expense for Class B and Class C incentive units (see Note 9)</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10,937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10,937</w:t>
            </w:r>
          </w:p>
        </w:tc>
        <w:tc>
          <w:tcPr>
            <w:tcW w:w="60"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Issuance of Class C voting units</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270,270,270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300,000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0"/>
              <w:rPr>
                <w:rFonts w:ascii="Times New Roman" w:hAnsi="Times New Roman"/>
                <w:sz w:val="17"/>
              </w:rPr>
            </w:pPr>
            <w:r>
              <w:rPr>
                <w:rFonts w:ascii="Times New Roman" w:hAnsi="Times New Roman"/>
                <w:sz w:val="17"/>
              </w:rPr>
              <w:t>Pushdown accounting for deferred income tax liabilities resulting from Bridge2 Solutions acquisition (see Note 4)</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10,104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10,104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Currency translation adjustment, net of tax</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191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0"/>
              <w:rPr>
                <w:rFonts w:ascii="Times New Roman" w:hAnsi="Times New Roman"/>
                <w:sz w:val="17"/>
              </w:rPr>
            </w:pPr>
            <w:r>
              <w:rPr>
                <w:rFonts w:ascii="Times New Roman" w:hAnsi="Times New Roman"/>
                <w:sz w:val="17"/>
              </w:rPr>
              <w:t>Net loss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(79,605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(79,605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249" w:type="dxa"/>
            <w:tcBorders/>
            <w:shd w:fill="auto" w:val="clear"/>
            <w:vAlign w:val="bottom"/>
          </w:tcPr>
          <w:p>
            <w:pPr>
              <w:pStyle w:val="TableContents"/>
              <w:pBdr>
                <w:top w:val="single" w:sz="2" w:space="1" w:color="000000"/>
              </w:pBdr>
              <w:spacing w:before="0" w:after="0"/>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57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85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single" w:sz="2" w:space="1" w:color="000000"/>
              </w:pBdr>
              <w:spacing w:before="0" w:after="0"/>
              <w:rPr/>
            </w:pPr>
            <w:r>
              <w:rPr/>
              <w:t> </w:t>
            </w:r>
          </w:p>
        </w:tc>
        <w:tc>
          <w:tcPr>
            <w:tcW w:w="11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pBdr>
                <w:top w:val="single" w:sz="2" w:space="1" w:color="000000"/>
              </w:pBdr>
              <w:spacing w:before="0" w:after="0"/>
              <w:rPr/>
            </w:pPr>
            <w:r>
              <w:rPr/>
              <w:t> </w:t>
            </w:r>
          </w:p>
        </w:tc>
        <w:tc>
          <w:tcPr>
            <w:tcW w:w="11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503" w:type="dxa"/>
            <w:tcBorders/>
            <w:shd w:fill="auto" w:val="clear"/>
            <w:vAlign w:val="bottom"/>
          </w:tcPr>
          <w:p>
            <w:pPr>
              <w:pStyle w:val="TableContents"/>
              <w:pBdr>
                <w:top w:val="single" w:sz="2" w:space="1" w:color="000000"/>
              </w:pBdr>
              <w:spacing w:before="0" w:after="0"/>
              <w:rPr/>
            </w:pPr>
            <w:r>
              <w:rPr/>
              <w:t> </w:t>
            </w:r>
          </w:p>
        </w:tc>
        <w:tc>
          <w:tcPr>
            <w:tcW w:w="94"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995" w:type="dxa"/>
            <w:tcBorders/>
            <w:shd w:fill="CCEEFF" w:val="clear"/>
          </w:tcPr>
          <w:p>
            <w:pPr>
              <w:pStyle w:val="TableContents"/>
              <w:spacing w:before="0" w:after="0"/>
              <w:rPr>
                <w:rFonts w:ascii="Times New Roman" w:hAnsi="Times New Roman"/>
                <w:sz w:val="17"/>
              </w:rPr>
            </w:pPr>
            <w:r>
              <w:rPr>
                <w:rFonts w:ascii="Times New Roman" w:hAnsi="Times New Roman"/>
                <w:sz w:val="17"/>
              </w:rPr>
              <w:t>Balance as of December 31, 2020</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400,000,000</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w:t>
            </w:r>
          </w:p>
        </w:tc>
        <w:tc>
          <w:tcPr>
            <w:tcW w:w="575" w:type="dxa"/>
            <w:tcBorders/>
            <w:shd w:fill="CCEEFF" w:val="clear"/>
            <w:vAlign w:val="bottom"/>
          </w:tcPr>
          <w:p>
            <w:pPr>
              <w:pStyle w:val="TableContents"/>
              <w:spacing w:before="0" w:after="283"/>
              <w:jc w:val="right"/>
              <w:rPr/>
            </w:pPr>
            <w:r>
              <w:rPr/>
              <w:t>2,613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182,500,000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182,500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5,426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270,270,270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310,104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w:t>
            </w:r>
          </w:p>
        </w:tc>
        <w:tc>
          <w:tcPr>
            <w:tcW w:w="1182" w:type="dxa"/>
            <w:tcBorders/>
            <w:shd w:fill="CCEEFF" w:val="clear"/>
            <w:vAlign w:val="bottom"/>
          </w:tcPr>
          <w:p>
            <w:pPr>
              <w:pStyle w:val="TableContents"/>
              <w:spacing w:before="0" w:after="283"/>
              <w:jc w:val="right"/>
              <w:rPr/>
            </w:pPr>
            <w:r>
              <w:rPr/>
              <w:t>(112,504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388,330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1070" w:type="dxa"/>
            <w:tcBorders/>
            <w:shd w:fill="CCEEFF" w:val="clear"/>
            <w:vAlign w:val="bottom"/>
          </w:tcPr>
          <w:p>
            <w:pPr>
              <w:pStyle w:val="TableContents"/>
              <w:spacing w:before="0" w:after="283"/>
              <w:jc w:val="right"/>
              <w:rPr/>
            </w:pPr>
            <w:r>
              <w:rPr/>
              <w:t>21,452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21,452</w:t>
            </w:r>
          </w:p>
        </w:tc>
        <w:tc>
          <w:tcPr>
            <w:tcW w:w="60" w:type="dxa"/>
            <w:tcBorders/>
            <w:shd w:fill="CCEEFF"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double" w:sz="6" w:space="1" w:color="000000"/>
              </w:pBdr>
              <w:spacing w:before="0" w:after="0"/>
              <w:rPr/>
            </w:pPr>
            <w:r>
              <w:rPr/>
              <w:t> </w:t>
            </w:r>
          </w:p>
        </w:tc>
        <w:tc>
          <w:tcPr>
            <w:tcW w:w="1249" w:type="dxa"/>
            <w:tcBorders/>
            <w:shd w:fill="auto" w:val="clear"/>
            <w:vAlign w:val="bottom"/>
          </w:tcPr>
          <w:p>
            <w:pPr>
              <w:pStyle w:val="TableContents"/>
              <w:pBdr>
                <w:top w:val="double" w:sz="6" w:space="1" w:color="000000"/>
              </w:pBdr>
              <w:spacing w:before="0" w:after="0"/>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0"/>
              <w:rPr/>
            </w:pPr>
            <w:r>
              <w:rPr/>
              <w:t> </w:t>
            </w:r>
          </w:p>
        </w:tc>
        <w:tc>
          <w:tcPr>
            <w:tcW w:w="57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2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85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6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2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double" w:sz="6" w:space="1" w:color="000000"/>
              </w:pBdr>
              <w:spacing w:before="0" w:after="0"/>
              <w:rPr/>
            </w:pPr>
            <w:r>
              <w:rPr/>
              <w:t> </w:t>
            </w:r>
          </w:p>
        </w:tc>
        <w:tc>
          <w:tcPr>
            <w:tcW w:w="11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pBdr>
                <w:top w:val="double" w:sz="6" w:space="1" w:color="000000"/>
              </w:pBdr>
              <w:spacing w:before="0" w:after="0"/>
              <w:rPr/>
            </w:pPr>
            <w:r>
              <w:rPr/>
              <w:t> </w:t>
            </w:r>
          </w:p>
        </w:tc>
        <w:tc>
          <w:tcPr>
            <w:tcW w:w="117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double" w:sz="6" w:space="1" w:color="000000"/>
              </w:pBdr>
              <w:spacing w:before="0" w:after="0"/>
              <w:rPr/>
            </w:pPr>
            <w:r>
              <w:rPr/>
              <w:t> </w:t>
            </w:r>
          </w:p>
        </w:tc>
        <w:tc>
          <w:tcPr>
            <w:tcW w:w="503" w:type="dxa"/>
            <w:tcBorders/>
            <w:shd w:fill="auto" w:val="clear"/>
            <w:vAlign w:val="bottom"/>
          </w:tcPr>
          <w:p>
            <w:pPr>
              <w:pStyle w:val="TableContents"/>
              <w:pBdr>
                <w:top w:val="double" w:sz="6" w:space="1" w:color="000000"/>
              </w:pBdr>
              <w:spacing w:before="0" w:after="0"/>
              <w:rPr/>
            </w:pPr>
            <w:r>
              <w:rPr/>
              <w:t> </w:t>
            </w:r>
          </w:p>
        </w:tc>
        <w:tc>
          <w:tcPr>
            <w:tcW w:w="94"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07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92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36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3" w:name="fin108105_18"/>
      <w:bookmarkEnd w:id="123"/>
      <w:r>
        <w:rPr>
          <w:rFonts w:ascii="Times New Roman" w:hAnsi="Times New Roman"/>
          <w:b/>
          <w:sz w:val="20"/>
        </w:rPr>
        <w:t xml:space="preserve">Bakkt Holdings, LLC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513"/>
        <w:gridCol w:w="231"/>
        <w:gridCol w:w="140"/>
        <w:gridCol w:w="766"/>
        <w:gridCol w:w="171"/>
        <w:gridCol w:w="195"/>
        <w:gridCol w:w="140"/>
        <w:gridCol w:w="873"/>
        <w:gridCol w:w="176"/>
      </w:tblGrid>
      <w:tr>
        <w:trPr/>
        <w:tc>
          <w:tcPr>
            <w:tcW w:w="751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7513"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2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66" w:type="dxa"/>
            <w:tcBorders/>
            <w:shd w:fill="auto" w:val="clear"/>
            <w:vAlign w:val="bottom"/>
          </w:tcPr>
          <w:p>
            <w:pPr>
              <w:pStyle w:val="TableContents"/>
              <w:spacing w:before="0" w:after="283"/>
              <w:jc w:val="right"/>
              <w:rPr/>
            </w:pPr>
            <w:r>
              <w:rPr/>
              <w:t>(79,605</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(32,976</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7,973</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324</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Non-cash lease expense</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1,388</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Unit-based compensation expense (see Note 9)</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11,649</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10,673</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Recognition of affiliate capital contribution (see Note 7)</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697</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188</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Amortization of Class B warrant asset (see Note 8)</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388</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Deferred income taxes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(354</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(114</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15,292</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Acquisition-related expenses paid by affiliate (see Note 7)</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1,378</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Unrealized gain on investment in shares of affiliate stock (see Note 7)</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(628</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117</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(264</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Other receivables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115</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(115</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Deposits with clearinghouse affiliate</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11,002</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(39,007</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 and accrued liabilities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16,076</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5,863</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Due to affiliates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(7,927</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9,432</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(4,331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liabilities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(1,192</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Customer funds payable</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81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Other assets and liabilities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(2,795</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(2,764</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(30,940</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(48,496</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Capitalized internal-use software development costs and other capital expenditures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(20,569</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(9,181</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Purchases of short-term investments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(1,988</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maturities of short-term investments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1,988</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Acquisitions, net of cash acquired</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(29,778</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Cash acquired through non-cash business combination</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10,652</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proceeds used in investing activities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(7,929</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(40,947</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Payment of finance lease liability</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(313</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issuance of Class C voting units (see Note 7)</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37,800</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37,487</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Effect of exchange rate changes on cash, cash equivalents and restricted cash</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191</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Net decrease in cash, cash equivalents, restricted cash and customer funds</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(1,191</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(89,443</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tcPr>
          <w:p>
            <w:pPr>
              <w:pStyle w:val="TableContents"/>
              <w:spacing w:before="0" w:after="0"/>
              <w:rPr>
                <w:rFonts w:ascii="Times New Roman" w:hAnsi="Times New Roman"/>
                <w:sz w:val="20"/>
              </w:rPr>
            </w:pPr>
            <w:r>
              <w:rPr>
                <w:rFonts w:ascii="Times New Roman" w:hAnsi="Times New Roman"/>
                <w:sz w:val="20"/>
              </w:rPr>
              <w:t>Cash, cash equivalents, restricted cash and customer funds at the beginning of the year</w:t>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93,134</w:t>
            </w:r>
          </w:p>
        </w:tc>
        <w:tc>
          <w:tcPr>
            <w:tcW w:w="17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182,577</w:t>
            </w:r>
          </w:p>
        </w:tc>
        <w:tc>
          <w:tcPr>
            <w:tcW w:w="176" w:type="dxa"/>
            <w:tcBorders/>
            <w:shd w:fill="auto"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66"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r>
        <w:trPr/>
        <w:tc>
          <w:tcPr>
            <w:tcW w:w="7513" w:type="dxa"/>
            <w:tcBorders/>
            <w:shd w:fill="CCEEFF" w:val="clear"/>
          </w:tcPr>
          <w:p>
            <w:pPr>
              <w:pStyle w:val="TableContents"/>
              <w:spacing w:before="0" w:after="0"/>
              <w:rPr>
                <w:rFonts w:ascii="Times New Roman" w:hAnsi="Times New Roman"/>
                <w:sz w:val="20"/>
              </w:rPr>
            </w:pPr>
            <w:r>
              <w:rPr>
                <w:rFonts w:ascii="Times New Roman" w:hAnsi="Times New Roman"/>
                <w:sz w:val="20"/>
              </w:rPr>
              <w:t>Cash, cash equivalents, restricted cash and customer funds at the end of the year</w:t>
            </w:r>
          </w:p>
        </w:tc>
        <w:tc>
          <w:tcPr>
            <w:tcW w:w="2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66" w:type="dxa"/>
            <w:tcBorders/>
            <w:shd w:fill="CCEEFF" w:val="clear"/>
            <w:vAlign w:val="bottom"/>
          </w:tcPr>
          <w:p>
            <w:pPr>
              <w:pStyle w:val="TableContents"/>
              <w:spacing w:before="0" w:after="283"/>
              <w:jc w:val="right"/>
              <w:rPr/>
            </w:pPr>
            <w:r>
              <w:rPr/>
              <w:t>91,943</w:t>
            </w:r>
          </w:p>
        </w:tc>
        <w:tc>
          <w:tcPr>
            <w:tcW w:w="1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93,134</w:t>
            </w:r>
          </w:p>
        </w:tc>
        <w:tc>
          <w:tcPr>
            <w:tcW w:w="176" w:type="dxa"/>
            <w:tcBorders/>
            <w:shd w:fill="CCEEFF" w:val="clear"/>
            <w:vAlign w:val="bottom"/>
          </w:tcPr>
          <w:p>
            <w:pPr>
              <w:pStyle w:val="TableContents"/>
              <w:spacing w:before="0" w:after="283"/>
              <w:rPr/>
            </w:pPr>
            <w:r>
              <w:rPr/>
              <w:t> </w:t>
            </w:r>
          </w:p>
        </w:tc>
      </w:tr>
      <w:tr>
        <w:trPr/>
        <w:tc>
          <w:tcPr>
            <w:tcW w:w="7513"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66" w:type="dxa"/>
            <w:tcBorders/>
            <w:shd w:fill="auto" w:val="clear"/>
            <w:vAlign w:val="bottom"/>
          </w:tcPr>
          <w:p>
            <w:pPr>
              <w:pStyle w:val="TableContents"/>
              <w:pBdr>
                <w:top w:val="double" w:sz="6" w:space="1" w:color="000000"/>
              </w:pBdr>
              <w:spacing w:before="0" w:after="0"/>
              <w:rPr/>
            </w:pPr>
            <w:r>
              <w:rPr/>
              <w:t> </w:t>
            </w:r>
          </w:p>
        </w:tc>
        <w:tc>
          <w:tcPr>
            <w:tcW w:w="171"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3" w:type="dxa"/>
            <w:tcBorders/>
            <w:shd w:fill="auto" w:val="clear"/>
            <w:vAlign w:val="bottom"/>
          </w:tcPr>
          <w:p>
            <w:pPr>
              <w:pStyle w:val="TableContents"/>
              <w:pBdr>
                <w:top w:val="double" w:sz="6" w:space="1" w:color="000000"/>
              </w:pBdr>
              <w:spacing w:before="0" w:after="0"/>
              <w:rPr/>
            </w:pPr>
            <w:r>
              <w:rPr/>
              <w:t> </w:t>
            </w:r>
          </w:p>
        </w:tc>
        <w:tc>
          <w:tcPr>
            <w:tcW w:w="1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800"/>
        <w:gridCol w:w="233"/>
        <w:gridCol w:w="140"/>
        <w:gridCol w:w="841"/>
        <w:gridCol w:w="60"/>
        <w:gridCol w:w="233"/>
        <w:gridCol w:w="140"/>
        <w:gridCol w:w="694"/>
        <w:gridCol w:w="64"/>
      </w:tblGrid>
      <w:tr>
        <w:trPr/>
        <w:tc>
          <w:tcPr>
            <w:tcW w:w="780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780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0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64" w:type="dxa"/>
            <w:tcBorders/>
            <w:shd w:fill="auto" w:val="clear"/>
            <w:vAlign w:val="bottom"/>
          </w:tcPr>
          <w:p>
            <w:pPr>
              <w:pStyle w:val="TableContents"/>
              <w:spacing w:before="0" w:after="283"/>
              <w:rPr/>
            </w:pPr>
            <w:r>
              <w:rPr/>
              <w:t> </w:t>
            </w:r>
          </w:p>
        </w:tc>
      </w:tr>
      <w:tr>
        <w:trPr/>
        <w:tc>
          <w:tcPr>
            <w:tcW w:w="780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4" w:type="dxa"/>
            <w:tcBorders/>
            <w:shd w:fill="auto" w:val="clear"/>
            <w:vAlign w:val="bottom"/>
          </w:tcPr>
          <w:p>
            <w:pPr>
              <w:pStyle w:val="TableContents"/>
              <w:spacing w:before="0" w:after="283"/>
              <w:rPr/>
            </w:pPr>
            <w:r>
              <w:rPr/>
              <w:t> </w:t>
            </w:r>
          </w:p>
        </w:tc>
      </w:tr>
      <w:tr>
        <w:trPr/>
        <w:tc>
          <w:tcPr>
            <w:tcW w:w="7800"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disclosure of cash flow information:</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4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94"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7800" w:type="dxa"/>
            <w:tcBorders/>
            <w:shd w:fill="auto" w:val="clear"/>
          </w:tcPr>
          <w:p>
            <w:pPr>
              <w:pStyle w:val="TableContents"/>
              <w:spacing w:before="0" w:after="0"/>
              <w:rPr>
                <w:rFonts w:ascii="Times New Roman" w:hAnsi="Times New Roman"/>
                <w:sz w:val="20"/>
              </w:rPr>
            </w:pPr>
            <w:r>
              <w:rPr>
                <w:rFonts w:ascii="Times New Roman" w:hAnsi="Times New Roman"/>
                <w:sz w:val="20"/>
              </w:rPr>
              <w:t>Cash paid for income taxes</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4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94"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7800"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disclosure of non-cash investing and financing activity:</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4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94"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7800"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Class A voting units in exchange of capital contribution (see Note 8)</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41" w:type="dxa"/>
            <w:tcBorders/>
            <w:shd w:fill="auto" w:val="clear"/>
            <w:vAlign w:val="bottom"/>
          </w:tcPr>
          <w:p>
            <w:pPr>
              <w:pStyle w:val="TableContents"/>
              <w:spacing w:before="0" w:after="283"/>
              <w:jc w:val="right"/>
              <w:rPr/>
            </w:pPr>
            <w:r>
              <w:rPr/>
              <w:t>697</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94" w:type="dxa"/>
            <w:tcBorders/>
            <w:shd w:fill="auto" w:val="clear"/>
            <w:vAlign w:val="bottom"/>
          </w:tcPr>
          <w:p>
            <w:pPr>
              <w:pStyle w:val="TableContents"/>
              <w:spacing w:before="0" w:after="283"/>
              <w:jc w:val="right"/>
              <w:rPr/>
            </w:pPr>
            <w:r>
              <w:rPr/>
              <w:t>1,916</w:t>
            </w:r>
          </w:p>
        </w:tc>
        <w:tc>
          <w:tcPr>
            <w:tcW w:w="64" w:type="dxa"/>
            <w:tcBorders/>
            <w:shd w:fill="auto" w:val="clear"/>
            <w:vAlign w:val="bottom"/>
          </w:tcPr>
          <w:p>
            <w:pPr>
              <w:pStyle w:val="TableContents"/>
              <w:spacing w:before="0" w:after="283"/>
              <w:rPr/>
            </w:pPr>
            <w:r>
              <w:rPr/>
              <w:t> </w:t>
            </w:r>
          </w:p>
        </w:tc>
      </w:tr>
      <w:tr>
        <w:trPr/>
        <w:tc>
          <w:tcPr>
            <w:tcW w:w="7800" w:type="dxa"/>
            <w:tcBorders/>
            <w:shd w:fill="CCEEFF" w:val="clear"/>
          </w:tcPr>
          <w:p>
            <w:pPr>
              <w:pStyle w:val="TableContents"/>
              <w:spacing w:before="0" w:after="0"/>
              <w:rPr>
                <w:rFonts w:ascii="Times New Roman" w:hAnsi="Times New Roman"/>
                <w:sz w:val="20"/>
              </w:rPr>
            </w:pPr>
            <w:r>
              <w:rPr>
                <w:rFonts w:ascii="Times New Roman" w:hAnsi="Times New Roman"/>
                <w:sz w:val="20"/>
              </w:rPr>
              <w:t>Capitalized internal-use software development costs and other capital expenditures included in accounts payable and accrued liabilities</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41" w:type="dxa"/>
            <w:tcBorders/>
            <w:shd w:fill="CCEEFF" w:val="clear"/>
            <w:vAlign w:val="bottom"/>
          </w:tcPr>
          <w:p>
            <w:pPr>
              <w:pStyle w:val="TableContents"/>
              <w:spacing w:before="0" w:after="283"/>
              <w:jc w:val="right"/>
              <w:rPr/>
            </w:pPr>
            <w:r>
              <w:rPr/>
              <w:t>1,564</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94" w:type="dxa"/>
            <w:tcBorders/>
            <w:shd w:fill="CCEEFF" w:val="clear"/>
            <w:vAlign w:val="bottom"/>
          </w:tcPr>
          <w:p>
            <w:pPr>
              <w:pStyle w:val="TableContents"/>
              <w:spacing w:before="0" w:after="283"/>
              <w:jc w:val="right"/>
              <w:rPr/>
            </w:pPr>
            <w:r>
              <w:rPr/>
              <w:t>550</w:t>
            </w:r>
          </w:p>
        </w:tc>
        <w:tc>
          <w:tcPr>
            <w:tcW w:w="64" w:type="dxa"/>
            <w:tcBorders/>
            <w:shd w:fill="CCEEFF" w:val="clear"/>
            <w:vAlign w:val="bottom"/>
          </w:tcPr>
          <w:p>
            <w:pPr>
              <w:pStyle w:val="TableContents"/>
              <w:spacing w:before="0" w:after="283"/>
              <w:rPr/>
            </w:pPr>
            <w:r>
              <w:rPr/>
              <w:t> </w:t>
            </w:r>
          </w:p>
        </w:tc>
      </w:tr>
      <w:tr>
        <w:trPr/>
        <w:tc>
          <w:tcPr>
            <w:tcW w:w="7800"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Class B warrant</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41" w:type="dxa"/>
            <w:tcBorders/>
            <w:shd w:fill="auto" w:val="clear"/>
            <w:vAlign w:val="bottom"/>
          </w:tcPr>
          <w:p>
            <w:pPr>
              <w:pStyle w:val="TableContents"/>
              <w:spacing w:before="0" w:after="283"/>
              <w:jc w:val="right"/>
              <w:rPr/>
            </w:pPr>
            <w:r>
              <w:rPr/>
              <w:t>5,426</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7800" w:type="dxa"/>
            <w:tcBorders/>
            <w:shd w:fill="CCEEFF" w:val="clear"/>
          </w:tcPr>
          <w:p>
            <w:pPr>
              <w:pStyle w:val="TableContents"/>
              <w:spacing w:before="0" w:after="0"/>
              <w:rPr>
                <w:rFonts w:ascii="Times New Roman" w:hAnsi="Times New Roman"/>
                <w:sz w:val="20"/>
              </w:rPr>
            </w:pPr>
            <w:r>
              <w:rPr>
                <w:rFonts w:ascii="Times New Roman" w:hAnsi="Times New Roman"/>
                <w:sz w:val="20"/>
              </w:rPr>
              <w:t>Non-cash contribution of Bridge2 Holdings by affiliate (see Note 7)</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41" w:type="dxa"/>
            <w:tcBorders/>
            <w:shd w:fill="CCEEFF" w:val="clear"/>
            <w:vAlign w:val="bottom"/>
          </w:tcPr>
          <w:p>
            <w:pPr>
              <w:pStyle w:val="TableContents"/>
              <w:spacing w:before="0" w:after="283"/>
              <w:jc w:val="right"/>
              <w:rPr/>
            </w:pPr>
            <w:r>
              <w:rPr/>
              <w:t>260,811</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94"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7800" w:type="dxa"/>
            <w:tcBorders/>
            <w:shd w:fill="auto" w:val="clear"/>
          </w:tcPr>
          <w:p>
            <w:pPr>
              <w:pStyle w:val="TableContents"/>
              <w:spacing w:before="0" w:after="0"/>
              <w:rPr>
                <w:rFonts w:ascii="Times New Roman" w:hAnsi="Times New Roman"/>
                <w:b/>
                <w:sz w:val="20"/>
              </w:rPr>
            </w:pPr>
            <w:r>
              <w:rPr>
                <w:rFonts w:ascii="Times New Roman" w:hAnsi="Times New Roman"/>
                <w:b/>
                <w:sz w:val="20"/>
              </w:rPr>
              <w:t>Reconciliation of cash, cash equivalents, restricted cash and customer funds to consolidated balance sheets</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9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800"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41" w:type="dxa"/>
            <w:tcBorders/>
            <w:shd w:fill="CCEEFF" w:val="clear"/>
            <w:vAlign w:val="bottom"/>
          </w:tcPr>
          <w:p>
            <w:pPr>
              <w:pStyle w:val="TableContents"/>
              <w:spacing w:before="0" w:after="283"/>
              <w:jc w:val="right"/>
              <w:rPr/>
            </w:pPr>
            <w:r>
              <w:rPr/>
              <w:t>75,361</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94" w:type="dxa"/>
            <w:tcBorders/>
            <w:shd w:fill="CCEEFF" w:val="clear"/>
            <w:vAlign w:val="bottom"/>
          </w:tcPr>
          <w:p>
            <w:pPr>
              <w:pStyle w:val="TableContents"/>
              <w:spacing w:before="0" w:after="283"/>
              <w:jc w:val="right"/>
              <w:rPr/>
            </w:pPr>
            <w:r>
              <w:rPr/>
              <w:t>76,634</w:t>
            </w:r>
          </w:p>
        </w:tc>
        <w:tc>
          <w:tcPr>
            <w:tcW w:w="64" w:type="dxa"/>
            <w:tcBorders/>
            <w:shd w:fill="CCEEFF" w:val="clear"/>
            <w:vAlign w:val="bottom"/>
          </w:tcPr>
          <w:p>
            <w:pPr>
              <w:pStyle w:val="TableContents"/>
              <w:spacing w:before="0" w:after="283"/>
              <w:rPr/>
            </w:pPr>
            <w:r>
              <w:rPr/>
              <w:t> </w:t>
            </w:r>
          </w:p>
        </w:tc>
      </w:tr>
      <w:tr>
        <w:trPr/>
        <w:tc>
          <w:tcPr>
            <w:tcW w:w="7800" w:type="dxa"/>
            <w:tcBorders/>
            <w:shd w:fill="auto" w:val="clear"/>
          </w:tcPr>
          <w:p>
            <w:pPr>
              <w:pStyle w:val="TableContents"/>
              <w:spacing w:before="0" w:after="0"/>
              <w:rPr>
                <w:rFonts w:ascii="Times New Roman" w:hAnsi="Times New Roman"/>
                <w:sz w:val="20"/>
              </w:rPr>
            </w:pPr>
            <w:r>
              <w:rPr>
                <w:rFonts w:ascii="Times New Roman" w:hAnsi="Times New Roman"/>
                <w:sz w:val="20"/>
              </w:rPr>
              <w:t>Restricted cash</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16,500</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pPr>
            <w:r>
              <w:rPr/>
              <w:t>16,500</w:t>
            </w:r>
          </w:p>
        </w:tc>
        <w:tc>
          <w:tcPr>
            <w:tcW w:w="64" w:type="dxa"/>
            <w:tcBorders/>
            <w:shd w:fill="auto" w:val="clear"/>
            <w:vAlign w:val="bottom"/>
          </w:tcPr>
          <w:p>
            <w:pPr>
              <w:pStyle w:val="TableContents"/>
              <w:spacing w:before="0" w:after="283"/>
              <w:rPr/>
            </w:pPr>
            <w:r>
              <w:rPr/>
              <w:t> </w:t>
            </w:r>
          </w:p>
        </w:tc>
      </w:tr>
      <w:tr>
        <w:trPr/>
        <w:tc>
          <w:tcPr>
            <w:tcW w:w="7800" w:type="dxa"/>
            <w:tcBorders/>
            <w:shd w:fill="CCEEFF" w:val="clear"/>
          </w:tcPr>
          <w:p>
            <w:pPr>
              <w:pStyle w:val="TableContents"/>
              <w:spacing w:before="0" w:after="0"/>
              <w:rPr>
                <w:rFonts w:ascii="Times New Roman" w:hAnsi="Times New Roman"/>
                <w:sz w:val="20"/>
              </w:rPr>
            </w:pPr>
            <w:r>
              <w:rPr>
                <w:rFonts w:ascii="Times New Roman" w:hAnsi="Times New Roman"/>
                <w:sz w:val="20"/>
              </w:rPr>
              <w:t>Customer funds</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82</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780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4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9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800" w:type="dxa"/>
            <w:tcBorders/>
            <w:shd w:fill="auto" w:val="clear"/>
          </w:tcPr>
          <w:p>
            <w:pPr>
              <w:pStyle w:val="TableContents"/>
              <w:spacing w:before="0" w:after="0"/>
              <w:rPr>
                <w:rFonts w:ascii="Times New Roman" w:hAnsi="Times New Roman"/>
                <w:sz w:val="20"/>
              </w:rPr>
            </w:pPr>
            <w:r>
              <w:rPr>
                <w:rFonts w:ascii="Times New Roman" w:hAnsi="Times New Roman"/>
                <w:sz w:val="20"/>
              </w:rPr>
              <w:t>Total cash, cash equivalents, restricted cash and customer funds</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41" w:type="dxa"/>
            <w:tcBorders/>
            <w:shd w:fill="auto" w:val="clear"/>
            <w:vAlign w:val="bottom"/>
          </w:tcPr>
          <w:p>
            <w:pPr>
              <w:pStyle w:val="TableContents"/>
              <w:spacing w:before="0" w:after="283"/>
              <w:jc w:val="right"/>
              <w:rPr/>
            </w:pPr>
            <w:r>
              <w:rPr/>
              <w:t>91,943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94" w:type="dxa"/>
            <w:tcBorders/>
            <w:shd w:fill="auto" w:val="clear"/>
            <w:vAlign w:val="bottom"/>
          </w:tcPr>
          <w:p>
            <w:pPr>
              <w:pStyle w:val="TableContents"/>
              <w:spacing w:before="0" w:after="283"/>
              <w:jc w:val="right"/>
              <w:rPr/>
            </w:pPr>
            <w:r>
              <w:rPr/>
              <w:t>93,134</w:t>
            </w:r>
          </w:p>
        </w:tc>
        <w:tc>
          <w:tcPr>
            <w:tcW w:w="64" w:type="dxa"/>
            <w:tcBorders/>
            <w:shd w:fill="auto" w:val="clear"/>
            <w:vAlign w:val="bottom"/>
          </w:tcPr>
          <w:p>
            <w:pPr>
              <w:pStyle w:val="TableContents"/>
              <w:spacing w:before="0" w:after="283"/>
              <w:rPr/>
            </w:pPr>
            <w:r>
              <w:rPr/>
              <w:t> </w:t>
            </w:r>
          </w:p>
        </w:tc>
      </w:tr>
      <w:tr>
        <w:trPr/>
        <w:tc>
          <w:tcPr>
            <w:tcW w:w="780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4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694"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2400" w:after="0"/>
        <w:jc w:val="center"/>
        <w:rPr>
          <w:rFonts w:ascii="Times New Roman" w:hAnsi="Times New Roman"/>
          <w:sz w:val="20"/>
        </w:rPr>
      </w:pPr>
      <w:r>
        <w:rPr>
          <w:rFonts w:ascii="Times New Roman" w:hAnsi="Times New Roman"/>
          <w:i/>
          <w:sz w:val="20"/>
        </w:rPr>
        <w:t>The accompanying notes are an integral part of these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Bakkt Holdings, LLC </w:t>
      </w:r>
    </w:p>
    <w:p>
      <w:pPr>
        <w:pStyle w:val="TextBody"/>
        <w:spacing w:before="0" w:after="0"/>
        <w:jc w:val="center"/>
        <w:rPr>
          <w:rFonts w:ascii="Times New Roman" w:hAnsi="Times New Roman"/>
          <w:b/>
          <w:sz w:val="20"/>
        </w:rPr>
      </w:pPr>
      <w:bookmarkStart w:id="124" w:name="fin108105_19"/>
      <w:bookmarkEnd w:id="124"/>
      <w:r>
        <w:rPr>
          <w:rFonts w:ascii="Times New Roman" w:hAnsi="Times New Roman"/>
          <w:b/>
          <w:sz w:val="20"/>
        </w:rPr>
        <w:t xml:space="preserve">Notes to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1.</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Description of Business </w:t>
            </w:r>
          </w:p>
        </w:tc>
      </w:tr>
    </w:tbl>
    <w:p>
      <w:pPr>
        <w:pStyle w:val="TextBody"/>
        <w:spacing w:before="120" w:after="0"/>
        <w:jc w:val="left"/>
        <w:rPr>
          <w:rFonts w:ascii="Times New Roman" w:hAnsi="Times New Roman"/>
          <w:sz w:val="20"/>
        </w:rPr>
      </w:pPr>
      <w:r>
        <w:rPr>
          <w:rFonts w:ascii="Times New Roman" w:hAnsi="Times New Roman"/>
          <w:sz w:val="20"/>
        </w:rPr>
        <w:t xml:space="preserve">Bakkt Holdings, LLC (Bakkt, the Company) and Bakkt, LLC, a wholly owned subsidiary of Bakkt, were formed on July 31, 2018 and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Bakkt is an indirect majority-owned subsidiary of Intercontinental Exchange Holdings, Inc. (ICE). Class A voting units are held by ICE and Class B and Class C voting units are held by ICE and minority investors. </w:t>
      </w:r>
    </w:p>
    <w:p>
      <w:pPr>
        <w:pStyle w:val="TextBody"/>
        <w:spacing w:before="240" w:after="0"/>
        <w:jc w:val="left"/>
        <w:rPr>
          <w:rFonts w:ascii="Times New Roman" w:hAnsi="Times New Roman"/>
          <w:sz w:val="20"/>
        </w:rPr>
      </w:pPr>
      <w:r>
        <w:rPr>
          <w:rFonts w:ascii="Times New Roman" w:hAnsi="Times New Roman"/>
          <w:sz w:val="20"/>
        </w:rPr>
        <w:t xml:space="preserve">Bakkt owns entities formed during the year ended December 31, 2019, including Bakkt Trust Company LLC (Bakkt Trust), and Bakkt Marketplace, LLC (Bakkt Marketplace). Bakkt also owns entities that were acquired during the year ended December 31, 2019, including DACC Technologies, Inc., Digital Asset Custody Company, Inc. (collectively with DACC Technologies, Inc., DACC), and Bakkt Clearing, LLC (Bakkt Clearing), formerly known as Rosenthal Collins Group, L.L.C (see Note 4). Bakkt also acquired Bridge2 Solutions, LLC and certain of its affiliated companies (collectively, (Bridge2 Solutions) during the year ended December 31, 2020 (see Note 4). All subsidiaries of the Company, other than DACC and two foreign legal entities acquired as part of the Bridge2 Solutions acquisition, are structured as limited liability companies. </w:t>
      </w:r>
    </w:p>
    <w:p>
      <w:pPr>
        <w:pStyle w:val="TextBody"/>
        <w:spacing w:before="240" w:after="0"/>
        <w:jc w:val="left"/>
        <w:rPr>
          <w:rFonts w:ascii="Times New Roman" w:hAnsi="Times New Roman"/>
          <w:sz w:val="20"/>
        </w:rPr>
      </w:pPr>
      <w:r>
        <w:rPr>
          <w:rFonts w:ascii="Times New Roman" w:hAnsi="Times New Roman"/>
          <w:sz w:val="20"/>
        </w:rPr>
        <w:t xml:space="preserve">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In addition, Bakkt Trust has been approved by the NYSDFS to, and does, offer non-trading-related, standalone custody of Bitcoin to institutional customers and select individual investors in cryptoassets, subject to NYSDFS regulatory oversight. </w:t>
      </w:r>
    </w:p>
    <w:p>
      <w:pPr>
        <w:pStyle w:val="TextBody"/>
        <w:spacing w:before="240" w:after="0"/>
        <w:jc w:val="left"/>
        <w:rPr>
          <w:rFonts w:ascii="Times New Roman" w:hAnsi="Times New Roman"/>
          <w:sz w:val="20"/>
        </w:rPr>
      </w:pPr>
      <w:r>
        <w:rPr>
          <w:rFonts w:ascii="Times New Roman" w:hAnsi="Times New Roman"/>
          <w:sz w:val="20"/>
        </w:rPr>
        <w:t xml:space="preserve">Bakkt Marketplace has created an integrated platform that enables consumers and institutions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w:t>
      </w:r>
    </w:p>
    <w:p>
      <w:pPr>
        <w:pStyle w:val="TextBody"/>
        <w:spacing w:before="240" w:after="0"/>
        <w:jc w:val="left"/>
        <w:rPr>
          <w:rFonts w:ascii="Times New Roman" w:hAnsi="Times New Roman"/>
          <w:sz w:val="20"/>
        </w:rPr>
      </w:pPr>
      <w:r>
        <w:rPr>
          <w:rFonts w:ascii="Times New Roman" w:hAnsi="Times New Roman"/>
          <w:sz w:val="20"/>
        </w:rPr>
        <w:t xml:space="preserve">Bakkt Clearing is registered as a futures commission merchant (FCM) with the Commodity Futures Trading Commission (CFTC) and a member of the National Futures Association (NFA). </w:t>
      </w:r>
    </w:p>
    <w:p>
      <w:pPr>
        <w:pStyle w:val="TextBody"/>
        <w:spacing w:before="240" w:after="0"/>
        <w:jc w:val="left"/>
        <w:rPr>
          <w:rFonts w:ascii="Times New Roman" w:hAnsi="Times New Roman"/>
          <w:sz w:val="20"/>
        </w:rPr>
      </w:pPr>
      <w:r>
        <w:rPr>
          <w:rFonts w:ascii="Times New Roman" w:hAnsi="Times New Roman"/>
          <w:sz w:val="20"/>
        </w:rPr>
        <w:t xml:space="preserve">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2.</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spacing w:before="120" w:after="0"/>
        <w:jc w:val="left"/>
        <w:rPr>
          <w:rFonts w:ascii="Times New Roman" w:hAnsi="Times New Roman"/>
          <w:b/>
          <w:sz w:val="20"/>
        </w:rPr>
      </w:pPr>
      <w:r>
        <w:rPr>
          <w:rFonts w:ascii="Times New Roman" w:hAnsi="Times New Roman"/>
          <w:b/>
          <w:sz w:val="20"/>
        </w:rPr>
        <w:t xml:space="preserve">Basis of Presentation and Consolidation </w:t>
      </w:r>
    </w:p>
    <w:p>
      <w:pPr>
        <w:pStyle w:val="TextBody"/>
        <w:spacing w:before="120" w:after="0"/>
        <w:jc w:val="left"/>
        <w:rPr>
          <w:rFonts w:ascii="Times New Roman" w:hAnsi="Times New Roman"/>
          <w:sz w:val="20"/>
        </w:rPr>
      </w:pPr>
      <w:r>
        <w:rPr>
          <w:rFonts w:ascii="Times New Roman" w:hAnsi="Times New Roman"/>
          <w:sz w:val="20"/>
        </w:rPr>
        <w:t xml:space="preserve">The accompanying consolidated financial statements are prepared in accordance with United States generally accepted accounting principles (U.S. GAAP) and include the accounts of Bakkt Holdings, LLC and its subsidiaries. All intercompany balances and transactions have been eliminated in consolidation. </w:t>
      </w:r>
    </w:p>
    <w:p>
      <w:pPr>
        <w:pStyle w:val="TextBody"/>
        <w:spacing w:before="360" w:after="0"/>
        <w:jc w:val="left"/>
        <w:rPr>
          <w:rFonts w:ascii="Times New Roman" w:hAnsi="Times New Roman"/>
          <w:b/>
          <w:sz w:val="20"/>
        </w:rPr>
      </w:pPr>
      <w:r>
        <w:rPr>
          <w:rFonts w:ascii="Times New Roman" w:hAnsi="Times New Roman"/>
          <w:b/>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the amounts reported in the consolidated financial statements and accompanying notes. The Company bases its estimates and assumptions on various judgments that it believes to be reasonable under the circumstances. The significant estimates and assumptions that affect the Companys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consolidated financial statements. </w:t>
      </w:r>
    </w:p>
    <w:p>
      <w:pPr>
        <w:pStyle w:val="TextBody"/>
        <w:spacing w:before="360" w:after="0"/>
        <w:jc w:val="left"/>
        <w:rPr>
          <w:rFonts w:ascii="Times New Roman" w:hAnsi="Times New Roman"/>
          <w:sz w:val="20"/>
        </w:rPr>
      </w:pPr>
      <w:r>
        <w:rPr>
          <w:rFonts w:ascii="Times New Roman" w:hAnsi="Times New Roman"/>
          <w:b/>
          <w:i/>
          <w:sz w:val="20"/>
        </w:rPr>
        <w:t>COVID-19 Impacts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In March 2020, the World Health Organization declared the COVID-19 outbreak a global pandemic. The COVID-19 pandemic has adversely affected global economic activity and contributed to significant declines and volatility in financial markets. </w:t>
      </w:r>
    </w:p>
    <w:p>
      <w:pPr>
        <w:pStyle w:val="TextBody"/>
        <w:spacing w:before="240" w:after="0"/>
        <w:jc w:val="left"/>
        <w:rPr>
          <w:rFonts w:ascii="Times New Roman" w:hAnsi="Times New Roman"/>
          <w:sz w:val="20"/>
        </w:rPr>
      </w:pPr>
      <w:r>
        <w:rPr>
          <w:rFonts w:ascii="Times New Roman" w:hAnsi="Times New Roman"/>
          <w:sz w:val="20"/>
        </w:rPr>
        <w:t xml:space="preserve">Bakkt operates in geographic locations that have been impacted by COVID-19 and that are subject to various mandated public health ordinances, which have impacted the business operations of Bakkt and its customers. The COVID-19 pandemic has had an impact on Bakkts business through December 31, 2020, primarily in that it has (i) decreased revenue from our loyalty and travel businesses, and (ii) impacted our ability to expand out relationships with existing loyalty partners, and to conclude relationships with new loyalty partners, whose businesses similarly have been adversely addected by the pandemic. A continuation of the pandemic could have a contined material adverse impact on economic and market conditions. </w:t>
      </w:r>
    </w:p>
    <w:p>
      <w:pPr>
        <w:pStyle w:val="TextBody"/>
        <w:spacing w:before="240" w:after="0"/>
        <w:jc w:val="left"/>
        <w:rPr>
          <w:rFonts w:ascii="Times New Roman" w:hAnsi="Times New Roman"/>
          <w:sz w:val="20"/>
        </w:rPr>
      </w:pPr>
      <w:r>
        <w:rPr>
          <w:rFonts w:ascii="Times New Roman" w:hAnsi="Times New Roman"/>
          <w:sz w:val="20"/>
        </w:rPr>
        <w:t xml:space="preserve">As of the date of issuance of these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 </w:t>
      </w:r>
    </w:p>
    <w:p>
      <w:pPr>
        <w:pStyle w:val="TextBody"/>
        <w:spacing w:before="360" w:after="0"/>
        <w:jc w:val="left"/>
        <w:rPr>
          <w:rFonts w:ascii="Times New Roman" w:hAnsi="Times New Roman"/>
          <w:b/>
          <w:sz w:val="20"/>
        </w:rPr>
      </w:pPr>
      <w:r>
        <w:rPr>
          <w:rFonts w:ascii="Times New Roman" w:hAnsi="Times New Roman"/>
          <w:b/>
          <w:sz w:val="20"/>
        </w:rPr>
        <w:t xml:space="preserve">Segment Information </w:t>
      </w:r>
    </w:p>
    <w:p>
      <w:pPr>
        <w:pStyle w:val="TextBody"/>
        <w:spacing w:before="120" w:after="0"/>
        <w:jc w:val="left"/>
        <w:rPr>
          <w:rFonts w:ascii="Times New Roman" w:hAnsi="Times New Roman"/>
          <w:sz w:val="20"/>
        </w:rPr>
      </w:pPr>
      <w:r>
        <w:rPr>
          <w:rFonts w:ascii="Times New Roman" w:hAnsi="Times New Roman"/>
          <w:sz w:val="20"/>
        </w:rPr>
        <w:t xml:space="preserve">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 </w:t>
      </w:r>
    </w:p>
    <w:p>
      <w:pPr>
        <w:pStyle w:val="TextBody"/>
        <w:spacing w:before="360" w:after="0"/>
        <w:jc w:val="left"/>
        <w:rPr>
          <w:rFonts w:ascii="Times New Roman" w:hAnsi="Times New Roman"/>
          <w:b/>
          <w:sz w:val="20"/>
        </w:rPr>
      </w:pPr>
      <w:r>
        <w:rPr>
          <w:rFonts w:ascii="Times New Roman" w:hAnsi="Times New Roman"/>
          <w:b/>
          <w:sz w:val="20"/>
        </w:rPr>
        <w:t xml:space="preserve">Cash and Cash Equivalents and Restricted Cash </w:t>
      </w:r>
    </w:p>
    <w:p>
      <w:pPr>
        <w:pStyle w:val="TextBody"/>
        <w:spacing w:before="120" w:after="0"/>
        <w:jc w:val="left"/>
        <w:rPr>
          <w:rFonts w:ascii="Times New Roman" w:hAnsi="Times New Roman"/>
          <w:sz w:val="20"/>
        </w:rPr>
      </w:pPr>
      <w:r>
        <w:rPr>
          <w:rFonts w:ascii="Times New Roman" w:hAnsi="Times New Roman"/>
          <w:sz w:val="20"/>
        </w:rPr>
        <w:t xml:space="preserve">The Company considers all short-term, highly liquid investments with original maturities at the purchase date of three months or less to be cash equivalents. Cash equivalents consists of amounts invested in money market funds. </w:t>
      </w:r>
    </w:p>
    <w:p>
      <w:pPr>
        <w:pStyle w:val="TextBody"/>
        <w:spacing w:before="240" w:after="0"/>
        <w:jc w:val="left"/>
        <w:rPr>
          <w:rFonts w:ascii="Times New Roman" w:hAnsi="Times New Roman"/>
          <w:sz w:val="20"/>
        </w:rPr>
      </w:pPr>
      <w:r>
        <w:rPr>
          <w:rFonts w:ascii="Times New Roman" w:hAnsi="Times New Roman"/>
          <w:sz w:val="20"/>
        </w:rPr>
        <w:t xml:space="preserve">The Company classifies all cash and cash equivalents that are not available for immediate or general business use as restricted in the accompanying consolidated balance sheets. The restricted cash includes amounts set aside due to regulatory requirements (see Note 10).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F-29</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Customer Funds and Customer Funds Payable </w:t>
      </w:r>
    </w:p>
    <w:p>
      <w:pPr>
        <w:pStyle w:val="TextBody"/>
        <w:spacing w:before="120" w:after="0"/>
        <w:jc w:val="left"/>
        <w:rPr>
          <w:rFonts w:ascii="Times New Roman" w:hAnsi="Times New Roman"/>
          <w:sz w:val="20"/>
        </w:rPr>
      </w:pPr>
      <w:r>
        <w:rPr>
          <w:rFonts w:ascii="Times New Roman" w:hAnsi="Times New Roman"/>
          <w:sz w:val="20"/>
        </w:rPr>
        <w:t xml:space="preserve">Customer funds represents fiat currency deposited by customers in their digital wallet. In accordance with state money transmitter laws, the Company may invest customer cash deposits in certain permissible investments. As of December 31, 2020, the Company has not made any such investments. The Company classifies the assets as current based on their purpose and records a corresponding liability for customer cash deposits as customer funds payable. </w:t>
      </w:r>
    </w:p>
    <w:p>
      <w:pPr>
        <w:pStyle w:val="TextBody"/>
        <w:spacing w:before="360" w:after="0"/>
        <w:jc w:val="left"/>
        <w:rPr>
          <w:rFonts w:ascii="Times New Roman" w:hAnsi="Times New Roman"/>
          <w:b/>
          <w:sz w:val="20"/>
        </w:rPr>
      </w:pPr>
      <w:r>
        <w:rPr>
          <w:rFonts w:ascii="Times New Roman" w:hAnsi="Times New Roman"/>
          <w:b/>
          <w:sz w:val="20"/>
        </w:rPr>
        <w:t xml:space="preserve">Translation of Foreign Currencies and Foreign Currency Transactions </w:t>
      </w:r>
    </w:p>
    <w:p>
      <w:pPr>
        <w:pStyle w:val="TextBody"/>
        <w:spacing w:before="120" w:after="0"/>
        <w:jc w:val="left"/>
        <w:rPr>
          <w:rFonts w:ascii="Times New Roman" w:hAnsi="Times New Roman"/>
          <w:sz w:val="20"/>
        </w:rPr>
      </w:pPr>
      <w:r>
        <w:rPr>
          <w:rFonts w:ascii="Times New Roman" w:hAnsi="Times New Roman"/>
          <w:sz w:val="20"/>
        </w:rPr>
        <w:t xml:space="preserve">The Companys foreign subsidiaries respective local currencies are their functional currencies. The assets and liabilities of foreign subsidiaries are translated into U.S. dollars at the exchange rate in effect at the balance sheet date. Revenue and expenses are translated into U.S. dollars using average monthly exchange rates. Translation adjustments are included in Accumulated other comprehensive income in the accompanying consolidated balance sheets and reflected as Currency translation adjustment, net of tax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Transactions denominated in currencies other than the functional currency are remeasured based on the exchange rates at the time of the transaction. Monetary assets and liabilities are subject to translation at the exchange rate in effect at the balance sheet date, with subsequent changes in exchange rates resulting in transaction gains or losses, which are included in Other income (expense), net in the accompanying consolidated statements of operations and comprehensive loss. Non-monetary assets and liabilities are translated at historical rates and revenue and expenses are translated at average exchange rates in effect during each reporting period. </w:t>
      </w:r>
    </w:p>
    <w:p>
      <w:pPr>
        <w:pStyle w:val="TextBody"/>
        <w:spacing w:before="360" w:after="0"/>
        <w:jc w:val="left"/>
        <w:rPr>
          <w:rFonts w:ascii="Times New Roman" w:hAnsi="Times New Roman"/>
          <w:b/>
          <w:sz w:val="20"/>
        </w:rPr>
      </w:pPr>
      <w:r>
        <w:rPr>
          <w:rFonts w:ascii="Times New Roman" w:hAnsi="Times New Roman"/>
          <w:b/>
          <w:sz w:val="20"/>
        </w:rPr>
        <w:t xml:space="preserve">Accounts Receivable and Allowance for Doubtful Accounts </w:t>
      </w:r>
    </w:p>
    <w:p>
      <w:pPr>
        <w:pStyle w:val="TextBody"/>
        <w:spacing w:before="120" w:after="0"/>
        <w:jc w:val="left"/>
        <w:rPr>
          <w:rFonts w:ascii="Times New Roman" w:hAnsi="Times New Roman"/>
          <w:sz w:val="20"/>
        </w:rPr>
      </w:pPr>
      <w:r>
        <w:rPr>
          <w:rFonts w:ascii="Times New Roman" w:hAnsi="Times New Roman"/>
          <w:sz w:val="20"/>
        </w:rPr>
        <w:t xml:space="preserve">The Company classifies its rights to consideration in exchange for transferring services or goods as accounts receivables. Accounts receivable are rights to consideration that are unconditional (i.e., only the passage of time is required before payment is due). Accounts receivable, net on the accompanying consolidated balance sheets includes billed and ASC 606 contract assets (i.e., unbilled receivables), net of an estimated allowance for doubtful accounts. We calculate our allowance using the current expected credit loss model in ASC 326, </w:t>
      </w:r>
      <w:r>
        <w:rPr>
          <w:rFonts w:ascii="Times New Roman" w:hAnsi="Times New Roman"/>
          <w:i/>
          <w:sz w:val="20"/>
        </w:rPr>
        <w:t>Financial Instruments  Credit Losses</w:t>
      </w:r>
      <w:r>
        <w:rPr>
          <w:rFonts w:ascii="Times New Roman" w:hAnsi="Times New Roman"/>
          <w:sz w:val="20"/>
        </w:rPr>
        <w:t xml:space="preserve">. This allowance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its recorded allowance when the Company has exhausted collection efforts without success. The Company estimated the allowance for doubtful accounts to be $150,000 and $0 at December 31, 2020 and 2019, respectively. There were no write-offs of receivables during the years ended December 31, 2020 and 2019, respectively. </w:t>
      </w:r>
    </w:p>
    <w:p>
      <w:pPr>
        <w:pStyle w:val="TextBody"/>
        <w:spacing w:before="360" w:after="0"/>
        <w:jc w:val="left"/>
        <w:rPr>
          <w:rFonts w:ascii="Times New Roman" w:hAnsi="Times New Roman"/>
          <w:b/>
          <w:sz w:val="20"/>
        </w:rPr>
      </w:pPr>
      <w:r>
        <w:rPr>
          <w:rFonts w:ascii="Times New Roman" w:hAnsi="Times New Roman"/>
          <w:b/>
          <w:sz w:val="20"/>
        </w:rPr>
        <w:t xml:space="preserve">Property, Equipment and Software, Net </w:t>
      </w:r>
    </w:p>
    <w:p>
      <w:pPr>
        <w:pStyle w:val="TextBody"/>
        <w:spacing w:before="120" w:after="0"/>
        <w:jc w:val="left"/>
        <w:rPr>
          <w:rFonts w:ascii="Times New Roman" w:hAnsi="Times New Roman"/>
          <w:sz w:val="20"/>
        </w:rPr>
      </w:pPr>
      <w:r>
        <w:rPr>
          <w:rFonts w:ascii="Times New Roman" w:hAnsi="Times New Roman"/>
          <w:sz w:val="20"/>
        </w:rPr>
        <w:t xml:space="preserve">Property, equipment and software are stated at cost, less accumulated depreciation and amortization. </w:t>
      </w:r>
    </w:p>
    <w:p>
      <w:pPr>
        <w:pStyle w:val="TextBody"/>
        <w:spacing w:before="240" w:after="0"/>
        <w:jc w:val="left"/>
        <w:rPr>
          <w:rFonts w:ascii="Times New Roman" w:hAnsi="Times New Roman"/>
          <w:sz w:val="20"/>
        </w:rPr>
      </w:pPr>
      <w:r>
        <w:rPr>
          <w:rFonts w:ascii="Times New Roman" w:hAnsi="Times New Roman"/>
          <w:sz w:val="20"/>
        </w:rPr>
        <w:t xml:space="preserve">The Company capitalizes costs related to software it develops or obtains for internal use and such costs are included in Property, equipment and software, net on the accompanying consolidated balance sheets. Software development costs incurred during the preliminary or maintenance project stages are expensed as incurred, and costs incurred during the application development stage are capitalized and are amortized over the useful life of the software.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F-30</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Depreciation and amortization are computed using the straight-line method over the following estimated useful lives of assets: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525"/>
        <w:gridCol w:w="281"/>
        <w:gridCol w:w="1133"/>
      </w:tblGrid>
      <w:tr>
        <w:trPr/>
        <w:tc>
          <w:tcPr>
            <w:tcW w:w="552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r>
      <w:tr>
        <w:trPr/>
        <w:tc>
          <w:tcPr>
            <w:tcW w:w="552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133" w:type="dxa"/>
            <w:tcBorders>
              <w:bottom w:val="single" w:sz="8" w:space="0" w:color="000000"/>
            </w:tcBorders>
            <w:shd w:fill="auto" w:val="clear"/>
            <w:tcMar>
              <w:bottom w:w="28" w:type="dxa"/>
            </w:tcMar>
            <w:vAlign w:val="bottom"/>
          </w:tcPr>
          <w:p>
            <w:pPr>
              <w:pStyle w:val="TableContents"/>
              <w:spacing w:before="0" w:after="283"/>
              <w:jc w:val="center"/>
              <w:rPr>
                <w:b/>
              </w:rPr>
            </w:pPr>
            <w:r>
              <w:rPr>
                <w:b/>
              </w:rPr>
              <w:t>Estimated</w:t>
              <w:br/>
              <w:t>Useful Life</w:t>
            </w:r>
          </w:p>
        </w:tc>
      </w:tr>
      <w:tr>
        <w:trPr/>
        <w:tc>
          <w:tcPr>
            <w:tcW w:w="5525" w:type="dxa"/>
            <w:tcBorders/>
            <w:shd w:fill="CCEEFF" w:val="clear"/>
          </w:tcPr>
          <w:p>
            <w:pPr>
              <w:pStyle w:val="TableContents"/>
              <w:spacing w:before="0" w:after="0"/>
              <w:rPr>
                <w:rFonts w:ascii="Times New Roman" w:hAnsi="Times New Roman"/>
                <w:sz w:val="20"/>
              </w:rPr>
            </w:pPr>
            <w:r>
              <w:rPr>
                <w:rFonts w:ascii="Times New Roman" w:hAnsi="Times New Roman"/>
                <w:sz w:val="20"/>
              </w:rPr>
              <w:t>Internal use software</w:t>
            </w:r>
          </w:p>
        </w:tc>
        <w:tc>
          <w:tcPr>
            <w:tcW w:w="281"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center"/>
              <w:rPr/>
            </w:pPr>
            <w:r>
              <w:rPr/>
              <w:t>3-7 years</w:t>
            </w:r>
          </w:p>
        </w:tc>
      </w:tr>
      <w:tr>
        <w:trPr/>
        <w:tc>
          <w:tcPr>
            <w:tcW w:w="5525" w:type="dxa"/>
            <w:tcBorders/>
            <w:shd w:fill="auto" w:val="clear"/>
          </w:tcPr>
          <w:p>
            <w:pPr>
              <w:pStyle w:val="TableContents"/>
              <w:spacing w:before="0" w:after="0"/>
              <w:rPr>
                <w:rFonts w:ascii="Times New Roman" w:hAnsi="Times New Roman"/>
                <w:sz w:val="20"/>
              </w:rPr>
            </w:pPr>
            <w:r>
              <w:rPr>
                <w:rFonts w:ascii="Times New Roman" w:hAnsi="Times New Roman"/>
                <w:sz w:val="20"/>
              </w:rPr>
              <w:t>Purchased software</w:t>
            </w:r>
          </w:p>
        </w:tc>
        <w:tc>
          <w:tcPr>
            <w:tcW w:w="281"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center"/>
              <w:rPr/>
            </w:pPr>
            <w:r>
              <w:rPr/>
              <w:t>3 years</w:t>
            </w:r>
          </w:p>
        </w:tc>
      </w:tr>
      <w:tr>
        <w:trPr/>
        <w:tc>
          <w:tcPr>
            <w:tcW w:w="5525" w:type="dxa"/>
            <w:tcBorders/>
            <w:shd w:fill="CCEEFF" w:val="clear"/>
          </w:tcPr>
          <w:p>
            <w:pPr>
              <w:pStyle w:val="TableContents"/>
              <w:spacing w:before="0" w:after="0"/>
              <w:rPr>
                <w:rFonts w:ascii="Times New Roman" w:hAnsi="Times New Roman"/>
                <w:sz w:val="20"/>
              </w:rPr>
            </w:pPr>
            <w:r>
              <w:rPr>
                <w:rFonts w:ascii="Times New Roman" w:hAnsi="Times New Roman"/>
                <w:sz w:val="20"/>
              </w:rPr>
              <w:t>Assets under finance lease</w:t>
            </w:r>
          </w:p>
        </w:tc>
        <w:tc>
          <w:tcPr>
            <w:tcW w:w="281"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center"/>
              <w:rPr/>
            </w:pPr>
            <w:r>
              <w:rPr/>
              <w:t>2-5 years</w:t>
            </w:r>
          </w:p>
        </w:tc>
      </w:tr>
      <w:tr>
        <w:trPr/>
        <w:tc>
          <w:tcPr>
            <w:tcW w:w="5525" w:type="dxa"/>
            <w:tcBorders/>
            <w:shd w:fill="auto" w:val="clear"/>
          </w:tcPr>
          <w:p>
            <w:pPr>
              <w:pStyle w:val="TableContents"/>
              <w:spacing w:before="0" w:after="0"/>
              <w:rPr>
                <w:rFonts w:ascii="Times New Roman" w:hAnsi="Times New Roman"/>
                <w:sz w:val="20"/>
              </w:rPr>
            </w:pPr>
            <w:r>
              <w:rPr>
                <w:rFonts w:ascii="Times New Roman" w:hAnsi="Times New Roman"/>
                <w:sz w:val="20"/>
              </w:rPr>
              <w:t>Office, furniture and equipment</w:t>
            </w:r>
          </w:p>
        </w:tc>
        <w:tc>
          <w:tcPr>
            <w:tcW w:w="281"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center"/>
              <w:rPr/>
            </w:pPr>
            <w:r>
              <w:rPr/>
              <w:t>7-10 years</w:t>
            </w:r>
          </w:p>
        </w:tc>
      </w:tr>
      <w:tr>
        <w:trPr/>
        <w:tc>
          <w:tcPr>
            <w:tcW w:w="5525"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281"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center"/>
              <w:rPr/>
            </w:pPr>
            <w:r>
              <w:rPr/>
              <w:t>7 years</w:t>
            </w:r>
          </w:p>
        </w:tc>
      </w:tr>
      <w:tr>
        <w:trPr/>
        <w:tc>
          <w:tcPr>
            <w:tcW w:w="5525" w:type="dxa"/>
            <w:tcBorders/>
            <w:shd w:fill="auto" w:val="clear"/>
          </w:tcPr>
          <w:p>
            <w:pPr>
              <w:pStyle w:val="TableContents"/>
              <w:spacing w:before="0" w:after="0"/>
              <w:rPr>
                <w:rFonts w:ascii="Times New Roman" w:hAnsi="Times New Roman"/>
                <w:sz w:val="20"/>
              </w:rPr>
            </w:pPr>
            <w:r>
              <w:rPr>
                <w:rFonts w:ascii="Times New Roman" w:hAnsi="Times New Roman"/>
                <w:sz w:val="20"/>
              </w:rPr>
              <w:t>Other computer and network equipment</w:t>
            </w:r>
          </w:p>
        </w:tc>
        <w:tc>
          <w:tcPr>
            <w:tcW w:w="281"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center"/>
              <w:rPr/>
            </w:pPr>
            <w:r>
              <w:rPr/>
              <w:t>3 years</w:t>
            </w:r>
          </w:p>
        </w:tc>
      </w:tr>
    </w:tbl>
    <w:p>
      <w:pPr>
        <w:pStyle w:val="TextBody"/>
        <w:spacing w:before="360" w:after="0"/>
        <w:jc w:val="left"/>
        <w:rPr>
          <w:rFonts w:ascii="Times New Roman" w:hAnsi="Times New Roman"/>
          <w:b/>
          <w:sz w:val="20"/>
        </w:rPr>
      </w:pPr>
      <w:r>
        <w:rPr>
          <w:rFonts w:ascii="Times New Roman" w:hAnsi="Times New Roman"/>
          <w:b/>
          <w:sz w:val="20"/>
        </w:rPr>
        <w:t xml:space="preserve">Impairment of Long-Lived Assets </w:t>
      </w:r>
    </w:p>
    <w:p>
      <w:pPr>
        <w:pStyle w:val="TextBody"/>
        <w:spacing w:before="120" w:after="0"/>
        <w:jc w:val="left"/>
        <w:rPr>
          <w:rFonts w:ascii="Times New Roman" w:hAnsi="Times New Roman"/>
          <w:sz w:val="20"/>
        </w:rPr>
      </w:pPr>
      <w:r>
        <w:rPr>
          <w:rFonts w:ascii="Times New Roman" w:hAnsi="Times New Roman"/>
          <w:sz w:val="20"/>
        </w:rPr>
        <w:t xml:space="preserve">The Companys long-lived assets are reviewed for impairment whenever events or changes in circumstances indicate that the carrying value of the asset may not be recoverable. The Company also evaluates the period of depreciation and amortization of long-lived assets to determine whether events or circumstances warrant revised estimates of useful lives. When indicators of impairment are present, the Company determines the recoverability of its long-lived assets by comparing the carrying value of its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The Company recorded impairment charges of $15,292,000 related to long-lived assets during the year ended December 31, 2020 (see Note 6). </w:t>
      </w:r>
    </w:p>
    <w:p>
      <w:pPr>
        <w:pStyle w:val="TextBody"/>
        <w:spacing w:before="360" w:after="0"/>
        <w:jc w:val="left"/>
        <w:rPr>
          <w:rFonts w:ascii="Times New Roman" w:hAnsi="Times New Roman"/>
          <w:b/>
          <w:sz w:val="20"/>
        </w:rPr>
      </w:pPr>
      <w:r>
        <w:rPr>
          <w:rFonts w:ascii="Times New Roman" w:hAnsi="Times New Roman"/>
          <w:b/>
          <w:sz w:val="20"/>
        </w:rPr>
        <w:t xml:space="preserve">Leases </w:t>
      </w:r>
    </w:p>
    <w:p>
      <w:pPr>
        <w:pStyle w:val="TextBody"/>
        <w:spacing w:before="120" w:after="0"/>
        <w:jc w:val="left"/>
        <w:rPr>
          <w:rFonts w:ascii="Times New Roman" w:hAnsi="Times New Roman"/>
          <w:sz w:val="20"/>
        </w:rPr>
      </w:pPr>
      <w:r>
        <w:rPr>
          <w:rFonts w:ascii="Times New Roman" w:hAnsi="Times New Roman"/>
          <w:sz w:val="20"/>
        </w:rPr>
        <w:t xml:space="preserve">Under ASC 842, a contract is or contains a lease when, (1) explicitly or implicitly identified assets have been identified in the contract and (2) the customer obtains substantially all of the economic benefits from the use of that underlying asset and directs how and for what purpose the asset is used during the term of the contract. The Company determines if an arrangement is a lease at inception of the contract. For all leases (finance and operating leases), the Company recognizes as of the lease commencement date on the balance sheet a liability for its obligation related to the lease and a corresponding asset representing our right to use the underlying asset over the period of use. Leases with an initial term of 12 months or less meet the definition of a short-term lease which, as an accounting policy election, are not recorded on the balance sheet; and the lease expense for these leases is recognized on a straight-line basis over the lease term. </w:t>
      </w:r>
    </w:p>
    <w:p>
      <w:pPr>
        <w:pStyle w:val="TextBody"/>
        <w:spacing w:before="240" w:after="0"/>
        <w:jc w:val="left"/>
        <w:rPr>
          <w:rFonts w:ascii="Times New Roman" w:hAnsi="Times New Roman"/>
          <w:sz w:val="20"/>
        </w:rPr>
      </w:pPr>
      <w:r>
        <w:rPr>
          <w:rFonts w:ascii="Times New Roman" w:hAnsi="Times New Roman"/>
          <w:sz w:val="20"/>
        </w:rPr>
        <w:t xml:space="preserve">The lease liability for each lease is recognized as the present value of the lease payments not yet paid at the commencement date of the lease. The right-of-use asset (ROU asset) for each lease is recorded at the amount equal to the initial measurement of lease liability, adjusted for balances of prepaid rent, lease incentives received and initial direct costs incurred. </w:t>
      </w:r>
    </w:p>
    <w:p>
      <w:pPr>
        <w:pStyle w:val="TextBody"/>
        <w:spacing w:before="240" w:after="0"/>
        <w:jc w:val="left"/>
        <w:rPr>
          <w:rFonts w:ascii="Times New Roman" w:hAnsi="Times New Roman"/>
          <w:sz w:val="20"/>
        </w:rPr>
      </w:pPr>
      <w:r>
        <w:rPr>
          <w:rFonts w:ascii="Times New Roman" w:hAnsi="Times New Roman"/>
          <w:sz w:val="20"/>
        </w:rPr>
        <w:t xml:space="preserve">When determining lease term, the Company considers renewal options that it is reasonably certain to exercise and termination options that the Company is reasonably certain not to exercise, in addition to the non-cancellable period of the lease. </w:t>
      </w:r>
    </w:p>
    <w:p>
      <w:pPr>
        <w:pStyle w:val="TextBody"/>
        <w:spacing w:before="240" w:after="0"/>
        <w:jc w:val="left"/>
        <w:rPr>
          <w:rFonts w:ascii="Times New Roman" w:hAnsi="Times New Roman"/>
          <w:sz w:val="20"/>
        </w:rPr>
      </w:pPr>
      <w:r>
        <w:rPr>
          <w:rFonts w:ascii="Times New Roman" w:hAnsi="Times New Roman"/>
          <w:sz w:val="20"/>
        </w:rPr>
        <w:t xml:space="preserve">For operating leases, expense is generally recognized on a straight-line basis over the lease term, and is recorded within Selling, general and administrative in the accompanying consolidated statements of operations and comprehensive loss. For finance leases, interest on lease liability is recognized using the effective interest method, while the right-of-use asset is amortized on a straight-line basis, from the commencement date to the earlier of the end of the useful life of the right-of-use asset or the end of the lease term. Interest on lease liability is recorded within Interest income, net, and amortization of right-of-use assets is recorded within Depreciation and amortization in the accompanying consolidated statements of operations and comprehensive loss.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F-31</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Business Combinations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 w:hAnsi="Times New Roman"/>
          <w:i/>
          <w:sz w:val="20"/>
        </w:rPr>
        <w:t>Business Combinations</w:t>
      </w:r>
      <w:r>
        <w:rPr>
          <w:rFonts w:ascii="Times New Roman" w:hAnsi="Times New Roman"/>
          <w:sz w:val="20"/>
        </w:rPr>
        <w:t xml:space="preserve">.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 </w:t>
      </w:r>
    </w:p>
    <w:p>
      <w:pPr>
        <w:pStyle w:val="TextBody"/>
        <w:spacing w:before="240" w:after="0"/>
        <w:jc w:val="left"/>
        <w:rPr>
          <w:rFonts w:ascii="Times New Roman" w:hAnsi="Times New Roman"/>
          <w:sz w:val="20"/>
        </w:rPr>
      </w:pPr>
      <w:r>
        <w:rPr>
          <w:rFonts w:ascii="Times New Roman" w:hAnsi="Times New Roman"/>
          <w:sz w:val="20"/>
        </w:rPr>
        <w:t xml:space="preserve">For business combinations effected through a common control transaction, the Company measures the recognized net assets of the acquiree at the carrying amounts of the net assets previously recognized by the Companys related party. The Company reflects the operations of entities acquired through a common control transaction in its financial statements as of the first date in the reporting period or as of the date that the entity was acquired by the Companys related party, as applicable. </w:t>
      </w:r>
    </w:p>
    <w:p>
      <w:pPr>
        <w:pStyle w:val="TextBody"/>
        <w:spacing w:before="240" w:after="0"/>
        <w:jc w:val="left"/>
        <w:rPr>
          <w:rFonts w:ascii="Times New Roman" w:hAnsi="Times New Roman"/>
          <w:sz w:val="20"/>
        </w:rPr>
      </w:pPr>
      <w:r>
        <w:rPr>
          <w:rFonts w:ascii="Times New Roman" w:hAnsi="Times New Roman"/>
          <w:sz w:val="20"/>
        </w:rPr>
        <w:t xml:space="preserve">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 </w:t>
      </w:r>
    </w:p>
    <w:p>
      <w:pPr>
        <w:pStyle w:val="TextBody"/>
        <w:spacing w:before="240" w:after="0"/>
        <w:jc w:val="left"/>
        <w:rPr>
          <w:rFonts w:ascii="Times New Roman" w:hAnsi="Times New Roman"/>
          <w:sz w:val="20"/>
        </w:rPr>
      </w:pPr>
      <w:r>
        <w:rPr>
          <w:rFonts w:ascii="Times New Roman" w:hAnsi="Times New Roman"/>
          <w:sz w:val="20"/>
        </w:rPr>
        <w:t xml:space="preserve">All acquisition-related costs, other than the costs to issue debt or equity securities, are accounted for as expenses in the period in which they are incurred. </w:t>
      </w:r>
    </w:p>
    <w:p>
      <w:pPr>
        <w:pStyle w:val="TextBody"/>
        <w:spacing w:before="360" w:after="0"/>
        <w:jc w:val="left"/>
        <w:rPr>
          <w:rFonts w:ascii="Times New Roman" w:hAnsi="Times New Roman"/>
          <w:b/>
          <w:sz w:val="20"/>
        </w:rPr>
      </w:pPr>
      <w:r>
        <w:rPr>
          <w:rFonts w:ascii="Times New Roman" w:hAnsi="Times New Roman"/>
          <w:b/>
          <w:sz w:val="20"/>
        </w:rPr>
        <w:t xml:space="preserve">Goodwill and Other Intangible Assets </w:t>
      </w:r>
    </w:p>
    <w:p>
      <w:pPr>
        <w:pStyle w:val="TextBody"/>
        <w:spacing w:before="120" w:after="0"/>
        <w:jc w:val="left"/>
        <w:rPr>
          <w:rFonts w:ascii="Times New Roman" w:hAnsi="Times New Roman"/>
          <w:sz w:val="20"/>
        </w:rPr>
      </w:pPr>
      <w:r>
        <w:rPr>
          <w:rFonts w:ascii="Times New Roman" w:hAnsi="Times New Roman"/>
          <w:sz w:val="20"/>
        </w:rPr>
        <w:t xml:space="preserve">Goodwill and intangible assets that have indefinite useful lives are accounted for in accordance with ASC 350, </w:t>
      </w:r>
      <w:r>
        <w:rPr>
          <w:rFonts w:ascii="Times New Roman" w:hAnsi="Times New Roman"/>
          <w:i/>
          <w:sz w:val="20"/>
        </w:rPr>
        <w:t>Intangibles  Goodwill and Other</w:t>
      </w:r>
      <w:r>
        <w:rPr>
          <w:rFonts w:ascii="Times New Roman" w:hAnsi="Times New Roman"/>
          <w:sz w:val="20"/>
        </w:rPr>
        <w:t xml:space="preserve">. The Company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the Company is organized and operates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the Company first assesses qualitative factors to determine whether it is necessary to perform the quantitative impairment test. In the qualitative assessment, the Company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the Company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 </w:t>
      </w:r>
    </w:p>
    <w:p>
      <w:pPr>
        <w:pStyle w:val="TextBody"/>
        <w:spacing w:before="240" w:after="0"/>
        <w:jc w:val="left"/>
        <w:rPr>
          <w:rFonts w:ascii="Times New Roman" w:hAnsi="Times New Roman"/>
          <w:sz w:val="20"/>
        </w:rPr>
      </w:pPr>
      <w:r>
        <w:rPr>
          <w:rFonts w:ascii="Times New Roman" w:hAnsi="Times New Roman"/>
          <w:sz w:val="20"/>
        </w:rPr>
        <w:t xml:space="preserve">Identifiable intangible assets with finite lives are amortized on a straight-line basis over their estimated useful lives and are also reviewed at least annually for impairment or more frequently if conditions exist that indicate that an asset may be impaired.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F-32</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did not record any impairment charges related to goodwill and intangible assets during the years ended December 31, 2020 and 2019. </w:t>
      </w:r>
    </w:p>
    <w:p>
      <w:pPr>
        <w:pStyle w:val="TextBody"/>
        <w:spacing w:before="360" w:after="0"/>
        <w:jc w:val="left"/>
        <w:rPr>
          <w:rFonts w:ascii="Times New Roman" w:hAnsi="Times New Roman"/>
          <w:b/>
          <w:sz w:val="20"/>
        </w:rPr>
      </w:pPr>
      <w:r>
        <w:rPr>
          <w:rFonts w:ascii="Times New Roman" w:hAnsi="Times New Roman"/>
          <w:b/>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We recognize revenue when we transfer promised goods or services to customers in an amount that reflects the consideration to which we expect to be entitled in exchange for those goods or services. </w:t>
      </w:r>
    </w:p>
    <w:p>
      <w:pPr>
        <w:pStyle w:val="TextBody"/>
        <w:spacing w:before="360" w:after="0"/>
        <w:jc w:val="left"/>
        <w:rPr>
          <w:rFonts w:ascii="Times New Roman" w:hAnsi="Times New Roman"/>
          <w:i/>
          <w:sz w:val="20"/>
        </w:rPr>
      </w:pPr>
      <w:r>
        <w:rPr>
          <w:rFonts w:ascii="Times New Roman" w:hAnsi="Times New Roman"/>
          <w:i/>
          <w:sz w:val="20"/>
        </w:rPr>
        <w:t xml:space="preserve">Trading and clearing </w:t>
      </w:r>
    </w:p>
    <w:p>
      <w:pPr>
        <w:pStyle w:val="TextBody"/>
        <w:spacing w:before="120" w:after="0"/>
        <w:jc w:val="left"/>
        <w:rPr>
          <w:rFonts w:ascii="Times New Roman" w:hAnsi="Times New Roman"/>
          <w:sz w:val="20"/>
        </w:rPr>
      </w:pPr>
      <w:r>
        <w:rPr>
          <w:rFonts w:ascii="Times New Roman" w:hAnsi="Times New Roman"/>
          <w:sz w:val="20"/>
        </w:rPr>
        <w:t xml:space="preserve">All of our trading and clearing services are provided through our Triparty Agreement. Under our Triparty Agreement, we have determined that we are acting as an agent to arrange for trading and clearing services to be provided by IFUS and ICUS to customers. Our performance obligations related to trading and clearing services are generally satisfied almost simultaneously when the trade is executed and cleared, and revenue is recognized at that point in time. We recognize revenue for trading and clearing services net of expenses incurred by IFUS and ICUS related to their exchange and clearing services, which is included in Net revenues in the accompanying consolidated statements of operations and comprehensive loss (see Note 7). </w:t>
      </w:r>
    </w:p>
    <w:p>
      <w:pPr>
        <w:pStyle w:val="TextBody"/>
        <w:spacing w:before="240" w:after="0"/>
        <w:jc w:val="left"/>
        <w:rPr>
          <w:rFonts w:ascii="Times New Roman" w:hAnsi="Times New Roman"/>
          <w:sz w:val="20"/>
        </w:rPr>
      </w:pPr>
      <w:r>
        <w:rPr>
          <w:rFonts w:ascii="Times New Roman" w:hAnsi="Times New Roman"/>
          <w:sz w:val="20"/>
        </w:rPr>
        <w:t xml:space="preserve">In certain contracts with customers, we offer rebates to support market liquidity and trading volume, which provides qualified participants with a discount to the applicable commission rate. These rebates represent a form of variable consideration. Because we generally measure and resolve these rebates within the same reporting period, it is generally not operationally necessary for us to estimate these at a given reporting period date. These rebates are included in Net revenues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For our trading and clearing services, we bill customers for our services on a monthly basis, which is consistent with the timing of our revenue recognition. </w:t>
      </w:r>
    </w:p>
    <w:p>
      <w:pPr>
        <w:pStyle w:val="TextBody"/>
        <w:spacing w:before="240" w:after="0"/>
        <w:jc w:val="left"/>
        <w:rPr>
          <w:rFonts w:ascii="Times New Roman" w:hAnsi="Times New Roman"/>
          <w:sz w:val="20"/>
        </w:rPr>
      </w:pPr>
      <w:r>
        <w:rPr>
          <w:rFonts w:ascii="Times New Roman" w:hAnsi="Times New Roman"/>
          <w:sz w:val="20"/>
        </w:rPr>
        <w:t xml:space="preserve">Revenue from our trading and clearing services is included in Transaction revenue, net in the disaggregation of revenue table within Note 3. </w:t>
      </w:r>
    </w:p>
    <w:p>
      <w:pPr>
        <w:pStyle w:val="TextBody"/>
        <w:spacing w:before="360" w:after="0"/>
        <w:jc w:val="left"/>
        <w:rPr>
          <w:rFonts w:ascii="Times New Roman" w:hAnsi="Times New Roman"/>
          <w:i/>
          <w:sz w:val="20"/>
        </w:rPr>
      </w:pPr>
      <w:r>
        <w:rPr>
          <w:rFonts w:ascii="Times New Roman" w:hAnsi="Times New Roman"/>
          <w:i/>
          <w:sz w:val="20"/>
        </w:rPr>
        <w:t xml:space="preserve">Custody </w:t>
      </w:r>
    </w:p>
    <w:p>
      <w:pPr>
        <w:pStyle w:val="TextBody"/>
        <w:spacing w:before="240" w:after="0"/>
        <w:jc w:val="left"/>
        <w:rPr>
          <w:rFonts w:ascii="Times New Roman" w:hAnsi="Times New Roman"/>
          <w:sz w:val="20"/>
        </w:rPr>
      </w:pPr>
      <w:r>
        <w:rPr>
          <w:rFonts w:ascii="Times New Roman" w:hAnsi="Times New Roman"/>
          <w:sz w:val="20"/>
        </w:rPr>
        <w:t xml:space="preserve">The Company provides a bitcoin custody solution to customers and which is generally based on a fixed monthly fee which is invoiced quarterly. Our performance obligation related to the storage and custody of a customers bitcoin represents a stand-ready obligation and is recognized on a straight-line basis over the related contract term as the customer receives benefits evenly throughout the term of the contract. Bitcoin held in a custodial capacity on behalf of our customers is not included in the Companys consolidated balance sheet, as the Company does not have ownership of that bitcoin. The contract for custodial services may be terminated by a customer at any time, without incurring a penalty. We recognize revenue from our custodial services on a gross basis as we are acting as the principal in those arrangements. Revenue from our custodial services are included in Net revenues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Revenue from our custody services is included in Subscription and services revenue in the disaggregation of revenue table within Note 3. </w:t>
      </w:r>
    </w:p>
    <w:p>
      <w:pPr>
        <w:pStyle w:val="TextBody"/>
        <w:spacing w:before="360" w:after="0"/>
        <w:jc w:val="left"/>
        <w:rPr>
          <w:rFonts w:ascii="Times New Roman" w:hAnsi="Times New Roman"/>
          <w:i/>
          <w:sz w:val="20"/>
        </w:rPr>
      </w:pPr>
      <w:r>
        <w:rPr>
          <w:rFonts w:ascii="Times New Roman" w:hAnsi="Times New Roman"/>
          <w:i/>
          <w:sz w:val="20"/>
        </w:rPr>
        <w:t xml:space="preserve">Loyalty redemption platform </w:t>
      </w:r>
    </w:p>
    <w:p>
      <w:pPr>
        <w:pStyle w:val="TextBody"/>
        <w:spacing w:before="120" w:after="0"/>
        <w:jc w:val="left"/>
        <w:rPr>
          <w:rFonts w:ascii="Times New Roman" w:hAnsi="Times New Roman"/>
          <w:sz w:val="20"/>
        </w:rPr>
      </w:pPr>
      <w:r>
        <w:rPr>
          <w:rFonts w:ascii="Times New Roman" w:hAnsi="Times New Roman"/>
          <w:sz w:val="20"/>
        </w:rPr>
        <w:t xml:space="preserve">Through our acquisition of Bridge2 Solutions, 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the Companys SaaS-based redemption platform and customer support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F-33</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accompanying consolidated statements of operations and comprehensive loss and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Platform subscription fees: Monthly fixed fee charged to customers to access the redemption platform and 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in Note 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 fees: Transaction fees are earned for most transactions processed through our platform. These fees 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in Note 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share fees: We are entitled to revenue share fees in the form of rebates from third-party commerce merchants and other partners which provide services facilitating redemption order fulfillment. We allocate revenue share fees to the period in which the related transaction occurs. Revenue from our revenue share fees is included in Transaction revenue, net in the disaggregation of revenue table in Note 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Service fees: We earn fees for certain software development activities associated with the implementation of new customers on our loyalty redemption platform and other development activities if a customer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 The Company recognizes deferred revenue when all such fees are billed. Revenue from our services fees is included in Subscription and services revenue in the disaggregation of revenue table in Note 3. </w:t>
            </w:r>
          </w:p>
        </w:tc>
      </w:tr>
    </w:tbl>
    <w:p>
      <w:pPr>
        <w:pStyle w:val="TextBody"/>
        <w:spacing w:before="360" w:after="0"/>
        <w:jc w:val="left"/>
        <w:rPr>
          <w:rFonts w:ascii="Times New Roman" w:hAnsi="Times New Roman"/>
          <w:i/>
          <w:sz w:val="20"/>
        </w:rPr>
      </w:pPr>
      <w:r>
        <w:rPr>
          <w:rFonts w:ascii="Times New Roman" w:hAnsi="Times New Roman"/>
          <w:i/>
          <w:sz w:val="20"/>
        </w:rPr>
        <w:t xml:space="preserve">Strategic alliance agreement </w:t>
      </w:r>
    </w:p>
    <w:p>
      <w:pPr>
        <w:pStyle w:val="TextBody"/>
        <w:spacing w:before="120" w:after="0"/>
        <w:jc w:val="left"/>
        <w:rPr>
          <w:rFonts w:ascii="Times New Roman" w:hAnsi="Times New Roman"/>
          <w:sz w:val="20"/>
        </w:rPr>
      </w:pPr>
      <w:r>
        <w:rPr>
          <w:rFonts w:ascii="Times New Roman" w:hAnsi="Times New Roman"/>
          <w:sz w:val="20"/>
        </w:rPr>
        <w:t xml:space="preserve">In February 2020, the Company entered into a Strategic Alliance Agreement with a strategic partner, who is also a customer of the Company, to develop and operate a mechanism whereby a customer can purchase food and beverage items from the strategic partner using their Bakkt digital wallet. </w:t>
      </w:r>
    </w:p>
    <w:p>
      <w:pPr>
        <w:pStyle w:val="TextBody"/>
        <w:spacing w:before="240" w:after="0"/>
        <w:jc w:val="left"/>
        <w:rPr>
          <w:rFonts w:ascii="Times New Roman" w:hAnsi="Times New Roman"/>
          <w:sz w:val="20"/>
        </w:rPr>
      </w:pPr>
      <w:r>
        <w:rPr>
          <w:rFonts w:ascii="Times New Roman" w:hAnsi="Times New Roman"/>
          <w:sz w:val="20"/>
        </w:rPr>
        <w:t xml:space="preserve">In conjunction with the Strategic Alliance Agreement, the parties entered into a separate agreement under which Bakkt issued the strategic partner a warrant to purchase 15 million Class B voting units (see Note 8). The Company accounts for the warrant as consideration payable to a customer within the scope of ASC 606, </w:t>
      </w:r>
      <w:r>
        <w:rPr>
          <w:rFonts w:ascii="Times New Roman" w:hAnsi="Times New Roman"/>
          <w:i/>
          <w:sz w:val="20"/>
        </w:rPr>
        <w:t>Revenue from Contracts with Customers</w:t>
      </w:r>
      <w:r>
        <w:rPr>
          <w:rFonts w:ascii="Times New Roman" w:hAnsi="Times New Roman"/>
          <w:sz w:val="20"/>
        </w:rPr>
        <w:t xml:space="preserve">,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 Refer to Note 8 for additional information related to the warrants. </w:t>
      </w:r>
    </w:p>
    <w:p>
      <w:pPr>
        <w:pStyle w:val="TextBody"/>
        <w:spacing w:before="240" w:after="0"/>
        <w:jc w:val="left"/>
        <w:rPr>
          <w:rFonts w:ascii="Times New Roman" w:hAnsi="Times New Roman"/>
          <w:sz w:val="20"/>
        </w:rPr>
      </w:pPr>
      <w:r>
        <w:rPr>
          <w:rFonts w:ascii="Times New Roman" w:hAnsi="Times New Roman"/>
          <w:sz w:val="20"/>
        </w:rPr>
        <w:t xml:space="preserve">Transaction fees and the reduction to transaction fees are included in Transaction revenue, net in the disaggregation of revenue table in Note 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F-34</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Practical expedients </w:t>
      </w:r>
    </w:p>
    <w:p>
      <w:pPr>
        <w:pStyle w:val="TextBody"/>
        <w:spacing w:before="120" w:after="0"/>
        <w:jc w:val="left"/>
        <w:rPr>
          <w:rFonts w:ascii="Times New Roman" w:hAnsi="Times New Roman"/>
          <w:sz w:val="20"/>
        </w:rPr>
      </w:pPr>
      <w:r>
        <w:rPr>
          <w:rFonts w:ascii="Times New Roman" w:hAnsi="Times New Roman"/>
          <w:sz w:val="20"/>
        </w:rPr>
        <w:t xml:space="preserve">We have elected the following practical expedients under ASC 606: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 sales taxes from the measurement of the transaction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adjust the transaction price for the existence of a significant financing component if the timing difference between a customers payment and our performance is one year or less.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 </w:t>
            </w:r>
          </w:p>
        </w:tc>
      </w:tr>
    </w:tbl>
    <w:p>
      <w:pPr>
        <w:pStyle w:val="TextBody"/>
        <w:spacing w:before="240" w:after="0"/>
        <w:jc w:val="left"/>
        <w:rPr>
          <w:rFonts w:ascii="Times New Roman" w:hAnsi="Times New Roman"/>
          <w:sz w:val="20"/>
        </w:rPr>
      </w:pPr>
      <w:r>
        <w:rPr>
          <w:rFonts w:ascii="Times New Roman" w:hAnsi="Times New Roman"/>
          <w:sz w:val="20"/>
        </w:rPr>
        <w:t xml:space="preserve">Additionally, we have elected the practical expedient under ASC 340-40 to not capitalize incremental costs to obtain a contract with a customer if the amortization period would have been one year or less. </w:t>
      </w:r>
    </w:p>
    <w:p>
      <w:pPr>
        <w:pStyle w:val="TextBody"/>
        <w:spacing w:before="240" w:after="0"/>
        <w:jc w:val="left"/>
        <w:rPr>
          <w:rFonts w:ascii="Times New Roman" w:hAnsi="Times New Roman"/>
          <w:sz w:val="20"/>
        </w:rPr>
      </w:pPr>
      <w:r>
        <w:rPr>
          <w:rFonts w:ascii="Times New Roman" w:hAnsi="Times New Roman"/>
          <w:sz w:val="20"/>
        </w:rPr>
        <w:t xml:space="preserve">See Note 3 for additional disclosures related to Bakkts recognition of revenue. </w:t>
      </w:r>
    </w:p>
    <w:p>
      <w:pPr>
        <w:pStyle w:val="TextBody"/>
        <w:spacing w:before="360" w:after="0"/>
        <w:jc w:val="left"/>
        <w:rPr>
          <w:rFonts w:ascii="Times New Roman" w:hAnsi="Times New Roman"/>
          <w:b/>
          <w:sz w:val="20"/>
        </w:rPr>
      </w:pPr>
      <w:r>
        <w:rPr>
          <w:rFonts w:ascii="Times New Roman" w:hAnsi="Times New Roman"/>
          <w:b/>
          <w:sz w:val="20"/>
        </w:rPr>
        <w:t xml:space="preserve">Deferred Revenue </w:t>
      </w:r>
    </w:p>
    <w:p>
      <w:pPr>
        <w:pStyle w:val="TextBody"/>
        <w:spacing w:before="120" w:after="0"/>
        <w:jc w:val="left"/>
        <w:rPr>
          <w:rFonts w:ascii="Times New Roman" w:hAnsi="Times New Roman"/>
          <w:sz w:val="20"/>
        </w:rPr>
      </w:pPr>
      <w:r>
        <w:rPr>
          <w:rFonts w:ascii="Times New Roman" w:hAnsi="Times New Roman"/>
          <w:sz w:val="20"/>
        </w:rPr>
        <w:t xml:space="preserve">Deferred revenue includes amounts invoiced prior to the Company meeting the criteria for revenue recognition. The Company typically invoices customers for subscription fees in arrears on a monthly basis. </w:t>
      </w:r>
    </w:p>
    <w:p>
      <w:pPr>
        <w:pStyle w:val="TextBody"/>
        <w:spacing w:before="240" w:after="0"/>
        <w:jc w:val="left"/>
        <w:rPr>
          <w:rFonts w:ascii="Times New Roman" w:hAnsi="Times New Roman"/>
          <w:sz w:val="20"/>
        </w:rPr>
      </w:pPr>
      <w:r>
        <w:rPr>
          <w:rFonts w:ascii="Times New Roman" w:hAnsi="Times New Roman"/>
          <w:sz w:val="20"/>
        </w:rPr>
        <w:t xml:space="preserve">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 </w:t>
      </w:r>
    </w:p>
    <w:p>
      <w:pPr>
        <w:pStyle w:val="TextBody"/>
        <w:spacing w:before="240" w:after="0"/>
        <w:jc w:val="left"/>
        <w:rPr>
          <w:rFonts w:ascii="Times New Roman" w:hAnsi="Times New Roman"/>
          <w:sz w:val="20"/>
        </w:rPr>
      </w:pPr>
      <w:r>
        <w:rPr>
          <w:rFonts w:ascii="Times New Roman" w:hAnsi="Times New Roman"/>
          <w:sz w:val="20"/>
        </w:rPr>
        <w:t xml:space="preserve">The amount of revenue recognized for the year ended December 31, 2020 from the opening deferred revenue balance as of the date of acquisition of Bridge2 Solutions (see Note 4) was $11,005,000. The Company did not have any deferred revenue as of December 31, 2019. </w:t>
      </w:r>
    </w:p>
    <w:p>
      <w:pPr>
        <w:pStyle w:val="TextBody"/>
        <w:spacing w:before="360" w:after="0"/>
        <w:jc w:val="left"/>
        <w:rPr>
          <w:rFonts w:ascii="Times New Roman" w:hAnsi="Times New Roman"/>
          <w:b/>
          <w:sz w:val="20"/>
        </w:rPr>
      </w:pPr>
      <w:r>
        <w:rPr>
          <w:rFonts w:ascii="Times New Roman" w:hAnsi="Times New Roman"/>
          <w:b/>
          <w:sz w:val="20"/>
        </w:rPr>
        <w:t xml:space="preserve">Compensation and Benefits </w:t>
      </w:r>
    </w:p>
    <w:p>
      <w:pPr>
        <w:pStyle w:val="TextBody"/>
        <w:spacing w:before="120" w:after="0"/>
        <w:jc w:val="left"/>
        <w:rPr>
          <w:rFonts w:ascii="Times New Roman" w:hAnsi="Times New Roman"/>
          <w:sz w:val="20"/>
        </w:rPr>
      </w:pPr>
      <w:r>
        <w:rPr>
          <w:rFonts w:ascii="Times New Roman" w:hAnsi="Times New Roman"/>
          <w:sz w:val="20"/>
        </w:rPr>
        <w:t xml:space="preserve">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 </w:t>
      </w:r>
    </w:p>
    <w:p>
      <w:pPr>
        <w:pStyle w:val="TextBody"/>
        <w:spacing w:before="360" w:after="0"/>
        <w:jc w:val="left"/>
        <w:rPr>
          <w:rFonts w:ascii="Times New Roman" w:hAnsi="Times New Roman"/>
          <w:b/>
          <w:sz w:val="20"/>
        </w:rPr>
      </w:pPr>
      <w:r>
        <w:rPr>
          <w:rFonts w:ascii="Times New Roman" w:hAnsi="Times New Roman"/>
          <w:b/>
          <w:sz w:val="20"/>
        </w:rPr>
        <w:t xml:space="preserve">Professional Services </w:t>
      </w:r>
    </w:p>
    <w:p>
      <w:pPr>
        <w:pStyle w:val="TextBody"/>
        <w:spacing w:before="120" w:after="0"/>
        <w:jc w:val="left"/>
        <w:rPr>
          <w:rFonts w:ascii="Times New Roman" w:hAnsi="Times New Roman"/>
          <w:sz w:val="20"/>
        </w:rPr>
      </w:pPr>
      <w:r>
        <w:rPr>
          <w:rFonts w:ascii="Times New Roman" w:hAnsi="Times New Roman"/>
          <w:sz w:val="20"/>
        </w:rPr>
        <w:t xml:space="preserve">Professional services expenses consist of costs associated with audit, tax, legal and other professional services. </w:t>
      </w:r>
    </w:p>
    <w:p>
      <w:pPr>
        <w:pStyle w:val="TextBody"/>
        <w:spacing w:before="360" w:after="0"/>
        <w:jc w:val="left"/>
        <w:rPr>
          <w:rFonts w:ascii="Times New Roman" w:hAnsi="Times New Roman"/>
          <w:b/>
          <w:sz w:val="20"/>
        </w:rPr>
      </w:pPr>
      <w:r>
        <w:rPr>
          <w:rFonts w:ascii="Times New Roman" w:hAnsi="Times New Roman"/>
          <w:b/>
          <w:sz w:val="20"/>
        </w:rPr>
        <w:t xml:space="preserve">Technology and Communication </w:t>
      </w:r>
    </w:p>
    <w:p>
      <w:pPr>
        <w:pStyle w:val="TextBody"/>
        <w:spacing w:before="120" w:after="0"/>
        <w:jc w:val="left"/>
        <w:rPr>
          <w:rFonts w:ascii="Times New Roman" w:hAnsi="Times New Roman"/>
          <w:sz w:val="20"/>
        </w:rPr>
      </w:pPr>
      <w:r>
        <w:rPr>
          <w:rFonts w:ascii="Times New Roman" w:hAnsi="Times New Roman"/>
          <w:sz w:val="20"/>
        </w:rPr>
        <w:t xml:space="preserve">Technology and communication expenses include costs incurred in operating and maintaining the Companys platform, including software licenses, software maintenance and support, hosting and infrastructure costs.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expenses consist primarily of costs associated with advertising, marketing, insurance and rent. Advertising costs are expensed as incurred. Total advertising costs for the years ended December 31, 2020 and 2019 were $4,851,000 and $534,000, respectively.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F-35</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Acquisition-Related Expenses </w:t>
      </w:r>
    </w:p>
    <w:p>
      <w:pPr>
        <w:pStyle w:val="TextBody"/>
        <w:spacing w:before="120" w:after="0"/>
        <w:jc w:val="left"/>
        <w:rPr>
          <w:rFonts w:ascii="Times New Roman" w:hAnsi="Times New Roman"/>
          <w:sz w:val="20"/>
        </w:rPr>
      </w:pPr>
      <w:r>
        <w:rPr>
          <w:rFonts w:ascii="Times New Roman" w:hAnsi="Times New Roman"/>
          <w:sz w:val="20"/>
        </w:rPr>
        <w:t xml:space="preserve">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years ended December 31, 2020 and 2019 were $13,372,000 and $731,000, respectively. Acquisition-related expenses for the year ended December 31, 2020 included approximately $9,567,000 of accelerated expense for the Companys incentive and participation units resulting from the issuance of Class C voting units in connection with the acquisition of Bridge2 Solutions (see Note 9). </w:t>
      </w:r>
    </w:p>
    <w:p>
      <w:pPr>
        <w:pStyle w:val="TextBody"/>
        <w:spacing w:before="360" w:after="0"/>
        <w:jc w:val="left"/>
        <w:rPr>
          <w:rFonts w:ascii="Times New Roman" w:hAnsi="Times New Roman"/>
          <w:b/>
          <w:sz w:val="20"/>
        </w:rPr>
      </w:pPr>
      <w:r>
        <w:rPr>
          <w:rFonts w:ascii="Times New Roman" w:hAnsi="Times New Roman"/>
          <w:b/>
          <w:sz w:val="20"/>
        </w:rPr>
        <w:t xml:space="preserve">Unit-Based Compensation </w:t>
      </w:r>
    </w:p>
    <w:p>
      <w:pPr>
        <w:pStyle w:val="TextBody"/>
        <w:spacing w:before="120" w:after="0"/>
        <w:jc w:val="left"/>
        <w:rPr>
          <w:rFonts w:ascii="Times New Roman" w:hAnsi="Times New Roman"/>
          <w:sz w:val="20"/>
        </w:rPr>
      </w:pPr>
      <w:r>
        <w:rPr>
          <w:rFonts w:ascii="Times New Roman" w:hAnsi="Times New Roman"/>
          <w:sz w:val="20"/>
        </w:rPr>
        <w:t xml:space="preserve">Share-based payments to employees, which consist of incentive units and phantom units (participation units), are measured at fair value on the date of grant and recognized as expense in Compensation and benefits in the accompanying consolidated statements of operations and comprehensive loss over the requisite service period. Additionally, the Company recognizes variable compensation expense for liability-classified participation units based on changes to the fair value of the awards at each reporting date. The Company elects to account for forfeitures as they occur. See Note 9 for additional disclosures related to unit-based compensation. </w:t>
      </w:r>
    </w:p>
    <w:p>
      <w:pPr>
        <w:pStyle w:val="TextBody"/>
        <w:spacing w:before="360" w:after="0"/>
        <w:jc w:val="left"/>
        <w:rPr>
          <w:rFonts w:ascii="Times New Roman" w:hAnsi="Times New Roman"/>
          <w:b/>
          <w:sz w:val="20"/>
        </w:rPr>
      </w:pPr>
      <w:r>
        <w:rPr>
          <w:rFonts w:ascii="Times New Roman" w:hAnsi="Times New Roman"/>
          <w:b/>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 </w:t>
      </w:r>
    </w:p>
    <w:p>
      <w:pPr>
        <w:pStyle w:val="TextBody"/>
        <w:spacing w:before="360" w:after="0"/>
        <w:jc w:val="left"/>
        <w:rPr>
          <w:rFonts w:ascii="Times New Roman" w:hAnsi="Times New Roman"/>
          <w:b/>
          <w:sz w:val="20"/>
        </w:rPr>
      </w:pPr>
      <w:r>
        <w:rPr>
          <w:rFonts w:ascii="Times New Roman" w:hAnsi="Times New Roman"/>
          <w:b/>
          <w:sz w:val="20"/>
        </w:rPr>
        <w:t xml:space="preserve">Fair Value Measurements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financial assets and liabilities that are recognized and/or disclosed at fair value on a recurring basis in accordance with ASC 820, </w:t>
      </w:r>
      <w:r>
        <w:rPr>
          <w:rFonts w:ascii="Times New Roman" w:hAnsi="Times New Roman"/>
          <w:i/>
          <w:sz w:val="20"/>
        </w:rPr>
        <w:t>Fair Value Measurements and Disclosures</w:t>
      </w:r>
      <w:r>
        <w:rPr>
          <w:rFonts w:ascii="Times New Roman" w:hAnsi="Times New Roman"/>
          <w:sz w:val="20"/>
        </w:rPr>
        <w:t xml:space="preserve">.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 </w:t>
      </w:r>
    </w:p>
    <w:p>
      <w:pPr>
        <w:pStyle w:val="TextBody"/>
        <w:spacing w:before="240" w:after="0"/>
        <w:jc w:val="left"/>
        <w:rPr>
          <w:rFonts w:ascii="Times New Roman" w:hAnsi="Times New Roman"/>
          <w:sz w:val="20"/>
        </w:rPr>
      </w:pPr>
      <w:r>
        <w:rPr>
          <w:rFonts w:ascii="Times New Roman" w:hAnsi="Times New Roman"/>
          <w:sz w:val="20"/>
        </w:rPr>
        <w:t xml:space="preserve">Level 1  Quoted prices for identical assets or liabilities in active markets. </w:t>
      </w:r>
    </w:p>
    <w:p>
      <w:pPr>
        <w:pStyle w:val="TextBody"/>
        <w:spacing w:before="240" w:after="0"/>
        <w:jc w:val="left"/>
        <w:rPr>
          <w:rFonts w:ascii="Times New Roman" w:hAnsi="Times New Roman"/>
          <w:sz w:val="20"/>
        </w:rPr>
      </w:pPr>
      <w:r>
        <w:rPr>
          <w:rFonts w:ascii="Times New Roman" w:hAnsi="Times New Roman"/>
          <w:sz w:val="20"/>
        </w:rPr>
        <w:t xml:space="preserve">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F-36</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Level 3  Unobservable inputs reflecting the Companys view about the assumptions that market participants would use in measuring the fair value of the assets or liabilities. </w:t>
      </w:r>
    </w:p>
    <w:p>
      <w:pPr>
        <w:pStyle w:val="TextBody"/>
        <w:spacing w:before="240" w:after="0"/>
        <w:jc w:val="left"/>
        <w:rPr>
          <w:rFonts w:ascii="Times New Roman" w:hAnsi="Times New Roman"/>
          <w:sz w:val="20"/>
        </w:rPr>
      </w:pPr>
      <w:r>
        <w:rPr>
          <w:rFonts w:ascii="Times New Roman" w:hAnsi="Times New Roman"/>
          <w:sz w:val="20"/>
        </w:rPr>
        <w:t xml:space="preserve">Where the fair values of financial assets and liabilities recorded in the consolidated balance sheets cannot be derived from an active market, they are determined using a variety of valuation techniques. These valuation techniques may include a net present value technique, comparison to similar instruments with market observable inputs, options pricing models and other relevant valuation models. Inputs into these models are taken from observable market data whenever possible, but in instances where it is not reasonably feasible, a degree of judgment is required to establish fair values. Nonperformance risk includes, but may not be limited to, the Company or counterpartys credit and settlement risk. This risk is estimated by the Company using credit spreads and risk premiums that are observable in the market whenever possible, or estimated borrowing costs based on bank quotes. </w:t>
      </w:r>
    </w:p>
    <w:p>
      <w:pPr>
        <w:pStyle w:val="TextBody"/>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 </w:t>
      </w:r>
    </w:p>
    <w:p>
      <w:pPr>
        <w:pStyle w:val="TextBody"/>
        <w:spacing w:before="240" w:after="0"/>
        <w:jc w:val="left"/>
        <w:rPr>
          <w:rFonts w:ascii="Times New Roman" w:hAnsi="Times New Roman"/>
          <w:sz w:val="20"/>
        </w:rPr>
      </w:pPr>
      <w:r>
        <w:rPr>
          <w:rFonts w:ascii="Times New Roman" w:hAnsi="Times New Roman"/>
          <w:sz w:val="20"/>
        </w:rPr>
        <w:t xml:space="preserve">As of December 31, 2020, three customers represented approximately 57% of total accounts receivable. During the year ended December 31, 2019, the Company did not enter into any transactions in which credit was extended to customers. </w:t>
      </w:r>
    </w:p>
    <w:p>
      <w:pPr>
        <w:pStyle w:val="TextBody"/>
        <w:spacing w:before="240" w:after="0"/>
        <w:jc w:val="left"/>
        <w:rPr>
          <w:rFonts w:ascii="Times New Roman" w:hAnsi="Times New Roman"/>
          <w:sz w:val="20"/>
        </w:rPr>
      </w:pPr>
      <w:r>
        <w:rPr>
          <w:rFonts w:ascii="Times New Roman" w:hAnsi="Times New Roman"/>
          <w:sz w:val="20"/>
        </w:rPr>
        <w:t xml:space="preserve">For the year ended December 31, 2020, two customers represented approximately 65% of total revenue. For the year ended December 31, 2019, no customer represented 10% of more of revenue. </w:t>
      </w:r>
    </w:p>
    <w:p>
      <w:pPr>
        <w:pStyle w:val="TextBody"/>
        <w:spacing w:before="360" w:after="0"/>
        <w:jc w:val="left"/>
        <w:rPr>
          <w:rFonts w:ascii="Times New Roman" w:hAnsi="Times New Roman"/>
          <w:b/>
          <w:sz w:val="20"/>
        </w:rPr>
      </w:pPr>
      <w:r>
        <w:rPr>
          <w:rFonts w:ascii="Times New Roman" w:hAnsi="Times New Roman"/>
          <w:b/>
          <w:sz w:val="20"/>
        </w:rPr>
        <w:t xml:space="preserve">Investments </w:t>
      </w:r>
    </w:p>
    <w:p>
      <w:pPr>
        <w:pStyle w:val="TextBody"/>
        <w:spacing w:before="120" w:after="0"/>
        <w:jc w:val="left"/>
        <w:rPr>
          <w:rFonts w:ascii="Times New Roman" w:hAnsi="Times New Roman"/>
          <w:sz w:val="20"/>
        </w:rPr>
      </w:pPr>
      <w:r>
        <w:rPr>
          <w:rFonts w:ascii="Times New Roman" w:hAnsi="Times New Roman"/>
          <w:sz w:val="20"/>
        </w:rPr>
        <w:t xml:space="preserve">As of December 31, 2019, short-term investments consisted of investments in U.S. Government securities which matured in May 2020 and were redeemed for cash. During the year ended December 31, 2020, the Company recorded $18,000 of interest income from these securities which is included in Interest income, net in the accompanying consolidated statements of operations and comprehensive loss. Management determines the appropriate classification of our investments at the time they are acquired and evaluates the appropriateness of such classifications at each balance sheet date. Prior to maturity, the Company classified its investments as available-for-sale pursuant to ASC 320, </w:t>
      </w:r>
      <w:r>
        <w:rPr>
          <w:rFonts w:ascii="Times New Roman" w:hAnsi="Times New Roman"/>
          <w:i/>
          <w:sz w:val="20"/>
        </w:rPr>
        <w:t>InvestmentsDebt and Equity Securities</w:t>
      </w:r>
      <w:r>
        <w:rPr>
          <w:rFonts w:ascii="Times New Roman" w:hAnsi="Times New Roman"/>
          <w:sz w:val="20"/>
        </w:rPr>
        <w:t xml:space="preserve">. Investments are recorded at fair value, with realized gains and losses included in Other income, net in the accompanying consolidated statements of operations and comprehensive loss on a specific-identification basis. There were no realized or unrealized gains or losses on short-term investments for the years ended December 31, 2020 and 2019. </w:t>
      </w:r>
    </w:p>
    <w:p>
      <w:pPr>
        <w:pStyle w:val="TextBody"/>
        <w:spacing w:before="240" w:after="0"/>
        <w:jc w:val="left"/>
        <w:rPr>
          <w:rFonts w:ascii="Times New Roman" w:hAnsi="Times New Roman"/>
          <w:sz w:val="20"/>
        </w:rPr>
      </w:pPr>
      <w:r>
        <w:rPr>
          <w:rFonts w:ascii="Times New Roman" w:hAnsi="Times New Roman"/>
          <w:sz w:val="20"/>
        </w:rPr>
        <w:t xml:space="preserve">Bakkt Clearing was required to hold shares of ICE stock for ICUS membership privileges prior to the withdrawal of its ICUS membership on May 20, 2020. These shares were carried at cost basis and evaluated periodically for impairment. Upon withdrawal of its ICUS membership, these shares were remeasured at fair value, resulting in an unrealized gain of $628,000 for the year ended December 31, 2020 which is reflected as Other income (expense), net in the accompanying consolidated statements of operations and comprehensive loss (see Note 7). </w:t>
      </w:r>
    </w:p>
    <w:p>
      <w:pPr>
        <w:pStyle w:val="TextBody"/>
        <w:spacing w:before="240" w:after="0"/>
        <w:jc w:val="left"/>
        <w:rPr>
          <w:rFonts w:ascii="Times New Roman" w:hAnsi="Times New Roman"/>
          <w:sz w:val="20"/>
        </w:rPr>
      </w:pPr>
      <w:r>
        <w:rPr>
          <w:rFonts w:ascii="Times New Roman" w:hAnsi="Times New Roman"/>
          <w:sz w:val="20"/>
        </w:rPr>
        <w:t xml:space="preserve">Investments are classified as current or non-current depending on their maturity dates and when it is expected to be converted into cash.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F-37</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On January 1, 2019, the Company adopted ASU 2018-07, </w:t>
      </w:r>
      <w:r>
        <w:rPr>
          <w:rFonts w:ascii="Times New Roman" w:hAnsi="Times New Roman"/>
          <w:i/>
          <w:sz w:val="20"/>
        </w:rPr>
        <w:t xml:space="preserve">Compensation-Stock Compensation </w:t>
      </w:r>
      <w:r>
        <w:rPr>
          <w:rFonts w:ascii="Times New Roman" w:hAnsi="Times New Roman"/>
          <w:sz w:val="20"/>
        </w:rPr>
        <w:t xml:space="preserve">(Topic 718), or ASU 2018-07. This amendment expands ASC 718 to include share-based payment transactions for acquiring goods and services from non-employees and to supersede the guidance in ASC 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  </w:t>
      </w:r>
    </w:p>
    <w:p>
      <w:pPr>
        <w:pStyle w:val="TextBody"/>
        <w:spacing w:before="240" w:after="0"/>
        <w:jc w:val="left"/>
        <w:rPr>
          <w:rFonts w:ascii="Times New Roman" w:hAnsi="Times New Roman"/>
          <w:sz w:val="20"/>
        </w:rPr>
      </w:pPr>
      <w:r>
        <w:rPr>
          <w:rFonts w:ascii="Times New Roman" w:hAnsi="Times New Roman"/>
          <w:sz w:val="20"/>
        </w:rPr>
        <w:t xml:space="preserve">On January 1, 2019, the Company adopted ASU 2016-02, </w:t>
      </w:r>
      <w:r>
        <w:rPr>
          <w:rFonts w:ascii="Times New Roman" w:hAnsi="Times New Roman"/>
          <w:i/>
          <w:sz w:val="20"/>
        </w:rPr>
        <w:t>Leases</w:t>
      </w:r>
      <w:r>
        <w:rPr>
          <w:rFonts w:ascii="Times New Roman" w:hAnsi="Times New Roman"/>
          <w:sz w:val="20"/>
        </w:rPr>
        <w:t xml:space="preserve">, or ASU 2016-02. This standard requires recognition of both assets and liabilities arising from finance and operating leases, along with additional qualitative and quantitative disclosures. ASU 2016-02 requires lessees to recognize a right-of-use asset representing a right to use the underlying asset over the lease term, and a corresponding lease liability on the balance sheet.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2016-13, </w:t>
      </w:r>
      <w:r>
        <w:rPr>
          <w:rFonts w:ascii="Times New Roman" w:hAnsi="Times New Roman"/>
          <w:i/>
          <w:sz w:val="20"/>
        </w:rPr>
        <w:t>Financial InstrumentsMeasurement of Credit Losses on Financial Instruments</w:t>
      </w:r>
      <w:r>
        <w:rPr>
          <w:rFonts w:ascii="Times New Roman" w:hAnsi="Times New Roman"/>
          <w:sz w:val="20"/>
        </w:rPr>
        <w:t xml:space="preserve">,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2017-04, </w:t>
      </w:r>
      <w:r>
        <w:rPr>
          <w:rFonts w:ascii="Times New Roman" w:hAnsi="Times New Roman"/>
          <w:i/>
          <w:sz w:val="20"/>
        </w:rPr>
        <w:t>Simplifying the Test for Goodwill Impairment</w:t>
      </w:r>
      <w:r>
        <w:rPr>
          <w:rFonts w:ascii="Times New Roman" w:hAnsi="Times New Roman"/>
          <w:sz w:val="20"/>
        </w:rPr>
        <w:t xml:space="preserve">,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2018-15, </w:t>
      </w:r>
      <w:r>
        <w:rPr>
          <w:rFonts w:ascii="Times New Roman" w:hAnsi="Times New Roman"/>
          <w:i/>
          <w:sz w:val="20"/>
        </w:rPr>
        <w:t>Customers Accounting for Implementation</w:t>
      </w:r>
      <w:r>
        <w:rPr>
          <w:rFonts w:ascii="Times New Roman" w:hAnsi="Times New Roman"/>
          <w:sz w:val="20"/>
        </w:rPr>
        <w:t xml:space="preserve"> </w:t>
      </w:r>
      <w:r>
        <w:rPr>
          <w:rFonts w:ascii="Times New Roman" w:hAnsi="Times New Roman"/>
          <w:i/>
          <w:sz w:val="20"/>
        </w:rPr>
        <w:t>Costs Incurred in a Cloud Computing Arrangement that is a Service Contract</w:t>
      </w:r>
      <w:r>
        <w:rPr>
          <w:rFonts w:ascii="Times New Roman" w:hAnsi="Times New Roman"/>
          <w:sz w:val="20"/>
        </w:rPr>
        <w:t xml:space="preserve">, or ASU 2018-15. This standard helps entities evaluate the accounting for fees paid by a customer in a cloud 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 </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adopted ASU 2019-12, </w:t>
      </w:r>
      <w:r>
        <w:rPr>
          <w:rFonts w:ascii="Times New Roman" w:hAnsi="Times New Roman"/>
          <w:i/>
          <w:sz w:val="20"/>
        </w:rPr>
        <w:t>Simplifying the Accounting for Income Taxes</w:t>
      </w:r>
      <w:r>
        <w:rPr>
          <w:rFonts w:ascii="Times New Roman" w:hAnsi="Times New Roman"/>
          <w:sz w:val="20"/>
        </w:rPr>
        <w:t xml:space="preserve">, or ASU 2019-12. This standard eliminates certain exceptions related to the approach for intra-period tax allocation, the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F-38</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 </w:t>
      </w:r>
    </w:p>
    <w:p>
      <w:pPr>
        <w:pStyle w:val="TextBody"/>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are currently evaluating the impact of the new guidance on our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3.</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spacing w:before="120" w:after="0"/>
        <w:jc w:val="left"/>
        <w:rPr>
          <w:rFonts w:ascii="Times New Roman" w:hAnsi="Times New Roman"/>
          <w:b/>
          <w:i/>
          <w:sz w:val="20"/>
        </w:rPr>
      </w:pPr>
      <w:r>
        <w:rPr>
          <w:rFonts w:ascii="Times New Roman" w:hAnsi="Times New Roman"/>
          <w:b/>
          <w:i/>
          <w:sz w:val="20"/>
        </w:rPr>
        <w:t xml:space="preserve">Disaggregation of Revenue </w:t>
      </w:r>
    </w:p>
    <w:p>
      <w:pPr>
        <w:pStyle w:val="TextBody"/>
        <w:spacing w:before="120" w:after="0"/>
        <w:jc w:val="left"/>
        <w:rPr>
          <w:rFonts w:ascii="Times New Roman" w:hAnsi="Times New Roman"/>
          <w:sz w:val="20"/>
        </w:rPr>
      </w:pPr>
      <w:r>
        <w:rPr>
          <w:rFonts w:ascii="Times New Roman" w:hAnsi="Times New Roman"/>
          <w:sz w:val="20"/>
        </w:rPr>
        <w:t xml:space="preserve">The Company disaggregates revenue by service type, as management believes that this level of disaggregation depicts best how the nature, amount, timing and uncertainty of revenue and cash flows are impacted by economic factors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465"/>
        <w:gridCol w:w="540"/>
        <w:gridCol w:w="341"/>
        <w:gridCol w:w="1667"/>
        <w:gridCol w:w="60"/>
        <w:gridCol w:w="540"/>
        <w:gridCol w:w="461"/>
        <w:gridCol w:w="1520"/>
        <w:gridCol w:w="161"/>
      </w:tblGrid>
      <w:tr>
        <w:trPr/>
        <w:tc>
          <w:tcPr>
            <w:tcW w:w="246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65"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20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60"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19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161" w:type="dxa"/>
            <w:tcBorders/>
            <w:shd w:fill="auto" w:val="clear"/>
            <w:vAlign w:val="bottom"/>
          </w:tcPr>
          <w:p>
            <w:pPr>
              <w:pStyle w:val="TableContents"/>
              <w:spacing w:before="0" w:after="283"/>
              <w:rPr/>
            </w:pPr>
            <w:r>
              <w:rPr/>
              <w:t> </w:t>
            </w:r>
          </w:p>
        </w:tc>
      </w:tr>
      <w:tr>
        <w:trPr/>
        <w:tc>
          <w:tcPr>
            <w:tcW w:w="2465" w:type="dxa"/>
            <w:tcBorders/>
            <w:shd w:fill="CCEEFF" w:val="clear"/>
          </w:tcPr>
          <w:p>
            <w:pPr>
              <w:pStyle w:val="TableContents"/>
              <w:spacing w:before="0" w:after="0"/>
              <w:rPr>
                <w:rFonts w:ascii="Times New Roman" w:hAnsi="Times New Roman"/>
                <w:sz w:val="20"/>
              </w:rPr>
            </w:pPr>
            <w:r>
              <w:rPr>
                <w:rFonts w:ascii="Times New Roman" w:hAnsi="Times New Roman"/>
                <w:sz w:val="20"/>
              </w:rPr>
              <w:t>Transaction revenue, net(a)</w:t>
            </w:r>
          </w:p>
        </w:tc>
        <w:tc>
          <w:tcPr>
            <w:tcW w:w="54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w:t>
            </w:r>
          </w:p>
        </w:tc>
        <w:tc>
          <w:tcPr>
            <w:tcW w:w="1667" w:type="dxa"/>
            <w:tcBorders/>
            <w:shd w:fill="CCEEFF" w:val="clear"/>
            <w:vAlign w:val="bottom"/>
          </w:tcPr>
          <w:p>
            <w:pPr>
              <w:pStyle w:val="TableContents"/>
              <w:spacing w:before="0" w:after="283"/>
              <w:jc w:val="right"/>
              <w:rPr/>
            </w:pPr>
            <w:r>
              <w:rPr/>
              <w:t>7,386</w:t>
            </w:r>
          </w:p>
        </w:tc>
        <w:tc>
          <w:tcPr>
            <w:tcW w:w="60"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w:t>
            </w:r>
          </w:p>
        </w:tc>
        <w:tc>
          <w:tcPr>
            <w:tcW w:w="1520" w:type="dxa"/>
            <w:tcBorders/>
            <w:shd w:fill="CCEEFF" w:val="clear"/>
            <w:vAlign w:val="bottom"/>
          </w:tcPr>
          <w:p>
            <w:pPr>
              <w:pStyle w:val="TableContents"/>
              <w:spacing w:before="0" w:after="283"/>
              <w:jc w:val="right"/>
              <w:rPr/>
            </w:pPr>
            <w:r>
              <w:rPr/>
              <w:t>(881</w:t>
            </w:r>
          </w:p>
        </w:tc>
        <w:tc>
          <w:tcPr>
            <w:tcW w:w="161" w:type="dxa"/>
            <w:tcBorders/>
            <w:shd w:fill="CCEEFF" w:val="clear"/>
            <w:vAlign w:val="bottom"/>
          </w:tcPr>
          <w:p>
            <w:pPr>
              <w:pStyle w:val="TableContents"/>
              <w:spacing w:before="0" w:after="283"/>
              <w:rPr/>
            </w:pPr>
            <w:r>
              <w:rPr/>
              <w:t>) </w:t>
            </w:r>
          </w:p>
        </w:tc>
      </w:tr>
      <w:tr>
        <w:trPr/>
        <w:tc>
          <w:tcPr>
            <w:tcW w:w="2465" w:type="dxa"/>
            <w:tcBorders/>
            <w:shd w:fill="auto" w:val="clear"/>
          </w:tcPr>
          <w:p>
            <w:pPr>
              <w:pStyle w:val="TableContents"/>
              <w:spacing w:before="0" w:after="0"/>
              <w:rPr>
                <w:rFonts w:ascii="Times New Roman" w:hAnsi="Times New Roman"/>
                <w:sz w:val="20"/>
              </w:rPr>
            </w:pPr>
            <w:r>
              <w:rPr>
                <w:rFonts w:ascii="Times New Roman" w:hAnsi="Times New Roman"/>
                <w:sz w:val="20"/>
              </w:rPr>
              <w:t>Subscription and service revenue</w:t>
            </w:r>
          </w:p>
        </w:tc>
        <w:tc>
          <w:tcPr>
            <w:tcW w:w="54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67" w:type="dxa"/>
            <w:tcBorders/>
            <w:shd w:fill="auto" w:val="clear"/>
            <w:vAlign w:val="bottom"/>
          </w:tcPr>
          <w:p>
            <w:pPr>
              <w:pStyle w:val="TableContents"/>
              <w:spacing w:before="0" w:after="283"/>
              <w:jc w:val="right"/>
              <w:rPr/>
            </w:pPr>
            <w:r>
              <w:rPr/>
              <w:t>21,109</w:t>
            </w:r>
          </w:p>
        </w:tc>
        <w:tc>
          <w:tcPr>
            <w:tcW w:w="60"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2465"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4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right"/>
              <w:rPr/>
            </w:pPr>
            <w:r>
              <w:rPr/>
              <w:t>17</w:t>
            </w:r>
          </w:p>
        </w:tc>
        <w:tc>
          <w:tcPr>
            <w:tcW w:w="161" w:type="dxa"/>
            <w:tcBorders/>
            <w:shd w:fill="CCEEFF" w:val="clear"/>
            <w:vAlign w:val="bottom"/>
          </w:tcPr>
          <w:p>
            <w:pPr>
              <w:pStyle w:val="TableContents"/>
              <w:spacing w:before="0" w:after="283"/>
              <w:rPr/>
            </w:pPr>
            <w:r>
              <w:rPr/>
              <w:t> </w:t>
            </w:r>
          </w:p>
        </w:tc>
      </w:tr>
      <w:tr>
        <w:trPr/>
        <w:tc>
          <w:tcPr>
            <w:tcW w:w="2465" w:type="dxa"/>
            <w:tcBorders/>
            <w:shd w:fill="auto" w:val="clear"/>
            <w:vAlign w:val="bottom"/>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pBdr>
                <w:top w:val="single" w:sz="2" w:space="1" w:color="000000"/>
              </w:pBdr>
              <w:spacing w:before="0" w:after="0"/>
              <w:rPr/>
            </w:pPr>
            <w:r>
              <w:rPr/>
              <w:t> </w:t>
            </w:r>
          </w:p>
        </w:tc>
        <w:tc>
          <w:tcPr>
            <w:tcW w:w="166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pBdr>
                <w:top w:val="single" w:sz="2" w:space="1" w:color="000000"/>
              </w:pBdr>
              <w:spacing w:before="0" w:after="0"/>
              <w:rPr/>
            </w:pPr>
            <w:r>
              <w:rPr/>
              <w:t> </w:t>
            </w:r>
          </w:p>
        </w:tc>
        <w:tc>
          <w:tcPr>
            <w:tcW w:w="152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65" w:type="dxa"/>
            <w:tcBorders/>
            <w:shd w:fill="auto" w:val="clear"/>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w:t>
            </w:r>
          </w:p>
        </w:tc>
        <w:tc>
          <w:tcPr>
            <w:tcW w:w="1667" w:type="dxa"/>
            <w:tcBorders/>
            <w:shd w:fill="auto" w:val="clear"/>
            <w:vAlign w:val="bottom"/>
          </w:tcPr>
          <w:p>
            <w:pPr>
              <w:pStyle w:val="TableContents"/>
              <w:spacing w:before="0" w:after="283"/>
              <w:jc w:val="right"/>
              <w:rPr/>
            </w:pPr>
            <w:r>
              <w:rPr/>
              <w:t>28,495</w:t>
            </w:r>
          </w:p>
        </w:tc>
        <w:tc>
          <w:tcPr>
            <w:tcW w:w="60"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w:t>
            </w:r>
          </w:p>
        </w:tc>
        <w:tc>
          <w:tcPr>
            <w:tcW w:w="1520" w:type="dxa"/>
            <w:tcBorders/>
            <w:shd w:fill="auto" w:val="clear"/>
            <w:vAlign w:val="bottom"/>
          </w:tcPr>
          <w:p>
            <w:pPr>
              <w:pStyle w:val="TableContents"/>
              <w:spacing w:before="0" w:after="283"/>
              <w:jc w:val="right"/>
              <w:rPr/>
            </w:pPr>
            <w:r>
              <w:rPr/>
              <w:t>(864</w:t>
            </w:r>
          </w:p>
        </w:tc>
        <w:tc>
          <w:tcPr>
            <w:tcW w:w="161" w:type="dxa"/>
            <w:tcBorders/>
            <w:shd w:fill="auto" w:val="clear"/>
            <w:vAlign w:val="bottom"/>
          </w:tcPr>
          <w:p>
            <w:pPr>
              <w:pStyle w:val="TableContents"/>
              <w:spacing w:before="0" w:after="283"/>
              <w:rPr/>
            </w:pPr>
            <w:r>
              <w:rPr/>
              <w:t>) </w:t>
            </w:r>
          </w:p>
        </w:tc>
      </w:tr>
      <w:tr>
        <w:trPr/>
        <w:tc>
          <w:tcPr>
            <w:tcW w:w="2465" w:type="dxa"/>
            <w:tcBorders/>
            <w:shd w:fill="auto" w:val="clear"/>
            <w:vAlign w:val="bottom"/>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pBdr>
                <w:top w:val="double" w:sz="6" w:space="1" w:color="000000"/>
              </w:pBdr>
              <w:spacing w:before="0" w:after="0"/>
              <w:rPr/>
            </w:pPr>
            <w:r>
              <w:rPr/>
              <w:t> </w:t>
            </w:r>
          </w:p>
        </w:tc>
        <w:tc>
          <w:tcPr>
            <w:tcW w:w="166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pBdr>
                <w:top w:val="double" w:sz="6" w:space="1" w:color="000000"/>
              </w:pBdr>
              <w:spacing w:before="0" w:after="0"/>
              <w:rPr/>
            </w:pPr>
            <w:r>
              <w:rPr/>
              <w:t> </w:t>
            </w:r>
          </w:p>
        </w:tc>
        <w:tc>
          <w:tcPr>
            <w:tcW w:w="1520"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of rebates, liquidity payments, exchange and clearing expenses and Class B warrant asset amortization of $4,477,000 and $881,000 for the years ended December 31, 2020 and 2019, respectively. </w:t>
            </w:r>
          </w:p>
        </w:tc>
      </w:tr>
    </w:tbl>
    <w:p>
      <w:pPr>
        <w:pStyle w:val="TextBody"/>
        <w:spacing w:before="240" w:after="0"/>
        <w:jc w:val="left"/>
        <w:rPr>
          <w:rFonts w:ascii="Times New Roman" w:hAnsi="Times New Roman"/>
          <w:sz w:val="20"/>
        </w:rPr>
      </w:pPr>
      <w:r>
        <w:rPr>
          <w:rFonts w:ascii="Times New Roman" w:hAnsi="Times New Roman"/>
          <w:sz w:val="20"/>
        </w:rPr>
        <w:t xml:space="preserve">The Company has one reportable segment to which its revenues relate (see Note 2). </w:t>
      </w:r>
    </w:p>
    <w:p>
      <w:pPr>
        <w:pStyle w:val="TextBody"/>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spacing w:before="120" w:after="0"/>
        <w:jc w:val="left"/>
        <w:rPr>
          <w:rFonts w:ascii="Times New Roman" w:hAnsi="Times New Roman"/>
          <w:sz w:val="20"/>
        </w:rPr>
      </w:pPr>
      <w:r>
        <w:rPr>
          <w:rFonts w:ascii="Times New Roman" w:hAnsi="Times New Roman"/>
          <w:sz w:val="20"/>
        </w:rPr>
        <w:t xml:space="preserve">As of December 31, 2020, the aggregate amount of the transaction price allocated to the remaining performance obligations related to partially completed contracts is $15.5 million, $7.1 million of which relates to subscription fees and $8.4 million of which relates to service fees that are deferred. The Company will recognize its subscription fees as revenue over a weighted-average period of 18.5 months (ranges from 4 months  42 months) and its service fees as revenue over approximately 3 years. </w:t>
      </w:r>
    </w:p>
    <w:p>
      <w:pPr>
        <w:pStyle w:val="TextBody"/>
        <w:spacing w:before="360" w:after="0"/>
        <w:jc w:val="left"/>
        <w:rPr>
          <w:rFonts w:ascii="Times New Roman" w:hAnsi="Times New Roman"/>
          <w:b/>
          <w:i/>
          <w:sz w:val="20"/>
        </w:rPr>
      </w:pPr>
      <w:r>
        <w:rPr>
          <w:rFonts w:ascii="Times New Roman" w:hAnsi="Times New Roman"/>
          <w:b/>
          <w:i/>
          <w:sz w:val="20"/>
        </w:rPr>
        <w:t xml:space="preserve">Contract Costs </w:t>
      </w:r>
    </w:p>
    <w:p>
      <w:pPr>
        <w:pStyle w:val="TextBody"/>
        <w:spacing w:before="120" w:after="0"/>
        <w:jc w:val="left"/>
        <w:rPr>
          <w:rFonts w:ascii="Times New Roman" w:hAnsi="Times New Roman"/>
          <w:sz w:val="20"/>
        </w:rPr>
      </w:pPr>
      <w:r>
        <w:rPr>
          <w:rFonts w:ascii="Times New Roman" w:hAnsi="Times New Roman"/>
          <w:sz w:val="20"/>
        </w:rPr>
        <w:t xml:space="preserve">The Company did not incur any costs to obtain or costs to fulfill a contract during the years ended December 31, 2020 and 2019.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F-39</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4.</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Acquisitions </w:t>
            </w:r>
          </w:p>
        </w:tc>
      </w:tr>
    </w:tbl>
    <w:p>
      <w:pPr>
        <w:pStyle w:val="TextBody"/>
        <w:spacing w:before="120" w:after="0"/>
        <w:jc w:val="left"/>
        <w:rPr>
          <w:rFonts w:ascii="Times New Roman" w:hAnsi="Times New Roman"/>
          <w:b/>
          <w:i/>
          <w:sz w:val="20"/>
        </w:rPr>
      </w:pPr>
      <w:r>
        <w:rPr>
          <w:rFonts w:ascii="Times New Roman" w:hAnsi="Times New Roman"/>
          <w:b/>
          <w:i/>
          <w:sz w:val="20"/>
        </w:rPr>
        <w:t xml:space="preserve">Bakkt Clearing, LLC </w:t>
      </w:r>
    </w:p>
    <w:p>
      <w:pPr>
        <w:pStyle w:val="TextBody"/>
        <w:spacing w:before="120" w:after="0"/>
        <w:jc w:val="left"/>
        <w:rPr>
          <w:rFonts w:ascii="Times New Roman" w:hAnsi="Times New Roman"/>
          <w:sz w:val="20"/>
        </w:rPr>
      </w:pPr>
      <w:r>
        <w:rPr>
          <w:rFonts w:ascii="Times New Roman" w:hAnsi="Times New Roman"/>
          <w:sz w:val="20"/>
        </w:rPr>
        <w:t xml:space="preserve">On February 8, 2019, the Company acquired 100% of the issued and outstanding membership interests in Bakkt Clearing for $20,735,000 in cash consideration. This acquisition complements the Companys business as Bakkt Clearing is registered as a futures commission merchant (FCM) with the Commodity Futures Trading Commission (CFTC) and a member of the National Futures Association (NFA). The acquisition qualifies as a business combination in accordance with ASC 805. This acquisition is included in the Companys one reportable segment.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preliminary fair values of the assets acquired as of the acquisition date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262"/>
        <w:gridCol w:w="739"/>
        <w:gridCol w:w="304"/>
        <w:gridCol w:w="1571"/>
        <w:gridCol w:w="63"/>
      </w:tblGrid>
      <w:tr>
        <w:trPr/>
        <w:tc>
          <w:tcPr>
            <w:tcW w:w="426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262"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rPr/>
            </w:pPr>
            <w:r>
              <w:rPr/>
              <w:t>  </w:t>
            </w:r>
          </w:p>
        </w:tc>
        <w:tc>
          <w:tcPr>
            <w:tcW w:w="1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February 8, 2019</w:t>
            </w:r>
          </w:p>
        </w:tc>
        <w:tc>
          <w:tcPr>
            <w:tcW w:w="63" w:type="dxa"/>
            <w:tcBorders/>
            <w:shd w:fill="auto" w:val="clear"/>
            <w:vAlign w:val="bottom"/>
          </w:tcPr>
          <w:p>
            <w:pPr>
              <w:pStyle w:val="TableContents"/>
              <w:spacing w:before="0" w:after="283"/>
              <w:rPr/>
            </w:pPr>
            <w:r>
              <w:rPr/>
              <w:t> </w:t>
            </w:r>
          </w:p>
        </w:tc>
      </w:tr>
      <w:tr>
        <w:trPr/>
        <w:tc>
          <w:tcPr>
            <w:tcW w:w="4262"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73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571" w:type="dxa"/>
            <w:tcBorders/>
            <w:shd w:fill="CCEEFF" w:val="clear"/>
            <w:vAlign w:val="bottom"/>
          </w:tcPr>
          <w:p>
            <w:pPr>
              <w:pStyle w:val="TableContents"/>
              <w:spacing w:before="0" w:after="283"/>
              <w:jc w:val="right"/>
              <w:rPr/>
            </w:pPr>
            <w:r>
              <w:rPr/>
              <w:t>2,076</w:t>
            </w:r>
          </w:p>
        </w:tc>
        <w:tc>
          <w:tcPr>
            <w:tcW w:w="63" w:type="dxa"/>
            <w:tcBorders/>
            <w:shd w:fill="CCEEFF" w:val="clear"/>
            <w:vAlign w:val="bottom"/>
          </w:tcPr>
          <w:p>
            <w:pPr>
              <w:pStyle w:val="TableContents"/>
              <w:spacing w:before="0" w:after="283"/>
              <w:rPr/>
            </w:pPr>
            <w:r>
              <w:rPr/>
              <w:t> </w:t>
            </w:r>
          </w:p>
        </w:tc>
      </w:tr>
      <w:tr>
        <w:trPr/>
        <w:tc>
          <w:tcPr>
            <w:tcW w:w="4262"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w:t>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571" w:type="dxa"/>
            <w:tcBorders/>
            <w:shd w:fill="auto" w:val="clear"/>
            <w:vAlign w:val="bottom"/>
          </w:tcPr>
          <w:p>
            <w:pPr>
              <w:pStyle w:val="TableContents"/>
              <w:spacing w:before="0" w:after="283"/>
              <w:jc w:val="right"/>
              <w:rPr/>
            </w:pPr>
            <w:r>
              <w:rPr/>
              <w:t>366</w:t>
            </w:r>
          </w:p>
        </w:tc>
        <w:tc>
          <w:tcPr>
            <w:tcW w:w="63" w:type="dxa"/>
            <w:tcBorders/>
            <w:shd w:fill="auto" w:val="clear"/>
            <w:vAlign w:val="bottom"/>
          </w:tcPr>
          <w:p>
            <w:pPr>
              <w:pStyle w:val="TableContents"/>
              <w:spacing w:before="0" w:after="283"/>
              <w:rPr/>
            </w:pPr>
            <w:r>
              <w:rPr/>
              <w:t> </w:t>
            </w:r>
          </w:p>
        </w:tc>
      </w:tr>
      <w:tr>
        <w:trPr/>
        <w:tc>
          <w:tcPr>
            <w:tcW w:w="4262" w:type="dxa"/>
            <w:tcBorders/>
            <w:shd w:fill="CCEEFF" w:val="clear"/>
          </w:tcPr>
          <w:p>
            <w:pPr>
              <w:pStyle w:val="TableContents"/>
              <w:spacing w:before="0" w:after="0"/>
              <w:rPr>
                <w:rFonts w:ascii="Times New Roman" w:hAnsi="Times New Roman"/>
                <w:sz w:val="20"/>
              </w:rPr>
            </w:pPr>
            <w:r>
              <w:rPr>
                <w:rFonts w:ascii="Times New Roman" w:hAnsi="Times New Roman"/>
                <w:sz w:val="20"/>
              </w:rPr>
              <w:t>Regulatory licenses</w:t>
            </w:r>
          </w:p>
        </w:tc>
        <w:tc>
          <w:tcPr>
            <w:tcW w:w="73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571" w:type="dxa"/>
            <w:tcBorders/>
            <w:shd w:fill="CCEEFF" w:val="clear"/>
            <w:vAlign w:val="bottom"/>
          </w:tcPr>
          <w:p>
            <w:pPr>
              <w:pStyle w:val="TableContents"/>
              <w:spacing w:before="0" w:after="283"/>
              <w:jc w:val="right"/>
              <w:rPr/>
            </w:pPr>
            <w:r>
              <w:rPr/>
              <w:t>554</w:t>
            </w:r>
          </w:p>
        </w:tc>
        <w:tc>
          <w:tcPr>
            <w:tcW w:w="63" w:type="dxa"/>
            <w:tcBorders/>
            <w:shd w:fill="CCEEFF" w:val="clear"/>
            <w:vAlign w:val="bottom"/>
          </w:tcPr>
          <w:p>
            <w:pPr>
              <w:pStyle w:val="TableContents"/>
              <w:spacing w:before="0" w:after="283"/>
              <w:rPr/>
            </w:pPr>
            <w:r>
              <w:rPr/>
              <w:t> </w:t>
            </w:r>
          </w:p>
        </w:tc>
      </w:tr>
      <w:tr>
        <w:trPr/>
        <w:tc>
          <w:tcPr>
            <w:tcW w:w="4262" w:type="dxa"/>
            <w:tcBorders/>
            <w:shd w:fill="auto" w:val="clear"/>
          </w:tcPr>
          <w:p>
            <w:pPr>
              <w:pStyle w:val="TableContents"/>
              <w:spacing w:before="0" w:after="0"/>
              <w:rPr>
                <w:rFonts w:ascii="Times New Roman" w:hAnsi="Times New Roman"/>
                <w:sz w:val="20"/>
              </w:rPr>
            </w:pPr>
            <w:r>
              <w:rPr>
                <w:rFonts w:ascii="Times New Roman" w:hAnsi="Times New Roman"/>
                <w:sz w:val="20"/>
              </w:rPr>
              <w:t>Clearinghouse deposits</w:t>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571" w:type="dxa"/>
            <w:tcBorders/>
            <w:shd w:fill="auto" w:val="clear"/>
            <w:vAlign w:val="bottom"/>
          </w:tcPr>
          <w:p>
            <w:pPr>
              <w:pStyle w:val="TableContents"/>
              <w:spacing w:before="0" w:after="283"/>
              <w:jc w:val="right"/>
              <w:rPr/>
            </w:pPr>
            <w:r>
              <w:rPr/>
              <w:t>4,766</w:t>
            </w:r>
          </w:p>
        </w:tc>
        <w:tc>
          <w:tcPr>
            <w:tcW w:w="63" w:type="dxa"/>
            <w:tcBorders/>
            <w:shd w:fill="auto" w:val="clear"/>
            <w:vAlign w:val="bottom"/>
          </w:tcPr>
          <w:p>
            <w:pPr>
              <w:pStyle w:val="TableContents"/>
              <w:spacing w:before="0" w:after="283"/>
              <w:rPr/>
            </w:pPr>
            <w:r>
              <w:rPr/>
              <w:t> </w:t>
            </w:r>
          </w:p>
        </w:tc>
      </w:tr>
      <w:tr>
        <w:trPr/>
        <w:tc>
          <w:tcPr>
            <w:tcW w:w="4262" w:type="dxa"/>
            <w:tcBorders/>
            <w:shd w:fill="CCEEFF" w:val="clear"/>
          </w:tcPr>
          <w:p>
            <w:pPr>
              <w:pStyle w:val="TableContents"/>
              <w:spacing w:before="0" w:after="0"/>
              <w:rPr>
                <w:rFonts w:ascii="Times New Roman" w:hAnsi="Times New Roman"/>
                <w:sz w:val="20"/>
              </w:rPr>
            </w:pPr>
            <w:r>
              <w:rPr>
                <w:rFonts w:ascii="Times New Roman" w:hAnsi="Times New Roman"/>
                <w:sz w:val="20"/>
              </w:rPr>
              <w:t>Receivable from Depository Trust and Clearing Corporation</w:t>
            </w:r>
          </w:p>
        </w:tc>
        <w:tc>
          <w:tcPr>
            <w:tcW w:w="73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571" w:type="dxa"/>
            <w:tcBorders/>
            <w:shd w:fill="CCEEFF" w:val="clear"/>
            <w:vAlign w:val="bottom"/>
          </w:tcPr>
          <w:p>
            <w:pPr>
              <w:pStyle w:val="TableContents"/>
              <w:spacing w:before="0" w:after="283"/>
              <w:jc w:val="right"/>
              <w:rPr/>
            </w:pPr>
            <w:r>
              <w:rPr/>
              <w:t>2,684</w:t>
            </w:r>
          </w:p>
        </w:tc>
        <w:tc>
          <w:tcPr>
            <w:tcW w:w="63" w:type="dxa"/>
            <w:tcBorders/>
            <w:shd w:fill="CCEEFF" w:val="clear"/>
            <w:vAlign w:val="bottom"/>
          </w:tcPr>
          <w:p>
            <w:pPr>
              <w:pStyle w:val="TableContents"/>
              <w:spacing w:before="0" w:after="283"/>
              <w:rPr/>
            </w:pPr>
            <w:r>
              <w:rPr/>
              <w:t> </w:t>
            </w:r>
          </w:p>
        </w:tc>
      </w:tr>
      <w:tr>
        <w:trPr/>
        <w:tc>
          <w:tcPr>
            <w:tcW w:w="4262"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571" w:type="dxa"/>
            <w:tcBorders/>
            <w:shd w:fill="auto" w:val="clear"/>
            <w:vAlign w:val="bottom"/>
          </w:tcPr>
          <w:p>
            <w:pPr>
              <w:pStyle w:val="TableContents"/>
              <w:spacing w:before="0" w:after="283"/>
              <w:jc w:val="right"/>
              <w:rPr/>
            </w:pPr>
            <w:r>
              <w:rPr/>
              <w:t>1,089</w:t>
            </w:r>
          </w:p>
        </w:tc>
        <w:tc>
          <w:tcPr>
            <w:tcW w:w="63" w:type="dxa"/>
            <w:tcBorders/>
            <w:shd w:fill="auto" w:val="clear"/>
            <w:vAlign w:val="bottom"/>
          </w:tcPr>
          <w:p>
            <w:pPr>
              <w:pStyle w:val="TableContents"/>
              <w:spacing w:before="0" w:after="283"/>
              <w:rPr/>
            </w:pPr>
            <w:r>
              <w:rPr/>
              <w:t> </w:t>
            </w:r>
          </w:p>
        </w:tc>
      </w:tr>
      <w:tr>
        <w:trPr/>
        <w:tc>
          <w:tcPr>
            <w:tcW w:w="4262" w:type="dxa"/>
            <w:tcBorders/>
            <w:shd w:fill="CCEEFF" w:val="clear"/>
          </w:tcPr>
          <w:p>
            <w:pPr>
              <w:pStyle w:val="TableContents"/>
              <w:spacing w:before="0" w:after="0"/>
              <w:rPr>
                <w:rFonts w:ascii="Times New Roman" w:hAnsi="Times New Roman"/>
                <w:sz w:val="20"/>
              </w:rPr>
            </w:pPr>
            <w:r>
              <w:rPr>
                <w:rFonts w:ascii="Times New Roman" w:hAnsi="Times New Roman"/>
                <w:sz w:val="20"/>
              </w:rPr>
              <w:t>Goodwill</w:t>
            </w:r>
          </w:p>
        </w:tc>
        <w:tc>
          <w:tcPr>
            <w:tcW w:w="73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571" w:type="dxa"/>
            <w:tcBorders/>
            <w:shd w:fill="CCEEFF" w:val="clear"/>
            <w:vAlign w:val="bottom"/>
          </w:tcPr>
          <w:p>
            <w:pPr>
              <w:pStyle w:val="TableContents"/>
              <w:spacing w:before="0" w:after="283"/>
              <w:jc w:val="right"/>
              <w:rPr/>
            </w:pPr>
            <w:r>
              <w:rPr/>
              <w:t>9,200</w:t>
            </w:r>
          </w:p>
        </w:tc>
        <w:tc>
          <w:tcPr>
            <w:tcW w:w="63" w:type="dxa"/>
            <w:tcBorders/>
            <w:shd w:fill="CCEEFF" w:val="clear"/>
            <w:vAlign w:val="bottom"/>
          </w:tcPr>
          <w:p>
            <w:pPr>
              <w:pStyle w:val="TableContents"/>
              <w:spacing w:before="0" w:after="283"/>
              <w:rPr/>
            </w:pPr>
            <w:r>
              <w:rPr/>
              <w:t> </w:t>
            </w:r>
          </w:p>
        </w:tc>
      </w:tr>
      <w:tr>
        <w:trPr/>
        <w:tc>
          <w:tcPr>
            <w:tcW w:w="4262"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571"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262"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 acquired</w:t>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571" w:type="dxa"/>
            <w:tcBorders/>
            <w:shd w:fill="auto" w:val="clear"/>
            <w:vAlign w:val="bottom"/>
          </w:tcPr>
          <w:p>
            <w:pPr>
              <w:pStyle w:val="TableContents"/>
              <w:spacing w:before="0" w:after="283"/>
              <w:jc w:val="right"/>
              <w:rPr/>
            </w:pPr>
            <w:r>
              <w:rPr/>
              <w:t>20,735</w:t>
            </w:r>
          </w:p>
        </w:tc>
        <w:tc>
          <w:tcPr>
            <w:tcW w:w="63" w:type="dxa"/>
            <w:tcBorders/>
            <w:shd w:fill="auto" w:val="clear"/>
            <w:vAlign w:val="bottom"/>
          </w:tcPr>
          <w:p>
            <w:pPr>
              <w:pStyle w:val="TableContents"/>
              <w:spacing w:before="0" w:after="283"/>
              <w:rPr/>
            </w:pPr>
            <w:r>
              <w:rPr/>
              <w:t> </w:t>
            </w:r>
          </w:p>
        </w:tc>
      </w:tr>
      <w:tr>
        <w:trPr/>
        <w:tc>
          <w:tcPr>
            <w:tcW w:w="4262"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571"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262" w:type="dxa"/>
            <w:tcBorders/>
            <w:shd w:fill="CCEEFF" w:val="clear"/>
          </w:tcPr>
          <w:p>
            <w:pPr>
              <w:pStyle w:val="TableContents"/>
              <w:spacing w:before="0" w:after="0"/>
              <w:rPr>
                <w:rFonts w:ascii="Times New Roman" w:hAnsi="Times New Roman"/>
                <w:sz w:val="20"/>
              </w:rPr>
            </w:pPr>
            <w:r>
              <w:rPr>
                <w:rFonts w:ascii="Times New Roman" w:hAnsi="Times New Roman"/>
                <w:sz w:val="20"/>
              </w:rPr>
              <w:t>Total purchase consideration</w:t>
            </w:r>
          </w:p>
        </w:tc>
        <w:tc>
          <w:tcPr>
            <w:tcW w:w="73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571" w:type="dxa"/>
            <w:tcBorders/>
            <w:shd w:fill="CCEEFF" w:val="clear"/>
            <w:vAlign w:val="bottom"/>
          </w:tcPr>
          <w:p>
            <w:pPr>
              <w:pStyle w:val="TableContents"/>
              <w:spacing w:before="0" w:after="283"/>
              <w:jc w:val="right"/>
              <w:rPr/>
            </w:pPr>
            <w:r>
              <w:rPr/>
              <w:t>20,735</w:t>
            </w:r>
          </w:p>
        </w:tc>
        <w:tc>
          <w:tcPr>
            <w:tcW w:w="63" w:type="dxa"/>
            <w:tcBorders/>
            <w:shd w:fill="CCEEFF" w:val="clear"/>
            <w:vAlign w:val="bottom"/>
          </w:tcPr>
          <w:p>
            <w:pPr>
              <w:pStyle w:val="TableContents"/>
              <w:spacing w:before="0" w:after="283"/>
              <w:rPr/>
            </w:pPr>
            <w:r>
              <w:rPr/>
              <w:t> </w:t>
            </w:r>
          </w:p>
        </w:tc>
      </w:tr>
      <w:tr>
        <w:trPr/>
        <w:tc>
          <w:tcPr>
            <w:tcW w:w="4262"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double" w:sz="6" w:space="1" w:color="000000"/>
              </w:pBdr>
              <w:spacing w:before="0" w:after="0"/>
              <w:rPr/>
            </w:pPr>
            <w:r>
              <w:rPr/>
              <w:t> </w:t>
            </w:r>
          </w:p>
        </w:tc>
        <w:tc>
          <w:tcPr>
            <w:tcW w:w="1571"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 did not recognize any liabilities through the transaction. The identifiable intangible assets acquired represent regulatory licenses, which have been assigned an indefinite life. The goodwill related to the acquisition represents the value paid for (1) the expertise and experience of employees required in the daily operations of an FCM, including financial expertise required for CFTC capital reporting and technical expertise related to operating a clearing system, and (2) business connections of long-tenured senior employees retained through the acquisition. </w:t>
      </w:r>
    </w:p>
    <w:p>
      <w:pPr>
        <w:pStyle w:val="TextBody"/>
        <w:spacing w:before="240" w:after="0"/>
        <w:jc w:val="left"/>
        <w:rPr>
          <w:rFonts w:ascii="Times New Roman" w:hAnsi="Times New Roman"/>
          <w:sz w:val="20"/>
        </w:rPr>
      </w:pPr>
      <w:r>
        <w:rPr>
          <w:rFonts w:ascii="Times New Roman" w:hAnsi="Times New Roman"/>
          <w:sz w:val="20"/>
        </w:rPr>
        <w:t xml:space="preserve">As part of the acquisition, the Company was required to purchase 15,810 shares of ICEs common stock on behalf of Bakkt Clearing for a price equal to the fair market value of the shares upon completion of the acquisition, as a requirement to have ICUS membership privileges is that it hold common stock in the ICE (see Note 7). </w:t>
      </w:r>
    </w:p>
    <w:p>
      <w:pPr>
        <w:pStyle w:val="TextBody"/>
        <w:spacing w:before="240" w:after="0"/>
        <w:jc w:val="left"/>
        <w:rPr>
          <w:rFonts w:ascii="Times New Roman" w:hAnsi="Times New Roman"/>
          <w:sz w:val="20"/>
        </w:rPr>
      </w:pPr>
      <w:r>
        <w:rPr>
          <w:rFonts w:ascii="Times New Roman" w:hAnsi="Times New Roman"/>
          <w:sz w:val="20"/>
        </w:rPr>
        <w:t xml:space="preserve">Prior to the acquisition, Bakkt Clearings former owners sold certain assets and liabilities, primarily consisting of customer and vendor contracts, to a third-party purchaser. Concurrent with the acquisition, Bakkt Clearing entered into a transition services agreement on behalf of its former owners to arrange for certain Bakkt Clearing employees that were retained as part of the acquisition to provide various services to the third party purchaser to help ensure an orderly transition of the customer and vendor contracts. In exchange for performing these services, the third-party purchaser reimburses Bakkt Clearing for the cost of the employees plus a fixed percentage mark-up. Amounts received as reimbursement for the cost of employees under the transition services agreement are netted against the related costs incurred to provide the services. The Company recognizes the mark-up amounts received as Other income, net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The actual results of operations of the acquisition has been included in the accompanying consolidated statements of operations and comprehensive loss from the date of acquisition. The following table summarizes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F-40</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Bakkt Clearings revenue and earnings included in the accompanying consolidated statements of operations and comprehensive loss from February 8, 2019 through December 31, 2019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791"/>
        <w:gridCol w:w="1031"/>
        <w:gridCol w:w="560"/>
        <w:gridCol w:w="1493"/>
        <w:gridCol w:w="64"/>
      </w:tblGrid>
      <w:tr>
        <w:trPr/>
        <w:tc>
          <w:tcPr>
            <w:tcW w:w="379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791"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20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February 8, 2019 </w:t>
              <w:br/>
              <w:t>December 31, 2019</w:t>
            </w:r>
          </w:p>
        </w:tc>
        <w:tc>
          <w:tcPr>
            <w:tcW w:w="64" w:type="dxa"/>
            <w:tcBorders/>
            <w:shd w:fill="auto" w:val="clear"/>
            <w:vAlign w:val="bottom"/>
          </w:tcPr>
          <w:p>
            <w:pPr>
              <w:pStyle w:val="TableContents"/>
              <w:spacing w:before="0" w:after="283"/>
              <w:rPr/>
            </w:pPr>
            <w:r>
              <w:rPr/>
              <w:t> </w:t>
            </w:r>
          </w:p>
        </w:tc>
      </w:tr>
      <w:tr>
        <w:trPr/>
        <w:tc>
          <w:tcPr>
            <w:tcW w:w="3791"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1031"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w:t>
            </w:r>
          </w:p>
        </w:tc>
        <w:tc>
          <w:tcPr>
            <w:tcW w:w="1493"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791" w:type="dxa"/>
            <w:tcBorders/>
            <w:shd w:fill="auto" w:val="clear"/>
          </w:tcPr>
          <w:p>
            <w:pPr>
              <w:pStyle w:val="TableContents"/>
              <w:spacing w:before="0" w:after="0"/>
              <w:rPr>
                <w:rFonts w:ascii="Times New Roman" w:hAnsi="Times New Roman"/>
                <w:sz w:val="20"/>
              </w:rPr>
            </w:pPr>
            <w:r>
              <w:rPr>
                <w:rFonts w:ascii="Times New Roman" w:hAnsi="Times New Roman"/>
                <w:sz w:val="20"/>
              </w:rPr>
              <w:t>Net income / (loss)</w:t>
            </w:r>
          </w:p>
        </w:tc>
        <w:tc>
          <w:tcPr>
            <w:tcW w:w="1031"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493" w:type="dxa"/>
            <w:tcBorders/>
            <w:shd w:fill="auto" w:val="clear"/>
            <w:vAlign w:val="bottom"/>
          </w:tcPr>
          <w:p>
            <w:pPr>
              <w:pStyle w:val="TableContents"/>
              <w:spacing w:before="0" w:after="283"/>
              <w:jc w:val="right"/>
              <w:rPr/>
            </w:pPr>
            <w:r>
              <w:rPr/>
              <w:t>268</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All of Bakkt Clearings revenue is related to the provision of intercompany services and therefore is eliminated upon consolidation. </w:t>
      </w:r>
    </w:p>
    <w:p>
      <w:pPr>
        <w:pStyle w:val="TextBody"/>
        <w:spacing w:before="360" w:after="0"/>
        <w:jc w:val="left"/>
        <w:rPr>
          <w:rFonts w:ascii="Times New Roman" w:hAnsi="Times New Roman"/>
          <w:b/>
          <w:i/>
          <w:sz w:val="20"/>
        </w:rPr>
      </w:pPr>
      <w:r>
        <w:rPr>
          <w:rFonts w:ascii="Times New Roman" w:hAnsi="Times New Roman"/>
          <w:b/>
          <w:i/>
          <w:sz w:val="20"/>
        </w:rPr>
        <w:t xml:space="preserve">Digital Asset Custody Company, Inc. </w:t>
      </w:r>
    </w:p>
    <w:p>
      <w:pPr>
        <w:pStyle w:val="TextBody"/>
        <w:spacing w:before="120" w:after="0"/>
        <w:jc w:val="left"/>
        <w:rPr>
          <w:rFonts w:ascii="Times New Roman" w:hAnsi="Times New Roman"/>
          <w:sz w:val="20"/>
        </w:rPr>
      </w:pPr>
      <w:r>
        <w:rPr>
          <w:rFonts w:ascii="Times New Roman" w:hAnsi="Times New Roman"/>
          <w:sz w:val="20"/>
        </w:rPr>
        <w:t xml:space="preserve">On April 26, 2019, the Company acquired 100% of the issued and outstanding shares of common and preferred stock in DACC for $9,043,000 in cash consideration. This acquisition complements the Companys business as DACC is a provider of cryptocurrency custody software and integration services designed to safeguard digital assets. The acquisition qualifies as a business combination in accordance with ASC 805. This acquisition is included in the Companys one reportable segment.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preliminary fair values of the assets acquired and liabilities assumed as of the acquisition date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71"/>
        <w:gridCol w:w="688"/>
        <w:gridCol w:w="295"/>
        <w:gridCol w:w="1227"/>
        <w:gridCol w:w="158"/>
      </w:tblGrid>
      <w:tr>
        <w:trPr/>
        <w:tc>
          <w:tcPr>
            <w:tcW w:w="457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71"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pPr>
            <w:r>
              <w:rPr/>
              <w:t>  </w:t>
            </w:r>
          </w:p>
        </w:tc>
        <w:tc>
          <w:tcPr>
            <w:tcW w:w="15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April 26, 2019</w:t>
            </w:r>
          </w:p>
        </w:tc>
        <w:tc>
          <w:tcPr>
            <w:tcW w:w="158" w:type="dxa"/>
            <w:tcBorders/>
            <w:shd w:fill="auto" w:val="clear"/>
            <w:vAlign w:val="bottom"/>
          </w:tcPr>
          <w:p>
            <w:pPr>
              <w:pStyle w:val="TableContents"/>
              <w:spacing w:before="0" w:after="283"/>
              <w:rPr/>
            </w:pPr>
            <w:r>
              <w:rPr/>
              <w:t> </w:t>
            </w:r>
          </w:p>
        </w:tc>
      </w:tr>
      <w:tr>
        <w:trPr/>
        <w:tc>
          <w:tcPr>
            <w:tcW w:w="4571" w:type="dxa"/>
            <w:tcBorders/>
            <w:shd w:fill="CCEEFF" w:val="clear"/>
          </w:tcPr>
          <w:p>
            <w:pPr>
              <w:pStyle w:val="TableContents"/>
              <w:spacing w:before="0" w:after="0"/>
              <w:rPr>
                <w:rFonts w:ascii="Times New Roman" w:hAnsi="Times New Roman"/>
                <w:sz w:val="20"/>
              </w:rPr>
            </w:pPr>
            <w:r>
              <w:rPr>
                <w:rFonts w:ascii="Times New Roman" w:hAnsi="Times New Roman"/>
                <w:sz w:val="20"/>
              </w:rPr>
              <w:t>Technology</w:t>
            </w:r>
          </w:p>
        </w:tc>
        <w:tc>
          <w:tcPr>
            <w:tcW w:w="68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w:t>
            </w:r>
          </w:p>
        </w:tc>
        <w:tc>
          <w:tcPr>
            <w:tcW w:w="1227" w:type="dxa"/>
            <w:tcBorders/>
            <w:shd w:fill="CCEEFF" w:val="clear"/>
            <w:vAlign w:val="bottom"/>
          </w:tcPr>
          <w:p>
            <w:pPr>
              <w:pStyle w:val="TableContents"/>
              <w:spacing w:before="0" w:after="283"/>
              <w:jc w:val="right"/>
              <w:rPr/>
            </w:pPr>
            <w:r>
              <w:rPr/>
              <w:t>1,700</w:t>
            </w:r>
          </w:p>
        </w:tc>
        <w:tc>
          <w:tcPr>
            <w:tcW w:w="158" w:type="dxa"/>
            <w:tcBorders/>
            <w:shd w:fill="CCEEFF" w:val="clear"/>
            <w:vAlign w:val="bottom"/>
          </w:tcPr>
          <w:p>
            <w:pPr>
              <w:pStyle w:val="TableContents"/>
              <w:spacing w:before="0" w:after="283"/>
              <w:rPr/>
            </w:pPr>
            <w:r>
              <w:rPr/>
              <w:t> </w:t>
            </w:r>
          </w:p>
        </w:tc>
      </w:tr>
      <w:tr>
        <w:trPr/>
        <w:tc>
          <w:tcPr>
            <w:tcW w:w="4571" w:type="dxa"/>
            <w:tcBorders/>
            <w:shd w:fill="auto" w:val="clear"/>
          </w:tcPr>
          <w:p>
            <w:pPr>
              <w:pStyle w:val="TableContents"/>
              <w:spacing w:before="0" w:after="0"/>
              <w:rPr>
                <w:rFonts w:ascii="Times New Roman" w:hAnsi="Times New Roman"/>
                <w:sz w:val="20"/>
              </w:rPr>
            </w:pPr>
            <w:r>
              <w:rPr>
                <w:rFonts w:ascii="Times New Roman" w:hAnsi="Times New Roman"/>
                <w:sz w:val="20"/>
              </w:rPr>
              <w:t>Goodwill</w:t>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7,654</w:t>
            </w:r>
          </w:p>
        </w:tc>
        <w:tc>
          <w:tcPr>
            <w:tcW w:w="158" w:type="dxa"/>
            <w:tcBorders/>
            <w:shd w:fill="auto" w:val="clear"/>
            <w:vAlign w:val="bottom"/>
          </w:tcPr>
          <w:p>
            <w:pPr>
              <w:pStyle w:val="TableContents"/>
              <w:spacing w:before="0" w:after="283"/>
              <w:rPr/>
            </w:pPr>
            <w:r>
              <w:rPr/>
              <w:t> </w:t>
            </w:r>
          </w:p>
        </w:tc>
      </w:tr>
      <w:tr>
        <w:trPr/>
        <w:tc>
          <w:tcPr>
            <w:tcW w:w="4571" w:type="dxa"/>
            <w:tcBorders/>
            <w:shd w:fill="auto" w:val="clear"/>
            <w:vAlign w:val="bottom"/>
          </w:tcPr>
          <w:p>
            <w:pPr>
              <w:pStyle w:val="TableContents"/>
              <w:spacing w:before="0" w:after="283"/>
              <w:rPr>
                <w:sz w:val="4"/>
                <w:szCs w:val="4"/>
              </w:rPr>
            </w:pPr>
            <w:r>
              <w:rPr>
                <w:sz w:val="4"/>
                <w:szCs w:val="4"/>
              </w:rPr>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71"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 acquired</w:t>
            </w:r>
          </w:p>
        </w:tc>
        <w:tc>
          <w:tcPr>
            <w:tcW w:w="68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9,354</w:t>
            </w:r>
          </w:p>
        </w:tc>
        <w:tc>
          <w:tcPr>
            <w:tcW w:w="158" w:type="dxa"/>
            <w:tcBorders/>
            <w:shd w:fill="CCEEFF" w:val="clear"/>
            <w:vAlign w:val="bottom"/>
          </w:tcPr>
          <w:p>
            <w:pPr>
              <w:pStyle w:val="TableContents"/>
              <w:spacing w:before="0" w:after="283"/>
              <w:rPr/>
            </w:pPr>
            <w:r>
              <w:rPr/>
              <w:t> </w:t>
            </w:r>
          </w:p>
        </w:tc>
      </w:tr>
      <w:tr>
        <w:trPr/>
        <w:tc>
          <w:tcPr>
            <w:tcW w:w="4571"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 and accrued liabilities</w:t>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(91</w:t>
            </w:r>
          </w:p>
        </w:tc>
        <w:tc>
          <w:tcPr>
            <w:tcW w:w="158" w:type="dxa"/>
            <w:tcBorders/>
            <w:shd w:fill="auto" w:val="clear"/>
            <w:vAlign w:val="bottom"/>
          </w:tcPr>
          <w:p>
            <w:pPr>
              <w:pStyle w:val="TableContents"/>
              <w:spacing w:before="0" w:after="283"/>
              <w:rPr/>
            </w:pPr>
            <w:r>
              <w:rPr/>
              <w:t>) </w:t>
            </w:r>
          </w:p>
        </w:tc>
      </w:tr>
      <w:tr>
        <w:trPr/>
        <w:tc>
          <w:tcPr>
            <w:tcW w:w="457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liabilities</w:t>
            </w:r>
          </w:p>
        </w:tc>
        <w:tc>
          <w:tcPr>
            <w:tcW w:w="68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(220</w:t>
            </w:r>
          </w:p>
        </w:tc>
        <w:tc>
          <w:tcPr>
            <w:tcW w:w="158" w:type="dxa"/>
            <w:tcBorders/>
            <w:shd w:fill="CCEEFF" w:val="clear"/>
            <w:vAlign w:val="bottom"/>
          </w:tcPr>
          <w:p>
            <w:pPr>
              <w:pStyle w:val="TableContents"/>
              <w:spacing w:before="0" w:after="283"/>
              <w:rPr/>
            </w:pPr>
            <w:r>
              <w:rPr/>
              <w:t>) </w:t>
            </w:r>
          </w:p>
        </w:tc>
      </w:tr>
      <w:tr>
        <w:trPr/>
        <w:tc>
          <w:tcPr>
            <w:tcW w:w="4571" w:type="dxa"/>
            <w:tcBorders/>
            <w:shd w:fill="auto" w:val="clear"/>
            <w:vAlign w:val="bottom"/>
          </w:tcPr>
          <w:p>
            <w:pPr>
              <w:pStyle w:val="TableContents"/>
              <w:spacing w:before="0" w:after="283"/>
              <w:rPr>
                <w:sz w:val="4"/>
                <w:szCs w:val="4"/>
              </w:rPr>
            </w:pPr>
            <w:r>
              <w:rPr>
                <w:sz w:val="4"/>
                <w:szCs w:val="4"/>
              </w:rPr>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71"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 assumed</w:t>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(311</w:t>
            </w:r>
          </w:p>
        </w:tc>
        <w:tc>
          <w:tcPr>
            <w:tcW w:w="158" w:type="dxa"/>
            <w:tcBorders/>
            <w:shd w:fill="auto" w:val="clear"/>
            <w:vAlign w:val="bottom"/>
          </w:tcPr>
          <w:p>
            <w:pPr>
              <w:pStyle w:val="TableContents"/>
              <w:spacing w:before="0" w:after="283"/>
              <w:rPr/>
            </w:pPr>
            <w:r>
              <w:rPr/>
              <w:t>) </w:t>
            </w:r>
          </w:p>
        </w:tc>
      </w:tr>
      <w:tr>
        <w:trPr/>
        <w:tc>
          <w:tcPr>
            <w:tcW w:w="4571" w:type="dxa"/>
            <w:tcBorders/>
            <w:shd w:fill="auto" w:val="clear"/>
            <w:vAlign w:val="bottom"/>
          </w:tcPr>
          <w:p>
            <w:pPr>
              <w:pStyle w:val="TableContents"/>
              <w:spacing w:before="0" w:after="283"/>
              <w:rPr>
                <w:sz w:val="4"/>
                <w:szCs w:val="4"/>
              </w:rPr>
            </w:pPr>
            <w:r>
              <w:rPr>
                <w:sz w:val="4"/>
                <w:szCs w:val="4"/>
              </w:rPr>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71" w:type="dxa"/>
            <w:tcBorders/>
            <w:shd w:fill="CCEEFF" w:val="clear"/>
          </w:tcPr>
          <w:p>
            <w:pPr>
              <w:pStyle w:val="TableContents"/>
              <w:spacing w:before="0" w:after="0"/>
              <w:rPr>
                <w:rFonts w:ascii="Times New Roman" w:hAnsi="Times New Roman"/>
                <w:sz w:val="20"/>
              </w:rPr>
            </w:pPr>
            <w:r>
              <w:rPr>
                <w:rFonts w:ascii="Times New Roman" w:hAnsi="Times New Roman"/>
                <w:sz w:val="20"/>
              </w:rPr>
              <w:t>Total purchase consideration</w:t>
            </w:r>
          </w:p>
        </w:tc>
        <w:tc>
          <w:tcPr>
            <w:tcW w:w="68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w:t>
            </w:r>
          </w:p>
        </w:tc>
        <w:tc>
          <w:tcPr>
            <w:tcW w:w="1227" w:type="dxa"/>
            <w:tcBorders/>
            <w:shd w:fill="CCEEFF" w:val="clear"/>
            <w:vAlign w:val="bottom"/>
          </w:tcPr>
          <w:p>
            <w:pPr>
              <w:pStyle w:val="TableContents"/>
              <w:spacing w:before="0" w:after="283"/>
              <w:jc w:val="right"/>
              <w:rPr/>
            </w:pPr>
            <w:r>
              <w:rPr/>
              <w:t>9,043</w:t>
            </w:r>
          </w:p>
        </w:tc>
        <w:tc>
          <w:tcPr>
            <w:tcW w:w="158" w:type="dxa"/>
            <w:tcBorders/>
            <w:shd w:fill="CCEEFF" w:val="clear"/>
            <w:vAlign w:val="bottom"/>
          </w:tcPr>
          <w:p>
            <w:pPr>
              <w:pStyle w:val="TableContents"/>
              <w:spacing w:before="0" w:after="283"/>
              <w:rPr/>
            </w:pPr>
            <w:r>
              <w:rPr/>
              <w:t> </w:t>
            </w:r>
          </w:p>
        </w:tc>
      </w:tr>
      <w:tr>
        <w:trPr/>
        <w:tc>
          <w:tcPr>
            <w:tcW w:w="4571" w:type="dxa"/>
            <w:tcBorders/>
            <w:shd w:fill="auto" w:val="clear"/>
            <w:vAlign w:val="bottom"/>
          </w:tcPr>
          <w:p>
            <w:pPr>
              <w:pStyle w:val="TableContents"/>
              <w:spacing w:before="0" w:after="283"/>
              <w:rPr>
                <w:sz w:val="4"/>
                <w:szCs w:val="4"/>
              </w:rPr>
            </w:pPr>
            <w:r>
              <w:rPr>
                <w:sz w:val="4"/>
                <w:szCs w:val="4"/>
              </w:rPr>
            </w:r>
          </w:p>
        </w:tc>
        <w:tc>
          <w:tcPr>
            <w:tcW w:w="68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pBdr>
                <w:top w:val="double" w:sz="6" w:space="1" w:color="000000"/>
              </w:pBdr>
              <w:spacing w:before="0" w:after="0"/>
              <w:rPr/>
            </w:pPr>
            <w:r>
              <w:rPr/>
              <w:t> </w:t>
            </w:r>
          </w:p>
        </w:tc>
        <w:tc>
          <w:tcPr>
            <w:tcW w:w="1227"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identifiable intangible assets acquired were $1,700,000 for acquired technology, which has been assigned a useful life of 7 years. The goodwill related to the acquisition represents the value paid for the expertise of employees in digital assets and custody, blockchain technology and related cybersecurity issues. </w:t>
      </w:r>
    </w:p>
    <w:p>
      <w:pPr>
        <w:pStyle w:val="TextBody"/>
        <w:spacing w:before="240" w:after="0"/>
        <w:jc w:val="left"/>
        <w:rPr>
          <w:rFonts w:ascii="Times New Roman" w:hAnsi="Times New Roman"/>
          <w:sz w:val="20"/>
        </w:rPr>
      </w:pPr>
      <w:r>
        <w:rPr>
          <w:rFonts w:ascii="Times New Roman" w:hAnsi="Times New Roman"/>
          <w:sz w:val="20"/>
        </w:rPr>
        <w:t xml:space="preserve">The actual results of operations of the acquisition has been included in the accompanying consolidated statements of operations and comprehensive loss from the date of acquisition. The following table summarizes DACCs revenue and earnings included in the accompanying consolidated statements of operations and comprehensive loss from April 26, 2019 through December 31, 2019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748"/>
        <w:gridCol w:w="1059"/>
        <w:gridCol w:w="460"/>
        <w:gridCol w:w="1515"/>
        <w:gridCol w:w="157"/>
      </w:tblGrid>
      <w:tr>
        <w:trPr/>
        <w:tc>
          <w:tcPr>
            <w:tcW w:w="3748"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748"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9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April 26, 2019 </w:t>
              <w:br/>
              <w:t>December 31, 2019</w:t>
            </w:r>
          </w:p>
        </w:tc>
        <w:tc>
          <w:tcPr>
            <w:tcW w:w="157" w:type="dxa"/>
            <w:tcBorders/>
            <w:shd w:fill="auto" w:val="clear"/>
            <w:vAlign w:val="bottom"/>
          </w:tcPr>
          <w:p>
            <w:pPr>
              <w:pStyle w:val="TableContents"/>
              <w:spacing w:before="0" w:after="283"/>
              <w:rPr/>
            </w:pPr>
            <w:r>
              <w:rPr/>
              <w:t> </w:t>
            </w:r>
          </w:p>
        </w:tc>
      </w:tr>
      <w:tr>
        <w:trPr/>
        <w:tc>
          <w:tcPr>
            <w:tcW w:w="3748"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1059"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w:t>
            </w:r>
          </w:p>
        </w:tc>
        <w:tc>
          <w:tcPr>
            <w:tcW w:w="1515" w:type="dxa"/>
            <w:tcBorders/>
            <w:shd w:fill="CCEEFF" w:val="clear"/>
            <w:vAlign w:val="bottom"/>
          </w:tcPr>
          <w:p>
            <w:pPr>
              <w:pStyle w:val="TableContents"/>
              <w:spacing w:before="0" w:after="283"/>
              <w:jc w:val="right"/>
              <w:rPr/>
            </w:pPr>
            <w:r>
              <w:rPr/>
              <w:t>17</w:t>
            </w:r>
          </w:p>
        </w:tc>
        <w:tc>
          <w:tcPr>
            <w:tcW w:w="157" w:type="dxa"/>
            <w:tcBorders/>
            <w:shd w:fill="CCEEFF" w:val="clear"/>
            <w:vAlign w:val="bottom"/>
          </w:tcPr>
          <w:p>
            <w:pPr>
              <w:pStyle w:val="TableContents"/>
              <w:spacing w:before="0" w:after="283"/>
              <w:rPr/>
            </w:pPr>
            <w:r>
              <w:rPr/>
              <w:t> </w:t>
            </w:r>
          </w:p>
        </w:tc>
      </w:tr>
      <w:tr>
        <w:trPr/>
        <w:tc>
          <w:tcPr>
            <w:tcW w:w="3748" w:type="dxa"/>
            <w:tcBorders/>
            <w:shd w:fill="auto" w:val="clear"/>
          </w:tcPr>
          <w:p>
            <w:pPr>
              <w:pStyle w:val="TableContents"/>
              <w:spacing w:before="0" w:after="0"/>
              <w:rPr>
                <w:rFonts w:ascii="Times New Roman" w:hAnsi="Times New Roman"/>
                <w:sz w:val="20"/>
              </w:rPr>
            </w:pPr>
            <w:r>
              <w:rPr>
                <w:rFonts w:ascii="Times New Roman" w:hAnsi="Times New Roman"/>
                <w:sz w:val="20"/>
              </w:rPr>
              <w:t>Net income / (loss)</w:t>
            </w:r>
          </w:p>
        </w:tc>
        <w:tc>
          <w:tcPr>
            <w:tcW w:w="1059"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(256</w:t>
            </w:r>
          </w:p>
        </w:tc>
        <w:tc>
          <w:tcPr>
            <w:tcW w:w="157"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Bridge2 Solutions, LLC business </w:t>
      </w:r>
    </w:p>
    <w:p>
      <w:pPr>
        <w:pStyle w:val="TextBody"/>
        <w:spacing w:before="120" w:after="0"/>
        <w:jc w:val="left"/>
        <w:rPr>
          <w:rFonts w:ascii="Times New Roman" w:hAnsi="Times New Roman"/>
          <w:sz w:val="20"/>
        </w:rPr>
      </w:pPr>
      <w:r>
        <w:rPr>
          <w:rFonts w:ascii="Times New Roman" w:hAnsi="Times New Roman"/>
          <w:sz w:val="20"/>
        </w:rPr>
        <w:t xml:space="preserve">On February 21, 2020, ICE acquired all of the issued and outstanding equity of Bridge2 Solutions LLC and its affiliated companies (collectively Bridge 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F-41</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preliminary values of the net assets acquired as of the acquisition date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109"/>
        <w:gridCol w:w="690"/>
        <w:gridCol w:w="263"/>
        <w:gridCol w:w="1720"/>
        <w:gridCol w:w="157"/>
      </w:tblGrid>
      <w:tr>
        <w:trPr/>
        <w:tc>
          <w:tcPr>
            <w:tcW w:w="410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109"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rPr/>
            </w:pPr>
            <w:r>
              <w:rPr/>
              <w:t>  </w:t>
            </w:r>
          </w:p>
        </w:tc>
        <w:tc>
          <w:tcPr>
            <w:tcW w:w="19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February 21, 2020</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w:t>
            </w:r>
          </w:p>
        </w:tc>
        <w:tc>
          <w:tcPr>
            <w:tcW w:w="1720" w:type="dxa"/>
            <w:tcBorders/>
            <w:shd w:fill="CCEEFF" w:val="clear"/>
            <w:vAlign w:val="bottom"/>
          </w:tcPr>
          <w:p>
            <w:pPr>
              <w:pStyle w:val="TableContents"/>
              <w:spacing w:before="0" w:after="283"/>
              <w:jc w:val="right"/>
              <w:rPr/>
            </w:pPr>
            <w:r>
              <w:rPr/>
              <w:t>10,652</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10,158</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1,284</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4,465</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Customer relationships</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53,620</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Technology</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11,990</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Trade name</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415</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2,864</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Goodwill</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216,575</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pBdr>
                <w:top w:val="single" w:sz="2" w:space="1" w:color="000000"/>
              </w:pBdr>
              <w:spacing w:before="0" w:after="0"/>
              <w:rPr/>
            </w:pPr>
            <w:r>
              <w:rPr/>
              <w:t> </w:t>
            </w:r>
          </w:p>
        </w:tc>
        <w:tc>
          <w:tcPr>
            <w:tcW w:w="17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 acquired</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312,023</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 and accrued liabilities</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(22,450</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(12,703</w:t>
            </w:r>
          </w:p>
        </w:tc>
        <w:tc>
          <w:tcPr>
            <w:tcW w:w="157" w:type="dxa"/>
            <w:tcBorders/>
            <w:shd w:fill="auto" w:val="clear"/>
            <w:vAlign w:val="bottom"/>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Deferred income tax liabilities</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(3,005</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(2,402</w:t>
            </w:r>
          </w:p>
        </w:tc>
        <w:tc>
          <w:tcPr>
            <w:tcW w:w="157" w:type="dxa"/>
            <w:tcBorders/>
            <w:shd w:fill="auto" w:val="clear"/>
            <w:vAlign w:val="bottom"/>
          </w:tcPr>
          <w:p>
            <w:pPr>
              <w:pStyle w:val="TableContents"/>
              <w:spacing w:before="0" w:after="283"/>
              <w:rPr/>
            </w:pPr>
            <w:r>
              <w:rPr/>
              <w:t>) </w:t>
            </w:r>
          </w:p>
        </w:tc>
      </w:tr>
      <w:tr>
        <w:trPr/>
        <w:tc>
          <w:tcPr>
            <w:tcW w:w="4109"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pBdr>
                <w:top w:val="single" w:sz="2" w:space="1" w:color="000000"/>
              </w:pBdr>
              <w:spacing w:before="0" w:after="0"/>
              <w:rPr/>
            </w:pPr>
            <w:r>
              <w:rPr/>
              <w:t> </w:t>
            </w:r>
          </w:p>
        </w:tc>
        <w:tc>
          <w:tcPr>
            <w:tcW w:w="17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4109"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assumed</w:t>
            </w:r>
          </w:p>
        </w:tc>
        <w:tc>
          <w:tcPr>
            <w:tcW w:w="690"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(40,560</w:t>
            </w:r>
          </w:p>
        </w:tc>
        <w:tc>
          <w:tcPr>
            <w:tcW w:w="157" w:type="dxa"/>
            <w:tcBorders/>
            <w:shd w:fill="CCEEFF" w:val="clear"/>
            <w:vAlign w:val="bottom"/>
          </w:tcPr>
          <w:p>
            <w:pPr>
              <w:pStyle w:val="TableContents"/>
              <w:spacing w:before="0" w:after="283"/>
              <w:rPr/>
            </w:pPr>
            <w:r>
              <w:rPr/>
              <w:t>) </w:t>
            </w:r>
          </w:p>
        </w:tc>
      </w:tr>
      <w:tr>
        <w:trPr/>
        <w:tc>
          <w:tcPr>
            <w:tcW w:w="4109"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pBdr>
                <w:top w:val="single" w:sz="2" w:space="1" w:color="000000"/>
              </w:pBdr>
              <w:spacing w:before="0" w:after="0"/>
              <w:rPr/>
            </w:pPr>
            <w:r>
              <w:rPr/>
              <w:t> </w:t>
            </w:r>
          </w:p>
        </w:tc>
        <w:tc>
          <w:tcPr>
            <w:tcW w:w="17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4109" w:type="dxa"/>
            <w:tcBorders/>
            <w:shd w:fill="auto" w:val="clear"/>
          </w:tcPr>
          <w:p>
            <w:pPr>
              <w:pStyle w:val="TableContents"/>
              <w:spacing w:before="0" w:after="0"/>
              <w:rPr>
                <w:rFonts w:ascii="Times New Roman" w:hAnsi="Times New Roman"/>
                <w:sz w:val="20"/>
              </w:rPr>
            </w:pPr>
            <w:r>
              <w:rPr>
                <w:rFonts w:ascii="Times New Roman" w:hAnsi="Times New Roman"/>
                <w:sz w:val="20"/>
              </w:rPr>
              <w:t>Total purchase consideration</w:t>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w:t>
            </w:r>
          </w:p>
        </w:tc>
        <w:tc>
          <w:tcPr>
            <w:tcW w:w="1720" w:type="dxa"/>
            <w:tcBorders/>
            <w:shd w:fill="auto" w:val="clear"/>
            <w:vAlign w:val="bottom"/>
          </w:tcPr>
          <w:p>
            <w:pPr>
              <w:pStyle w:val="TableContents"/>
              <w:spacing w:before="0" w:after="283"/>
              <w:jc w:val="right"/>
              <w:rPr/>
            </w:pPr>
            <w:r>
              <w:rPr/>
              <w:t>(271,463</w:t>
            </w:r>
          </w:p>
        </w:tc>
        <w:tc>
          <w:tcPr>
            <w:tcW w:w="157" w:type="dxa"/>
            <w:tcBorders/>
            <w:shd w:fill="auto" w:val="clear"/>
            <w:vAlign w:val="bottom"/>
          </w:tcPr>
          <w:p>
            <w:pPr>
              <w:pStyle w:val="TableContents"/>
              <w:spacing w:before="0" w:after="283"/>
              <w:rPr/>
            </w:pPr>
            <w:r>
              <w:rPr/>
              <w:t>) </w:t>
            </w:r>
          </w:p>
        </w:tc>
      </w:tr>
      <w:tr>
        <w:trPr/>
        <w:tc>
          <w:tcPr>
            <w:tcW w:w="4109"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pBdr>
                <w:top w:val="double" w:sz="6" w:space="1" w:color="000000"/>
              </w:pBdr>
              <w:spacing w:before="0" w:after="0"/>
              <w:rPr/>
            </w:pPr>
            <w:r>
              <w:rPr/>
              <w:t> </w:t>
            </w:r>
          </w:p>
        </w:tc>
        <w:tc>
          <w:tcPr>
            <w:tcW w:w="1720" w:type="dxa"/>
            <w:tcBorders/>
            <w:shd w:fill="auto" w:val="clear"/>
            <w:vAlign w:val="bottom"/>
          </w:tcPr>
          <w:p>
            <w:pPr>
              <w:pStyle w:val="TableContents"/>
              <w:pBdr>
                <w:top w:val="double" w:sz="6"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11.0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 </w:t>
      </w:r>
    </w:p>
    <w:p>
      <w:pPr>
        <w:pStyle w:val="TextBody"/>
        <w:spacing w:before="240" w:after="0"/>
        <w:jc w:val="left"/>
        <w:rPr>
          <w:rFonts w:ascii="Times New Roman" w:hAnsi="Times New Roman"/>
          <w:sz w:val="20"/>
        </w:rPr>
      </w:pPr>
      <w:r>
        <w:rPr>
          <w:rFonts w:ascii="Times New Roman" w:hAnsi="Times New Roman"/>
          <w:sz w:val="20"/>
        </w:rPr>
        <w:t xml:space="preserve">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December 31, 2020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976"/>
        <w:gridCol w:w="815"/>
        <w:gridCol w:w="299"/>
        <w:gridCol w:w="1690"/>
        <w:gridCol w:w="159"/>
      </w:tblGrid>
      <w:tr>
        <w:trPr/>
        <w:tc>
          <w:tcPr>
            <w:tcW w:w="397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9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February 22, 2020</w:t>
              <w:br/>
              <w:t> December 31,</w:t>
              <w:br/>
              <w:t>2020</w:t>
            </w:r>
          </w:p>
        </w:tc>
        <w:tc>
          <w:tcPr>
            <w:tcW w:w="159" w:type="dxa"/>
            <w:tcBorders/>
            <w:shd w:fill="auto" w:val="clear"/>
            <w:vAlign w:val="bottom"/>
          </w:tcPr>
          <w:p>
            <w:pPr>
              <w:pStyle w:val="TableContents"/>
              <w:spacing w:before="0" w:after="283"/>
              <w:rPr/>
            </w:pPr>
            <w:r>
              <w:rPr/>
              <w:t> </w:t>
            </w:r>
          </w:p>
        </w:tc>
      </w:tr>
      <w:tr>
        <w:trPr/>
        <w:tc>
          <w:tcPr>
            <w:tcW w:w="3976"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81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w:t>
            </w:r>
          </w:p>
        </w:tc>
        <w:tc>
          <w:tcPr>
            <w:tcW w:w="1690" w:type="dxa"/>
            <w:tcBorders/>
            <w:shd w:fill="CCEEFF" w:val="clear"/>
            <w:vAlign w:val="bottom"/>
          </w:tcPr>
          <w:p>
            <w:pPr>
              <w:pStyle w:val="TableContents"/>
              <w:spacing w:before="0" w:after="283"/>
              <w:jc w:val="right"/>
              <w:rPr/>
            </w:pPr>
            <w:r>
              <w:rPr/>
              <w:t>30,774</w:t>
            </w:r>
          </w:p>
        </w:tc>
        <w:tc>
          <w:tcPr>
            <w:tcW w:w="159" w:type="dxa"/>
            <w:tcBorders/>
            <w:shd w:fill="CCEEFF" w:val="clear"/>
            <w:vAlign w:val="bottom"/>
          </w:tcPr>
          <w:p>
            <w:pPr>
              <w:pStyle w:val="TableContents"/>
              <w:spacing w:before="0" w:after="283"/>
              <w:rPr/>
            </w:pPr>
            <w:r>
              <w:rPr/>
              <w:t> </w:t>
            </w:r>
          </w:p>
        </w:tc>
      </w:tr>
      <w:tr>
        <w:trPr/>
        <w:tc>
          <w:tcPr>
            <w:tcW w:w="3976" w:type="dxa"/>
            <w:tcBorders/>
            <w:shd w:fill="auto" w:val="clear"/>
          </w:tcPr>
          <w:p>
            <w:pPr>
              <w:pStyle w:val="TableContents"/>
              <w:spacing w:before="0" w:after="0"/>
              <w:rPr>
                <w:rFonts w:ascii="Times New Roman" w:hAnsi="Times New Roman"/>
                <w:sz w:val="20"/>
              </w:rPr>
            </w:pPr>
            <w:r>
              <w:rPr>
                <w:rFonts w:ascii="Times New Roman" w:hAnsi="Times New Roman"/>
                <w:sz w:val="20"/>
              </w:rPr>
              <w:t>Net income / (loss)</w:t>
            </w:r>
          </w:p>
        </w:tc>
        <w:tc>
          <w:tcPr>
            <w:tcW w:w="81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690" w:type="dxa"/>
            <w:tcBorders/>
            <w:shd w:fill="auto" w:val="clear"/>
            <w:vAlign w:val="bottom"/>
          </w:tcPr>
          <w:p>
            <w:pPr>
              <w:pStyle w:val="TableContents"/>
              <w:spacing w:before="0" w:after="283"/>
              <w:jc w:val="right"/>
              <w:rPr/>
            </w:pPr>
            <w:r>
              <w:rPr/>
              <w:t>(11,085</w:t>
            </w:r>
          </w:p>
        </w:tc>
        <w:tc>
          <w:tcPr>
            <w:tcW w:w="159"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F-42</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acquisition of Bridge2 Solutions qualifies as a significant acquisition under the amended SEC Regulation S-X Rule 3-05, which the Company has elected to apply. As such, the Company has included the historical financial statements of Bridge2 Solutions for the years ended December 31, 2018 and December 31, 2019, in its registration filing. </w:t>
      </w:r>
    </w:p>
    <w:p>
      <w:pPr>
        <w:pStyle w:val="TextBody"/>
        <w:spacing w:before="240" w:after="0"/>
        <w:jc w:val="left"/>
        <w:rPr>
          <w:rFonts w:ascii="Times New Roman" w:hAnsi="Times New Roman"/>
          <w:sz w:val="20"/>
        </w:rPr>
      </w:pPr>
      <w:r>
        <w:rPr>
          <w:rFonts w:ascii="Times New Roman" w:hAnsi="Times New Roman"/>
          <w:sz w:val="20"/>
        </w:rPr>
        <w:t xml:space="preserve">The unaudited pro forma financial information in the table below summarizes the combined results of operations for the Company, Bakkt Clearing, DACC, and Bridge2 Solutions as if the companies were combined as of January 1, 2019.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610"/>
        <w:gridCol w:w="468"/>
        <w:gridCol w:w="221"/>
        <w:gridCol w:w="1226"/>
        <w:gridCol w:w="155"/>
        <w:gridCol w:w="468"/>
        <w:gridCol w:w="221"/>
        <w:gridCol w:w="1226"/>
        <w:gridCol w:w="160"/>
      </w:tblGrid>
      <w:tr>
        <w:trPr/>
        <w:tc>
          <w:tcPr>
            <w:tcW w:w="361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10"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4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br/>
              <w:t>2020</w:t>
            </w:r>
          </w:p>
        </w:tc>
        <w:tc>
          <w:tcPr>
            <w:tcW w:w="155"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4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br/>
              <w:t>2019</w:t>
            </w:r>
          </w:p>
        </w:tc>
        <w:tc>
          <w:tcPr>
            <w:tcW w:w="160" w:type="dxa"/>
            <w:tcBorders/>
            <w:shd w:fill="auto" w:val="clear"/>
            <w:vAlign w:val="bottom"/>
          </w:tcPr>
          <w:p>
            <w:pPr>
              <w:pStyle w:val="TableContents"/>
              <w:spacing w:before="0" w:after="283"/>
              <w:rPr/>
            </w:pPr>
            <w:r>
              <w:rPr/>
              <w:t> </w:t>
            </w:r>
          </w:p>
        </w:tc>
      </w:tr>
      <w:tr>
        <w:trPr/>
        <w:tc>
          <w:tcPr>
            <w:tcW w:w="3610" w:type="dxa"/>
            <w:tcBorders/>
            <w:shd w:fill="CCEEFF" w:val="clear"/>
          </w:tcPr>
          <w:p>
            <w:pPr>
              <w:pStyle w:val="TableContents"/>
              <w:spacing w:before="0" w:after="0"/>
              <w:rPr>
                <w:rFonts w:ascii="Times New Roman" w:hAnsi="Times New Roman"/>
                <w:sz w:val="20"/>
              </w:rPr>
            </w:pPr>
            <w:r>
              <w:rPr>
                <w:rFonts w:ascii="Times New Roman" w:hAnsi="Times New Roman"/>
                <w:sz w:val="20"/>
              </w:rPr>
              <w:t>Pro forma revenue</w:t>
            </w:r>
          </w:p>
        </w:tc>
        <w:tc>
          <w:tcPr>
            <w:tcW w:w="46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26" w:type="dxa"/>
            <w:tcBorders/>
            <w:shd w:fill="CCEEFF" w:val="clear"/>
            <w:vAlign w:val="bottom"/>
          </w:tcPr>
          <w:p>
            <w:pPr>
              <w:pStyle w:val="TableContents"/>
              <w:spacing w:before="0" w:after="283"/>
              <w:jc w:val="right"/>
              <w:rPr/>
            </w:pPr>
            <w:r>
              <w:rPr/>
              <w:t>34,154</w:t>
            </w:r>
          </w:p>
        </w:tc>
        <w:tc>
          <w:tcPr>
            <w:tcW w:w="155"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26" w:type="dxa"/>
            <w:tcBorders/>
            <w:shd w:fill="CCEEFF" w:val="clear"/>
            <w:vAlign w:val="bottom"/>
          </w:tcPr>
          <w:p>
            <w:pPr>
              <w:pStyle w:val="TableContents"/>
              <w:spacing w:before="0" w:after="283"/>
              <w:jc w:val="right"/>
              <w:rPr/>
            </w:pPr>
            <w:r>
              <w:rPr/>
              <w:t>43,511</w:t>
            </w:r>
          </w:p>
        </w:tc>
        <w:tc>
          <w:tcPr>
            <w:tcW w:w="160" w:type="dxa"/>
            <w:tcBorders/>
            <w:shd w:fill="CCEEFF" w:val="clear"/>
            <w:vAlign w:val="bottom"/>
          </w:tcPr>
          <w:p>
            <w:pPr>
              <w:pStyle w:val="TableContents"/>
              <w:spacing w:before="0" w:after="283"/>
              <w:rPr/>
            </w:pPr>
            <w:r>
              <w:rPr/>
              <w:t> </w:t>
            </w:r>
          </w:p>
        </w:tc>
      </w:tr>
      <w:tr>
        <w:trPr/>
        <w:tc>
          <w:tcPr>
            <w:tcW w:w="3610" w:type="dxa"/>
            <w:tcBorders/>
            <w:shd w:fill="auto" w:val="clear"/>
          </w:tcPr>
          <w:p>
            <w:pPr>
              <w:pStyle w:val="TableContents"/>
              <w:spacing w:before="0" w:after="0"/>
              <w:rPr>
                <w:rFonts w:ascii="Times New Roman" w:hAnsi="Times New Roman"/>
                <w:sz w:val="20"/>
              </w:rPr>
            </w:pPr>
            <w:r>
              <w:rPr>
                <w:rFonts w:ascii="Times New Roman" w:hAnsi="Times New Roman"/>
                <w:sz w:val="20"/>
              </w:rPr>
              <w:t>Pro forma net loss</w:t>
            </w:r>
          </w:p>
        </w:tc>
        <w:tc>
          <w:tcPr>
            <w:tcW w:w="46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226" w:type="dxa"/>
            <w:tcBorders/>
            <w:shd w:fill="auto" w:val="clear"/>
            <w:vAlign w:val="bottom"/>
          </w:tcPr>
          <w:p>
            <w:pPr>
              <w:pStyle w:val="TableContents"/>
              <w:spacing w:before="0" w:after="283"/>
              <w:jc w:val="right"/>
              <w:rPr/>
            </w:pPr>
            <w:r>
              <w:rPr/>
              <w:t>(80,071</w:t>
            </w:r>
          </w:p>
        </w:tc>
        <w:tc>
          <w:tcPr>
            <w:tcW w:w="155"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226" w:type="dxa"/>
            <w:tcBorders/>
            <w:shd w:fill="auto" w:val="clear"/>
            <w:vAlign w:val="bottom"/>
          </w:tcPr>
          <w:p>
            <w:pPr>
              <w:pStyle w:val="TableContents"/>
              <w:spacing w:before="0" w:after="283"/>
              <w:jc w:val="right"/>
              <w:rPr/>
            </w:pPr>
            <w:r>
              <w:rPr/>
              <w:t>(31,843</w:t>
            </w:r>
          </w:p>
        </w:tc>
        <w:tc>
          <w:tcPr>
            <w:tcW w:w="16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5.</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Goodwill and Intangible Assets, Net </w:t>
            </w:r>
          </w:p>
        </w:tc>
      </w:tr>
    </w:tbl>
    <w:p>
      <w:pPr>
        <w:pStyle w:val="TextBody"/>
        <w:spacing w:before="120" w:after="0"/>
        <w:jc w:val="left"/>
        <w:rPr>
          <w:rFonts w:ascii="Times New Roman" w:hAnsi="Times New Roman"/>
          <w:sz w:val="20"/>
        </w:rPr>
      </w:pPr>
      <w:r>
        <w:rPr>
          <w:rFonts w:ascii="Times New Roman" w:hAnsi="Times New Roman"/>
          <w:sz w:val="20"/>
        </w:rPr>
        <w:t xml:space="preserve">Changes in goodwill consisted of the following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42"/>
        <w:gridCol w:w="465"/>
        <w:gridCol w:w="140"/>
        <w:gridCol w:w="929"/>
        <w:gridCol w:w="63"/>
      </w:tblGrid>
      <w:tr>
        <w:trPr/>
        <w:tc>
          <w:tcPr>
            <w:tcW w:w="534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342"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3"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2019</w:t>
            </w:r>
          </w:p>
        </w:tc>
        <w:tc>
          <w:tcPr>
            <w:tcW w:w="4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29"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5342" w:type="dxa"/>
            <w:tcBorders/>
            <w:shd w:fill="auto" w:val="clear"/>
          </w:tcPr>
          <w:p>
            <w:pPr>
              <w:pStyle w:val="TableContents"/>
              <w:spacing w:before="0" w:after="0"/>
              <w:rPr>
                <w:rFonts w:ascii="Times New Roman" w:hAnsi="Times New Roman"/>
                <w:sz w:val="20"/>
              </w:rPr>
            </w:pPr>
            <w:r>
              <w:rPr>
                <w:rFonts w:ascii="Times New Roman" w:hAnsi="Times New Roman"/>
                <w:sz w:val="20"/>
              </w:rPr>
              <w:t>Addition: acquisition of Bakkt Clearing</w:t>
            </w:r>
          </w:p>
        </w:tc>
        <w:tc>
          <w:tcPr>
            <w:tcW w:w="4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pPr>
            <w:r>
              <w:rPr/>
              <w:t>9,200</w:t>
            </w:r>
          </w:p>
        </w:tc>
        <w:tc>
          <w:tcPr>
            <w:tcW w:w="63"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0"/>
              <w:rPr>
                <w:rFonts w:ascii="Times New Roman" w:hAnsi="Times New Roman"/>
                <w:sz w:val="20"/>
              </w:rPr>
            </w:pPr>
            <w:r>
              <w:rPr>
                <w:rFonts w:ascii="Times New Roman" w:hAnsi="Times New Roman"/>
                <w:sz w:val="20"/>
              </w:rPr>
              <w:t>Addition: acquisition of DACC</w:t>
            </w:r>
          </w:p>
        </w:tc>
        <w:tc>
          <w:tcPr>
            <w:tcW w:w="4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7,654</w:t>
            </w:r>
          </w:p>
        </w:tc>
        <w:tc>
          <w:tcPr>
            <w:tcW w:w="63" w:type="dxa"/>
            <w:tcBorders/>
            <w:shd w:fill="CCEEFF" w:val="clear"/>
            <w:vAlign w:val="bottom"/>
          </w:tcPr>
          <w:p>
            <w:pPr>
              <w:pStyle w:val="TableContents"/>
              <w:spacing w:before="0" w:after="283"/>
              <w:rPr/>
            </w:pPr>
            <w:r>
              <w:rPr/>
              <w:t> </w:t>
            </w:r>
          </w:p>
        </w:tc>
      </w:tr>
      <w:tr>
        <w:trPr/>
        <w:tc>
          <w:tcPr>
            <w:tcW w:w="5342"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342"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December 31, 2019</w:t>
            </w:r>
          </w:p>
        </w:tc>
        <w:tc>
          <w:tcPr>
            <w:tcW w:w="4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29" w:type="dxa"/>
            <w:tcBorders/>
            <w:shd w:fill="auto" w:val="clear"/>
            <w:vAlign w:val="bottom"/>
          </w:tcPr>
          <w:p>
            <w:pPr>
              <w:pStyle w:val="TableContents"/>
              <w:spacing w:before="0" w:after="283"/>
              <w:jc w:val="right"/>
              <w:rPr/>
            </w:pPr>
            <w:r>
              <w:rPr/>
              <w:t>16,854</w:t>
            </w:r>
          </w:p>
        </w:tc>
        <w:tc>
          <w:tcPr>
            <w:tcW w:w="63"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0"/>
              <w:rPr>
                <w:rFonts w:ascii="Times New Roman" w:hAnsi="Times New Roman"/>
                <w:sz w:val="20"/>
              </w:rPr>
            </w:pPr>
            <w:r>
              <w:rPr>
                <w:rFonts w:ascii="Times New Roman" w:hAnsi="Times New Roman"/>
                <w:sz w:val="20"/>
              </w:rPr>
              <w:t>Addition: acquisition of Bridge2 Solutions</w:t>
            </w:r>
          </w:p>
        </w:tc>
        <w:tc>
          <w:tcPr>
            <w:tcW w:w="4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pPr>
            <w:r>
              <w:rPr/>
              <w:t>216,575</w:t>
            </w:r>
          </w:p>
        </w:tc>
        <w:tc>
          <w:tcPr>
            <w:tcW w:w="63" w:type="dxa"/>
            <w:tcBorders/>
            <w:shd w:fill="CCEEFF" w:val="clear"/>
            <w:vAlign w:val="bottom"/>
          </w:tcPr>
          <w:p>
            <w:pPr>
              <w:pStyle w:val="TableContents"/>
              <w:spacing w:before="0" w:after="283"/>
              <w:rPr/>
            </w:pPr>
            <w:r>
              <w:rPr/>
              <w:t> </w:t>
            </w:r>
          </w:p>
        </w:tc>
      </w:tr>
      <w:tr>
        <w:trPr/>
        <w:tc>
          <w:tcPr>
            <w:tcW w:w="5342"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2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342"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December 31, 2020</w:t>
            </w:r>
          </w:p>
        </w:tc>
        <w:tc>
          <w:tcPr>
            <w:tcW w:w="4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29" w:type="dxa"/>
            <w:tcBorders/>
            <w:shd w:fill="auto" w:val="clear"/>
            <w:vAlign w:val="bottom"/>
          </w:tcPr>
          <w:p>
            <w:pPr>
              <w:pStyle w:val="TableContents"/>
              <w:spacing w:before="0" w:after="283"/>
              <w:jc w:val="right"/>
              <w:rPr/>
            </w:pPr>
            <w:r>
              <w:rPr/>
              <w:t>233,429</w:t>
            </w:r>
          </w:p>
        </w:tc>
        <w:tc>
          <w:tcPr>
            <w:tcW w:w="63" w:type="dxa"/>
            <w:tcBorders/>
            <w:shd w:fill="auto" w:val="clear"/>
            <w:vAlign w:val="bottom"/>
          </w:tcPr>
          <w:p>
            <w:pPr>
              <w:pStyle w:val="TableContents"/>
              <w:spacing w:before="0" w:after="283"/>
              <w:rPr/>
            </w:pPr>
            <w:r>
              <w:rPr/>
              <w:t> </w:t>
            </w:r>
          </w:p>
        </w:tc>
      </w:tr>
      <w:tr>
        <w:trPr/>
        <w:tc>
          <w:tcPr>
            <w:tcW w:w="5342"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29"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No goodwill impairment charges have been recognized in the periods presented. </w:t>
      </w:r>
    </w:p>
    <w:p>
      <w:pPr>
        <w:pStyle w:val="TextBody"/>
        <w:spacing w:before="240" w:after="0"/>
        <w:jc w:val="left"/>
        <w:rPr>
          <w:rFonts w:ascii="Times New Roman" w:hAnsi="Times New Roman"/>
          <w:sz w:val="20"/>
        </w:rPr>
      </w:pPr>
      <w:r>
        <w:rPr>
          <w:rFonts w:ascii="Times New Roman" w:hAnsi="Times New Roman"/>
          <w:sz w:val="20"/>
        </w:rPr>
        <w:t xml:space="preserve">Intangible assets consisted of the following (in thousands):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418"/>
        <w:gridCol w:w="276"/>
        <w:gridCol w:w="60"/>
        <w:gridCol w:w="1033"/>
        <w:gridCol w:w="60"/>
        <w:gridCol w:w="276"/>
        <w:gridCol w:w="164"/>
        <w:gridCol w:w="834"/>
        <w:gridCol w:w="60"/>
        <w:gridCol w:w="276"/>
        <w:gridCol w:w="247"/>
        <w:gridCol w:w="1187"/>
        <w:gridCol w:w="155"/>
        <w:gridCol w:w="276"/>
        <w:gridCol w:w="164"/>
        <w:gridCol w:w="833"/>
        <w:gridCol w:w="69"/>
      </w:tblGrid>
      <w:tr>
        <w:trPr/>
        <w:tc>
          <w:tcPr>
            <w:tcW w:w="341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3418"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5625"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69" w:type="dxa"/>
            <w:tcBorders/>
            <w:shd w:fill="auto" w:val="clear"/>
            <w:vAlign w:val="bottom"/>
          </w:tcPr>
          <w:p>
            <w:pPr>
              <w:pStyle w:val="TableContents"/>
              <w:spacing w:before="0" w:after="283"/>
              <w:rPr/>
            </w:pPr>
            <w:r>
              <w:rPr/>
              <w:t> </w:t>
            </w:r>
          </w:p>
        </w:tc>
      </w:tr>
      <w:tr>
        <w:trPr/>
        <w:tc>
          <w:tcPr>
            <w:tcW w:w="3418"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Useful Life</w:t>
              <w:br/>
              <w:t>(years)</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Carrying</w:t>
              <w:br/>
              <w:t>Amount</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Amortization</w:t>
            </w:r>
          </w:p>
        </w:tc>
        <w:tc>
          <w:tcPr>
            <w:tcW w:w="15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w:t>
              <w:br/>
              <w:t>Carrying</w:t>
              <w:br/>
              <w:t>Amount</w:t>
            </w:r>
          </w:p>
        </w:tc>
        <w:tc>
          <w:tcPr>
            <w:tcW w:w="69" w:type="dxa"/>
            <w:tcBorders/>
            <w:shd w:fill="auto" w:val="clear"/>
            <w:vAlign w:val="bottom"/>
          </w:tcPr>
          <w:p>
            <w:pPr>
              <w:pStyle w:val="TableContents"/>
              <w:spacing w:before="0" w:after="283"/>
              <w:rPr/>
            </w:pPr>
            <w:r>
              <w:rPr/>
              <w:t> </w:t>
            </w:r>
          </w:p>
        </w:tc>
      </w:tr>
      <w:tr>
        <w:trPr/>
        <w:tc>
          <w:tcPr>
            <w:tcW w:w="3418" w:type="dxa"/>
            <w:tcBorders/>
            <w:shd w:fill="CCEEFF" w:val="clear"/>
          </w:tcPr>
          <w:p>
            <w:pPr>
              <w:pStyle w:val="TableContents"/>
              <w:spacing w:before="0" w:after="0"/>
              <w:rPr>
                <w:rFonts w:ascii="Times New Roman" w:hAnsi="Times New Roman"/>
                <w:sz w:val="20"/>
              </w:rPr>
            </w:pPr>
            <w:r>
              <w:rPr>
                <w:rFonts w:ascii="Times New Roman" w:hAnsi="Times New Roman"/>
                <w:sz w:val="20"/>
              </w:rPr>
              <w:t>Regulatory licenses</w:t>
            </w:r>
          </w:p>
        </w:tc>
        <w:tc>
          <w:tcPr>
            <w:tcW w:w="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center"/>
              <w:rPr/>
            </w:pPr>
            <w:r>
              <w:rPr/>
              <w:t>Indefinite</w:t>
            </w:r>
          </w:p>
        </w:tc>
        <w:tc>
          <w:tcPr>
            <w:tcW w:w="6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834" w:type="dxa"/>
            <w:tcBorders/>
            <w:shd w:fill="CCEEFF" w:val="clear"/>
            <w:vAlign w:val="bottom"/>
          </w:tcPr>
          <w:p>
            <w:pPr>
              <w:pStyle w:val="TableContents"/>
              <w:spacing w:before="0" w:after="283"/>
              <w:jc w:val="right"/>
              <w:rPr/>
            </w:pPr>
            <w:r>
              <w:rPr/>
              <w:t>554</w:t>
            </w:r>
          </w:p>
        </w:tc>
        <w:tc>
          <w:tcPr>
            <w:tcW w:w="6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118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833" w:type="dxa"/>
            <w:tcBorders/>
            <w:shd w:fill="CCEEFF" w:val="clear"/>
            <w:vAlign w:val="bottom"/>
          </w:tcPr>
          <w:p>
            <w:pPr>
              <w:pStyle w:val="TableContents"/>
              <w:spacing w:before="0" w:after="283"/>
              <w:jc w:val="right"/>
              <w:rPr/>
            </w:pPr>
            <w:r>
              <w:rPr/>
              <w:t>554</w:t>
            </w:r>
          </w:p>
        </w:tc>
        <w:tc>
          <w:tcPr>
            <w:tcW w:w="69" w:type="dxa"/>
            <w:tcBorders/>
            <w:shd w:fill="CCEEFF" w:val="clear"/>
            <w:vAlign w:val="bottom"/>
          </w:tcPr>
          <w:p>
            <w:pPr>
              <w:pStyle w:val="TableContents"/>
              <w:spacing w:before="0" w:after="283"/>
              <w:rPr/>
            </w:pPr>
            <w:r>
              <w:rPr/>
              <w:t> </w:t>
            </w:r>
          </w:p>
        </w:tc>
      </w:tr>
      <w:tr>
        <w:trPr/>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Acquired technology</w:t>
            </w:r>
          </w:p>
        </w:tc>
        <w:tc>
          <w:tcPr>
            <w:tcW w:w="2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center"/>
              <w:rPr/>
            </w:pPr>
            <w:r>
              <w:rPr/>
              <w:t>7</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13,690</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(1,879</w:t>
            </w:r>
          </w:p>
        </w:tc>
        <w:tc>
          <w:tcPr>
            <w:tcW w:w="15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11,811</w:t>
            </w:r>
          </w:p>
        </w:tc>
        <w:tc>
          <w:tcPr>
            <w:tcW w:w="69" w:type="dxa"/>
            <w:tcBorders/>
            <w:shd w:fill="auto" w:val="clear"/>
            <w:vAlign w:val="bottom"/>
          </w:tcPr>
          <w:p>
            <w:pPr>
              <w:pStyle w:val="TableContents"/>
              <w:spacing w:before="0" w:after="283"/>
              <w:rPr/>
            </w:pPr>
            <w:r>
              <w:rPr/>
              <w:t> </w:t>
            </w:r>
          </w:p>
        </w:tc>
      </w:tr>
      <w:tr>
        <w:trPr/>
        <w:tc>
          <w:tcPr>
            <w:tcW w:w="3418" w:type="dxa"/>
            <w:tcBorders/>
            <w:shd w:fill="CCEEFF" w:val="clear"/>
          </w:tcPr>
          <w:p>
            <w:pPr>
              <w:pStyle w:val="TableContents"/>
              <w:spacing w:before="0" w:after="0"/>
              <w:rPr>
                <w:rFonts w:ascii="Times New Roman" w:hAnsi="Times New Roman"/>
                <w:sz w:val="20"/>
              </w:rPr>
            </w:pPr>
            <w:r>
              <w:rPr>
                <w:rFonts w:ascii="Times New Roman" w:hAnsi="Times New Roman"/>
                <w:sz w:val="20"/>
              </w:rPr>
              <w:t>Customer relationships</w:t>
            </w:r>
          </w:p>
        </w:tc>
        <w:tc>
          <w:tcPr>
            <w:tcW w:w="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center"/>
              <w:rPr/>
            </w:pPr>
            <w:r>
              <w:rPr/>
              <w:t>12</w:t>
            </w:r>
          </w:p>
        </w:tc>
        <w:tc>
          <w:tcPr>
            <w:tcW w:w="6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53,620</w:t>
            </w:r>
          </w:p>
        </w:tc>
        <w:tc>
          <w:tcPr>
            <w:tcW w:w="6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(3,844</w:t>
            </w:r>
          </w:p>
        </w:tc>
        <w:tc>
          <w:tcPr>
            <w:tcW w:w="15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49,776</w:t>
            </w:r>
          </w:p>
        </w:tc>
        <w:tc>
          <w:tcPr>
            <w:tcW w:w="69" w:type="dxa"/>
            <w:tcBorders/>
            <w:shd w:fill="CCEEFF" w:val="clear"/>
            <w:vAlign w:val="bottom"/>
          </w:tcPr>
          <w:p>
            <w:pPr>
              <w:pStyle w:val="TableContents"/>
              <w:spacing w:before="0" w:after="283"/>
              <w:rPr/>
            </w:pPr>
            <w:r>
              <w:rPr/>
              <w:t> </w:t>
            </w:r>
          </w:p>
        </w:tc>
      </w:tr>
      <w:tr>
        <w:trPr/>
        <w:tc>
          <w:tcPr>
            <w:tcW w:w="3418" w:type="dxa"/>
            <w:tcBorders/>
            <w:shd w:fill="auto" w:val="clear"/>
          </w:tcPr>
          <w:p>
            <w:pPr>
              <w:pStyle w:val="TableContents"/>
              <w:spacing w:before="0" w:after="0"/>
              <w:rPr>
                <w:rFonts w:ascii="Times New Roman" w:hAnsi="Times New Roman"/>
                <w:sz w:val="20"/>
              </w:rPr>
            </w:pPr>
            <w:r>
              <w:rPr>
                <w:rFonts w:ascii="Times New Roman" w:hAnsi="Times New Roman"/>
                <w:sz w:val="20"/>
              </w:rPr>
              <w:t>Trade name</w:t>
            </w:r>
          </w:p>
        </w:tc>
        <w:tc>
          <w:tcPr>
            <w:tcW w:w="2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center"/>
              <w:rPr/>
            </w:pPr>
            <w:r>
              <w:rPr/>
              <w:t>1</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415</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(357</w:t>
            </w:r>
          </w:p>
        </w:tc>
        <w:tc>
          <w:tcPr>
            <w:tcW w:w="15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58</w:t>
            </w:r>
          </w:p>
        </w:tc>
        <w:tc>
          <w:tcPr>
            <w:tcW w:w="69" w:type="dxa"/>
            <w:tcBorders/>
            <w:shd w:fill="auto" w:val="clear"/>
            <w:vAlign w:val="bottom"/>
          </w:tcPr>
          <w:p>
            <w:pPr>
              <w:pStyle w:val="TableContents"/>
              <w:spacing w:before="0" w:after="283"/>
              <w:rPr/>
            </w:pPr>
            <w:r>
              <w:rPr/>
              <w:t> </w:t>
            </w:r>
          </w:p>
        </w:tc>
      </w:tr>
      <w:tr>
        <w:trPr/>
        <w:tc>
          <w:tcPr>
            <w:tcW w:w="3418"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single" w:sz="2" w:space="1" w:color="000000"/>
              </w:pBdr>
              <w:spacing w:before="0" w:after="0"/>
              <w:rPr/>
            </w:pPr>
            <w:r>
              <w:rPr/>
              <w:t> </w:t>
            </w:r>
          </w:p>
        </w:tc>
        <w:tc>
          <w:tcPr>
            <w:tcW w:w="118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833"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418"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3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834" w:type="dxa"/>
            <w:tcBorders/>
            <w:shd w:fill="CCEEFF" w:val="clear"/>
            <w:vAlign w:val="bottom"/>
          </w:tcPr>
          <w:p>
            <w:pPr>
              <w:pStyle w:val="TableContents"/>
              <w:spacing w:before="0" w:after="283"/>
              <w:jc w:val="right"/>
              <w:rPr/>
            </w:pPr>
            <w:r>
              <w:rPr/>
              <w:t>68,279</w:t>
            </w:r>
          </w:p>
        </w:tc>
        <w:tc>
          <w:tcPr>
            <w:tcW w:w="6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1187" w:type="dxa"/>
            <w:tcBorders/>
            <w:shd w:fill="CCEEFF" w:val="clear"/>
            <w:vAlign w:val="bottom"/>
          </w:tcPr>
          <w:p>
            <w:pPr>
              <w:pStyle w:val="TableContents"/>
              <w:spacing w:before="0" w:after="283"/>
              <w:jc w:val="right"/>
              <w:rPr/>
            </w:pPr>
            <w:r>
              <w:rPr/>
              <w:t>(6,080</w:t>
            </w:r>
          </w:p>
        </w:tc>
        <w:tc>
          <w:tcPr>
            <w:tcW w:w="15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833" w:type="dxa"/>
            <w:tcBorders/>
            <w:shd w:fill="CCEEFF" w:val="clear"/>
            <w:vAlign w:val="bottom"/>
          </w:tcPr>
          <w:p>
            <w:pPr>
              <w:pStyle w:val="TableContents"/>
              <w:spacing w:before="0" w:after="283"/>
              <w:jc w:val="right"/>
              <w:rPr/>
            </w:pPr>
            <w:r>
              <w:rPr/>
              <w:t>62,199</w:t>
            </w:r>
          </w:p>
        </w:tc>
        <w:tc>
          <w:tcPr>
            <w:tcW w:w="69" w:type="dxa"/>
            <w:tcBorders/>
            <w:shd w:fill="CCEEFF" w:val="clear"/>
            <w:vAlign w:val="bottom"/>
          </w:tcPr>
          <w:p>
            <w:pPr>
              <w:pStyle w:val="TableContents"/>
              <w:spacing w:before="0" w:after="283"/>
              <w:rPr/>
            </w:pPr>
            <w:r>
              <w:rPr/>
              <w:t> </w:t>
            </w:r>
          </w:p>
        </w:tc>
      </w:tr>
      <w:tr>
        <w:trPr/>
        <w:tc>
          <w:tcPr>
            <w:tcW w:w="3418"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83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double" w:sz="6" w:space="1" w:color="000000"/>
              </w:pBdr>
              <w:spacing w:before="0" w:after="0"/>
              <w:rPr/>
            </w:pPr>
            <w:r>
              <w:rPr/>
              <w:t> </w:t>
            </w:r>
          </w:p>
        </w:tc>
        <w:tc>
          <w:tcPr>
            <w:tcW w:w="118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833" w:type="dxa"/>
            <w:tcBorders/>
            <w:shd w:fill="auto" w:val="clear"/>
            <w:vAlign w:val="bottom"/>
          </w:tcPr>
          <w:p>
            <w:pPr>
              <w:pStyle w:val="TableContents"/>
              <w:pBdr>
                <w:top w:val="double" w:sz="6"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251"/>
        <w:gridCol w:w="317"/>
        <w:gridCol w:w="60"/>
        <w:gridCol w:w="1029"/>
        <w:gridCol w:w="60"/>
        <w:gridCol w:w="317"/>
        <w:gridCol w:w="193"/>
        <w:gridCol w:w="802"/>
        <w:gridCol w:w="60"/>
        <w:gridCol w:w="317"/>
        <w:gridCol w:w="323"/>
        <w:gridCol w:w="1128"/>
        <w:gridCol w:w="155"/>
        <w:gridCol w:w="316"/>
        <w:gridCol w:w="193"/>
        <w:gridCol w:w="802"/>
        <w:gridCol w:w="65"/>
      </w:tblGrid>
      <w:tr>
        <w:trPr/>
        <w:tc>
          <w:tcPr>
            <w:tcW w:w="325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251"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5755"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65" w:type="dxa"/>
            <w:tcBorders/>
            <w:shd w:fill="auto" w:val="clear"/>
            <w:vAlign w:val="bottom"/>
          </w:tcPr>
          <w:p>
            <w:pPr>
              <w:pStyle w:val="TableContents"/>
              <w:spacing w:before="0" w:after="283"/>
              <w:rPr/>
            </w:pPr>
            <w:r>
              <w:rPr/>
              <w:t> </w:t>
            </w:r>
          </w:p>
        </w:tc>
      </w:tr>
      <w:tr>
        <w:trPr/>
        <w:tc>
          <w:tcPr>
            <w:tcW w:w="3251"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Useful Life</w:t>
              <w:br/>
              <w:t>(years)</w:t>
            </w:r>
          </w:p>
        </w:tc>
        <w:tc>
          <w:tcPr>
            <w:tcW w:w="6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Carrying</w:t>
              <w:br/>
              <w:t>Amount</w:t>
            </w:r>
          </w:p>
        </w:tc>
        <w:tc>
          <w:tcPr>
            <w:tcW w:w="6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Amortization</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w:t>
              <w:br/>
              <w:t>Carrying</w:t>
              <w:br/>
              <w:t>Amount</w:t>
            </w:r>
          </w:p>
        </w:tc>
        <w:tc>
          <w:tcPr>
            <w:tcW w:w="65" w:type="dxa"/>
            <w:tcBorders/>
            <w:shd w:fill="auto" w:val="clear"/>
            <w:vAlign w:val="bottom"/>
          </w:tcPr>
          <w:p>
            <w:pPr>
              <w:pStyle w:val="TableContents"/>
              <w:spacing w:before="0" w:after="283"/>
              <w:rPr/>
            </w:pPr>
            <w:r>
              <w:rPr/>
              <w:t> </w:t>
            </w:r>
          </w:p>
        </w:tc>
      </w:tr>
      <w:tr>
        <w:trPr/>
        <w:tc>
          <w:tcPr>
            <w:tcW w:w="3251" w:type="dxa"/>
            <w:tcBorders/>
            <w:shd w:fill="CCEEFF" w:val="clear"/>
          </w:tcPr>
          <w:p>
            <w:pPr>
              <w:pStyle w:val="TableContents"/>
              <w:spacing w:before="0" w:after="0"/>
              <w:rPr>
                <w:rFonts w:ascii="Times New Roman" w:hAnsi="Times New Roman"/>
                <w:sz w:val="20"/>
              </w:rPr>
            </w:pPr>
            <w:r>
              <w:rPr>
                <w:rFonts w:ascii="Times New Roman" w:hAnsi="Times New Roman"/>
                <w:sz w:val="20"/>
              </w:rPr>
              <w:t>Regulatory licenses</w:t>
            </w:r>
          </w:p>
        </w:tc>
        <w:tc>
          <w:tcPr>
            <w:tcW w:w="3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center"/>
              <w:rPr/>
            </w:pPr>
            <w:r>
              <w:rPr/>
              <w:t>Indefinite</w:t>
            </w:r>
          </w:p>
        </w:tc>
        <w:tc>
          <w:tcPr>
            <w:tcW w:w="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802" w:type="dxa"/>
            <w:tcBorders/>
            <w:shd w:fill="CCEEFF" w:val="clear"/>
            <w:vAlign w:val="bottom"/>
          </w:tcPr>
          <w:p>
            <w:pPr>
              <w:pStyle w:val="TableContents"/>
              <w:spacing w:before="0" w:after="283"/>
              <w:jc w:val="right"/>
              <w:rPr/>
            </w:pPr>
            <w:r>
              <w:rPr/>
              <w:t>554</w:t>
            </w:r>
          </w:p>
        </w:tc>
        <w:tc>
          <w:tcPr>
            <w:tcW w:w="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802" w:type="dxa"/>
            <w:tcBorders/>
            <w:shd w:fill="CCEEFF" w:val="clear"/>
            <w:vAlign w:val="bottom"/>
          </w:tcPr>
          <w:p>
            <w:pPr>
              <w:pStyle w:val="TableContents"/>
              <w:spacing w:before="0" w:after="283"/>
              <w:jc w:val="right"/>
              <w:rPr/>
            </w:pPr>
            <w:r>
              <w:rPr/>
              <w:t>554</w:t>
            </w:r>
          </w:p>
        </w:tc>
        <w:tc>
          <w:tcPr>
            <w:tcW w:w="65" w:type="dxa"/>
            <w:tcBorders/>
            <w:shd w:fill="CCEEFF" w:val="clear"/>
            <w:vAlign w:val="bottom"/>
          </w:tcPr>
          <w:p>
            <w:pPr>
              <w:pStyle w:val="TableContents"/>
              <w:spacing w:before="0" w:after="283"/>
              <w:rPr/>
            </w:pPr>
            <w:r>
              <w:rPr/>
              <w:t> </w:t>
            </w:r>
          </w:p>
        </w:tc>
      </w:tr>
      <w:tr>
        <w:trPr/>
        <w:tc>
          <w:tcPr>
            <w:tcW w:w="3251" w:type="dxa"/>
            <w:tcBorders/>
            <w:shd w:fill="auto" w:val="clear"/>
          </w:tcPr>
          <w:p>
            <w:pPr>
              <w:pStyle w:val="TableContents"/>
              <w:spacing w:before="0" w:after="0"/>
              <w:rPr>
                <w:rFonts w:ascii="Times New Roman" w:hAnsi="Times New Roman"/>
                <w:sz w:val="20"/>
              </w:rPr>
            </w:pPr>
            <w:r>
              <w:rPr>
                <w:rFonts w:ascii="Times New Roman" w:hAnsi="Times New Roman"/>
                <w:sz w:val="20"/>
              </w:rPr>
              <w:t>Acquired technology</w:t>
            </w:r>
          </w:p>
        </w:tc>
        <w:tc>
          <w:tcPr>
            <w:tcW w:w="3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jc w:val="center"/>
              <w:rPr/>
            </w:pPr>
            <w:r>
              <w:rPr/>
              <w:t>7</w:t>
            </w:r>
          </w:p>
        </w:tc>
        <w:tc>
          <w:tcPr>
            <w:tcW w:w="6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1,700</w:t>
            </w:r>
          </w:p>
        </w:tc>
        <w:tc>
          <w:tcPr>
            <w:tcW w:w="6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(158</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1,542</w:t>
            </w:r>
          </w:p>
        </w:tc>
        <w:tc>
          <w:tcPr>
            <w:tcW w:w="65" w:type="dxa"/>
            <w:tcBorders/>
            <w:shd w:fill="auto" w:val="clear"/>
            <w:vAlign w:val="bottom"/>
          </w:tcPr>
          <w:p>
            <w:pPr>
              <w:pStyle w:val="TableContents"/>
              <w:spacing w:before="0" w:after="283"/>
              <w:rPr/>
            </w:pPr>
            <w:r>
              <w:rPr/>
              <w:t> </w:t>
            </w:r>
          </w:p>
        </w:tc>
      </w:tr>
      <w:tr>
        <w:trPr/>
        <w:tc>
          <w:tcPr>
            <w:tcW w:w="3251"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251"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802" w:type="dxa"/>
            <w:tcBorders/>
            <w:shd w:fill="CCEEFF" w:val="clear"/>
            <w:vAlign w:val="bottom"/>
          </w:tcPr>
          <w:p>
            <w:pPr>
              <w:pStyle w:val="TableContents"/>
              <w:spacing w:before="0" w:after="283"/>
              <w:jc w:val="right"/>
              <w:rPr/>
            </w:pPr>
            <w:r>
              <w:rPr/>
              <w:t>2,254</w:t>
            </w:r>
          </w:p>
        </w:tc>
        <w:tc>
          <w:tcPr>
            <w:tcW w:w="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(158</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802" w:type="dxa"/>
            <w:tcBorders/>
            <w:shd w:fill="CCEEFF" w:val="clear"/>
            <w:vAlign w:val="bottom"/>
          </w:tcPr>
          <w:p>
            <w:pPr>
              <w:pStyle w:val="TableContents"/>
              <w:spacing w:before="0" w:after="283"/>
              <w:jc w:val="right"/>
              <w:rPr/>
            </w:pPr>
            <w:r>
              <w:rPr/>
              <w:t>2,096</w:t>
            </w:r>
          </w:p>
        </w:tc>
        <w:tc>
          <w:tcPr>
            <w:tcW w:w="65" w:type="dxa"/>
            <w:tcBorders/>
            <w:shd w:fill="CCEEFF" w:val="clear"/>
            <w:vAlign w:val="bottom"/>
          </w:tcPr>
          <w:p>
            <w:pPr>
              <w:pStyle w:val="TableContents"/>
              <w:spacing w:before="0" w:after="283"/>
              <w:rPr/>
            </w:pPr>
            <w:r>
              <w:rPr/>
              <w:t> </w:t>
            </w:r>
          </w:p>
        </w:tc>
      </w:tr>
      <w:tr>
        <w:trPr/>
        <w:tc>
          <w:tcPr>
            <w:tcW w:w="3251"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double" w:sz="6" w:space="1" w:color="000000"/>
              </w:pBdr>
              <w:spacing w:before="0" w:after="0"/>
              <w:rPr/>
            </w:pPr>
            <w:r>
              <w:rPr/>
              <w:t> </w:t>
            </w:r>
          </w:p>
        </w:tc>
        <w:tc>
          <w:tcPr>
            <w:tcW w:w="80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pBdr>
                <w:top w:val="double" w:sz="6" w:space="1" w:color="000000"/>
              </w:pBdr>
              <w:spacing w:before="0" w:after="0"/>
              <w:rPr/>
            </w:pPr>
            <w:r>
              <w:rPr/>
              <w:t> </w:t>
            </w:r>
          </w:p>
        </w:tc>
        <w:tc>
          <w:tcPr>
            <w:tcW w:w="112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double" w:sz="6" w:space="1" w:color="000000"/>
              </w:pBdr>
              <w:spacing w:before="0" w:after="0"/>
              <w:rPr/>
            </w:pPr>
            <w:r>
              <w:rPr/>
              <w:t> </w:t>
            </w:r>
          </w:p>
        </w:tc>
        <w:tc>
          <w:tcPr>
            <w:tcW w:w="802"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F-43</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Amortization expense related to intangible assets for the year ended December 31, 2020 and 2019 was $6,516,000 and $158,000 and was included in Depreciation and amortization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The table below shows estimated future amortization expense for definite-lived intangible assets as of December 31, 2020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608"/>
        <w:gridCol w:w="351"/>
        <w:gridCol w:w="147"/>
        <w:gridCol w:w="770"/>
        <w:gridCol w:w="63"/>
      </w:tblGrid>
      <w:tr>
        <w:trPr/>
        <w:tc>
          <w:tcPr>
            <w:tcW w:w="560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608" w:type="dxa"/>
            <w:tcBorders/>
            <w:shd w:fill="auto" w:val="clear"/>
            <w:vAlign w:val="bottom"/>
          </w:tcPr>
          <w:p>
            <w:pPr>
              <w:pStyle w:val="TableContents"/>
              <w:spacing w:before="0" w:after="283"/>
              <w:rPr/>
            </w:pPr>
            <w:r>
              <w:rPr/>
              <w:t>Year ending December 31:</w:t>
            </w:r>
          </w:p>
        </w:tc>
        <w:tc>
          <w:tcPr>
            <w:tcW w:w="351" w:type="dxa"/>
            <w:tcBorders/>
            <w:shd w:fill="auto" w:val="clear"/>
            <w:vAlign w:val="bottom"/>
          </w:tcPr>
          <w:p>
            <w:pPr>
              <w:pStyle w:val="TableContents"/>
              <w:spacing w:before="0" w:after="283"/>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3" w:type="dxa"/>
            <w:tcBorders/>
            <w:shd w:fill="auto" w:val="clear"/>
            <w:vAlign w:val="bottom"/>
          </w:tcPr>
          <w:p>
            <w:pPr>
              <w:pStyle w:val="TableContents"/>
              <w:spacing w:before="0" w:after="283"/>
              <w:rPr/>
            </w:pPr>
            <w:r>
              <w:rPr/>
              <w:t> </w:t>
            </w:r>
          </w:p>
        </w:tc>
      </w:tr>
      <w:tr>
        <w:trPr/>
        <w:tc>
          <w:tcPr>
            <w:tcW w:w="5608" w:type="dxa"/>
            <w:tcBorders/>
            <w:shd w:fill="CCEEFF" w:val="clear"/>
          </w:tcPr>
          <w:p>
            <w:pPr>
              <w:pStyle w:val="TableContents"/>
              <w:spacing w:before="0" w:after="0"/>
              <w:rPr>
                <w:rFonts w:ascii="Times New Roman" w:hAnsi="Times New Roman"/>
                <w:sz w:val="20"/>
              </w:rPr>
            </w:pPr>
            <w:r>
              <w:rPr>
                <w:rFonts w:ascii="Times New Roman" w:hAnsi="Times New Roman"/>
                <w:sz w:val="20"/>
              </w:rPr>
              <w:t>2021</w:t>
            </w:r>
          </w:p>
        </w:tc>
        <w:tc>
          <w:tcPr>
            <w:tcW w:w="35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770" w:type="dxa"/>
            <w:tcBorders/>
            <w:shd w:fill="CCEEFF" w:val="clear"/>
            <w:vAlign w:val="bottom"/>
          </w:tcPr>
          <w:p>
            <w:pPr>
              <w:pStyle w:val="TableContents"/>
              <w:spacing w:before="0" w:after="283"/>
              <w:jc w:val="right"/>
              <w:rPr/>
            </w:pPr>
            <w:r>
              <w:rPr/>
              <w:t>6,483</w:t>
            </w:r>
          </w:p>
        </w:tc>
        <w:tc>
          <w:tcPr>
            <w:tcW w:w="63" w:type="dxa"/>
            <w:tcBorders/>
            <w:shd w:fill="CCEEFF" w:val="clear"/>
            <w:vAlign w:val="bottom"/>
          </w:tcPr>
          <w:p>
            <w:pPr>
              <w:pStyle w:val="TableContents"/>
              <w:spacing w:before="0" w:after="283"/>
              <w:rPr/>
            </w:pPr>
            <w:r>
              <w:rPr/>
              <w:t> </w:t>
            </w:r>
          </w:p>
        </w:tc>
      </w:tr>
      <w:tr>
        <w:trPr/>
        <w:tc>
          <w:tcPr>
            <w:tcW w:w="5608" w:type="dxa"/>
            <w:tcBorders/>
            <w:shd w:fill="auto" w:val="clear"/>
          </w:tcPr>
          <w:p>
            <w:pPr>
              <w:pStyle w:val="TableContents"/>
              <w:spacing w:before="0" w:after="0"/>
              <w:rPr>
                <w:rFonts w:ascii="Times New Roman" w:hAnsi="Times New Roman"/>
                <w:sz w:val="20"/>
              </w:rPr>
            </w:pPr>
            <w:r>
              <w:rPr>
                <w:rFonts w:ascii="Times New Roman" w:hAnsi="Times New Roman"/>
                <w:sz w:val="20"/>
              </w:rPr>
              <w:t>2022</w:t>
            </w:r>
          </w:p>
        </w:tc>
        <w:tc>
          <w:tcPr>
            <w:tcW w:w="35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6,424</w:t>
            </w:r>
          </w:p>
        </w:tc>
        <w:tc>
          <w:tcPr>
            <w:tcW w:w="63" w:type="dxa"/>
            <w:tcBorders/>
            <w:shd w:fill="auto" w:val="clear"/>
            <w:vAlign w:val="bottom"/>
          </w:tcPr>
          <w:p>
            <w:pPr>
              <w:pStyle w:val="TableContents"/>
              <w:spacing w:before="0" w:after="283"/>
              <w:rPr/>
            </w:pPr>
            <w:r>
              <w:rPr/>
              <w:t> </w:t>
            </w:r>
          </w:p>
        </w:tc>
      </w:tr>
      <w:tr>
        <w:trPr/>
        <w:tc>
          <w:tcPr>
            <w:tcW w:w="5608" w:type="dxa"/>
            <w:tcBorders/>
            <w:shd w:fill="CCEEFF" w:val="clear"/>
          </w:tcPr>
          <w:p>
            <w:pPr>
              <w:pStyle w:val="TableContents"/>
              <w:spacing w:before="0" w:after="0"/>
              <w:rPr>
                <w:rFonts w:ascii="Times New Roman" w:hAnsi="Times New Roman"/>
                <w:sz w:val="20"/>
              </w:rPr>
            </w:pPr>
            <w:r>
              <w:rPr>
                <w:rFonts w:ascii="Times New Roman" w:hAnsi="Times New Roman"/>
                <w:sz w:val="20"/>
              </w:rPr>
              <w:t>2023</w:t>
            </w:r>
          </w:p>
        </w:tc>
        <w:tc>
          <w:tcPr>
            <w:tcW w:w="35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6,424</w:t>
            </w:r>
          </w:p>
        </w:tc>
        <w:tc>
          <w:tcPr>
            <w:tcW w:w="63" w:type="dxa"/>
            <w:tcBorders/>
            <w:shd w:fill="CCEEFF" w:val="clear"/>
            <w:vAlign w:val="bottom"/>
          </w:tcPr>
          <w:p>
            <w:pPr>
              <w:pStyle w:val="TableContents"/>
              <w:spacing w:before="0" w:after="283"/>
              <w:rPr/>
            </w:pPr>
            <w:r>
              <w:rPr/>
              <w:t> </w:t>
            </w:r>
          </w:p>
        </w:tc>
      </w:tr>
      <w:tr>
        <w:trPr/>
        <w:tc>
          <w:tcPr>
            <w:tcW w:w="5608" w:type="dxa"/>
            <w:tcBorders/>
            <w:shd w:fill="auto" w:val="clear"/>
          </w:tcPr>
          <w:p>
            <w:pPr>
              <w:pStyle w:val="TableContents"/>
              <w:spacing w:before="0" w:after="0"/>
              <w:rPr>
                <w:rFonts w:ascii="Times New Roman" w:hAnsi="Times New Roman"/>
                <w:sz w:val="20"/>
              </w:rPr>
            </w:pPr>
            <w:r>
              <w:rPr>
                <w:rFonts w:ascii="Times New Roman" w:hAnsi="Times New Roman"/>
                <w:sz w:val="20"/>
              </w:rPr>
              <w:t>2024</w:t>
            </w:r>
          </w:p>
        </w:tc>
        <w:tc>
          <w:tcPr>
            <w:tcW w:w="35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6,424</w:t>
            </w:r>
          </w:p>
        </w:tc>
        <w:tc>
          <w:tcPr>
            <w:tcW w:w="63" w:type="dxa"/>
            <w:tcBorders/>
            <w:shd w:fill="auto" w:val="clear"/>
            <w:vAlign w:val="bottom"/>
          </w:tcPr>
          <w:p>
            <w:pPr>
              <w:pStyle w:val="TableContents"/>
              <w:spacing w:before="0" w:after="283"/>
              <w:rPr/>
            </w:pPr>
            <w:r>
              <w:rPr/>
              <w:t> </w:t>
            </w:r>
          </w:p>
        </w:tc>
      </w:tr>
      <w:tr>
        <w:trPr/>
        <w:tc>
          <w:tcPr>
            <w:tcW w:w="5608" w:type="dxa"/>
            <w:tcBorders/>
            <w:shd w:fill="CCEEFF" w:val="clear"/>
          </w:tcPr>
          <w:p>
            <w:pPr>
              <w:pStyle w:val="TableContents"/>
              <w:spacing w:before="0" w:after="0"/>
              <w:rPr>
                <w:rFonts w:ascii="Times New Roman" w:hAnsi="Times New Roman"/>
                <w:sz w:val="20"/>
              </w:rPr>
            </w:pPr>
            <w:r>
              <w:rPr>
                <w:rFonts w:ascii="Times New Roman" w:hAnsi="Times New Roman"/>
                <w:sz w:val="20"/>
              </w:rPr>
              <w:t>2025</w:t>
            </w:r>
          </w:p>
        </w:tc>
        <w:tc>
          <w:tcPr>
            <w:tcW w:w="35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6,424</w:t>
            </w:r>
          </w:p>
        </w:tc>
        <w:tc>
          <w:tcPr>
            <w:tcW w:w="63" w:type="dxa"/>
            <w:tcBorders/>
            <w:shd w:fill="CCEEFF" w:val="clear"/>
            <w:vAlign w:val="bottom"/>
          </w:tcPr>
          <w:p>
            <w:pPr>
              <w:pStyle w:val="TableContents"/>
              <w:spacing w:before="0" w:after="283"/>
              <w:rPr/>
            </w:pPr>
            <w:r>
              <w:rPr/>
              <w:t> </w:t>
            </w:r>
          </w:p>
        </w:tc>
      </w:tr>
      <w:tr>
        <w:trPr/>
        <w:tc>
          <w:tcPr>
            <w:tcW w:w="5608" w:type="dxa"/>
            <w:tcBorders/>
            <w:shd w:fill="auto" w:val="clear"/>
          </w:tcPr>
          <w:p>
            <w:pPr>
              <w:pStyle w:val="TableContents"/>
              <w:spacing w:before="0" w:after="0"/>
              <w:rPr>
                <w:rFonts w:ascii="Times New Roman" w:hAnsi="Times New Roman"/>
                <w:sz w:val="20"/>
              </w:rPr>
            </w:pPr>
            <w:r>
              <w:rPr>
                <w:rFonts w:ascii="Times New Roman" w:hAnsi="Times New Roman"/>
                <w:sz w:val="20"/>
              </w:rPr>
              <w:t>Thereafter</w:t>
            </w:r>
          </w:p>
        </w:tc>
        <w:tc>
          <w:tcPr>
            <w:tcW w:w="35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29,466</w:t>
            </w:r>
          </w:p>
        </w:tc>
        <w:tc>
          <w:tcPr>
            <w:tcW w:w="63" w:type="dxa"/>
            <w:tcBorders/>
            <w:shd w:fill="auto" w:val="clear"/>
            <w:vAlign w:val="bottom"/>
          </w:tcPr>
          <w:p>
            <w:pPr>
              <w:pStyle w:val="TableContents"/>
              <w:spacing w:before="0" w:after="283"/>
              <w:rPr/>
            </w:pPr>
            <w:r>
              <w:rPr/>
              <w:t> </w:t>
            </w:r>
          </w:p>
        </w:tc>
      </w:tr>
      <w:tr>
        <w:trPr/>
        <w:tc>
          <w:tcPr>
            <w:tcW w:w="5608"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770"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608"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35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770" w:type="dxa"/>
            <w:tcBorders/>
            <w:shd w:fill="CCEEFF" w:val="clear"/>
            <w:vAlign w:val="bottom"/>
          </w:tcPr>
          <w:p>
            <w:pPr>
              <w:pStyle w:val="TableContents"/>
              <w:spacing w:before="0" w:after="283"/>
              <w:jc w:val="right"/>
              <w:rPr/>
            </w:pPr>
            <w:r>
              <w:rPr/>
              <w:t>61,645</w:t>
            </w:r>
          </w:p>
        </w:tc>
        <w:tc>
          <w:tcPr>
            <w:tcW w:w="63" w:type="dxa"/>
            <w:tcBorders/>
            <w:shd w:fill="CCEEFF" w:val="clear"/>
            <w:vAlign w:val="bottom"/>
          </w:tcPr>
          <w:p>
            <w:pPr>
              <w:pStyle w:val="TableContents"/>
              <w:spacing w:before="0" w:after="283"/>
              <w:rPr/>
            </w:pPr>
            <w:r>
              <w:rPr/>
              <w:t> </w:t>
            </w:r>
          </w:p>
        </w:tc>
      </w:tr>
      <w:tr>
        <w:trPr/>
        <w:tc>
          <w:tcPr>
            <w:tcW w:w="5608"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770"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6.</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Consolidated Balance Sheet Components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Other Current Assets </w:t>
      </w:r>
    </w:p>
    <w:p>
      <w:pPr>
        <w:pStyle w:val="TextBody"/>
        <w:spacing w:before="120" w:after="0"/>
        <w:jc w:val="left"/>
        <w:rPr>
          <w:rFonts w:ascii="Times New Roman" w:hAnsi="Times New Roman"/>
          <w:sz w:val="20"/>
        </w:rPr>
      </w:pPr>
      <w:r>
        <w:rPr>
          <w:rFonts w:ascii="Times New Roman" w:hAnsi="Times New Roman"/>
          <w:sz w:val="20"/>
        </w:rPr>
        <w:t xml:space="preserve">Other current assets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61"/>
        <w:gridCol w:w="575"/>
        <w:gridCol w:w="392"/>
        <w:gridCol w:w="1568"/>
        <w:gridCol w:w="60"/>
        <w:gridCol w:w="575"/>
        <w:gridCol w:w="392"/>
        <w:gridCol w:w="1568"/>
        <w:gridCol w:w="64"/>
      </w:tblGrid>
      <w:tr>
        <w:trPr/>
        <w:tc>
          <w:tcPr>
            <w:tcW w:w="256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561"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9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9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64" w:type="dxa"/>
            <w:tcBorders/>
            <w:shd w:fill="auto" w:val="clear"/>
            <w:vAlign w:val="bottom"/>
          </w:tcPr>
          <w:p>
            <w:pPr>
              <w:pStyle w:val="TableContents"/>
              <w:spacing w:before="0" w:after="283"/>
              <w:rPr/>
            </w:pPr>
            <w:r>
              <w:rPr/>
              <w:t> </w:t>
            </w:r>
          </w:p>
        </w:tc>
      </w:tr>
      <w:tr>
        <w:trPr/>
        <w:tc>
          <w:tcPr>
            <w:tcW w:w="2561"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575"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w:t>
            </w:r>
          </w:p>
        </w:tc>
        <w:tc>
          <w:tcPr>
            <w:tcW w:w="1568" w:type="dxa"/>
            <w:tcBorders/>
            <w:shd w:fill="CCEEFF" w:val="clear"/>
            <w:vAlign w:val="bottom"/>
          </w:tcPr>
          <w:p>
            <w:pPr>
              <w:pStyle w:val="TableContents"/>
              <w:spacing w:before="0" w:after="283"/>
              <w:jc w:val="right"/>
              <w:rPr/>
            </w:pPr>
            <w:r>
              <w:rPr/>
              <w:t>5,365</w:t>
            </w:r>
          </w:p>
        </w:tc>
        <w:tc>
          <w:tcPr>
            <w:tcW w:w="6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w:t>
            </w:r>
          </w:p>
        </w:tc>
        <w:tc>
          <w:tcPr>
            <w:tcW w:w="1568" w:type="dxa"/>
            <w:tcBorders/>
            <w:shd w:fill="CCEEFF" w:val="clear"/>
            <w:vAlign w:val="bottom"/>
          </w:tcPr>
          <w:p>
            <w:pPr>
              <w:pStyle w:val="TableContents"/>
              <w:spacing w:before="0" w:after="283"/>
              <w:jc w:val="right"/>
              <w:rPr/>
            </w:pPr>
            <w:r>
              <w:rPr/>
              <w:t>1,979</w:t>
            </w:r>
          </w:p>
        </w:tc>
        <w:tc>
          <w:tcPr>
            <w:tcW w:w="64" w:type="dxa"/>
            <w:tcBorders/>
            <w:shd w:fill="CCEEFF" w:val="clear"/>
            <w:vAlign w:val="bottom"/>
          </w:tcPr>
          <w:p>
            <w:pPr>
              <w:pStyle w:val="TableContents"/>
              <w:spacing w:before="0" w:after="283"/>
              <w:rPr/>
            </w:pPr>
            <w:r>
              <w:rPr/>
              <w:t> </w:t>
            </w:r>
          </w:p>
        </w:tc>
      </w:tr>
      <w:tr>
        <w:trPr/>
        <w:tc>
          <w:tcPr>
            <w:tcW w:w="2561" w:type="dxa"/>
            <w:tcBorders/>
            <w:shd w:fill="auto" w:val="clear"/>
          </w:tcPr>
          <w:p>
            <w:pPr>
              <w:pStyle w:val="TableContents"/>
              <w:spacing w:before="0" w:after="0"/>
              <w:rPr>
                <w:rFonts w:ascii="Times New Roman" w:hAnsi="Times New Roman"/>
                <w:sz w:val="20"/>
              </w:rPr>
            </w:pPr>
            <w:r>
              <w:rPr>
                <w:rFonts w:ascii="Times New Roman" w:hAnsi="Times New Roman"/>
                <w:sz w:val="20"/>
              </w:rPr>
              <w:t>Class B warrant asset, current (see Note 8)</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pPr>
            <w:r>
              <w:rPr/>
              <w:t>2,325</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2561" w:type="dxa"/>
            <w:tcBorders/>
            <w:shd w:fill="CCEEFF" w:val="clear"/>
          </w:tcPr>
          <w:p>
            <w:pPr>
              <w:pStyle w:val="TableContents"/>
              <w:spacing w:before="0" w:after="0"/>
              <w:rPr>
                <w:rFonts w:ascii="Times New Roman" w:hAnsi="Times New Roman"/>
                <w:sz w:val="20"/>
              </w:rPr>
            </w:pPr>
            <w:r>
              <w:rPr>
                <w:rFonts w:ascii="Times New Roman" w:hAnsi="Times New Roman"/>
                <w:sz w:val="20"/>
              </w:rPr>
              <w:t>Receivable from Depository Trust and Clearing Corporation</w:t>
            </w:r>
          </w:p>
        </w:tc>
        <w:tc>
          <w:tcPr>
            <w:tcW w:w="575"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spacing w:before="0" w:after="283"/>
              <w:jc w:val="right"/>
              <w:rPr/>
            </w:pPr>
            <w:r>
              <w:rPr/>
              <w:t>2,684</w:t>
            </w:r>
          </w:p>
        </w:tc>
        <w:tc>
          <w:tcPr>
            <w:tcW w:w="64" w:type="dxa"/>
            <w:tcBorders/>
            <w:shd w:fill="CCEEFF" w:val="clear"/>
            <w:vAlign w:val="bottom"/>
          </w:tcPr>
          <w:p>
            <w:pPr>
              <w:pStyle w:val="TableContents"/>
              <w:spacing w:before="0" w:after="283"/>
              <w:rPr/>
            </w:pPr>
            <w:r>
              <w:rPr/>
              <w:t> </w:t>
            </w:r>
          </w:p>
        </w:tc>
      </w:tr>
      <w:tr>
        <w:trPr/>
        <w:tc>
          <w:tcPr>
            <w:tcW w:w="2561" w:type="dxa"/>
            <w:tcBorders/>
            <w:shd w:fill="auto" w:val="clear"/>
          </w:tcPr>
          <w:p>
            <w:pPr>
              <w:pStyle w:val="TableContents"/>
              <w:spacing w:before="0" w:after="0"/>
              <w:rPr>
                <w:rFonts w:ascii="Times New Roman" w:hAnsi="Times New Roman"/>
                <w:sz w:val="20"/>
              </w:rPr>
            </w:pPr>
            <w:r>
              <w:rPr>
                <w:rFonts w:ascii="Times New Roman" w:hAnsi="Times New Roman"/>
                <w:sz w:val="20"/>
              </w:rPr>
              <w:t>Interest receivable</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pPr>
            <w:r>
              <w:rPr/>
              <w:t>95</w:t>
            </w:r>
          </w:p>
        </w:tc>
        <w:tc>
          <w:tcPr>
            <w:tcW w:w="64" w:type="dxa"/>
            <w:tcBorders/>
            <w:shd w:fill="auto" w:val="clear"/>
            <w:vAlign w:val="bottom"/>
          </w:tcPr>
          <w:p>
            <w:pPr>
              <w:pStyle w:val="TableContents"/>
              <w:spacing w:before="0" w:after="283"/>
              <w:rPr/>
            </w:pPr>
            <w:r>
              <w:rPr/>
              <w:t> </w:t>
            </w:r>
          </w:p>
        </w:tc>
      </w:tr>
      <w:tr>
        <w:trPr/>
        <w:tc>
          <w:tcPr>
            <w:tcW w:w="2561"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receivable</w:t>
            </w:r>
          </w:p>
        </w:tc>
        <w:tc>
          <w:tcPr>
            <w:tcW w:w="575"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spacing w:before="0" w:after="283"/>
              <w:jc w:val="right"/>
              <w:rPr/>
            </w:pPr>
            <w:r>
              <w:rPr/>
              <w:t>82</w:t>
            </w:r>
          </w:p>
        </w:tc>
        <w:tc>
          <w:tcPr>
            <w:tcW w:w="64" w:type="dxa"/>
            <w:tcBorders/>
            <w:shd w:fill="CCEEFF" w:val="clear"/>
            <w:vAlign w:val="bottom"/>
          </w:tcPr>
          <w:p>
            <w:pPr>
              <w:pStyle w:val="TableContents"/>
              <w:spacing w:before="0" w:after="283"/>
              <w:rPr/>
            </w:pPr>
            <w:r>
              <w:rPr/>
              <w:t> </w:t>
            </w:r>
          </w:p>
        </w:tc>
      </w:tr>
      <w:tr>
        <w:trPr/>
        <w:tc>
          <w:tcPr>
            <w:tcW w:w="2561"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pBdr>
                <w:top w:val="single" w:sz="2" w:space="1" w:color="000000"/>
              </w:pBdr>
              <w:spacing w:before="0" w:after="0"/>
              <w:rPr/>
            </w:pPr>
            <w:r>
              <w:rPr/>
              <w:t> </w:t>
            </w:r>
          </w:p>
        </w:tc>
        <w:tc>
          <w:tcPr>
            <w:tcW w:w="156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pBdr>
                <w:top w:val="single" w:sz="2" w:space="1" w:color="000000"/>
              </w:pBdr>
              <w:spacing w:before="0" w:after="0"/>
              <w:rPr/>
            </w:pPr>
            <w:r>
              <w:rPr/>
              <w:t> </w:t>
            </w:r>
          </w:p>
        </w:tc>
        <w:tc>
          <w:tcPr>
            <w:tcW w:w="156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561" w:type="dxa"/>
            <w:tcBorders/>
            <w:shd w:fill="auto" w:val="clear"/>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w:t>
            </w:r>
          </w:p>
        </w:tc>
        <w:tc>
          <w:tcPr>
            <w:tcW w:w="1568" w:type="dxa"/>
            <w:tcBorders/>
            <w:shd w:fill="auto" w:val="clear"/>
            <w:vAlign w:val="bottom"/>
          </w:tcPr>
          <w:p>
            <w:pPr>
              <w:pStyle w:val="TableContents"/>
              <w:spacing w:before="0" w:after="283"/>
              <w:jc w:val="right"/>
              <w:rPr/>
            </w:pPr>
            <w:r>
              <w:rPr/>
              <w:t>7,690</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w:t>
            </w:r>
          </w:p>
        </w:tc>
        <w:tc>
          <w:tcPr>
            <w:tcW w:w="1568" w:type="dxa"/>
            <w:tcBorders/>
            <w:shd w:fill="auto" w:val="clear"/>
            <w:vAlign w:val="bottom"/>
          </w:tcPr>
          <w:p>
            <w:pPr>
              <w:pStyle w:val="TableContents"/>
              <w:spacing w:before="0" w:after="283"/>
              <w:jc w:val="right"/>
              <w:rPr/>
            </w:pPr>
            <w:r>
              <w:rPr/>
              <w:t>4,840</w:t>
            </w:r>
          </w:p>
        </w:tc>
        <w:tc>
          <w:tcPr>
            <w:tcW w:w="64" w:type="dxa"/>
            <w:tcBorders/>
            <w:shd w:fill="auto" w:val="clear"/>
            <w:vAlign w:val="bottom"/>
          </w:tcPr>
          <w:p>
            <w:pPr>
              <w:pStyle w:val="TableContents"/>
              <w:spacing w:before="0" w:after="283"/>
              <w:rPr/>
            </w:pPr>
            <w:r>
              <w:rPr/>
              <w:t> </w:t>
            </w:r>
          </w:p>
        </w:tc>
      </w:tr>
      <w:tr>
        <w:trPr/>
        <w:tc>
          <w:tcPr>
            <w:tcW w:w="2561"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pBdr>
                <w:top w:val="double" w:sz="6" w:space="1" w:color="000000"/>
              </w:pBdr>
              <w:spacing w:before="0" w:after="0"/>
              <w:rPr/>
            </w:pPr>
            <w:r>
              <w:rPr/>
              <w:t> </w:t>
            </w:r>
          </w:p>
        </w:tc>
        <w:tc>
          <w:tcPr>
            <w:tcW w:w="156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pBdr>
                <w:top w:val="double" w:sz="6" w:space="1" w:color="000000"/>
              </w:pBdr>
              <w:spacing w:before="0" w:after="0"/>
              <w:rPr/>
            </w:pPr>
            <w:r>
              <w:rPr/>
              <w:t> </w:t>
            </w:r>
          </w:p>
        </w:tc>
        <w:tc>
          <w:tcPr>
            <w:tcW w:w="1568"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Property, Equipment and Software, Net </w:t>
      </w:r>
    </w:p>
    <w:p>
      <w:pPr>
        <w:pStyle w:val="TextBody"/>
        <w:spacing w:before="120" w:after="0"/>
        <w:jc w:val="left"/>
        <w:rPr>
          <w:rFonts w:ascii="Times New Roman" w:hAnsi="Times New Roman"/>
          <w:sz w:val="20"/>
        </w:rPr>
      </w:pPr>
      <w:r>
        <w:rPr>
          <w:rFonts w:ascii="Times New Roman" w:hAnsi="Times New Roman"/>
          <w:sz w:val="20"/>
        </w:rPr>
        <w:t xml:space="preserve">Property, equipment and software, net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21"/>
        <w:gridCol w:w="469"/>
        <w:gridCol w:w="334"/>
        <w:gridCol w:w="1657"/>
        <w:gridCol w:w="155"/>
        <w:gridCol w:w="469"/>
        <w:gridCol w:w="334"/>
        <w:gridCol w:w="1657"/>
        <w:gridCol w:w="159"/>
      </w:tblGrid>
      <w:tr>
        <w:trPr/>
        <w:tc>
          <w:tcPr>
            <w:tcW w:w="252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9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15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9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159" w:type="dxa"/>
            <w:tcBorders/>
            <w:shd w:fill="auto" w:val="clear"/>
            <w:vAlign w:val="bottom"/>
          </w:tcPr>
          <w:p>
            <w:pPr>
              <w:pStyle w:val="TableContents"/>
              <w:spacing w:before="0" w:after="283"/>
              <w:rPr/>
            </w:pPr>
            <w:r>
              <w:rPr/>
              <w:t> </w:t>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Internal-use software</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w:t>
            </w:r>
          </w:p>
        </w:tc>
        <w:tc>
          <w:tcPr>
            <w:tcW w:w="1657" w:type="dxa"/>
            <w:tcBorders/>
            <w:shd w:fill="CCEEFF" w:val="clear"/>
            <w:vAlign w:val="bottom"/>
          </w:tcPr>
          <w:p>
            <w:pPr>
              <w:pStyle w:val="TableContents"/>
              <w:spacing w:before="0" w:after="283"/>
              <w:jc w:val="right"/>
              <w:rPr/>
            </w:pPr>
            <w:r>
              <w:rPr/>
              <w:t>20,343</w:t>
            </w:r>
          </w:p>
        </w:tc>
        <w:tc>
          <w:tcPr>
            <w:tcW w:w="155"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w:t>
            </w:r>
          </w:p>
        </w:tc>
        <w:tc>
          <w:tcPr>
            <w:tcW w:w="1657" w:type="dxa"/>
            <w:tcBorders/>
            <w:shd w:fill="CCEEFF" w:val="clear"/>
            <w:vAlign w:val="bottom"/>
          </w:tcPr>
          <w:p>
            <w:pPr>
              <w:pStyle w:val="TableContents"/>
              <w:spacing w:before="0" w:after="283"/>
              <w:jc w:val="right"/>
              <w:rPr/>
            </w:pPr>
            <w:r>
              <w:rPr/>
              <w:t>11,146</w:t>
            </w:r>
          </w:p>
        </w:tc>
        <w:tc>
          <w:tcPr>
            <w:tcW w:w="159" w:type="dxa"/>
            <w:tcBorders/>
            <w:shd w:fill="CCEEFF" w:val="clear"/>
            <w:vAlign w:val="bottom"/>
          </w:tcPr>
          <w:p>
            <w:pPr>
              <w:pStyle w:val="TableContents"/>
              <w:spacing w:before="0" w:after="283"/>
              <w:rPr/>
            </w:pPr>
            <w:r>
              <w:rPr/>
              <w:t> </w:t>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Purchased software</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pPr>
            <w:r>
              <w:rPr/>
              <w:t>110</w:t>
            </w:r>
          </w:p>
        </w:tc>
        <w:tc>
          <w:tcPr>
            <w:tcW w:w="15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Office furniture and equipment</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609</w:t>
            </w:r>
          </w:p>
        </w:tc>
        <w:tc>
          <w:tcPr>
            <w:tcW w:w="155"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Other computer and network equipment</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pPr>
            <w:r>
              <w:rPr/>
              <w:t>1,199</w:t>
            </w:r>
          </w:p>
        </w:tc>
        <w:tc>
          <w:tcPr>
            <w:tcW w:w="15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pPr>
            <w:r>
              <w:rPr/>
              <w:t>42</w:t>
            </w:r>
          </w:p>
        </w:tc>
        <w:tc>
          <w:tcPr>
            <w:tcW w:w="159" w:type="dxa"/>
            <w:tcBorders/>
            <w:shd w:fill="auto" w:val="clear"/>
            <w:vAlign w:val="bottom"/>
          </w:tcPr>
          <w:p>
            <w:pPr>
              <w:pStyle w:val="TableContents"/>
              <w:spacing w:before="0" w:after="283"/>
              <w:rPr/>
            </w:pPr>
            <w:r>
              <w:rPr/>
              <w:t> </w:t>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479</w:t>
            </w:r>
          </w:p>
        </w:tc>
        <w:tc>
          <w:tcPr>
            <w:tcW w:w="155"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single" w:sz="2" w:space="1" w:color="000000"/>
              </w:pBdr>
              <w:spacing w:before="0" w:after="0"/>
              <w:rPr/>
            </w:pPr>
            <w:r>
              <w:rPr/>
              <w:t> </w:t>
            </w:r>
          </w:p>
        </w:tc>
        <w:tc>
          <w:tcPr>
            <w:tcW w:w="16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single" w:sz="2" w:space="1" w:color="000000"/>
              </w:pBdr>
              <w:spacing w:before="0" w:after="0"/>
              <w:rPr/>
            </w:pPr>
            <w:r>
              <w:rPr/>
              <w:t> </w:t>
            </w:r>
          </w:p>
        </w:tc>
        <w:tc>
          <w:tcPr>
            <w:tcW w:w="16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Property, equipment and software, gross</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pPr>
            <w:r>
              <w:rPr/>
              <w:t>22,740</w:t>
            </w:r>
          </w:p>
        </w:tc>
        <w:tc>
          <w:tcPr>
            <w:tcW w:w="15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pPr>
            <w:r>
              <w:rPr/>
              <w:t>11,188</w:t>
            </w:r>
          </w:p>
        </w:tc>
        <w:tc>
          <w:tcPr>
            <w:tcW w:w="159" w:type="dxa"/>
            <w:tcBorders/>
            <w:shd w:fill="auto" w:val="clear"/>
            <w:vAlign w:val="bottom"/>
          </w:tcPr>
          <w:p>
            <w:pPr>
              <w:pStyle w:val="TableContents"/>
              <w:spacing w:before="0" w:after="283"/>
              <w:rPr/>
            </w:pPr>
            <w:r>
              <w:rPr/>
              <w:t> </w:t>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Less: accumulated amortization and depreciation</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(2,783</w:t>
            </w:r>
          </w:p>
        </w:tc>
        <w:tc>
          <w:tcPr>
            <w:tcW w:w="155"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(80</w:t>
            </w:r>
          </w:p>
        </w:tc>
        <w:tc>
          <w:tcPr>
            <w:tcW w:w="159" w:type="dxa"/>
            <w:tcBorders/>
            <w:shd w:fill="CCEEFF"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single" w:sz="2" w:space="1" w:color="000000"/>
              </w:pBdr>
              <w:spacing w:before="0" w:after="0"/>
              <w:rPr/>
            </w:pPr>
            <w:r>
              <w:rPr/>
              <w:t> </w:t>
            </w:r>
          </w:p>
        </w:tc>
        <w:tc>
          <w:tcPr>
            <w:tcW w:w="16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single" w:sz="2" w:space="1" w:color="000000"/>
              </w:pBdr>
              <w:spacing w:before="0" w:after="0"/>
              <w:rPr/>
            </w:pPr>
            <w:r>
              <w:rPr/>
              <w:t> </w:t>
            </w:r>
          </w:p>
        </w:tc>
        <w:tc>
          <w:tcPr>
            <w:tcW w:w="16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w:t>
            </w:r>
          </w:p>
        </w:tc>
        <w:tc>
          <w:tcPr>
            <w:tcW w:w="1657" w:type="dxa"/>
            <w:tcBorders/>
            <w:shd w:fill="auto" w:val="clear"/>
            <w:vAlign w:val="bottom"/>
          </w:tcPr>
          <w:p>
            <w:pPr>
              <w:pStyle w:val="TableContents"/>
              <w:spacing w:before="0" w:after="283"/>
              <w:jc w:val="right"/>
              <w:rPr/>
            </w:pPr>
            <w:r>
              <w:rPr/>
              <w:t>19,957</w:t>
            </w:r>
          </w:p>
        </w:tc>
        <w:tc>
          <w:tcPr>
            <w:tcW w:w="15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w:t>
            </w:r>
          </w:p>
        </w:tc>
        <w:tc>
          <w:tcPr>
            <w:tcW w:w="1657" w:type="dxa"/>
            <w:tcBorders/>
            <w:shd w:fill="auto" w:val="clear"/>
            <w:vAlign w:val="bottom"/>
          </w:tcPr>
          <w:p>
            <w:pPr>
              <w:pStyle w:val="TableContents"/>
              <w:spacing w:before="0" w:after="283"/>
              <w:jc w:val="right"/>
              <w:rPr/>
            </w:pPr>
            <w:r>
              <w:rPr/>
              <w:t>11,108</w:t>
            </w:r>
          </w:p>
        </w:tc>
        <w:tc>
          <w:tcPr>
            <w:tcW w:w="159" w:type="dxa"/>
            <w:tcBorders/>
            <w:shd w:fill="auto"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double" w:sz="6" w:space="1" w:color="000000"/>
              </w:pBdr>
              <w:spacing w:before="0" w:after="0"/>
              <w:rPr/>
            </w:pPr>
            <w:r>
              <w:rPr/>
              <w:t> </w:t>
            </w:r>
          </w:p>
        </w:tc>
        <w:tc>
          <w:tcPr>
            <w:tcW w:w="165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double" w:sz="6" w:space="1" w:color="000000"/>
              </w:pBdr>
              <w:spacing w:before="0" w:after="0"/>
              <w:rPr/>
            </w:pPr>
            <w:r>
              <w:rPr/>
              <w:t> </w:t>
            </w:r>
          </w:p>
        </w:tc>
        <w:tc>
          <w:tcPr>
            <w:tcW w:w="165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year ended December 31, 2020 and 2019, the Company recorded depreciation and amortization expense related to property, equipment and software amounting to $2,703,000 and $80,000, respectively, of which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F-44</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$878,000 and $79,000, respectively, related to amortization expense of capitalized internal-use software placed in service. </w:t>
      </w:r>
    </w:p>
    <w:p>
      <w:pPr>
        <w:pStyle w:val="TextBody"/>
        <w:spacing w:before="240" w:after="0"/>
        <w:jc w:val="left"/>
        <w:rPr>
          <w:rFonts w:ascii="Times New Roman" w:hAnsi="Times New Roman"/>
          <w:sz w:val="20"/>
        </w:rPr>
      </w:pPr>
      <w:r>
        <w:rPr>
          <w:rFonts w:ascii="Times New Roman" w:hAnsi="Times New Roman"/>
          <w:sz w:val="20"/>
        </w:rPr>
        <w:t xml:space="preserve">ICE has contributed to the Company capitalized costs related to software obtained for internal use (see Note 8). As of December 31, 2020 and 2019, total amounts capitalized were $19,805,000 and $11,146,000, respectively, with $1,728,000 having been contributed by ICE during the year ended December 31, 2019 at historical cost. As of December 31, 2020 and 2019, $17,407,000 and $2,416,000, respectively, of internal-use software has been placed in service. </w:t>
      </w:r>
    </w:p>
    <w:p>
      <w:pPr>
        <w:pStyle w:val="TextBody"/>
        <w:spacing w:before="240" w:after="0"/>
        <w:jc w:val="left"/>
        <w:rPr>
          <w:rFonts w:ascii="Times New Roman" w:hAnsi="Times New Roman"/>
          <w:sz w:val="20"/>
        </w:rPr>
      </w:pPr>
      <w:r>
        <w:rPr>
          <w:rFonts w:ascii="Times New Roman" w:hAnsi="Times New Roman"/>
          <w:sz w:val="20"/>
        </w:rPr>
        <w:t xml:space="preserve">The Company entered into a software license agreement that requires a minimum usage fee of $675,000 annually for the contract term. The license was capitalized at the present value of minimum license payments over the contract term. The Company recognized a corresponding liability for the license payments. The software license is being amortized over the contract term. Additional amounts may be owed under the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 As of December 31, 2020, the remaining asset and liability related to the software license are $1,742,000 and $1,908,000, respectively (see Note 6).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2020, the Company recognized that various customizations were needed to an application being developed by a third party for Bakkt Marketplace to expand the applications functionality to meet the Companys business requirements. The application was customized to include necessary features, and its testing began in the second half of fiscal year 2020. The Company began encountering significant obstacles and complications in achieving desired results during testing, which was identified as a triggering event for impairment analysis. The Company concluded that the application would not provide a viable solution for its business requirements. Subsequent to this conclusion, no additional costs have been capitalized for this initiative. This termination of development, in addition to the aforementioned triggering event, indicated that the carrying value of the capitalized internal-use software was impaired as of December 31, 2020. </w:t>
      </w:r>
    </w:p>
    <w:p>
      <w:pPr>
        <w:pStyle w:val="TextBody"/>
        <w:spacing w:before="240" w:after="0"/>
        <w:jc w:val="left"/>
        <w:rPr>
          <w:rFonts w:ascii="Times New Roman" w:hAnsi="Times New Roman"/>
          <w:sz w:val="20"/>
        </w:rPr>
      </w:pPr>
      <w:r>
        <w:rPr>
          <w:rFonts w:ascii="Times New Roman" w:hAnsi="Times New Roman"/>
          <w:sz w:val="20"/>
        </w:rPr>
        <w:t xml:space="preserve">The Company recorded an impairment charge of $11,449,000 to reduce the carrying amount of internal-use software within property, equipment and software to its fair value. The impairment charge is reflected as Impairment of long-lived assets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F-45</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Deposits with Clearinghouse Affiliate </w:t>
      </w:r>
    </w:p>
    <w:p>
      <w:pPr>
        <w:pStyle w:val="TextBody"/>
        <w:spacing w:before="120" w:after="0"/>
        <w:jc w:val="left"/>
        <w:rPr>
          <w:rFonts w:ascii="Times New Roman" w:hAnsi="Times New Roman"/>
          <w:sz w:val="20"/>
        </w:rPr>
      </w:pPr>
      <w:r>
        <w:rPr>
          <w:rFonts w:ascii="Times New Roman" w:hAnsi="Times New Roman"/>
          <w:sz w:val="20"/>
        </w:rPr>
        <w:t xml:space="preserve">Deposits with clearinghouse affiliate, current and noncurrent,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643"/>
        <w:gridCol w:w="505"/>
        <w:gridCol w:w="333"/>
        <w:gridCol w:w="1656"/>
        <w:gridCol w:w="60"/>
        <w:gridCol w:w="505"/>
        <w:gridCol w:w="333"/>
        <w:gridCol w:w="1656"/>
        <w:gridCol w:w="64"/>
      </w:tblGrid>
      <w:tr>
        <w:trPr/>
        <w:tc>
          <w:tcPr>
            <w:tcW w:w="2643"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643"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9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60"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9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64" w:type="dxa"/>
            <w:tcBorders/>
            <w:shd w:fill="auto" w:val="clear"/>
            <w:vAlign w:val="bottom"/>
          </w:tcPr>
          <w:p>
            <w:pPr>
              <w:pStyle w:val="TableContents"/>
              <w:spacing w:before="0" w:after="283"/>
              <w:rPr/>
            </w:pPr>
            <w:r>
              <w:rPr/>
              <w:t> </w:t>
            </w:r>
          </w:p>
        </w:tc>
      </w:tr>
      <w:tr>
        <w:trPr/>
        <w:tc>
          <w:tcPr>
            <w:tcW w:w="2643" w:type="dxa"/>
            <w:tcBorders/>
            <w:shd w:fill="CCEEFF" w:val="clear"/>
          </w:tcPr>
          <w:p>
            <w:pPr>
              <w:pStyle w:val="TableContents"/>
              <w:spacing w:before="0" w:after="0"/>
              <w:rPr>
                <w:rFonts w:ascii="Times New Roman" w:hAnsi="Times New Roman"/>
                <w:sz w:val="20"/>
              </w:rPr>
            </w:pPr>
            <w:r>
              <w:rPr>
                <w:rFonts w:ascii="Times New Roman" w:hAnsi="Times New Roman"/>
                <w:sz w:val="20"/>
              </w:rPr>
              <w:t>Default resource contribution (see Note 7)</w:t>
            </w:r>
          </w:p>
        </w:tc>
        <w:tc>
          <w:tcPr>
            <w:tcW w:w="50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1656" w:type="dxa"/>
            <w:tcBorders/>
            <w:shd w:fill="CCEEFF" w:val="clear"/>
            <w:vAlign w:val="bottom"/>
          </w:tcPr>
          <w:p>
            <w:pPr>
              <w:pStyle w:val="TableContents"/>
              <w:spacing w:before="0" w:after="283"/>
              <w:jc w:val="right"/>
              <w:rPr/>
            </w:pPr>
            <w:r>
              <w:rPr/>
              <w:t>35,350</w:t>
            </w:r>
          </w:p>
        </w:tc>
        <w:tc>
          <w:tcPr>
            <w:tcW w:w="60"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1656" w:type="dxa"/>
            <w:tcBorders/>
            <w:shd w:fill="CCEEFF" w:val="clear"/>
            <w:vAlign w:val="bottom"/>
          </w:tcPr>
          <w:p>
            <w:pPr>
              <w:pStyle w:val="TableContents"/>
              <w:spacing w:before="0" w:after="283"/>
              <w:jc w:val="right"/>
              <w:rPr/>
            </w:pPr>
            <w:r>
              <w:rPr/>
              <w:t>35,377</w:t>
            </w:r>
          </w:p>
        </w:tc>
        <w:tc>
          <w:tcPr>
            <w:tcW w:w="64" w:type="dxa"/>
            <w:tcBorders/>
            <w:shd w:fill="CCEEFF" w:val="clear"/>
            <w:vAlign w:val="bottom"/>
          </w:tcPr>
          <w:p>
            <w:pPr>
              <w:pStyle w:val="TableContents"/>
              <w:spacing w:before="0" w:after="283"/>
              <w:rPr/>
            </w:pPr>
            <w:r>
              <w:rPr/>
              <w:t> </w:t>
            </w:r>
          </w:p>
        </w:tc>
      </w:tr>
      <w:tr>
        <w:trPr/>
        <w:tc>
          <w:tcPr>
            <w:tcW w:w="2643" w:type="dxa"/>
            <w:tcBorders/>
            <w:shd w:fill="auto" w:val="clear"/>
          </w:tcPr>
          <w:p>
            <w:pPr>
              <w:pStyle w:val="TableContents"/>
              <w:spacing w:before="0" w:after="0"/>
              <w:rPr>
                <w:rFonts w:ascii="Times New Roman" w:hAnsi="Times New Roman"/>
                <w:sz w:val="20"/>
              </w:rPr>
            </w:pPr>
            <w:r>
              <w:rPr>
                <w:rFonts w:ascii="Times New Roman" w:hAnsi="Times New Roman"/>
                <w:sz w:val="20"/>
              </w:rPr>
              <w:t>Other clearinghouse deposits</w:t>
            </w:r>
          </w:p>
        </w:tc>
        <w:tc>
          <w:tcPr>
            <w:tcW w:w="50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pPr>
            <w:r>
              <w:rPr/>
              <w:t>10,975</w:t>
            </w:r>
          </w:p>
        </w:tc>
        <w:tc>
          <w:tcPr>
            <w:tcW w:w="64"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single" w:sz="2" w:space="1" w:color="000000"/>
              </w:pBdr>
              <w:spacing w:before="0" w:after="0"/>
              <w:rPr/>
            </w:pPr>
            <w:r>
              <w:rPr/>
              <w:t> </w:t>
            </w:r>
          </w:p>
        </w:tc>
        <w:tc>
          <w:tcPr>
            <w:tcW w:w="165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single" w:sz="2" w:space="1" w:color="000000"/>
              </w:pBdr>
              <w:spacing w:before="0" w:after="0"/>
              <w:rPr/>
            </w:pPr>
            <w:r>
              <w:rPr/>
              <w:t> </w:t>
            </w:r>
          </w:p>
        </w:tc>
        <w:tc>
          <w:tcPr>
            <w:tcW w:w="1656"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643" w:type="dxa"/>
            <w:tcBorders/>
            <w:shd w:fill="CCEEFF" w:val="clear"/>
          </w:tcPr>
          <w:p>
            <w:pPr>
              <w:pStyle w:val="TableContents"/>
              <w:spacing w:before="0" w:after="283"/>
              <w:rPr>
                <w:sz w:val="4"/>
                <w:szCs w:val="4"/>
              </w:rPr>
            </w:pPr>
            <w:r>
              <w:rPr>
                <w:sz w:val="4"/>
                <w:szCs w:val="4"/>
              </w:rPr>
            </w:r>
          </w:p>
        </w:tc>
        <w:tc>
          <w:tcPr>
            <w:tcW w:w="50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1656" w:type="dxa"/>
            <w:tcBorders/>
            <w:shd w:fill="CCEEFF" w:val="clear"/>
            <w:vAlign w:val="bottom"/>
          </w:tcPr>
          <w:p>
            <w:pPr>
              <w:pStyle w:val="TableContents"/>
              <w:spacing w:before="0" w:after="283"/>
              <w:jc w:val="right"/>
              <w:rPr/>
            </w:pPr>
            <w:r>
              <w:rPr/>
              <w:t>35,350</w:t>
            </w:r>
          </w:p>
        </w:tc>
        <w:tc>
          <w:tcPr>
            <w:tcW w:w="60"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1656" w:type="dxa"/>
            <w:tcBorders/>
            <w:shd w:fill="CCEEFF" w:val="clear"/>
            <w:vAlign w:val="bottom"/>
          </w:tcPr>
          <w:p>
            <w:pPr>
              <w:pStyle w:val="TableContents"/>
              <w:spacing w:before="0" w:after="283"/>
              <w:jc w:val="right"/>
              <w:rPr/>
            </w:pPr>
            <w:r>
              <w:rPr/>
              <w:t>46,352</w:t>
            </w:r>
          </w:p>
        </w:tc>
        <w:tc>
          <w:tcPr>
            <w:tcW w:w="64" w:type="dxa"/>
            <w:tcBorders/>
            <w:shd w:fill="CCEEFF"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double" w:sz="6" w:space="1" w:color="000000"/>
              </w:pBdr>
              <w:spacing w:before="0" w:after="0"/>
              <w:rPr/>
            </w:pPr>
            <w:r>
              <w:rPr/>
              <w:t> </w:t>
            </w:r>
          </w:p>
        </w:tc>
        <w:tc>
          <w:tcPr>
            <w:tcW w:w="165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double" w:sz="6" w:space="1" w:color="000000"/>
              </w:pBdr>
              <w:spacing w:before="0" w:after="0"/>
              <w:rPr/>
            </w:pPr>
            <w:r>
              <w:rPr/>
              <w:t> </w:t>
            </w:r>
          </w:p>
        </w:tc>
        <w:tc>
          <w:tcPr>
            <w:tcW w:w="1656"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Bakkt Clearing had FCM-related deposits of $0 and $10,975,000 with ICUS as of December 31, 2020 and 2019, respectively. In connection with the withdrawal of Bakkt Clearings ICUS membership on May 20, 2020, all FCM-related deposits were released to Bakkt Clearing. </w:t>
      </w:r>
    </w:p>
    <w:p>
      <w:pPr>
        <w:pStyle w:val="TextBody"/>
        <w:spacing w:before="360" w:after="0"/>
        <w:jc w:val="left"/>
        <w:rPr>
          <w:rFonts w:ascii="Times New Roman" w:hAnsi="Times New Roman"/>
          <w:b/>
          <w:i/>
          <w:sz w:val="20"/>
        </w:rPr>
      </w:pPr>
      <w:r>
        <w:rPr>
          <w:rFonts w:ascii="Times New Roman" w:hAnsi="Times New Roman"/>
          <w:b/>
          <w:i/>
          <w:sz w:val="20"/>
        </w:rPr>
        <w:t xml:space="preserve">Other Assets </w:t>
      </w:r>
    </w:p>
    <w:p>
      <w:pPr>
        <w:pStyle w:val="TextBody"/>
        <w:spacing w:before="120" w:after="0"/>
        <w:jc w:val="left"/>
        <w:rPr>
          <w:rFonts w:ascii="Times New Roman" w:hAnsi="Times New Roman"/>
          <w:sz w:val="20"/>
        </w:rPr>
      </w:pPr>
      <w:r>
        <w:rPr>
          <w:rFonts w:ascii="Times New Roman" w:hAnsi="Times New Roman"/>
          <w:sz w:val="20"/>
        </w:rPr>
        <w:t xml:space="preserve">Other assets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494"/>
        <w:gridCol w:w="592"/>
        <w:gridCol w:w="391"/>
        <w:gridCol w:w="1581"/>
        <w:gridCol w:w="60"/>
        <w:gridCol w:w="592"/>
        <w:gridCol w:w="597"/>
        <w:gridCol w:w="1385"/>
        <w:gridCol w:w="63"/>
      </w:tblGrid>
      <w:tr>
        <w:trPr/>
        <w:tc>
          <w:tcPr>
            <w:tcW w:w="249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494"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9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9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63" w:type="dxa"/>
            <w:tcBorders/>
            <w:shd w:fill="auto" w:val="clear"/>
            <w:vAlign w:val="bottom"/>
          </w:tcPr>
          <w:p>
            <w:pPr>
              <w:pStyle w:val="TableContents"/>
              <w:spacing w:before="0" w:after="283"/>
              <w:rPr/>
            </w:pPr>
            <w:r>
              <w:rPr/>
              <w:t> </w:t>
            </w:r>
          </w:p>
        </w:tc>
      </w:tr>
      <w:tr>
        <w:trPr/>
        <w:tc>
          <w:tcPr>
            <w:tcW w:w="2494" w:type="dxa"/>
            <w:tcBorders/>
            <w:shd w:fill="CCEEFF" w:val="clear"/>
          </w:tcPr>
          <w:p>
            <w:pPr>
              <w:pStyle w:val="TableContents"/>
              <w:spacing w:before="0" w:after="0"/>
              <w:rPr>
                <w:rFonts w:ascii="Times New Roman" w:hAnsi="Times New Roman"/>
                <w:sz w:val="20"/>
              </w:rPr>
            </w:pPr>
            <w:r>
              <w:rPr>
                <w:rFonts w:ascii="Times New Roman" w:hAnsi="Times New Roman"/>
                <w:sz w:val="20"/>
              </w:rPr>
              <w:t>Class B warrant asset, noncurrent (see Note 8)</w:t>
            </w:r>
          </w:p>
        </w:tc>
        <w:tc>
          <w:tcPr>
            <w:tcW w:w="592"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81" w:type="dxa"/>
            <w:tcBorders/>
            <w:shd w:fill="CCEEFF" w:val="clear"/>
            <w:vAlign w:val="bottom"/>
          </w:tcPr>
          <w:p>
            <w:pPr>
              <w:pStyle w:val="TableContents"/>
              <w:spacing w:before="0" w:after="283"/>
              <w:jc w:val="right"/>
              <w:rPr/>
            </w:pPr>
            <w:r>
              <w:rPr/>
              <w:t>2,713</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w:t>
            </w:r>
          </w:p>
        </w:tc>
        <w:tc>
          <w:tcPr>
            <w:tcW w:w="1385"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2494"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59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jc w:val="right"/>
              <w:rPr/>
            </w:pPr>
            <w:r>
              <w:rPr/>
              <w:t>1,799</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2494" w:type="dxa"/>
            <w:tcBorders/>
            <w:shd w:fill="CCEEFF" w:val="clear"/>
          </w:tcPr>
          <w:p>
            <w:pPr>
              <w:pStyle w:val="TableContents"/>
              <w:spacing w:before="0" w:after="0"/>
              <w:rPr>
                <w:rFonts w:ascii="Times New Roman" w:hAnsi="Times New Roman"/>
                <w:sz w:val="20"/>
              </w:rPr>
            </w:pPr>
            <w:r>
              <w:rPr>
                <w:rFonts w:ascii="Times New Roman" w:hAnsi="Times New Roman"/>
                <w:sz w:val="20"/>
              </w:rPr>
              <w:t>Finance lease right-of-use assets</w:t>
            </w:r>
          </w:p>
        </w:tc>
        <w:tc>
          <w:tcPr>
            <w:tcW w:w="592"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jc w:val="right"/>
              <w:rPr/>
            </w:pPr>
            <w:r>
              <w:rPr/>
              <w:t>468</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1385"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2494" w:type="dxa"/>
            <w:tcBorders/>
            <w:shd w:fill="auto" w:val="clear"/>
          </w:tcPr>
          <w:p>
            <w:pPr>
              <w:pStyle w:val="TableContents"/>
              <w:spacing w:before="0" w:after="0"/>
              <w:rPr>
                <w:rFonts w:ascii="Times New Roman" w:hAnsi="Times New Roman"/>
                <w:sz w:val="20"/>
              </w:rPr>
            </w:pPr>
            <w:r>
              <w:rPr>
                <w:rFonts w:ascii="Times New Roman" w:hAnsi="Times New Roman"/>
                <w:sz w:val="20"/>
              </w:rPr>
              <w:t>Other</w:t>
            </w:r>
          </w:p>
        </w:tc>
        <w:tc>
          <w:tcPr>
            <w:tcW w:w="59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jc w:val="right"/>
              <w:rPr/>
            </w:pPr>
            <w:r>
              <w:rPr/>
              <w:t>598</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2494"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pBdr>
                <w:top w:val="single" w:sz="2" w:space="1" w:color="000000"/>
              </w:pBdr>
              <w:spacing w:before="0" w:after="0"/>
              <w:rPr/>
            </w:pPr>
            <w:r>
              <w:rPr/>
              <w:t> </w:t>
            </w:r>
          </w:p>
        </w:tc>
        <w:tc>
          <w:tcPr>
            <w:tcW w:w="158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pBdr>
                <w:top w:val="single" w:sz="2" w:space="1" w:color="000000"/>
              </w:pBdr>
              <w:spacing w:before="0" w:after="0"/>
              <w:rPr/>
            </w:pPr>
            <w:r>
              <w:rPr/>
              <w:t> </w:t>
            </w:r>
          </w:p>
        </w:tc>
        <w:tc>
          <w:tcPr>
            <w:tcW w:w="138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2494" w:type="dxa"/>
            <w:tcBorders/>
            <w:shd w:fill="CCEEFF" w:val="clear"/>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81" w:type="dxa"/>
            <w:tcBorders/>
            <w:shd w:fill="CCEEFF" w:val="clear"/>
            <w:vAlign w:val="bottom"/>
          </w:tcPr>
          <w:p>
            <w:pPr>
              <w:pStyle w:val="TableContents"/>
              <w:spacing w:before="0" w:after="283"/>
              <w:jc w:val="right"/>
              <w:rPr/>
            </w:pPr>
            <w:r>
              <w:rPr/>
              <w:t>5,578</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w:t>
            </w:r>
          </w:p>
        </w:tc>
        <w:tc>
          <w:tcPr>
            <w:tcW w:w="1385" w:type="dxa"/>
            <w:tcBorders/>
            <w:shd w:fill="CCEEFF" w:val="clear"/>
            <w:vAlign w:val="bottom"/>
          </w:tcPr>
          <w:p>
            <w:pPr>
              <w:pStyle w:val="TableContents"/>
              <w:spacing w:before="0" w:after="283"/>
              <w:jc w:val="right"/>
              <w:rPr/>
            </w:pPr>
            <w:r>
              <w:rPr/>
              <w:t>4</w:t>
            </w:r>
          </w:p>
        </w:tc>
        <w:tc>
          <w:tcPr>
            <w:tcW w:w="63" w:type="dxa"/>
            <w:tcBorders/>
            <w:shd w:fill="CCEEFF" w:val="clear"/>
            <w:vAlign w:val="bottom"/>
          </w:tcPr>
          <w:p>
            <w:pPr>
              <w:pStyle w:val="TableContents"/>
              <w:spacing w:before="0" w:after="283"/>
              <w:rPr/>
            </w:pPr>
            <w:r>
              <w:rPr/>
              <w:t> </w:t>
            </w:r>
          </w:p>
        </w:tc>
      </w:tr>
      <w:tr>
        <w:trPr/>
        <w:tc>
          <w:tcPr>
            <w:tcW w:w="2494"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pBdr>
                <w:top w:val="double" w:sz="6" w:space="1" w:color="000000"/>
              </w:pBdr>
              <w:spacing w:before="0" w:after="0"/>
              <w:rPr/>
            </w:pPr>
            <w:r>
              <w:rPr/>
              <w:t> </w:t>
            </w:r>
          </w:p>
        </w:tc>
        <w:tc>
          <w:tcPr>
            <w:tcW w:w="158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pBdr>
                <w:top w:val="double" w:sz="6" w:space="1" w:color="000000"/>
              </w:pBdr>
              <w:spacing w:before="0" w:after="0"/>
              <w:rPr/>
            </w:pPr>
            <w:r>
              <w:rPr/>
              <w:t> </w:t>
            </w:r>
          </w:p>
        </w:tc>
        <w:tc>
          <w:tcPr>
            <w:tcW w:w="1385"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Accounts Payable and Accrued Liabilities </w:t>
      </w:r>
    </w:p>
    <w:p>
      <w:pPr>
        <w:pStyle w:val="TextBody"/>
        <w:spacing w:before="120" w:after="0"/>
        <w:jc w:val="left"/>
        <w:rPr>
          <w:rFonts w:ascii="Times New Roman" w:hAnsi="Times New Roman"/>
          <w:sz w:val="20"/>
        </w:rPr>
      </w:pPr>
      <w:r>
        <w:rPr>
          <w:rFonts w:ascii="Times New Roman" w:hAnsi="Times New Roman"/>
          <w:sz w:val="20"/>
        </w:rPr>
        <w:t xml:space="preserve">Accounts payable and accrued liabilities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634"/>
        <w:gridCol w:w="534"/>
        <w:gridCol w:w="248"/>
        <w:gridCol w:w="1217"/>
        <w:gridCol w:w="60"/>
        <w:gridCol w:w="534"/>
        <w:gridCol w:w="284"/>
        <w:gridCol w:w="1181"/>
        <w:gridCol w:w="63"/>
      </w:tblGrid>
      <w:tr>
        <w:trPr/>
        <w:tc>
          <w:tcPr>
            <w:tcW w:w="36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6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2019</w:t>
            </w:r>
          </w:p>
        </w:tc>
        <w:tc>
          <w:tcPr>
            <w:tcW w:w="63" w:type="dxa"/>
            <w:tcBorders/>
            <w:shd w:fill="auto" w:val="clear"/>
            <w:vAlign w:val="bottom"/>
          </w:tcPr>
          <w:p>
            <w:pPr>
              <w:pStyle w:val="TableContents"/>
              <w:spacing w:before="0" w:after="283"/>
              <w:rPr/>
            </w:pPr>
            <w:r>
              <w:rPr/>
              <w:t> </w:t>
            </w:r>
          </w:p>
        </w:tc>
      </w:tr>
      <w:tr>
        <w:trPr/>
        <w:tc>
          <w:tcPr>
            <w:tcW w:w="3634"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w:t>
            </w:r>
          </w:p>
        </w:tc>
        <w:tc>
          <w:tcPr>
            <w:tcW w:w="53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w:t>
            </w:r>
          </w:p>
        </w:tc>
        <w:tc>
          <w:tcPr>
            <w:tcW w:w="1217" w:type="dxa"/>
            <w:tcBorders/>
            <w:shd w:fill="CCEEFF" w:val="clear"/>
            <w:vAlign w:val="bottom"/>
          </w:tcPr>
          <w:p>
            <w:pPr>
              <w:pStyle w:val="TableContents"/>
              <w:spacing w:before="0" w:after="283"/>
              <w:jc w:val="right"/>
              <w:rPr/>
            </w:pPr>
            <w:r>
              <w:rPr/>
              <w:t>7,165</w:t>
            </w:r>
          </w:p>
        </w:tc>
        <w:tc>
          <w:tcPr>
            <w:tcW w:w="6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w:t>
            </w:r>
          </w:p>
        </w:tc>
        <w:tc>
          <w:tcPr>
            <w:tcW w:w="1181" w:type="dxa"/>
            <w:tcBorders/>
            <w:shd w:fill="CCEEFF" w:val="clear"/>
            <w:vAlign w:val="bottom"/>
          </w:tcPr>
          <w:p>
            <w:pPr>
              <w:pStyle w:val="TableContents"/>
              <w:spacing w:before="0" w:after="283"/>
              <w:jc w:val="right"/>
              <w:rPr/>
            </w:pPr>
            <w:r>
              <w:rPr/>
              <w:t>1,613</w:t>
            </w:r>
          </w:p>
        </w:tc>
        <w:tc>
          <w:tcPr>
            <w:tcW w:w="63" w:type="dxa"/>
            <w:tcBorders/>
            <w:shd w:fill="CCEEFF" w:val="clear"/>
            <w:vAlign w:val="bottom"/>
          </w:tcPr>
          <w:p>
            <w:pPr>
              <w:pStyle w:val="TableContents"/>
              <w:spacing w:before="0" w:after="283"/>
              <w:rPr/>
            </w:pPr>
            <w:r>
              <w:rPr/>
              <w:t> </w:t>
            </w:r>
          </w:p>
        </w:tc>
      </w:tr>
      <w:tr>
        <w:trPr/>
        <w:tc>
          <w:tcPr>
            <w:tcW w:w="3634"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w:t>
            </w:r>
          </w:p>
        </w:tc>
        <w:tc>
          <w:tcPr>
            <w:tcW w:w="53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14,808</w:t>
            </w:r>
          </w:p>
        </w:tc>
        <w:tc>
          <w:tcPr>
            <w:tcW w:w="6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2,393</w:t>
            </w:r>
          </w:p>
        </w:tc>
        <w:tc>
          <w:tcPr>
            <w:tcW w:w="63" w:type="dxa"/>
            <w:tcBorders/>
            <w:shd w:fill="auto" w:val="clear"/>
            <w:vAlign w:val="bottom"/>
          </w:tcPr>
          <w:p>
            <w:pPr>
              <w:pStyle w:val="TableContents"/>
              <w:spacing w:before="0" w:after="283"/>
              <w:rPr/>
            </w:pPr>
            <w:r>
              <w:rPr/>
              <w:t> </w:t>
            </w:r>
          </w:p>
        </w:tc>
      </w:tr>
      <w:tr>
        <w:trPr/>
        <w:tc>
          <w:tcPr>
            <w:tcW w:w="3634" w:type="dxa"/>
            <w:tcBorders/>
            <w:shd w:fill="CCEEFF" w:val="clear"/>
          </w:tcPr>
          <w:p>
            <w:pPr>
              <w:pStyle w:val="TableContents"/>
              <w:spacing w:before="0" w:after="0"/>
              <w:rPr>
                <w:rFonts w:ascii="Times New Roman" w:hAnsi="Times New Roman"/>
                <w:sz w:val="20"/>
              </w:rPr>
            </w:pPr>
            <w:r>
              <w:rPr>
                <w:rFonts w:ascii="Times New Roman" w:hAnsi="Times New Roman"/>
                <w:sz w:val="20"/>
              </w:rPr>
              <w:t>Purchasing card payable</w:t>
            </w:r>
          </w:p>
        </w:tc>
        <w:tc>
          <w:tcPr>
            <w:tcW w:w="53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12,683</w:t>
            </w:r>
          </w:p>
        </w:tc>
        <w:tc>
          <w:tcPr>
            <w:tcW w:w="6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3634" w:type="dxa"/>
            <w:tcBorders/>
            <w:shd w:fill="auto" w:val="clear"/>
          </w:tcPr>
          <w:p>
            <w:pPr>
              <w:pStyle w:val="TableContents"/>
              <w:spacing w:before="0" w:after="0"/>
              <w:rPr>
                <w:rFonts w:ascii="Times New Roman" w:hAnsi="Times New Roman"/>
                <w:sz w:val="20"/>
              </w:rPr>
            </w:pPr>
            <w:r>
              <w:rPr>
                <w:rFonts w:ascii="Times New Roman" w:hAnsi="Times New Roman"/>
                <w:sz w:val="20"/>
              </w:rPr>
              <w:t>Salaries and benefits payable</w:t>
            </w:r>
          </w:p>
        </w:tc>
        <w:tc>
          <w:tcPr>
            <w:tcW w:w="53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6,018</w:t>
            </w:r>
          </w:p>
        </w:tc>
        <w:tc>
          <w:tcPr>
            <w:tcW w:w="6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1,914</w:t>
            </w:r>
          </w:p>
        </w:tc>
        <w:tc>
          <w:tcPr>
            <w:tcW w:w="63" w:type="dxa"/>
            <w:tcBorders/>
            <w:shd w:fill="auto" w:val="clear"/>
            <w:vAlign w:val="bottom"/>
          </w:tcPr>
          <w:p>
            <w:pPr>
              <w:pStyle w:val="TableContents"/>
              <w:spacing w:before="0" w:after="283"/>
              <w:rPr/>
            </w:pPr>
            <w:r>
              <w:rPr/>
              <w:t> </w:t>
            </w:r>
          </w:p>
        </w:tc>
      </w:tr>
      <w:tr>
        <w:trPr/>
        <w:tc>
          <w:tcPr>
            <w:tcW w:w="3634"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3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2,241</w:t>
            </w:r>
          </w:p>
        </w:tc>
        <w:tc>
          <w:tcPr>
            <w:tcW w:w="6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pPr>
            <w:r>
              <w:rPr/>
              <w:t>35</w:t>
            </w:r>
          </w:p>
        </w:tc>
        <w:tc>
          <w:tcPr>
            <w:tcW w:w="63" w:type="dxa"/>
            <w:tcBorders/>
            <w:shd w:fill="CCEEFF" w:val="clear"/>
            <w:vAlign w:val="bottom"/>
          </w:tcPr>
          <w:p>
            <w:pPr>
              <w:pStyle w:val="TableContents"/>
              <w:spacing w:before="0" w:after="283"/>
              <w:rPr/>
            </w:pPr>
            <w:r>
              <w:rPr/>
              <w:t> </w:t>
            </w:r>
          </w:p>
        </w:tc>
      </w:tr>
      <w:tr>
        <w:trPr/>
        <w:tc>
          <w:tcPr>
            <w:tcW w:w="3634"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pBdr>
                <w:top w:val="single" w:sz="2" w:space="1" w:color="000000"/>
              </w:pBdr>
              <w:spacing w:before="0" w:after="0"/>
              <w:rPr/>
            </w:pPr>
            <w:r>
              <w:rPr/>
              <w:t> </w:t>
            </w:r>
          </w:p>
        </w:tc>
        <w:tc>
          <w:tcPr>
            <w:tcW w:w="12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single" w:sz="2" w:space="1" w:color="000000"/>
              </w:pBdr>
              <w:spacing w:before="0" w:after="0"/>
              <w:rPr/>
            </w:pPr>
            <w:r>
              <w:rPr/>
              <w:t> </w:t>
            </w:r>
          </w:p>
        </w:tc>
        <w:tc>
          <w:tcPr>
            <w:tcW w:w="1181"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3634" w:type="dxa"/>
            <w:tcBorders/>
            <w:shd w:fill="auto" w:val="clea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w:t>
            </w:r>
          </w:p>
        </w:tc>
        <w:tc>
          <w:tcPr>
            <w:tcW w:w="1217" w:type="dxa"/>
            <w:tcBorders/>
            <w:shd w:fill="auto" w:val="clear"/>
            <w:vAlign w:val="bottom"/>
          </w:tcPr>
          <w:p>
            <w:pPr>
              <w:pStyle w:val="TableContents"/>
              <w:spacing w:before="0" w:after="283"/>
              <w:jc w:val="right"/>
              <w:rPr/>
            </w:pPr>
            <w:r>
              <w:rPr/>
              <w:t>42,915</w:t>
            </w:r>
          </w:p>
        </w:tc>
        <w:tc>
          <w:tcPr>
            <w:tcW w:w="6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w:t>
            </w:r>
          </w:p>
        </w:tc>
        <w:tc>
          <w:tcPr>
            <w:tcW w:w="1181" w:type="dxa"/>
            <w:tcBorders/>
            <w:shd w:fill="auto" w:val="clear"/>
            <w:vAlign w:val="bottom"/>
          </w:tcPr>
          <w:p>
            <w:pPr>
              <w:pStyle w:val="TableContents"/>
              <w:spacing w:before="0" w:after="283"/>
              <w:jc w:val="right"/>
              <w:rPr/>
            </w:pPr>
            <w:r>
              <w:rPr/>
              <w:t>5,955</w:t>
            </w:r>
          </w:p>
        </w:tc>
        <w:tc>
          <w:tcPr>
            <w:tcW w:w="63" w:type="dxa"/>
            <w:tcBorders/>
            <w:shd w:fill="auto" w:val="clear"/>
            <w:vAlign w:val="bottom"/>
          </w:tcPr>
          <w:p>
            <w:pPr>
              <w:pStyle w:val="TableContents"/>
              <w:spacing w:before="0" w:after="283"/>
              <w:rPr/>
            </w:pPr>
            <w:r>
              <w:rPr/>
              <w:t> </w:t>
            </w:r>
          </w:p>
        </w:tc>
      </w:tr>
      <w:tr>
        <w:trPr/>
        <w:tc>
          <w:tcPr>
            <w:tcW w:w="3634"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pBdr>
                <w:top w:val="double" w:sz="6" w:space="1" w:color="000000"/>
              </w:pBdr>
              <w:spacing w:before="0" w:after="0"/>
              <w:rPr/>
            </w:pPr>
            <w:r>
              <w:rPr/>
              <w:t> </w:t>
            </w:r>
          </w:p>
        </w:tc>
        <w:tc>
          <w:tcPr>
            <w:tcW w:w="121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double" w:sz="6" w:space="1" w:color="000000"/>
              </w:pBdr>
              <w:spacing w:before="0" w:after="0"/>
              <w:rPr/>
            </w:pPr>
            <w:r>
              <w:rPr/>
              <w:t> </w:t>
            </w:r>
          </w:p>
        </w:tc>
        <w:tc>
          <w:tcPr>
            <w:tcW w:w="1181"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Other Current Liabilities </w:t>
      </w:r>
    </w:p>
    <w:p>
      <w:pPr>
        <w:pStyle w:val="TextBody"/>
        <w:spacing w:before="120" w:after="0"/>
        <w:jc w:val="left"/>
        <w:rPr>
          <w:rFonts w:ascii="Times New Roman" w:hAnsi="Times New Roman"/>
          <w:sz w:val="20"/>
        </w:rPr>
      </w:pPr>
      <w:r>
        <w:rPr>
          <w:rFonts w:ascii="Times New Roman" w:hAnsi="Times New Roman"/>
          <w:sz w:val="20"/>
        </w:rPr>
        <w:t xml:space="preserve">Other current liabilities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927"/>
        <w:gridCol w:w="627"/>
        <w:gridCol w:w="283"/>
        <w:gridCol w:w="1176"/>
        <w:gridCol w:w="60"/>
        <w:gridCol w:w="627"/>
        <w:gridCol w:w="598"/>
        <w:gridCol w:w="1392"/>
        <w:gridCol w:w="65"/>
      </w:tblGrid>
      <w:tr>
        <w:trPr/>
        <w:tc>
          <w:tcPr>
            <w:tcW w:w="29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927"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19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65" w:type="dxa"/>
            <w:tcBorders/>
            <w:shd w:fill="auto" w:val="clear"/>
            <w:vAlign w:val="bottom"/>
          </w:tcPr>
          <w:p>
            <w:pPr>
              <w:pStyle w:val="TableContents"/>
              <w:spacing w:before="0" w:after="283"/>
              <w:rPr/>
            </w:pPr>
            <w:r>
              <w:rPr/>
              <w:t> </w:t>
            </w:r>
          </w:p>
        </w:tc>
      </w:tr>
      <w:tr>
        <w:trPr/>
        <w:tc>
          <w:tcPr>
            <w:tcW w:w="2927" w:type="dxa"/>
            <w:tcBorders/>
            <w:shd w:fill="CCEEFF" w:val="clear"/>
          </w:tcPr>
          <w:p>
            <w:pPr>
              <w:pStyle w:val="TableContents"/>
              <w:spacing w:before="0" w:after="0"/>
              <w:rPr>
                <w:rFonts w:ascii="Times New Roman" w:hAnsi="Times New Roman"/>
                <w:sz w:val="20"/>
              </w:rPr>
            </w:pPr>
            <w:r>
              <w:rPr>
                <w:rFonts w:ascii="Times New Roman" w:hAnsi="Times New Roman"/>
                <w:sz w:val="20"/>
              </w:rPr>
              <w:t>Current maturities of operating lease liability</w:t>
            </w:r>
          </w:p>
        </w:tc>
        <w:tc>
          <w:tcPr>
            <w:tcW w:w="627"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76" w:type="dxa"/>
            <w:tcBorders/>
            <w:shd w:fill="CCEEFF" w:val="clear"/>
            <w:vAlign w:val="bottom"/>
          </w:tcPr>
          <w:p>
            <w:pPr>
              <w:pStyle w:val="TableContents"/>
              <w:spacing w:before="0" w:after="283"/>
              <w:jc w:val="right"/>
              <w:rPr/>
            </w:pPr>
            <w:r>
              <w:rPr/>
              <w:t>953</w:t>
            </w:r>
          </w:p>
        </w:tc>
        <w:tc>
          <w:tcPr>
            <w:tcW w:w="60"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w:t>
            </w:r>
          </w:p>
        </w:tc>
        <w:tc>
          <w:tcPr>
            <w:tcW w:w="139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927" w:type="dxa"/>
            <w:tcBorders/>
            <w:shd w:fill="auto" w:val="clear"/>
          </w:tcPr>
          <w:p>
            <w:pPr>
              <w:pStyle w:val="TableContents"/>
              <w:spacing w:before="0" w:after="0"/>
              <w:rPr>
                <w:rFonts w:ascii="Times New Roman" w:hAnsi="Times New Roman"/>
                <w:sz w:val="20"/>
              </w:rPr>
            </w:pPr>
            <w:r>
              <w:rPr>
                <w:rFonts w:ascii="Times New Roman" w:hAnsi="Times New Roman"/>
                <w:sz w:val="20"/>
              </w:rPr>
              <w:t>Software license obligation, current</w:t>
            </w:r>
          </w:p>
        </w:tc>
        <w:tc>
          <w:tcPr>
            <w:tcW w:w="627"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675</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2927" w:type="dxa"/>
            <w:tcBorders/>
            <w:shd w:fill="CCEEFF" w:val="clear"/>
          </w:tcPr>
          <w:p>
            <w:pPr>
              <w:pStyle w:val="TableContents"/>
              <w:spacing w:before="0" w:after="0"/>
              <w:rPr>
                <w:rFonts w:ascii="Times New Roman" w:hAnsi="Times New Roman"/>
                <w:sz w:val="20"/>
              </w:rPr>
            </w:pPr>
            <w:r>
              <w:rPr>
                <w:rFonts w:ascii="Times New Roman" w:hAnsi="Times New Roman"/>
                <w:sz w:val="20"/>
              </w:rPr>
              <w:t>Current maturities of finance lease liability</w:t>
            </w:r>
          </w:p>
        </w:tc>
        <w:tc>
          <w:tcPr>
            <w:tcW w:w="627"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129</w:t>
            </w:r>
          </w:p>
        </w:tc>
        <w:tc>
          <w:tcPr>
            <w:tcW w:w="60"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927" w:type="dxa"/>
            <w:tcBorders/>
            <w:shd w:fill="auto" w:val="clear"/>
          </w:tcPr>
          <w:p>
            <w:pPr>
              <w:pStyle w:val="TableContents"/>
              <w:spacing w:before="0" w:after="0"/>
              <w:rPr>
                <w:rFonts w:ascii="Times New Roman" w:hAnsi="Times New Roman"/>
                <w:sz w:val="20"/>
              </w:rPr>
            </w:pPr>
            <w:r>
              <w:rPr>
                <w:rFonts w:ascii="Times New Roman" w:hAnsi="Times New Roman"/>
                <w:sz w:val="20"/>
              </w:rPr>
              <w:t>Other</w:t>
            </w:r>
          </w:p>
        </w:tc>
        <w:tc>
          <w:tcPr>
            <w:tcW w:w="627"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186</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2927"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pBdr>
                <w:top w:val="single" w:sz="2" w:space="1" w:color="000000"/>
              </w:pBdr>
              <w:spacing w:before="0" w:after="0"/>
              <w:rPr/>
            </w:pPr>
            <w:r>
              <w:rPr/>
              <w:t> </w:t>
            </w:r>
          </w:p>
        </w:tc>
        <w:tc>
          <w:tcPr>
            <w:tcW w:w="11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927" w:type="dxa"/>
            <w:tcBorders/>
            <w:shd w:fill="CCEEFF" w:val="clear"/>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76" w:type="dxa"/>
            <w:tcBorders/>
            <w:shd w:fill="CCEEFF" w:val="clear"/>
            <w:vAlign w:val="bottom"/>
          </w:tcPr>
          <w:p>
            <w:pPr>
              <w:pStyle w:val="TableContents"/>
              <w:spacing w:before="0" w:after="283"/>
              <w:jc w:val="right"/>
              <w:rPr/>
            </w:pPr>
            <w:r>
              <w:rPr/>
              <w:t>1,943</w:t>
            </w:r>
          </w:p>
        </w:tc>
        <w:tc>
          <w:tcPr>
            <w:tcW w:w="60"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w:t>
            </w:r>
          </w:p>
        </w:tc>
        <w:tc>
          <w:tcPr>
            <w:tcW w:w="139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927"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pBdr>
                <w:top w:val="double" w:sz="6" w:space="1" w:color="000000"/>
              </w:pBdr>
              <w:spacing w:before="0" w:after="0"/>
              <w:rPr/>
            </w:pPr>
            <w:r>
              <w:rPr/>
              <w:t> </w:t>
            </w:r>
          </w:p>
        </w:tc>
        <w:tc>
          <w:tcPr>
            <w:tcW w:w="117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pBdr>
                <w:top w:val="double" w:sz="6" w:space="1" w:color="000000"/>
              </w:pBdr>
              <w:spacing w:before="0" w:after="0"/>
              <w:rPr/>
            </w:pPr>
            <w:r>
              <w:rPr/>
              <w:t> </w:t>
            </w:r>
          </w:p>
        </w:tc>
        <w:tc>
          <w:tcPr>
            <w:tcW w:w="1392"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F-46</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Liabilities </w:t>
      </w:r>
    </w:p>
    <w:p>
      <w:pPr>
        <w:pStyle w:val="TextBody"/>
        <w:spacing w:before="120" w:after="0"/>
        <w:jc w:val="left"/>
        <w:rPr>
          <w:rFonts w:ascii="Times New Roman" w:hAnsi="Times New Roman"/>
          <w:sz w:val="20"/>
        </w:rPr>
      </w:pPr>
      <w:r>
        <w:rPr>
          <w:rFonts w:ascii="Times New Roman" w:hAnsi="Times New Roman"/>
          <w:sz w:val="20"/>
        </w:rPr>
        <w:t xml:space="preserve">Other liabilities consisted of the following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51"/>
        <w:gridCol w:w="580"/>
        <w:gridCol w:w="391"/>
        <w:gridCol w:w="1565"/>
        <w:gridCol w:w="60"/>
        <w:gridCol w:w="580"/>
        <w:gridCol w:w="526"/>
        <w:gridCol w:w="1437"/>
        <w:gridCol w:w="65"/>
      </w:tblGrid>
      <w:tr>
        <w:trPr/>
        <w:tc>
          <w:tcPr>
            <w:tcW w:w="2551"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19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19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65" w:type="dxa"/>
            <w:tcBorders/>
            <w:shd w:fill="auto" w:val="clear"/>
            <w:vAlign w:val="bottom"/>
          </w:tcPr>
          <w:p>
            <w:pPr>
              <w:pStyle w:val="TableContents"/>
              <w:spacing w:before="0" w:after="283"/>
              <w:rPr/>
            </w:pPr>
            <w:r>
              <w:rPr/>
              <w:t> </w:t>
            </w:r>
          </w:p>
        </w:tc>
      </w:tr>
      <w:tr>
        <w:trPr/>
        <w:tc>
          <w:tcPr>
            <w:tcW w:w="2551" w:type="dxa"/>
            <w:tcBorders/>
            <w:shd w:fill="CCEEFF" w:val="clear"/>
          </w:tcPr>
          <w:p>
            <w:pPr>
              <w:pStyle w:val="TableContents"/>
              <w:spacing w:before="0" w:after="0"/>
              <w:rPr>
                <w:rFonts w:ascii="Times New Roman" w:hAnsi="Times New Roman"/>
                <w:sz w:val="20"/>
              </w:rPr>
            </w:pPr>
            <w:r>
              <w:rPr>
                <w:rFonts w:ascii="Times New Roman" w:hAnsi="Times New Roman"/>
                <w:sz w:val="20"/>
              </w:rPr>
              <w:t>Software license obligation, noncurrent</w:t>
            </w:r>
          </w:p>
        </w:tc>
        <w:tc>
          <w:tcPr>
            <w:tcW w:w="58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5" w:type="dxa"/>
            <w:tcBorders/>
            <w:shd w:fill="CCEEFF" w:val="clear"/>
            <w:vAlign w:val="bottom"/>
          </w:tcPr>
          <w:p>
            <w:pPr>
              <w:pStyle w:val="TableContents"/>
              <w:spacing w:before="0" w:after="283"/>
              <w:jc w:val="right"/>
              <w:rPr/>
            </w:pPr>
            <w:r>
              <w:rPr/>
              <w:t>1,233</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14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551" w:type="dxa"/>
            <w:tcBorders/>
            <w:shd w:fill="auto" w:val="clear"/>
          </w:tcPr>
          <w:p>
            <w:pPr>
              <w:pStyle w:val="TableContents"/>
              <w:spacing w:before="0" w:after="0"/>
              <w:rPr>
                <w:rFonts w:ascii="Times New Roman" w:hAnsi="Times New Roman"/>
                <w:sz w:val="20"/>
              </w:rPr>
            </w:pPr>
            <w:r>
              <w:rPr>
                <w:rFonts w:ascii="Times New Roman" w:hAnsi="Times New Roman"/>
                <w:sz w:val="20"/>
              </w:rPr>
              <w:t>Participation units liability</w:t>
            </w:r>
          </w:p>
        </w:tc>
        <w:tc>
          <w:tcPr>
            <w:tcW w:w="58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jc w:val="right"/>
              <w:rPr/>
            </w:pPr>
            <w:r>
              <w:rPr/>
              <w:t>870</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158</w:t>
            </w:r>
          </w:p>
        </w:tc>
        <w:tc>
          <w:tcPr>
            <w:tcW w:w="65" w:type="dxa"/>
            <w:tcBorders/>
            <w:shd w:fill="auto" w:val="clear"/>
            <w:vAlign w:val="bottom"/>
          </w:tcPr>
          <w:p>
            <w:pPr>
              <w:pStyle w:val="TableContents"/>
              <w:spacing w:before="0" w:after="283"/>
              <w:rPr/>
            </w:pPr>
            <w:r>
              <w:rPr/>
              <w:t> </w:t>
            </w:r>
          </w:p>
        </w:tc>
      </w:tr>
      <w:tr>
        <w:trPr/>
        <w:tc>
          <w:tcPr>
            <w:tcW w:w="2551"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liability, noncurrent</w:t>
            </w:r>
          </w:p>
        </w:tc>
        <w:tc>
          <w:tcPr>
            <w:tcW w:w="58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565" w:type="dxa"/>
            <w:tcBorders/>
            <w:shd w:fill="CCEEFF" w:val="clear"/>
            <w:vAlign w:val="bottom"/>
          </w:tcPr>
          <w:p>
            <w:pPr>
              <w:pStyle w:val="TableContents"/>
              <w:spacing w:before="0" w:after="283"/>
              <w:jc w:val="right"/>
              <w:rPr/>
            </w:pPr>
            <w:r>
              <w:rPr/>
              <w:t>847</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551" w:type="dxa"/>
            <w:tcBorders/>
            <w:shd w:fill="auto" w:val="clear"/>
          </w:tcPr>
          <w:p>
            <w:pPr>
              <w:pStyle w:val="TableContents"/>
              <w:spacing w:before="0" w:after="0"/>
              <w:rPr>
                <w:rFonts w:ascii="Times New Roman" w:hAnsi="Times New Roman"/>
                <w:sz w:val="20"/>
              </w:rPr>
            </w:pPr>
            <w:r>
              <w:rPr>
                <w:rFonts w:ascii="Times New Roman" w:hAnsi="Times New Roman"/>
                <w:sz w:val="20"/>
              </w:rPr>
              <w:t>Finance lease liability, noncurrent</w:t>
            </w:r>
          </w:p>
        </w:tc>
        <w:tc>
          <w:tcPr>
            <w:tcW w:w="58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jc w:val="right"/>
              <w:rPr/>
            </w:pPr>
            <w:r>
              <w:rPr/>
              <w:t>369</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2551" w:type="dxa"/>
            <w:tcBorders/>
            <w:shd w:fill="auto" w:val="clear"/>
            <w:vAlign w:val="bottom"/>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pBdr>
                <w:top w:val="single" w:sz="2" w:space="1" w:color="000000"/>
              </w:pBdr>
              <w:spacing w:before="0" w:after="0"/>
              <w:rPr/>
            </w:pPr>
            <w:r>
              <w:rPr/>
              <w:t> </w:t>
            </w:r>
          </w:p>
        </w:tc>
        <w:tc>
          <w:tcPr>
            <w:tcW w:w="156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437"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551" w:type="dxa"/>
            <w:tcBorders/>
            <w:shd w:fill="CCEEFF" w:val="clear"/>
          </w:tcPr>
          <w:p>
            <w:pPr>
              <w:pStyle w:val="TableContents"/>
              <w:spacing w:before="0" w:after="283"/>
              <w:rPr>
                <w:sz w:val="4"/>
                <w:szCs w:val="4"/>
              </w:rPr>
            </w:pPr>
            <w:r>
              <w:rPr>
                <w:sz w:val="4"/>
                <w:szCs w:val="4"/>
              </w:rPr>
            </w:r>
          </w:p>
        </w:tc>
        <w:tc>
          <w:tcPr>
            <w:tcW w:w="58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5" w:type="dxa"/>
            <w:tcBorders/>
            <w:shd w:fill="CCEEFF" w:val="clear"/>
            <w:vAlign w:val="bottom"/>
          </w:tcPr>
          <w:p>
            <w:pPr>
              <w:pStyle w:val="TableContents"/>
              <w:spacing w:before="0" w:after="283"/>
              <w:jc w:val="right"/>
              <w:rPr/>
            </w:pPr>
            <w:r>
              <w:rPr/>
              <w:t>3,319</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1437" w:type="dxa"/>
            <w:tcBorders/>
            <w:shd w:fill="CCEEFF" w:val="clear"/>
            <w:vAlign w:val="bottom"/>
          </w:tcPr>
          <w:p>
            <w:pPr>
              <w:pStyle w:val="TableContents"/>
              <w:spacing w:before="0" w:after="283"/>
              <w:jc w:val="right"/>
              <w:rPr/>
            </w:pPr>
            <w:r>
              <w:rPr/>
              <w:t>158</w:t>
            </w:r>
          </w:p>
        </w:tc>
        <w:tc>
          <w:tcPr>
            <w:tcW w:w="65" w:type="dxa"/>
            <w:tcBorders/>
            <w:shd w:fill="CCEEFF" w:val="clear"/>
            <w:vAlign w:val="bottom"/>
          </w:tcPr>
          <w:p>
            <w:pPr>
              <w:pStyle w:val="TableContents"/>
              <w:spacing w:before="0" w:after="283"/>
              <w:rPr/>
            </w:pPr>
            <w:r>
              <w:rPr/>
              <w:t> </w:t>
            </w:r>
          </w:p>
        </w:tc>
      </w:tr>
      <w:tr>
        <w:trPr/>
        <w:tc>
          <w:tcPr>
            <w:tcW w:w="2551" w:type="dxa"/>
            <w:tcBorders/>
            <w:shd w:fill="auto" w:val="clear"/>
            <w:vAlign w:val="bottom"/>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pBdr>
                <w:top w:val="double" w:sz="6" w:space="1" w:color="000000"/>
              </w:pBdr>
              <w:spacing w:before="0" w:after="0"/>
              <w:rPr/>
            </w:pPr>
            <w:r>
              <w:rPr/>
              <w:t> </w:t>
            </w:r>
          </w:p>
        </w:tc>
        <w:tc>
          <w:tcPr>
            <w:tcW w:w="156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pBdr>
                <w:top w:val="double" w:sz="6" w:space="1" w:color="000000"/>
              </w:pBdr>
              <w:spacing w:before="0" w:after="0"/>
              <w:rPr/>
            </w:pPr>
            <w:r>
              <w:rPr/>
              <w:t> </w:t>
            </w:r>
          </w:p>
        </w:tc>
        <w:tc>
          <w:tcPr>
            <w:tcW w:w="1437"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7.</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Related Parties </w:t>
            </w:r>
          </w:p>
        </w:tc>
      </w:tr>
    </w:tbl>
    <w:p>
      <w:pPr>
        <w:pStyle w:val="TextBody"/>
        <w:spacing w:before="120" w:after="0"/>
        <w:jc w:val="left"/>
        <w:rPr>
          <w:rFonts w:ascii="Times New Roman" w:hAnsi="Times New Roman"/>
          <w:sz w:val="20"/>
        </w:rPr>
      </w:pPr>
      <w:r>
        <w:rPr>
          <w:rFonts w:ascii="Times New Roman" w:hAnsi="Times New Roman"/>
          <w:sz w:val="20"/>
        </w:rPr>
        <w:t xml:space="preserve">On December 19, 2018, Bakkt entered into an intercompany services agreement with ICE to provide management and technical support services. For the period year ended December 31, 2020 and 2019, expenses of $3,082,000 and $500,000 respectively have been recorded by Bakkt in connection with this agreement and are reflected as Affiliate expenses in the accompanying consolidated statements of operations and comprehensive loss. ICE also makes various payroll distributions and payments to vendors on behalf of Bakkt. ICE also makes unitary state income taxes on behalf of DACC. </w:t>
      </w:r>
    </w:p>
    <w:p>
      <w:pPr>
        <w:pStyle w:val="TextBody"/>
        <w:spacing w:before="240" w:after="0"/>
        <w:jc w:val="left"/>
        <w:rPr>
          <w:rFonts w:ascii="Times New Roman" w:hAnsi="Times New Roman"/>
          <w:sz w:val="20"/>
        </w:rPr>
      </w:pPr>
      <w:r>
        <w:rPr>
          <w:rFonts w:ascii="Times New Roman" w:hAnsi="Times New Roman"/>
          <w:sz w:val="20"/>
        </w:rPr>
        <w:t xml:space="preserve">A Company executive was a party to the Purchase and Sale Agreement dated as of April 26, 2019, by and among, DACC, the Company, and each of the sellers of DACC. The Company executive owned approximately three percent of DACCs equity prior to the sale and was paid approximately $226,000 as consideration for the shares owned at signing/closing and another approximately $27,000 upon the release of the escrow amount during the year ended December 31, 2020. </w:t>
      </w:r>
    </w:p>
    <w:p>
      <w:pPr>
        <w:pStyle w:val="TextBody"/>
        <w:spacing w:before="240" w:after="0"/>
        <w:jc w:val="left"/>
        <w:rPr>
          <w:rFonts w:ascii="Times New Roman" w:hAnsi="Times New Roman"/>
          <w:sz w:val="20"/>
        </w:rPr>
      </w:pPr>
      <w:r>
        <w:rPr>
          <w:rFonts w:ascii="Times New Roman" w:hAnsi="Times New Roman"/>
          <w:sz w:val="20"/>
        </w:rPr>
        <w:t xml:space="preserve">On August 29, 2019, Bakkt Trust entered into a digital currency trading, clearing, and warehouse services agreement (Triparty Agreement) with IFUS and ICUS. The Triparty Agreement provides for IFUS to list for trading one or more digital currency futures and/or options contracts, and for ICUS to serve as the clearing house to provide central counterparty and ancillary services for such contracts. Bakkt Trust will provide certain warehouse, settlement and ancillary services relating to digital currencies. The Triparty Agreement required Bakkt Trust to make, and, subject to certain limits, to replenish as needed a $35,350,000 default resource contribution to ICUS, to be used by ICUS in accordance with the ICUS rules and is included in the Deposits with clearinghouse affiliate current and noncurrent balances on the accompanying consolidated balance sheets. Interest earned on the contribution, net of certain fees and costs, is paid to Bakkt Trust from ICUS. Total interest of $123,000 and $188,000 was earned for the year ended December 31, 2020 and 2019, respectively, and is included in Interest income, net in the accompanying consolidated statements of operations and comprehensive loss. $0 and $27,000 of the interest earned remains uncollected and is included in Deposits with clearinghouse affiliate, noncurrent in the accompanying consolidated balance sheets as of December 31, 2020 and 2019, respectively. The Triparty Agreement further requires all revenues of IFUS and ICUS with respect to the trading and clearing of digital currency contracts, after deduction of any applicable rebates and liquidity or incentive payments, to be remitted to Bakkt. If such revenues of IFUS and ICUS are less than the amount of rebates and liquidity or incentive payments, Bakkt owes the shortfall to IFUS and ICUS. The expenses incurred by IFUS and ICUS related to their exchange and clearing services are recorded net of revenue (see Note 8). Rebates, liquidity payments and the exchange and clearing expenses amounted to $4,090,000 and $881,000 during the years ended December 31, 2020 and 2019, respectively, and are included in Net revenues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As of December 31, 2020 and 2019, Bakkt had $1,856,000 and $9,432,000, respectively, reflected as Due to affiliates in the accompanying consolidated balance sheets related to the intercompany services agreement and Triparty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F-47</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Prior to the withdrawal of Bakkt Clearings ICUS membership on May 20, 2020, Bakkt Clearing was required to hold shares of ICE stock for ICUS membership privileges. These shares were carried at cost basis and evaluated periodically for impairment. As of December 31, 2019, the cost basis of these shares was $1,194,000 and is reflected as Investment in shares of affiliate stock in the accompanying consolidated balance sheets. In connection with the withdrawal of Bakkt Clearings ICUS membership, these shares were remeasured at fair value, and the Company recorded an unrealized gain of $628,000 for the year ended December 31, 2020 which is included in Other income (expense), net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Bakkt Clearing had FCM-related deposits of $0 and $10,975,000 with ICUS as of December 31, 2020 and 2019, respectively, which is included in Deposits with clearinghouse affiliate, noncurrent in the accompanying consolidated balance sheets (see Note 6). </w:t>
      </w:r>
    </w:p>
    <w:p>
      <w:pPr>
        <w:pStyle w:val="TextBody"/>
        <w:spacing w:before="240" w:after="0"/>
        <w:jc w:val="left"/>
        <w:rPr>
          <w:rFonts w:ascii="Times New Roman" w:hAnsi="Times New Roman"/>
          <w:sz w:val="20"/>
        </w:rPr>
      </w:pPr>
      <w:r>
        <w:rPr>
          <w:rFonts w:ascii="Times New Roman" w:hAnsi="Times New Roman"/>
          <w:sz w:val="20"/>
        </w:rPr>
        <w:t xml:space="preserve">On February 21, 2020, ICE acquired 100% of the issued and outstanding ownership interests in Bridge2 Solutions (see Note 4). On March 12, 2020, the Company completed Series C round of funding in the amount of $300 million and issued 270 million Class C voting units to ICE and certain minority investors (see Note 8). As part of this funding, ICE contributed the Bridge2 Solutions business to Bakkt at an enterprise value of approximately $261,400,000 with approximately $10,100,000 of additional goodwill, as discussed in Note 4, and made a $2,612,000 cash contribution, $1,378,000 of which was used to pay acquisition-related expenses incurred by the Company. Additionally, the Company received $36,567,000 of cash contributions from ICE and certain minority investors. </w:t>
      </w:r>
    </w:p>
    <w:p>
      <w:pPr>
        <w:pStyle w:val="TextBody"/>
        <w:spacing w:before="240" w:after="0"/>
        <w:jc w:val="left"/>
        <w:rPr>
          <w:rFonts w:ascii="Times New Roman" w:hAnsi="Times New Roman"/>
          <w:sz w:val="20"/>
        </w:rPr>
      </w:pPr>
      <w:r>
        <w:rPr>
          <w:rFonts w:ascii="Times New Roman" w:hAnsi="Times New Roman"/>
          <w:sz w:val="20"/>
        </w:rPr>
        <w:t xml:space="preserve">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As of December 31, 2020, no vesting of the warrant has occurred and Bakkt has not recognized any cost or any amount within members equity associated with the warrant (see Note 8).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8.</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Members Equity </w:t>
            </w:r>
          </w:p>
        </w:tc>
      </w:tr>
    </w:tbl>
    <w:p>
      <w:pPr>
        <w:pStyle w:val="TextBody"/>
        <w:spacing w:before="120" w:after="0"/>
        <w:jc w:val="left"/>
        <w:rPr>
          <w:rFonts w:ascii="Times New Roman" w:hAnsi="Times New Roman"/>
          <w:sz w:val="20"/>
        </w:rPr>
      </w:pPr>
      <w:r>
        <w:rPr>
          <w:rFonts w:ascii="Times New Roman" w:hAnsi="Times New Roman"/>
          <w:sz w:val="20"/>
        </w:rPr>
        <w:t xml:space="preserve">The Company is authorized to issue up to 413,000,000 Class A voting units, 212,500,000 Class B voting units, 284,000,000 Class C voting units, and an aggregate number of 156,000,000 common incentive units and preferred incentive units authorized under the Bakkt Equity Incentive Plan (see Note 9), less the number of participation units issued. </w:t>
      </w:r>
    </w:p>
    <w:p>
      <w:pPr>
        <w:pStyle w:val="TextBody"/>
        <w:spacing w:before="240" w:after="0"/>
        <w:jc w:val="left"/>
        <w:rPr>
          <w:rFonts w:ascii="Times New Roman" w:hAnsi="Times New Roman"/>
          <w:sz w:val="20"/>
        </w:rPr>
      </w:pPr>
      <w:r>
        <w:rPr>
          <w:rFonts w:ascii="Times New Roman" w:hAnsi="Times New Roman"/>
          <w:sz w:val="20"/>
        </w:rPr>
        <w:t xml:space="preserve">On December 19, 2018, ICE committed to contribute developed assets and rights to use exchange and clearing licenses to permit a customer to engage in the offering of warehousing, trading, clearing, peer-to-peer and retail payment services for digital commodities in exchange for 400,000,000 Class A voting units. As of December 31, 2019, ICE has contributed developed technology assets of $1,728,000, which is included in Property, equipment and software, net in the accompanying consolidated balance sheets (see Note 6). The contribution from ICE and associated increase in Members equity in the accompanying consolidated balance sheets for the Class A voting units issued is being recognized over time as the services are provided. During the years ended December 31, 2020 and 2019, ICE has contributed $697,000 and $188,000, respectively, of exchange and clearing license value based on expenses incurred by IFUS and ICUS for executing and clearing bitcoin futures and is shown as a reduction to Net revenues in the accompanying consolidated statements of operations and comprehensive loss and an increase to Members equity in the accompanying consolidated balance sheets. </w:t>
      </w:r>
    </w:p>
    <w:p>
      <w:pPr>
        <w:pStyle w:val="TextBody"/>
        <w:spacing w:before="240" w:after="0"/>
        <w:jc w:val="left"/>
        <w:rPr>
          <w:rFonts w:ascii="Times New Roman" w:hAnsi="Times New Roman"/>
          <w:sz w:val="20"/>
        </w:rPr>
      </w:pPr>
      <w:r>
        <w:rPr>
          <w:rFonts w:ascii="Times New Roman" w:hAnsi="Times New Roman"/>
          <w:sz w:val="20"/>
        </w:rPr>
        <w:t xml:space="preserve">Also, on December 19, 2018, ICE and minority investors contributed $182,500,000 in exchange for 182,500,000 million Class B voting units. This was comprised of $111,500,000 and $71,000,000 contributed by ICE and other Class B voting unit holders (Minority Investors), respectively. </w:t>
      </w:r>
    </w:p>
    <w:p>
      <w:pPr>
        <w:pStyle w:val="TextBody"/>
        <w:spacing w:before="240" w:after="0"/>
        <w:jc w:val="left"/>
        <w:rPr>
          <w:rFonts w:ascii="Times New Roman" w:hAnsi="Times New Roman"/>
          <w:sz w:val="20"/>
        </w:rPr>
      </w:pPr>
      <w:r>
        <w:rPr>
          <w:rFonts w:ascii="Times New Roman" w:hAnsi="Times New Roman"/>
          <w:sz w:val="20"/>
        </w:rPr>
        <w:t xml:space="preserve">Each Class B voting unit is convertible at the option of the voting unit holder, at any time after the date of issuance of the Class B voting unit, into a number of Class A voting units using a defined conversion price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F-48</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formula. All Class B voting units will convert automatically to Class A voting units in the event of an initial public offering. </w:t>
      </w:r>
    </w:p>
    <w:p>
      <w:pPr>
        <w:pStyle w:val="TextBody"/>
        <w:spacing w:before="240" w:after="0"/>
        <w:jc w:val="left"/>
        <w:rPr>
          <w:rFonts w:ascii="Times New Roman" w:hAnsi="Times New Roman"/>
          <w:sz w:val="20"/>
        </w:rPr>
      </w:pPr>
      <w:r>
        <w:rPr>
          <w:rFonts w:ascii="Times New Roman" w:hAnsi="Times New Roman"/>
          <w:sz w:val="20"/>
        </w:rPr>
        <w:t xml:space="preserve">ICE has a call option on voting units held by Minority Investors that has a trigger date on the fifth anniversary of the launch of certain services, which occurred on September 23, 2019, and ending on the second anniversary after the trigger date. The Minority Investors have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is based on a fair market value calculation, as defined in the LLC Agreement. </w:t>
      </w:r>
    </w:p>
    <w:p>
      <w:pPr>
        <w:pStyle w:val="TextBody"/>
        <w:spacing w:before="240" w:after="0"/>
        <w:jc w:val="left"/>
        <w:rPr>
          <w:rFonts w:ascii="Times New Roman" w:hAnsi="Times New Roman"/>
          <w:sz w:val="20"/>
        </w:rPr>
      </w:pPr>
      <w:r>
        <w:rPr>
          <w:rFonts w:ascii="Times New Roman" w:hAnsi="Times New Roman"/>
          <w:sz w:val="20"/>
        </w:rPr>
        <w:t xml:space="preserve">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 (see Note 9). </w:t>
      </w:r>
    </w:p>
    <w:p>
      <w:pPr>
        <w:pStyle w:val="TextBody"/>
        <w:spacing w:before="360" w:after="0"/>
        <w:jc w:val="left"/>
        <w:rPr>
          <w:rFonts w:ascii="Times New Roman" w:hAnsi="Times New Roman"/>
          <w:b/>
          <w:i/>
          <w:sz w:val="20"/>
        </w:rPr>
      </w:pPr>
      <w:r>
        <w:rPr>
          <w:rFonts w:ascii="Times New Roman" w:hAnsi="Times New Roman"/>
          <w:b/>
          <w:i/>
          <w:sz w:val="20"/>
        </w:rPr>
        <w:t xml:space="preserve">Issuance of Class B Warrant </w:t>
      </w:r>
    </w:p>
    <w:p>
      <w:pPr>
        <w:pStyle w:val="TextBody"/>
        <w:spacing w:before="120" w:after="0"/>
        <w:jc w:val="left"/>
        <w:rPr>
          <w:rFonts w:ascii="Times New Roman" w:hAnsi="Times New Roman"/>
          <w:sz w:val="20"/>
        </w:rPr>
      </w:pPr>
      <w:r>
        <w:rPr>
          <w:rFonts w:ascii="Times New Roman" w:hAnsi="Times New Roman"/>
          <w:sz w:val="20"/>
        </w:rPr>
        <w:t xml:space="preserve">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 </w:t>
      </w:r>
    </w:p>
    <w:p>
      <w:pPr>
        <w:pStyle w:val="TextBody"/>
        <w:spacing w:before="240" w:after="0"/>
        <w:jc w:val="left"/>
        <w:rPr>
          <w:rFonts w:ascii="Times New Roman" w:hAnsi="Times New Roman"/>
          <w:sz w:val="20"/>
        </w:rPr>
      </w:pPr>
      <w:r>
        <w:rPr>
          <w:rFonts w:ascii="Times New Roman" w:hAnsi="Times New Roman"/>
          <w:sz w:val="20"/>
        </w:rPr>
        <w:t xml:space="preserve">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 </w:t>
      </w:r>
    </w:p>
    <w:p>
      <w:pPr>
        <w:pStyle w:val="TextBody"/>
        <w:spacing w:before="240" w:after="0"/>
        <w:jc w:val="left"/>
        <w:rPr>
          <w:rFonts w:ascii="Times New Roman" w:hAnsi="Times New Roman"/>
          <w:sz w:val="20"/>
        </w:rPr>
      </w:pPr>
      <w:r>
        <w:rPr>
          <w:rFonts w:ascii="Times New Roman" w:hAnsi="Times New Roman"/>
          <w:sz w:val="20"/>
        </w:rPr>
        <w:t xml:space="preserve">The Company measured the fair value of its Class B Warrant at the issuance date using the Black-Scholes option pricing model. The key inputs used in the valuation were as follows: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781"/>
        <w:gridCol w:w="938"/>
        <w:gridCol w:w="187"/>
        <w:gridCol w:w="1755"/>
        <w:gridCol w:w="278"/>
      </w:tblGrid>
      <w:tr>
        <w:trPr/>
        <w:tc>
          <w:tcPr>
            <w:tcW w:w="378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19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February 19,</w:t>
              <w:br/>
              <w:t>2020</w:t>
            </w:r>
          </w:p>
        </w:tc>
        <w:tc>
          <w:tcPr>
            <w:tcW w:w="278" w:type="dxa"/>
            <w:tcBorders/>
            <w:shd w:fill="auto" w:val="clear"/>
            <w:vAlign w:val="bottom"/>
          </w:tcPr>
          <w:p>
            <w:pPr>
              <w:pStyle w:val="TableContents"/>
              <w:spacing w:before="0" w:after="283"/>
              <w:rPr/>
            </w:pPr>
            <w:r>
              <w:rPr/>
              <w:t> </w:t>
            </w:r>
          </w:p>
        </w:tc>
      </w:tr>
      <w:tr>
        <w:trPr/>
        <w:tc>
          <w:tcPr>
            <w:tcW w:w="3781" w:type="dxa"/>
            <w:tcBorders/>
            <w:shd w:fill="CCEEFF" w:val="clear"/>
          </w:tcPr>
          <w:p>
            <w:pPr>
              <w:pStyle w:val="TableContents"/>
              <w:spacing w:before="0" w:after="0"/>
              <w:rPr>
                <w:rFonts w:ascii="Times New Roman" w:hAnsi="Times New Roman"/>
                <w:sz w:val="20"/>
              </w:rPr>
            </w:pPr>
            <w:r>
              <w:rPr>
                <w:rFonts w:ascii="Times New Roman" w:hAnsi="Times New Roman"/>
                <w:sz w:val="20"/>
              </w:rPr>
              <w:t>Dividend yield</w:t>
            </w:r>
          </w:p>
        </w:tc>
        <w:tc>
          <w:tcPr>
            <w:tcW w:w="93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755" w:type="dxa"/>
            <w:tcBorders/>
            <w:shd w:fill="CCEEFF" w:val="clear"/>
            <w:vAlign w:val="bottom"/>
          </w:tcPr>
          <w:p>
            <w:pPr>
              <w:pStyle w:val="TableContents"/>
              <w:spacing w:before="0" w:after="283"/>
              <w:jc w:val="right"/>
              <w:rPr/>
            </w:pPr>
            <w:r>
              <w:rPr/>
              <w:t>  </w:t>
            </w:r>
          </w:p>
        </w:tc>
        <w:tc>
          <w:tcPr>
            <w:tcW w:w="278" w:type="dxa"/>
            <w:tcBorders/>
            <w:shd w:fill="CCEEFF" w:val="clear"/>
            <w:vAlign w:val="bottom"/>
          </w:tcPr>
          <w:p>
            <w:pPr>
              <w:pStyle w:val="TableContents"/>
              <w:spacing w:before="0" w:after="283"/>
              <w:rPr/>
            </w:pPr>
            <w:r>
              <w:rPr/>
              <w:t>% </w:t>
            </w:r>
          </w:p>
        </w:tc>
      </w:tr>
      <w:tr>
        <w:trPr/>
        <w:tc>
          <w:tcPr>
            <w:tcW w:w="3781" w:type="dxa"/>
            <w:tcBorders/>
            <w:shd w:fill="auto"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93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755" w:type="dxa"/>
            <w:tcBorders/>
            <w:shd w:fill="auto" w:val="clear"/>
            <w:vAlign w:val="bottom"/>
          </w:tcPr>
          <w:p>
            <w:pPr>
              <w:pStyle w:val="TableContents"/>
              <w:spacing w:before="0" w:after="283"/>
              <w:jc w:val="right"/>
              <w:rPr/>
            </w:pPr>
            <w:r>
              <w:rPr/>
              <w:t>1.39</w:t>
            </w:r>
          </w:p>
        </w:tc>
        <w:tc>
          <w:tcPr>
            <w:tcW w:w="278" w:type="dxa"/>
            <w:tcBorders/>
            <w:shd w:fill="auto" w:val="clear"/>
            <w:vAlign w:val="bottom"/>
          </w:tcPr>
          <w:p>
            <w:pPr>
              <w:pStyle w:val="TableContents"/>
              <w:spacing w:before="0" w:after="283"/>
              <w:rPr/>
            </w:pPr>
            <w:r>
              <w:rPr/>
              <w:t>% </w:t>
            </w:r>
          </w:p>
        </w:tc>
      </w:tr>
      <w:tr>
        <w:trPr/>
        <w:tc>
          <w:tcPr>
            <w:tcW w:w="3781" w:type="dxa"/>
            <w:tcBorders/>
            <w:shd w:fill="CCEEFF" w:val="clear"/>
          </w:tcPr>
          <w:p>
            <w:pPr>
              <w:pStyle w:val="TableContents"/>
              <w:spacing w:before="0" w:after="0"/>
              <w:rPr>
                <w:rFonts w:ascii="Times New Roman" w:hAnsi="Times New Roman"/>
                <w:sz w:val="20"/>
              </w:rPr>
            </w:pPr>
            <w:r>
              <w:rPr>
                <w:rFonts w:ascii="Times New Roman" w:hAnsi="Times New Roman"/>
                <w:sz w:val="20"/>
              </w:rPr>
              <w:t>Expected volatility</w:t>
            </w:r>
          </w:p>
        </w:tc>
        <w:tc>
          <w:tcPr>
            <w:tcW w:w="93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755" w:type="dxa"/>
            <w:tcBorders/>
            <w:shd w:fill="CCEEFF" w:val="clear"/>
            <w:vAlign w:val="bottom"/>
          </w:tcPr>
          <w:p>
            <w:pPr>
              <w:pStyle w:val="TableContents"/>
              <w:spacing w:before="0" w:after="283"/>
              <w:jc w:val="right"/>
              <w:rPr/>
            </w:pPr>
            <w:r>
              <w:rPr/>
              <w:t>40.00</w:t>
            </w:r>
          </w:p>
        </w:tc>
        <w:tc>
          <w:tcPr>
            <w:tcW w:w="278" w:type="dxa"/>
            <w:tcBorders/>
            <w:shd w:fill="CCEEFF" w:val="clear"/>
            <w:vAlign w:val="bottom"/>
          </w:tcPr>
          <w:p>
            <w:pPr>
              <w:pStyle w:val="TableContents"/>
              <w:spacing w:before="0" w:after="283"/>
              <w:rPr/>
            </w:pPr>
            <w:r>
              <w:rPr/>
              <w:t>% </w:t>
            </w:r>
          </w:p>
        </w:tc>
      </w:tr>
      <w:tr>
        <w:trPr/>
        <w:tc>
          <w:tcPr>
            <w:tcW w:w="3781" w:type="dxa"/>
            <w:tcBorders/>
            <w:shd w:fill="auto" w:val="clear"/>
          </w:tcPr>
          <w:p>
            <w:pPr>
              <w:pStyle w:val="TableContents"/>
              <w:spacing w:before="0" w:after="0"/>
              <w:rPr>
                <w:rFonts w:ascii="Times New Roman" w:hAnsi="Times New Roman"/>
                <w:sz w:val="20"/>
              </w:rPr>
            </w:pPr>
            <w:r>
              <w:rPr>
                <w:rFonts w:ascii="Times New Roman" w:hAnsi="Times New Roman"/>
                <w:sz w:val="20"/>
              </w:rPr>
              <w:t>Expected term (years)</w:t>
            </w:r>
          </w:p>
        </w:tc>
        <w:tc>
          <w:tcPr>
            <w:tcW w:w="93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755" w:type="dxa"/>
            <w:tcBorders/>
            <w:shd w:fill="auto" w:val="clear"/>
            <w:vAlign w:val="bottom"/>
          </w:tcPr>
          <w:p>
            <w:pPr>
              <w:pStyle w:val="TableContents"/>
              <w:spacing w:before="0" w:after="283"/>
              <w:jc w:val="right"/>
              <w:rPr/>
            </w:pPr>
            <w:r>
              <w:rPr/>
              <w:t>3.00</w:t>
            </w:r>
          </w:p>
        </w:tc>
        <w:tc>
          <w:tcPr>
            <w:tcW w:w="278"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 </w:t>
      </w:r>
    </w:p>
    <w:p>
      <w:pPr>
        <w:pStyle w:val="TextBody"/>
        <w:spacing w:before="240" w:after="0"/>
        <w:jc w:val="left"/>
        <w:rPr>
          <w:rFonts w:ascii="Times New Roman" w:hAnsi="Times New Roman"/>
          <w:sz w:val="20"/>
        </w:rPr>
      </w:pPr>
      <w:r>
        <w:rPr>
          <w:rFonts w:ascii="Times New Roman" w:hAnsi="Times New Roman"/>
          <w:sz w:val="20"/>
        </w:rPr>
        <w:t xml:space="preserve">As of December 31, 2020, the Class B Warrant has not been exercised. During the year ended December 31, 2020, the Company recognized a reduction to revenue of approximately $387,000 related to the Class B Warrant. </w:t>
      </w:r>
    </w:p>
    <w:p>
      <w:pPr>
        <w:pStyle w:val="TextBody"/>
        <w:spacing w:before="360" w:after="0"/>
        <w:jc w:val="left"/>
        <w:rPr>
          <w:rFonts w:ascii="Times New Roman" w:hAnsi="Times New Roman"/>
          <w:b/>
          <w:i/>
          <w:sz w:val="20"/>
        </w:rPr>
      </w:pPr>
      <w:r>
        <w:rPr>
          <w:rFonts w:ascii="Times New Roman" w:hAnsi="Times New Roman"/>
          <w:b/>
          <w:i/>
          <w:sz w:val="20"/>
        </w:rPr>
        <w:t xml:space="preserve">Issuance of Class C Warrant </w:t>
      </w:r>
    </w:p>
    <w:p>
      <w:pPr>
        <w:pStyle w:val="TextBody"/>
        <w:spacing w:before="120" w:after="0"/>
        <w:jc w:val="left"/>
        <w:rPr>
          <w:rFonts w:ascii="Times New Roman" w:hAnsi="Times New Roman"/>
          <w:sz w:val="20"/>
        </w:rPr>
      </w:pPr>
      <w:r>
        <w:rPr>
          <w:rFonts w:ascii="Times New Roman" w:hAnsi="Times New Roman"/>
          <w:sz w:val="20"/>
        </w:rPr>
        <w:t xml:space="preserve">On May 19, 2020, the Company issued a warrant to a minority investor to purchase 3,600,000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F-49</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measured the fair value of its Class C Warrant at the issuance date using the Black-Scholes option pricing model. The key inputs used in the valuation were as follows: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464"/>
        <w:gridCol w:w="766"/>
        <w:gridCol w:w="138"/>
        <w:gridCol w:w="1293"/>
        <w:gridCol w:w="278"/>
      </w:tblGrid>
      <w:tr>
        <w:trPr/>
        <w:tc>
          <w:tcPr>
            <w:tcW w:w="44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4464"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pPr>
            <w:r>
              <w:rPr/>
              <w:t>  </w:t>
            </w:r>
          </w:p>
        </w:tc>
        <w:tc>
          <w:tcPr>
            <w:tcW w:w="14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May 19,</w:t>
              <w:br/>
              <w:t>2020</w:t>
            </w:r>
          </w:p>
        </w:tc>
        <w:tc>
          <w:tcPr>
            <w:tcW w:w="278" w:type="dxa"/>
            <w:tcBorders/>
            <w:shd w:fill="auto" w:val="clear"/>
            <w:vAlign w:val="bottom"/>
          </w:tcPr>
          <w:p>
            <w:pPr>
              <w:pStyle w:val="TableContents"/>
              <w:spacing w:before="0" w:after="283"/>
              <w:rPr/>
            </w:pPr>
            <w:r>
              <w:rPr/>
              <w:t> </w:t>
            </w:r>
          </w:p>
        </w:tc>
      </w:tr>
      <w:tr>
        <w:trPr/>
        <w:tc>
          <w:tcPr>
            <w:tcW w:w="4464" w:type="dxa"/>
            <w:tcBorders/>
            <w:shd w:fill="CCEEFF" w:val="clear"/>
          </w:tcPr>
          <w:p>
            <w:pPr>
              <w:pStyle w:val="TableContents"/>
              <w:spacing w:before="0" w:after="0"/>
              <w:rPr>
                <w:rFonts w:ascii="Times New Roman" w:hAnsi="Times New Roman"/>
                <w:sz w:val="20"/>
              </w:rPr>
            </w:pPr>
            <w:r>
              <w:rPr>
                <w:rFonts w:ascii="Times New Roman" w:hAnsi="Times New Roman"/>
                <w:sz w:val="20"/>
              </w:rPr>
              <w:t>Dividend yield</w:t>
            </w:r>
          </w:p>
        </w:tc>
        <w:tc>
          <w:tcPr>
            <w:tcW w:w="76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  </w:t>
            </w:r>
          </w:p>
        </w:tc>
        <w:tc>
          <w:tcPr>
            <w:tcW w:w="278" w:type="dxa"/>
            <w:tcBorders/>
            <w:shd w:fill="CCEEFF" w:val="clear"/>
            <w:vAlign w:val="bottom"/>
          </w:tcPr>
          <w:p>
            <w:pPr>
              <w:pStyle w:val="TableContents"/>
              <w:spacing w:before="0" w:after="283"/>
              <w:rPr/>
            </w:pPr>
            <w:r>
              <w:rPr/>
              <w:t>% </w:t>
            </w:r>
          </w:p>
        </w:tc>
      </w:tr>
      <w:tr>
        <w:trPr/>
        <w:tc>
          <w:tcPr>
            <w:tcW w:w="4464" w:type="dxa"/>
            <w:tcBorders/>
            <w:shd w:fill="auto"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76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0.33</w:t>
            </w:r>
          </w:p>
        </w:tc>
        <w:tc>
          <w:tcPr>
            <w:tcW w:w="278" w:type="dxa"/>
            <w:tcBorders/>
            <w:shd w:fill="auto" w:val="clear"/>
            <w:vAlign w:val="bottom"/>
          </w:tcPr>
          <w:p>
            <w:pPr>
              <w:pStyle w:val="TableContents"/>
              <w:spacing w:before="0" w:after="283"/>
              <w:rPr/>
            </w:pPr>
            <w:r>
              <w:rPr/>
              <w:t>% </w:t>
            </w:r>
          </w:p>
        </w:tc>
      </w:tr>
      <w:tr>
        <w:trPr/>
        <w:tc>
          <w:tcPr>
            <w:tcW w:w="4464" w:type="dxa"/>
            <w:tcBorders/>
            <w:shd w:fill="CCEEFF" w:val="clear"/>
          </w:tcPr>
          <w:p>
            <w:pPr>
              <w:pStyle w:val="TableContents"/>
              <w:spacing w:before="0" w:after="0"/>
              <w:rPr>
                <w:rFonts w:ascii="Times New Roman" w:hAnsi="Times New Roman"/>
                <w:sz w:val="20"/>
              </w:rPr>
            </w:pPr>
            <w:r>
              <w:rPr>
                <w:rFonts w:ascii="Times New Roman" w:hAnsi="Times New Roman"/>
                <w:sz w:val="20"/>
              </w:rPr>
              <w:t>Expected volatility</w:t>
            </w:r>
          </w:p>
        </w:tc>
        <w:tc>
          <w:tcPr>
            <w:tcW w:w="76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50.00</w:t>
            </w:r>
          </w:p>
        </w:tc>
        <w:tc>
          <w:tcPr>
            <w:tcW w:w="278" w:type="dxa"/>
            <w:tcBorders/>
            <w:shd w:fill="CCEEFF" w:val="clear"/>
            <w:vAlign w:val="bottom"/>
          </w:tcPr>
          <w:p>
            <w:pPr>
              <w:pStyle w:val="TableContents"/>
              <w:spacing w:before="0" w:after="283"/>
              <w:rPr/>
            </w:pPr>
            <w:r>
              <w:rPr/>
              <w:t>% </w:t>
            </w:r>
          </w:p>
        </w:tc>
      </w:tr>
      <w:tr>
        <w:trPr/>
        <w:tc>
          <w:tcPr>
            <w:tcW w:w="4464" w:type="dxa"/>
            <w:tcBorders/>
            <w:shd w:fill="auto" w:val="clear"/>
          </w:tcPr>
          <w:p>
            <w:pPr>
              <w:pStyle w:val="TableContents"/>
              <w:spacing w:before="0" w:after="0"/>
              <w:rPr>
                <w:rFonts w:ascii="Times New Roman" w:hAnsi="Times New Roman"/>
                <w:sz w:val="20"/>
              </w:rPr>
            </w:pPr>
            <w:r>
              <w:rPr>
                <w:rFonts w:ascii="Times New Roman" w:hAnsi="Times New Roman"/>
                <w:sz w:val="20"/>
              </w:rPr>
              <w:t>Expected term (years)</w:t>
            </w:r>
          </w:p>
        </w:tc>
        <w:tc>
          <w:tcPr>
            <w:tcW w:w="76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4.35</w:t>
            </w:r>
          </w:p>
        </w:tc>
        <w:tc>
          <w:tcPr>
            <w:tcW w:w="278"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 </w:t>
      </w:r>
    </w:p>
    <w:p>
      <w:pPr>
        <w:pStyle w:val="TextBody"/>
        <w:spacing w:before="240" w:after="0"/>
        <w:jc w:val="left"/>
        <w:rPr>
          <w:rFonts w:ascii="Times New Roman" w:hAnsi="Times New Roman"/>
          <w:sz w:val="20"/>
        </w:rPr>
      </w:pPr>
      <w:r>
        <w:rPr>
          <w:rFonts w:ascii="Times New Roman" w:hAnsi="Times New Roman"/>
          <w:sz w:val="20"/>
        </w:rPr>
        <w:t xml:space="preserve">As of December 31, 2020, the Class C Warrant has not vested or been exercised.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9.</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Unit-Based Compensation </w:t>
            </w:r>
          </w:p>
        </w:tc>
      </w:tr>
    </w:tbl>
    <w:p>
      <w:pPr>
        <w:pStyle w:val="TextBody"/>
        <w:spacing w:before="240" w:after="0"/>
        <w:jc w:val="left"/>
        <w:rPr>
          <w:rFonts w:ascii="Times New Roman" w:hAnsi="Times New Roman"/>
          <w:sz w:val="20"/>
        </w:rPr>
      </w:pPr>
      <w:r>
        <w:rPr>
          <w:rFonts w:ascii="Times New Roman" w:hAnsi="Times New Roman"/>
          <w:sz w:val="20"/>
        </w:rPr>
        <w:t xml:space="preserve">In December 2018, the Company established the Bakkt Equity Incentive Plan (the Equity Plan). The purpose of the Equity Plan is to provide incentives to selected employees, directors, and service providers to promote long-term growth and profitability. Three types of awards may be granted under the Equity Plan: (1) preferred incentive units, (2) common incentive units, and (3) participation units. The total number of units that the Company is authorized to issue under the Equity Plan is 156 million, which are granted at the discretion of the Compensation Committee of the Board of Directors of ICE. </w:t>
      </w:r>
    </w:p>
    <w:p>
      <w:pPr>
        <w:pStyle w:val="TextBody"/>
        <w:spacing w:before="240" w:after="0"/>
        <w:jc w:val="left"/>
        <w:rPr>
          <w:rFonts w:ascii="Times New Roman" w:hAnsi="Times New Roman"/>
          <w:sz w:val="20"/>
        </w:rPr>
      </w:pPr>
      <w:r>
        <w:rPr>
          <w:rFonts w:ascii="Times New Roman" w:hAnsi="Times New Roman"/>
          <w:sz w:val="20"/>
        </w:rPr>
        <w:t xml:space="preserve">Preferred incentive units and common incentive units (collectively, incentive units) represent an ownership interest in Bakkt and are entitled to receive distributions from Bakkt, subject to certain vesting conditions. The Company classifies incentive units as equity awards on its consolidated balance sheets. </w:t>
      </w:r>
    </w:p>
    <w:p>
      <w:pPr>
        <w:pStyle w:val="TextBody"/>
        <w:spacing w:before="240" w:after="0"/>
        <w:jc w:val="left"/>
        <w:rPr>
          <w:rFonts w:ascii="Times New Roman" w:hAnsi="Times New Roman"/>
          <w:sz w:val="20"/>
        </w:rPr>
      </w:pPr>
      <w:r>
        <w:rPr>
          <w:rFonts w:ascii="Times New Roman" w:hAnsi="Times New Roman"/>
          <w:sz w:val="20"/>
        </w:rPr>
        <w:t xml:space="preserve">Participation units, issued directly by the Company to Equity Plan participants, do not represent an ownership interest in the Company but rather provide Equity Plan participants the contractual right to participate in the value of the Company, if any through a cash payment upon the occurrence of certain events following vesting of the participation units. Because participation units are settled in cash, the Company classifies participation units as liability awards on its consolidated balance sheets. </w:t>
      </w:r>
    </w:p>
    <w:p>
      <w:pPr>
        <w:pStyle w:val="TextBody"/>
        <w:spacing w:before="240" w:after="0"/>
        <w:jc w:val="left"/>
        <w:rPr>
          <w:rFonts w:ascii="Times New Roman" w:hAnsi="Times New Roman"/>
          <w:sz w:val="20"/>
        </w:rPr>
      </w:pPr>
      <w:r>
        <w:rPr>
          <w:rFonts w:ascii="Times New Roman" w:hAnsi="Times New Roman"/>
          <w:sz w:val="20"/>
        </w:rPr>
        <w:t xml:space="preserve">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Equity Plan and individual award agreements. A portion of the units may be subject to vesting upon a liquidity event, initial public offering, or partial exit event, as defined in the Equity Plan, or to the extent any incentive units and participation units remain outstanding and unvested on the date that is the eight-year anniversary of the launch of one of the Companys services in a production environment, which occurred on September 23, 2019, these remaining units will vest based on the calculated fair market value of the Company, as defined in the LLC agreement, as of such date. </w:t>
      </w:r>
    </w:p>
    <w:p>
      <w:pPr>
        <w:pStyle w:val="TextBody"/>
        <w:spacing w:before="240" w:after="0"/>
        <w:jc w:val="left"/>
        <w:rPr>
          <w:rFonts w:ascii="Times New Roman" w:hAnsi="Times New Roman"/>
          <w:sz w:val="20"/>
        </w:rPr>
      </w:pPr>
      <w:r>
        <w:rPr>
          <w:rFonts w:ascii="Times New Roman" w:hAnsi="Times New Roman"/>
          <w:sz w:val="20"/>
        </w:rPr>
        <w:t xml:space="preserve">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 (Management incentive units) to employees. Any employees who receive Management incentive units have 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F-50</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December 31, 2020, we do not believe it is probable that the put option will be exercised and have not remeasured these incentive units. </w:t>
      </w:r>
    </w:p>
    <w:p>
      <w:pPr>
        <w:pStyle w:val="TextBody"/>
        <w:spacing w:before="240" w:after="0"/>
        <w:jc w:val="left"/>
        <w:rPr>
          <w:rFonts w:ascii="Times New Roman" w:hAnsi="Times New Roman"/>
          <w:sz w:val="20"/>
        </w:rPr>
      </w:pPr>
      <w:r>
        <w:rPr>
          <w:rFonts w:ascii="Times New Roman" w:hAnsi="Times New Roman"/>
          <w:sz w:val="20"/>
        </w:rPr>
        <w:t xml:space="preserve">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 </w:t>
      </w:r>
    </w:p>
    <w:p>
      <w:pPr>
        <w:pStyle w:val="TextBody"/>
        <w:spacing w:before="240" w:after="0"/>
        <w:jc w:val="left"/>
        <w:rPr>
          <w:rFonts w:ascii="Times New Roman" w:hAnsi="Times New Roman"/>
          <w:sz w:val="20"/>
        </w:rPr>
      </w:pPr>
      <w:r>
        <w:rPr>
          <w:rFonts w:ascii="Times New Roman" w:hAnsi="Times New Roman"/>
          <w:sz w:val="20"/>
        </w:rPr>
        <w:t xml:space="preserve">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 </w:t>
      </w:r>
    </w:p>
    <w:p>
      <w:pPr>
        <w:pStyle w:val="TextBody"/>
        <w:spacing w:before="240" w:after="0"/>
        <w:jc w:val="left"/>
        <w:rPr>
          <w:rFonts w:ascii="Times New Roman" w:hAnsi="Times New Roman"/>
          <w:sz w:val="20"/>
        </w:rPr>
      </w:pPr>
      <w:r>
        <w:rPr>
          <w:rFonts w:ascii="Times New Roman" w:hAnsi="Times New Roman"/>
          <w:sz w:val="20"/>
        </w:rPr>
        <w:t xml:space="preserve">In March 2021, in anticipation of the business combination discussed in Note 15, certain awards granted under the Equity Plan in late 2020 were modified to allow participants to elect to redeem a portion of the award immediately for cash, in order to provide liquidity for taxes due upon the vesting of those awards. </w:t>
      </w:r>
    </w:p>
    <w:p>
      <w:pPr>
        <w:pStyle w:val="TextBody"/>
        <w:spacing w:before="360" w:after="0"/>
        <w:jc w:val="left"/>
        <w:rPr>
          <w:rFonts w:ascii="Times New Roman" w:hAnsi="Times New Roman"/>
          <w:b/>
          <w:i/>
          <w:sz w:val="20"/>
        </w:rPr>
      </w:pPr>
      <w:r>
        <w:rPr>
          <w:rFonts w:ascii="Times New Roman" w:hAnsi="Times New Roman"/>
          <w:b/>
          <w:i/>
          <w:sz w:val="20"/>
        </w:rPr>
        <w:t xml:space="preserve">Unit-Based Compensation Expense </w:t>
      </w:r>
    </w:p>
    <w:p>
      <w:pPr>
        <w:pStyle w:val="TextBody"/>
        <w:spacing w:before="120" w:after="0"/>
        <w:jc w:val="left"/>
        <w:rPr>
          <w:rFonts w:ascii="Times New Roman" w:hAnsi="Times New Roman"/>
          <w:sz w:val="20"/>
        </w:rPr>
      </w:pPr>
      <w:r>
        <w:rPr>
          <w:rFonts w:ascii="Times New Roman" w:hAnsi="Times New Roman"/>
          <w:sz w:val="20"/>
        </w:rPr>
        <w:t xml:space="preserve">Unit-based compensation expense included in the accompanying consolidated statements of operations and comprehensive loss for the year ended December 31, 2019 was as follows (in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36"/>
        <w:gridCol w:w="162"/>
        <w:gridCol w:w="254"/>
        <w:gridCol w:w="1351"/>
        <w:gridCol w:w="60"/>
        <w:gridCol w:w="162"/>
        <w:gridCol w:w="60"/>
        <w:gridCol w:w="2832"/>
        <w:gridCol w:w="60"/>
        <w:gridCol w:w="162"/>
        <w:gridCol w:w="60"/>
        <w:gridCol w:w="2941"/>
        <w:gridCol w:w="65"/>
      </w:tblGrid>
      <w:tr>
        <w:trPr/>
        <w:tc>
          <w:tcPr>
            <w:tcW w:w="20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036" w:type="dxa"/>
            <w:tcBorders/>
            <w:shd w:fill="auto" w:val="clear"/>
            <w:vAlign w:val="bottom"/>
          </w:tcPr>
          <w:p>
            <w:pPr>
              <w:pStyle w:val="TableContents"/>
              <w:spacing w:before="0" w:after="283"/>
              <w:rPr>
                <w:b/>
              </w:rPr>
            </w:pPr>
            <w:r>
              <w:rPr>
                <w:b/>
              </w:rPr>
              <w:t>Type of Unit</w:t>
            </w:r>
          </w:p>
        </w:tc>
        <w:tc>
          <w:tcPr>
            <w:tcW w:w="162" w:type="dxa"/>
            <w:tcBorders/>
            <w:shd w:fill="auto" w:val="clear"/>
            <w:vAlign w:val="bottom"/>
          </w:tcPr>
          <w:p>
            <w:pPr>
              <w:pStyle w:val="TableContents"/>
              <w:spacing w:before="0" w:after="283"/>
              <w:rPr/>
            </w:pPr>
            <w:r>
              <w:rPr/>
              <w:t>  </w:t>
            </w:r>
          </w:p>
        </w:tc>
        <w:tc>
          <w:tcPr>
            <w:tcW w:w="1605" w:type="dxa"/>
            <w:gridSpan w:val="2"/>
            <w:tcBorders/>
            <w:shd w:fill="auto" w:val="clear"/>
            <w:vAlign w:val="bottom"/>
          </w:tcPr>
          <w:p>
            <w:pPr>
              <w:pStyle w:val="TableContents"/>
              <w:spacing w:before="0" w:after="283"/>
              <w:jc w:val="center"/>
              <w:rPr>
                <w:b/>
              </w:rPr>
            </w:pPr>
            <w:r>
              <w:rPr>
                <w:b/>
              </w:rPr>
              <w:t>Compensation</w:t>
              <w:br/>
              <w:t>Expense</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92" w:type="dxa"/>
            <w:gridSpan w:val="2"/>
            <w:tcBorders/>
            <w:shd w:fill="auto" w:val="clear"/>
            <w:vAlign w:val="bottom"/>
          </w:tcPr>
          <w:p>
            <w:pPr>
              <w:pStyle w:val="TableContents"/>
              <w:spacing w:before="0" w:after="283"/>
              <w:jc w:val="center"/>
              <w:rPr>
                <w:b/>
              </w:rPr>
            </w:pPr>
            <w:r>
              <w:rPr>
                <w:b/>
              </w:rPr>
              <w:t>Statement of Operations</w:t>
              <w:br/>
              <w:t>and Comprehensive Loss</w:t>
              <w:br/>
              <w:t>Classification</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001" w:type="dxa"/>
            <w:gridSpan w:val="2"/>
            <w:tcBorders/>
            <w:shd w:fill="auto" w:val="clear"/>
            <w:vAlign w:val="bottom"/>
          </w:tcPr>
          <w:p>
            <w:pPr>
              <w:pStyle w:val="TableContents"/>
              <w:spacing w:before="0" w:after="283"/>
              <w:jc w:val="center"/>
              <w:rPr>
                <w:b/>
              </w:rPr>
            </w:pPr>
            <w:r>
              <w:rPr>
                <w:b/>
              </w:rPr>
              <w:t>Balance Sheet Classification</w:t>
            </w:r>
          </w:p>
        </w:tc>
        <w:tc>
          <w:tcPr>
            <w:tcW w:w="65" w:type="dxa"/>
            <w:tcBorders/>
            <w:shd w:fill="auto" w:val="clear"/>
            <w:vAlign w:val="bottom"/>
          </w:tcPr>
          <w:p>
            <w:pPr>
              <w:pStyle w:val="TableContents"/>
              <w:spacing w:before="0" w:after="283"/>
              <w:rPr/>
            </w:pPr>
            <w:r>
              <w:rPr/>
              <w:t> </w:t>
            </w:r>
          </w:p>
        </w:tc>
      </w:tr>
      <w:tr>
        <w:trPr/>
        <w:tc>
          <w:tcPr>
            <w:tcW w:w="2036"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incentive unit</w:t>
            </w:r>
          </w:p>
        </w:tc>
        <w:tc>
          <w:tcPr>
            <w:tcW w:w="16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1351" w:type="dxa"/>
            <w:tcBorders/>
            <w:shd w:fill="CCEEFF" w:val="clear"/>
            <w:vAlign w:val="bottom"/>
          </w:tcPr>
          <w:p>
            <w:pPr>
              <w:pStyle w:val="TableContents"/>
              <w:spacing w:before="0" w:after="283"/>
              <w:jc w:val="right"/>
              <w:rPr/>
            </w:pPr>
            <w:r>
              <w:rPr/>
              <w:t>10,388</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2" w:type="dxa"/>
            <w:tcBorders/>
            <w:shd w:fill="CCEEFF" w:val="clear"/>
            <w:vAlign w:val="bottom"/>
          </w:tcPr>
          <w:p>
            <w:pPr>
              <w:pStyle w:val="TableContents"/>
              <w:spacing w:before="0" w:after="283"/>
              <w:jc w:val="right"/>
              <w:rPr/>
            </w:pPr>
            <w:r>
              <w:rPr/>
              <w:t>Compensation and benefits</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41" w:type="dxa"/>
            <w:tcBorders/>
            <w:shd w:fill="CCEEFF" w:val="clear"/>
            <w:vAlign w:val="bottom"/>
          </w:tcPr>
          <w:p>
            <w:pPr>
              <w:pStyle w:val="TableContents"/>
              <w:spacing w:before="0" w:after="283"/>
              <w:jc w:val="right"/>
              <w:rPr/>
            </w:pPr>
            <w:r>
              <w:rPr/>
              <w:t>Class B incentive plan units</w:t>
            </w:r>
          </w:p>
        </w:tc>
        <w:tc>
          <w:tcPr>
            <w:tcW w:w="65" w:type="dxa"/>
            <w:tcBorders/>
            <w:shd w:fill="CCEEFF" w:val="clear"/>
            <w:vAlign w:val="bottom"/>
          </w:tcPr>
          <w:p>
            <w:pPr>
              <w:pStyle w:val="TableContents"/>
              <w:spacing w:before="0" w:after="283"/>
              <w:rPr/>
            </w:pPr>
            <w:r>
              <w:rPr/>
              <w:t> </w:t>
            </w:r>
          </w:p>
        </w:tc>
      </w:tr>
      <w:tr>
        <w:trPr/>
        <w:tc>
          <w:tcPr>
            <w:tcW w:w="2036" w:type="dxa"/>
            <w:tcBorders/>
            <w:shd w:fill="auto" w:val="clear"/>
          </w:tcPr>
          <w:p>
            <w:pPr>
              <w:pStyle w:val="TableContents"/>
              <w:spacing w:before="0" w:after="0"/>
              <w:rPr>
                <w:rFonts w:ascii="Times New Roman" w:hAnsi="Times New Roman"/>
                <w:sz w:val="20"/>
              </w:rPr>
            </w:pPr>
            <w:r>
              <w:rPr>
                <w:rFonts w:ascii="Times New Roman" w:hAnsi="Times New Roman"/>
                <w:sz w:val="20"/>
              </w:rPr>
              <w:t>Common incentive unit</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127</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2" w:type="dxa"/>
            <w:tcBorders/>
            <w:shd w:fill="auto" w:val="clear"/>
            <w:vAlign w:val="bottom"/>
          </w:tcPr>
          <w:p>
            <w:pPr>
              <w:pStyle w:val="TableContents"/>
              <w:spacing w:before="0" w:after="283"/>
              <w:jc w:val="right"/>
              <w:rPr/>
            </w:pPr>
            <w:r>
              <w:rPr/>
              <w:t>Compensation and benefits</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41" w:type="dxa"/>
            <w:tcBorders/>
            <w:shd w:fill="auto" w:val="clear"/>
            <w:vAlign w:val="bottom"/>
          </w:tcPr>
          <w:p>
            <w:pPr>
              <w:pStyle w:val="TableContents"/>
              <w:spacing w:before="0" w:after="283"/>
              <w:jc w:val="right"/>
              <w:rPr/>
            </w:pPr>
            <w:r>
              <w:rPr/>
              <w:t>Class C incentive plan units</w:t>
            </w:r>
          </w:p>
        </w:tc>
        <w:tc>
          <w:tcPr>
            <w:tcW w:w="65" w:type="dxa"/>
            <w:tcBorders/>
            <w:shd w:fill="auto" w:val="clear"/>
            <w:vAlign w:val="bottom"/>
          </w:tcPr>
          <w:p>
            <w:pPr>
              <w:pStyle w:val="TableContents"/>
              <w:spacing w:before="0" w:after="283"/>
              <w:rPr/>
            </w:pPr>
            <w:r>
              <w:rPr/>
              <w:t> </w:t>
            </w:r>
          </w:p>
        </w:tc>
      </w:tr>
      <w:tr>
        <w:trPr/>
        <w:tc>
          <w:tcPr>
            <w:tcW w:w="2036" w:type="dxa"/>
            <w:tcBorders/>
            <w:shd w:fill="CCEEFF" w:val="clear"/>
          </w:tcPr>
          <w:p>
            <w:pPr>
              <w:pStyle w:val="TableContents"/>
              <w:spacing w:before="0" w:after="0"/>
              <w:rPr>
                <w:rFonts w:ascii="Times New Roman" w:hAnsi="Times New Roman"/>
                <w:sz w:val="20"/>
              </w:rPr>
            </w:pPr>
            <w:r>
              <w:rPr>
                <w:rFonts w:ascii="Times New Roman" w:hAnsi="Times New Roman"/>
                <w:sz w:val="20"/>
              </w:rPr>
              <w:t>Participation unit</w:t>
            </w:r>
          </w:p>
        </w:tc>
        <w:tc>
          <w:tcPr>
            <w:tcW w:w="16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158</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2" w:type="dxa"/>
            <w:tcBorders/>
            <w:shd w:fill="CCEEFF" w:val="clear"/>
            <w:vAlign w:val="bottom"/>
          </w:tcPr>
          <w:p>
            <w:pPr>
              <w:pStyle w:val="TableContents"/>
              <w:spacing w:before="0" w:after="283"/>
              <w:jc w:val="right"/>
              <w:rPr/>
            </w:pPr>
            <w:r>
              <w:rPr/>
              <w:t>Compensation and benefits</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41" w:type="dxa"/>
            <w:tcBorders/>
            <w:shd w:fill="CCEEFF" w:val="clear"/>
            <w:vAlign w:val="bottom"/>
          </w:tcPr>
          <w:p>
            <w:pPr>
              <w:pStyle w:val="TableContents"/>
              <w:spacing w:before="0" w:after="283"/>
              <w:jc w:val="right"/>
              <w:rPr/>
            </w:pPr>
            <w:r>
              <w:rPr/>
              <w:t>Other non-current liabilities</w:t>
            </w:r>
          </w:p>
        </w:tc>
        <w:tc>
          <w:tcPr>
            <w:tcW w:w="65" w:type="dxa"/>
            <w:tcBorders/>
            <w:shd w:fill="CCEEFF" w:val="clear"/>
            <w:vAlign w:val="bottom"/>
          </w:tcPr>
          <w:p>
            <w:pPr>
              <w:pStyle w:val="TableContents"/>
              <w:spacing w:before="0" w:after="283"/>
              <w:rPr/>
            </w:pPr>
            <w:r>
              <w:rPr/>
              <w:t> </w:t>
            </w:r>
          </w:p>
        </w:tc>
      </w:tr>
      <w:tr>
        <w:trPr/>
        <w:tc>
          <w:tcPr>
            <w:tcW w:w="2036"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351" w:type="dxa"/>
            <w:tcBorders/>
            <w:shd w:fill="auto" w:val="clear"/>
            <w:vAlign w:val="bottom"/>
          </w:tcPr>
          <w:p>
            <w:pPr>
              <w:pStyle w:val="TableContents"/>
              <w:spacing w:before="0" w:after="283"/>
              <w:jc w:val="right"/>
              <w:rPr/>
            </w:pPr>
            <w:r>
              <w:rPr/>
              <w:t>10,673</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41"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Unit-based compensation expense included in the accompanying consolidated statements of operations and comprehensive loss for the year ended December 31, 2020 was as follows (in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36"/>
        <w:gridCol w:w="162"/>
        <w:gridCol w:w="254"/>
        <w:gridCol w:w="1351"/>
        <w:gridCol w:w="60"/>
        <w:gridCol w:w="162"/>
        <w:gridCol w:w="60"/>
        <w:gridCol w:w="2832"/>
        <w:gridCol w:w="60"/>
        <w:gridCol w:w="162"/>
        <w:gridCol w:w="60"/>
        <w:gridCol w:w="2941"/>
        <w:gridCol w:w="65"/>
      </w:tblGrid>
      <w:tr>
        <w:trPr/>
        <w:tc>
          <w:tcPr>
            <w:tcW w:w="20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036" w:type="dxa"/>
            <w:tcBorders/>
            <w:shd w:fill="auto" w:val="clear"/>
            <w:vAlign w:val="bottom"/>
          </w:tcPr>
          <w:p>
            <w:pPr>
              <w:pStyle w:val="TableContents"/>
              <w:spacing w:before="0" w:after="283"/>
              <w:rPr>
                <w:b/>
              </w:rPr>
            </w:pPr>
            <w:r>
              <w:rPr>
                <w:b/>
              </w:rPr>
              <w:t>Type of Unit</w:t>
            </w:r>
          </w:p>
        </w:tc>
        <w:tc>
          <w:tcPr>
            <w:tcW w:w="162" w:type="dxa"/>
            <w:tcBorders/>
            <w:shd w:fill="auto" w:val="clear"/>
            <w:vAlign w:val="bottom"/>
          </w:tcPr>
          <w:p>
            <w:pPr>
              <w:pStyle w:val="TableContents"/>
              <w:spacing w:before="0" w:after="283"/>
              <w:rPr/>
            </w:pPr>
            <w:r>
              <w:rPr/>
              <w:t>  </w:t>
            </w:r>
          </w:p>
        </w:tc>
        <w:tc>
          <w:tcPr>
            <w:tcW w:w="1605" w:type="dxa"/>
            <w:gridSpan w:val="2"/>
            <w:tcBorders/>
            <w:shd w:fill="auto" w:val="clear"/>
            <w:vAlign w:val="bottom"/>
          </w:tcPr>
          <w:p>
            <w:pPr>
              <w:pStyle w:val="TableContents"/>
              <w:spacing w:before="0" w:after="283"/>
              <w:jc w:val="center"/>
              <w:rPr>
                <w:b/>
              </w:rPr>
            </w:pPr>
            <w:r>
              <w:rPr>
                <w:b/>
              </w:rPr>
              <w:t>Compensation</w:t>
              <w:br/>
              <w:t>Expense</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92" w:type="dxa"/>
            <w:gridSpan w:val="2"/>
            <w:tcBorders/>
            <w:shd w:fill="auto" w:val="clear"/>
            <w:vAlign w:val="bottom"/>
          </w:tcPr>
          <w:p>
            <w:pPr>
              <w:pStyle w:val="TableContents"/>
              <w:spacing w:before="0" w:after="283"/>
              <w:jc w:val="center"/>
              <w:rPr>
                <w:b/>
              </w:rPr>
            </w:pPr>
            <w:r>
              <w:rPr>
                <w:b/>
              </w:rPr>
              <w:t>Statement of Operations</w:t>
              <w:br/>
              <w:t>and Comprehensive Loss</w:t>
              <w:br/>
              <w:t>Classification</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001" w:type="dxa"/>
            <w:gridSpan w:val="2"/>
            <w:tcBorders/>
            <w:shd w:fill="auto" w:val="clear"/>
            <w:vAlign w:val="bottom"/>
          </w:tcPr>
          <w:p>
            <w:pPr>
              <w:pStyle w:val="TableContents"/>
              <w:spacing w:before="0" w:after="283"/>
              <w:jc w:val="center"/>
              <w:rPr>
                <w:b/>
              </w:rPr>
            </w:pPr>
            <w:r>
              <w:rPr>
                <w:b/>
              </w:rPr>
              <w:t>Balance Sheet Classification</w:t>
            </w:r>
          </w:p>
        </w:tc>
        <w:tc>
          <w:tcPr>
            <w:tcW w:w="65" w:type="dxa"/>
            <w:tcBorders/>
            <w:shd w:fill="auto" w:val="clear"/>
            <w:vAlign w:val="bottom"/>
          </w:tcPr>
          <w:p>
            <w:pPr>
              <w:pStyle w:val="TableContents"/>
              <w:spacing w:before="0" w:after="283"/>
              <w:rPr/>
            </w:pPr>
            <w:r>
              <w:rPr/>
              <w:t> </w:t>
            </w:r>
          </w:p>
        </w:tc>
      </w:tr>
      <w:tr>
        <w:trPr/>
        <w:tc>
          <w:tcPr>
            <w:tcW w:w="2036"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incentive unit</w:t>
            </w:r>
          </w:p>
        </w:tc>
        <w:tc>
          <w:tcPr>
            <w:tcW w:w="16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1351" w:type="dxa"/>
            <w:tcBorders/>
            <w:shd w:fill="CCEEFF" w:val="clear"/>
            <w:vAlign w:val="bottom"/>
          </w:tcPr>
          <w:p>
            <w:pPr>
              <w:pStyle w:val="TableContents"/>
              <w:spacing w:before="0" w:after="283"/>
              <w:jc w:val="right"/>
              <w:rPr/>
            </w:pPr>
            <w:r>
              <w:rPr/>
              <w:t>9,210</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2" w:type="dxa"/>
            <w:tcBorders/>
            <w:shd w:fill="CCEEFF" w:val="clear"/>
            <w:vAlign w:val="bottom"/>
          </w:tcPr>
          <w:p>
            <w:pPr>
              <w:pStyle w:val="TableContents"/>
              <w:spacing w:before="0" w:after="283"/>
              <w:jc w:val="right"/>
              <w:rPr/>
            </w:pPr>
            <w:r>
              <w:rPr/>
              <w:t>Compensation and benefits</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41" w:type="dxa"/>
            <w:tcBorders/>
            <w:shd w:fill="CCEEFF" w:val="clear"/>
            <w:vAlign w:val="bottom"/>
          </w:tcPr>
          <w:p>
            <w:pPr>
              <w:pStyle w:val="TableContents"/>
              <w:spacing w:before="0" w:after="283"/>
              <w:jc w:val="right"/>
              <w:rPr/>
            </w:pPr>
            <w:r>
              <w:rPr/>
              <w:t>Class B incentive plan units</w:t>
            </w:r>
          </w:p>
        </w:tc>
        <w:tc>
          <w:tcPr>
            <w:tcW w:w="65" w:type="dxa"/>
            <w:tcBorders/>
            <w:shd w:fill="CCEEFF" w:val="clear"/>
            <w:vAlign w:val="bottom"/>
          </w:tcPr>
          <w:p>
            <w:pPr>
              <w:pStyle w:val="TableContents"/>
              <w:spacing w:before="0" w:after="283"/>
              <w:rPr/>
            </w:pPr>
            <w:r>
              <w:rPr/>
              <w:t> </w:t>
            </w:r>
          </w:p>
        </w:tc>
      </w:tr>
      <w:tr>
        <w:trPr/>
        <w:tc>
          <w:tcPr>
            <w:tcW w:w="2036" w:type="dxa"/>
            <w:tcBorders/>
            <w:shd w:fill="auto" w:val="clear"/>
          </w:tcPr>
          <w:p>
            <w:pPr>
              <w:pStyle w:val="TableContents"/>
              <w:spacing w:before="0" w:after="0"/>
              <w:rPr>
                <w:rFonts w:ascii="Times New Roman" w:hAnsi="Times New Roman"/>
                <w:sz w:val="20"/>
              </w:rPr>
            </w:pPr>
            <w:r>
              <w:rPr>
                <w:rFonts w:ascii="Times New Roman" w:hAnsi="Times New Roman"/>
                <w:sz w:val="20"/>
              </w:rPr>
              <w:t>Common incentive unit</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1,727</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2" w:type="dxa"/>
            <w:tcBorders/>
            <w:shd w:fill="auto" w:val="clear"/>
            <w:vAlign w:val="bottom"/>
          </w:tcPr>
          <w:p>
            <w:pPr>
              <w:pStyle w:val="TableContents"/>
              <w:spacing w:before="0" w:after="283"/>
              <w:jc w:val="right"/>
              <w:rPr/>
            </w:pPr>
            <w:r>
              <w:rPr/>
              <w:t>Compensation and benefits</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41" w:type="dxa"/>
            <w:tcBorders/>
            <w:shd w:fill="auto" w:val="clear"/>
            <w:vAlign w:val="bottom"/>
          </w:tcPr>
          <w:p>
            <w:pPr>
              <w:pStyle w:val="TableContents"/>
              <w:spacing w:before="0" w:after="283"/>
              <w:jc w:val="right"/>
              <w:rPr/>
            </w:pPr>
            <w:r>
              <w:rPr/>
              <w:t>Class C incentive plan units</w:t>
            </w:r>
          </w:p>
        </w:tc>
        <w:tc>
          <w:tcPr>
            <w:tcW w:w="65" w:type="dxa"/>
            <w:tcBorders/>
            <w:shd w:fill="auto" w:val="clear"/>
            <w:vAlign w:val="bottom"/>
          </w:tcPr>
          <w:p>
            <w:pPr>
              <w:pStyle w:val="TableContents"/>
              <w:spacing w:before="0" w:after="283"/>
              <w:rPr/>
            </w:pPr>
            <w:r>
              <w:rPr/>
              <w:t> </w:t>
            </w:r>
          </w:p>
        </w:tc>
      </w:tr>
      <w:tr>
        <w:trPr/>
        <w:tc>
          <w:tcPr>
            <w:tcW w:w="2036" w:type="dxa"/>
            <w:tcBorders/>
            <w:shd w:fill="CCEEFF" w:val="clear"/>
          </w:tcPr>
          <w:p>
            <w:pPr>
              <w:pStyle w:val="TableContents"/>
              <w:spacing w:before="0" w:after="0"/>
              <w:rPr>
                <w:rFonts w:ascii="Times New Roman" w:hAnsi="Times New Roman"/>
                <w:sz w:val="20"/>
              </w:rPr>
            </w:pPr>
            <w:r>
              <w:rPr>
                <w:rFonts w:ascii="Times New Roman" w:hAnsi="Times New Roman"/>
                <w:sz w:val="20"/>
              </w:rPr>
              <w:t>Participation unit</w:t>
            </w:r>
          </w:p>
        </w:tc>
        <w:tc>
          <w:tcPr>
            <w:tcW w:w="16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712</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2" w:type="dxa"/>
            <w:tcBorders/>
            <w:shd w:fill="CCEEFF" w:val="clear"/>
            <w:vAlign w:val="bottom"/>
          </w:tcPr>
          <w:p>
            <w:pPr>
              <w:pStyle w:val="TableContents"/>
              <w:spacing w:before="0" w:after="283"/>
              <w:jc w:val="right"/>
              <w:rPr/>
            </w:pPr>
            <w:r>
              <w:rPr/>
              <w:t>Compensation and benefits</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41" w:type="dxa"/>
            <w:tcBorders/>
            <w:shd w:fill="CCEEFF" w:val="clear"/>
            <w:vAlign w:val="bottom"/>
          </w:tcPr>
          <w:p>
            <w:pPr>
              <w:pStyle w:val="TableContents"/>
              <w:spacing w:before="0" w:after="283"/>
              <w:jc w:val="right"/>
              <w:rPr/>
            </w:pPr>
            <w:r>
              <w:rPr/>
              <w:t>Other non-current liabilities</w:t>
            </w:r>
          </w:p>
        </w:tc>
        <w:tc>
          <w:tcPr>
            <w:tcW w:w="65" w:type="dxa"/>
            <w:tcBorders/>
            <w:shd w:fill="CCEEFF" w:val="clear"/>
            <w:vAlign w:val="bottom"/>
          </w:tcPr>
          <w:p>
            <w:pPr>
              <w:pStyle w:val="TableContents"/>
              <w:spacing w:before="0" w:after="283"/>
              <w:rPr/>
            </w:pPr>
            <w:r>
              <w:rPr/>
              <w:t> </w:t>
            </w:r>
          </w:p>
        </w:tc>
      </w:tr>
      <w:tr>
        <w:trPr/>
        <w:tc>
          <w:tcPr>
            <w:tcW w:w="2036"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351" w:type="dxa"/>
            <w:tcBorders/>
            <w:shd w:fill="auto" w:val="clear"/>
            <w:vAlign w:val="bottom"/>
          </w:tcPr>
          <w:p>
            <w:pPr>
              <w:pStyle w:val="TableContents"/>
              <w:spacing w:before="0" w:after="283"/>
              <w:jc w:val="right"/>
              <w:rPr/>
            </w:pPr>
            <w:r>
              <w:rPr/>
              <w:t>11,649</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41"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Included in the unit-based compensation expense for the year ended December 31, 2019 is $6,175,000 of accelerated expense related to preferred incentive units held by a former Company executive whose award was modified upon termination of employment such that the executive retained a portion of the incentive units that would have otherwise been forfeited. This increase in expense was partially offset by the reversal of expense previously recorded for forfeitures of participation units made by certain terminated employees.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F-51</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Included in the unit-based compensation expense for the year ended December 31,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 </w:t>
      </w:r>
    </w:p>
    <w:p>
      <w:pPr>
        <w:pStyle w:val="TextBody"/>
        <w:spacing w:before="240" w:after="0"/>
        <w:jc w:val="left"/>
        <w:rPr>
          <w:rFonts w:ascii="Times New Roman" w:hAnsi="Times New Roman"/>
          <w:sz w:val="20"/>
        </w:rPr>
      </w:pPr>
      <w:r>
        <w:rPr>
          <w:rFonts w:ascii="Times New Roman" w:hAnsi="Times New Roman"/>
          <w:sz w:val="20"/>
        </w:rPr>
        <w:t xml:space="preserve">Unrecognized compensation expense for the year ended December 31, 2019 was $23,941,000, $1,158,000, and $2,958,000 for preferred incentive units, common incentive units, and participation units, respectively. The unrecognized compensation expense will be recognized over a weighted-average period of 7.73 years. </w:t>
      </w:r>
    </w:p>
    <w:p>
      <w:pPr>
        <w:pStyle w:val="TextBody"/>
        <w:spacing w:before="240" w:after="0"/>
        <w:jc w:val="left"/>
        <w:rPr>
          <w:rFonts w:ascii="Times New Roman" w:hAnsi="Times New Roman"/>
          <w:sz w:val="20"/>
        </w:rPr>
      </w:pPr>
      <w:r>
        <w:rPr>
          <w:rFonts w:ascii="Times New Roman" w:hAnsi="Times New Roman"/>
          <w:sz w:val="20"/>
        </w:rPr>
        <w:t xml:space="preserve">Unrecognized compensation expense for the year ended December 31, 2020 was $13,688,000, $9,797,000, and $10,422,000 for preferred incentive units, common incentive units, and participation units, respectively. The unrecognized compensation expense will be recognized over a weighted-average period of 6.75 years. </w:t>
      </w:r>
    </w:p>
    <w:p>
      <w:pPr>
        <w:pStyle w:val="TextBody"/>
        <w:spacing w:before="360" w:after="0"/>
        <w:jc w:val="left"/>
        <w:rPr>
          <w:rFonts w:ascii="Times New Roman" w:hAnsi="Times New Roman"/>
          <w:b/>
          <w:i/>
          <w:sz w:val="20"/>
        </w:rPr>
      </w:pPr>
      <w:r>
        <w:rPr>
          <w:rFonts w:ascii="Times New Roman" w:hAnsi="Times New Roman"/>
          <w:b/>
          <w:i/>
          <w:sz w:val="20"/>
        </w:rPr>
        <w:t xml:space="preserve">Unit Activity </w:t>
      </w:r>
    </w:p>
    <w:p>
      <w:pPr>
        <w:pStyle w:val="TextBody"/>
        <w:spacing w:before="120" w:after="0"/>
        <w:jc w:val="left"/>
        <w:rPr>
          <w:rFonts w:ascii="Times New Roman" w:hAnsi="Times New Roman"/>
          <w:sz w:val="20"/>
        </w:rPr>
      </w:pPr>
      <w:r>
        <w:rPr>
          <w:rFonts w:ascii="Times New Roman" w:hAnsi="Times New Roman"/>
          <w:sz w:val="20"/>
        </w:rPr>
        <w:t xml:space="preserve">The following tables summarize preferred incentive unit, common incentive unit, and participation unit activity under the Equity Plan for the year ended December 31, 2020 and 2019 (in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57"/>
        <w:gridCol w:w="246"/>
        <w:gridCol w:w="78"/>
        <w:gridCol w:w="1072"/>
        <w:gridCol w:w="155"/>
        <w:gridCol w:w="192"/>
        <w:gridCol w:w="150"/>
        <w:gridCol w:w="1114"/>
        <w:gridCol w:w="60"/>
        <w:gridCol w:w="245"/>
        <w:gridCol w:w="285"/>
        <w:gridCol w:w="895"/>
        <w:gridCol w:w="60"/>
        <w:gridCol w:w="246"/>
        <w:gridCol w:w="157"/>
        <w:gridCol w:w="847"/>
        <w:gridCol w:w="60"/>
        <w:gridCol w:w="246"/>
        <w:gridCol w:w="182"/>
        <w:gridCol w:w="891"/>
        <w:gridCol w:w="67"/>
      </w:tblGrid>
      <w:tr>
        <w:trPr/>
        <w:tc>
          <w:tcPr>
            <w:tcW w:w="295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957" w:type="dxa"/>
            <w:tcBorders/>
            <w:shd w:fill="auto" w:val="clear"/>
            <w:vAlign w:val="bottom"/>
          </w:tcPr>
          <w:p>
            <w:pPr>
              <w:pStyle w:val="TableContents"/>
              <w:spacing w:before="0" w:after="283"/>
              <w:rPr>
                <w:b/>
              </w:rPr>
            </w:pPr>
            <w:r>
              <w:rPr>
                <w:b/>
              </w:rPr>
              <w:t>Preferred Incentive Units</w:t>
            </w:r>
          </w:p>
        </w:tc>
        <w:tc>
          <w:tcPr>
            <w:tcW w:w="246"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jc w:val="center"/>
              <w:rPr>
                <w:b/>
              </w:rPr>
            </w:pPr>
            <w:r>
              <w:rPr>
                <w:b/>
              </w:rPr>
              <w:t>Number of</w:t>
              <w:br/>
              <w:t>Preferred</w:t>
              <w:br/>
              <w:t>Incentive</w:t>
              <w:br/>
              <w:t>Units</w:t>
            </w:r>
          </w:p>
        </w:tc>
        <w:tc>
          <w:tcPr>
            <w:tcW w:w="1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b/>
              </w:rPr>
            </w:pPr>
            <w:r>
              <w:rPr>
                <w:b/>
              </w:rPr>
              <w:t>Weighted</w:t>
              <w:br/>
              <w:t>Average</w:t>
              <w:br/>
              <w:t>Remaining</w:t>
              <w:br/>
              <w:t>Contractual</w:t>
              <w:br/>
              <w:t>Term</w:t>
              <w:br/>
              <w:t>(years)</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b/>
              </w:rPr>
            </w:pPr>
            <w:r>
              <w:rPr>
                <w:b/>
              </w:rPr>
              <w:t>Weighted</w:t>
              <w:br/>
              <w:t>Average</w:t>
              <w:br/>
              <w:t>Grant Date</w:t>
              <w:br/>
              <w:t>Fair Value</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004" w:type="dxa"/>
            <w:gridSpan w:val="2"/>
            <w:tcBorders/>
            <w:shd w:fill="auto" w:val="clear"/>
            <w:vAlign w:val="bottom"/>
          </w:tcPr>
          <w:p>
            <w:pPr>
              <w:pStyle w:val="TableContents"/>
              <w:spacing w:before="0" w:after="283"/>
              <w:jc w:val="center"/>
              <w:rPr>
                <w:b/>
              </w:rPr>
            </w:pPr>
            <w:r>
              <w:rPr>
                <w:b/>
              </w:rPr>
              <w:t>Weighted</w:t>
              <w:br/>
              <w:t>Average</w:t>
              <w:br/>
              <w:t>Exercise</w:t>
              <w:br/>
              <w:t>Price</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b/>
              </w:rPr>
            </w:pPr>
            <w:r>
              <w:rPr>
                <w:b/>
              </w:rPr>
              <w:t>Aggregate</w:t>
              <w:br/>
              <w:t>Intrinsic</w:t>
              <w:br/>
              <w:t>Value</w:t>
            </w:r>
          </w:p>
        </w:tc>
        <w:tc>
          <w:tcPr>
            <w:tcW w:w="67" w:type="dxa"/>
            <w:tcBorders/>
            <w:shd w:fill="auto" w:val="clear"/>
            <w:vAlign w:val="bottom"/>
          </w:tcPr>
          <w:p>
            <w:pPr>
              <w:pStyle w:val="TableContents"/>
              <w:spacing w:before="0" w:after="283"/>
              <w:rPr/>
            </w:pPr>
            <w:r>
              <w:rPr/>
              <w:t> </w:t>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January 1, 2019</w:t>
            </w:r>
          </w:p>
        </w:tc>
        <w:tc>
          <w:tcPr>
            <w:tcW w:w="24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8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891"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Granted</w:t>
            </w:r>
          </w:p>
        </w:tc>
        <w:tc>
          <w:tcPr>
            <w:tcW w:w="24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100,875</w:t>
            </w:r>
          </w:p>
        </w:tc>
        <w:tc>
          <w:tcPr>
            <w:tcW w:w="1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895" w:type="dxa"/>
            <w:tcBorders/>
            <w:shd w:fill="auto" w:val="clear"/>
            <w:vAlign w:val="bottom"/>
          </w:tcPr>
          <w:p>
            <w:pPr>
              <w:pStyle w:val="TableContents"/>
              <w:spacing w:before="0" w:after="283"/>
              <w:jc w:val="right"/>
              <w:rPr/>
            </w:pPr>
            <w:r>
              <w:rPr/>
              <w:t>0.42</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891" w:type="dxa"/>
            <w:tcBorders/>
            <w:shd w:fill="auto" w:val="clear"/>
            <w:vAlign w:val="bottom"/>
          </w:tcPr>
          <w:p>
            <w:pPr>
              <w:pStyle w:val="TableContents"/>
              <w:spacing w:before="0" w:after="283"/>
              <w:jc w:val="right"/>
              <w:rPr/>
            </w:pPr>
            <w:r>
              <w:rPr/>
              <w:t>42,368</w:t>
            </w:r>
          </w:p>
        </w:tc>
        <w:tc>
          <w:tcPr>
            <w:tcW w:w="67" w:type="dxa"/>
            <w:tcBorders/>
            <w:shd w:fill="auto" w:val="clear"/>
            <w:vAlign w:val="bottom"/>
          </w:tcPr>
          <w:p>
            <w:pPr>
              <w:pStyle w:val="TableContents"/>
              <w:spacing w:before="0" w:after="283"/>
              <w:rPr/>
            </w:pPr>
            <w:r>
              <w:rPr/>
              <w:t> </w:t>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Forfeited</w:t>
            </w:r>
          </w:p>
        </w:tc>
        <w:tc>
          <w:tcPr>
            <w:tcW w:w="24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(18,750</w:t>
            </w:r>
          </w:p>
        </w:tc>
        <w:tc>
          <w:tcPr>
            <w:tcW w:w="1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8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891"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Outstanding as of December 31, 2019</w:t>
            </w:r>
          </w:p>
        </w:tc>
        <w:tc>
          <w:tcPr>
            <w:tcW w:w="24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82,125</w:t>
            </w:r>
          </w:p>
        </w:tc>
        <w:tc>
          <w:tcPr>
            <w:tcW w:w="1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pPr>
            <w:r>
              <w:rPr/>
              <w:t>7.73</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895" w:type="dxa"/>
            <w:tcBorders/>
            <w:shd w:fill="auto" w:val="clear"/>
            <w:vAlign w:val="bottom"/>
          </w:tcPr>
          <w:p>
            <w:pPr>
              <w:pStyle w:val="TableContents"/>
              <w:spacing w:before="0" w:after="283"/>
              <w:jc w:val="right"/>
              <w:rPr/>
            </w:pPr>
            <w:r>
              <w:rPr/>
              <w:t>0.42</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891" w:type="dxa"/>
            <w:tcBorders/>
            <w:shd w:fill="auto" w:val="clear"/>
            <w:vAlign w:val="bottom"/>
          </w:tcPr>
          <w:p>
            <w:pPr>
              <w:pStyle w:val="TableContents"/>
              <w:spacing w:before="0" w:after="283"/>
              <w:jc w:val="right"/>
              <w:rPr/>
            </w:pPr>
            <w:r>
              <w:rPr/>
              <w:t>34,493</w:t>
            </w:r>
          </w:p>
        </w:tc>
        <w:tc>
          <w:tcPr>
            <w:tcW w:w="67" w:type="dxa"/>
            <w:tcBorders/>
            <w:shd w:fill="auto" w:val="clear"/>
            <w:vAlign w:val="bottom"/>
          </w:tcPr>
          <w:p>
            <w:pPr>
              <w:pStyle w:val="TableContents"/>
              <w:spacing w:before="0" w:after="283"/>
              <w:rPr/>
            </w:pPr>
            <w:r>
              <w:rPr/>
              <w:t> </w:t>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Granted</w:t>
            </w:r>
          </w:p>
        </w:tc>
        <w:tc>
          <w:tcPr>
            <w:tcW w:w="24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3,350</w:t>
            </w:r>
          </w:p>
        </w:tc>
        <w:tc>
          <w:tcPr>
            <w:tcW w:w="1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w:t>
            </w:r>
          </w:p>
        </w:tc>
        <w:tc>
          <w:tcPr>
            <w:tcW w:w="895" w:type="dxa"/>
            <w:tcBorders/>
            <w:shd w:fill="CCEEFF" w:val="clear"/>
            <w:vAlign w:val="bottom"/>
          </w:tcPr>
          <w:p>
            <w:pPr>
              <w:pStyle w:val="TableContents"/>
              <w:spacing w:before="0" w:after="283"/>
              <w:jc w:val="right"/>
              <w:rPr/>
            </w:pPr>
            <w:r>
              <w:rPr/>
              <w:t>0.63</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w:t>
            </w:r>
          </w:p>
        </w:tc>
        <w:tc>
          <w:tcPr>
            <w:tcW w:w="891" w:type="dxa"/>
            <w:tcBorders/>
            <w:shd w:fill="CCEEFF" w:val="clear"/>
            <w:vAlign w:val="bottom"/>
          </w:tcPr>
          <w:p>
            <w:pPr>
              <w:pStyle w:val="TableContents"/>
              <w:spacing w:before="0" w:after="283"/>
              <w:jc w:val="right"/>
              <w:rPr/>
            </w:pPr>
            <w:r>
              <w:rPr/>
              <w:t>2,105</w:t>
            </w:r>
          </w:p>
        </w:tc>
        <w:tc>
          <w:tcPr>
            <w:tcW w:w="67" w:type="dxa"/>
            <w:tcBorders/>
            <w:shd w:fill="CCEEFF" w:val="clear"/>
            <w:vAlign w:val="bottom"/>
          </w:tcPr>
          <w:p>
            <w:pPr>
              <w:pStyle w:val="TableContents"/>
              <w:spacing w:before="0" w:after="283"/>
              <w:rPr/>
            </w:pPr>
            <w:r>
              <w:rPr/>
              <w:t> </w:t>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Forfeited</w:t>
            </w:r>
          </w:p>
        </w:tc>
        <w:tc>
          <w:tcPr>
            <w:tcW w:w="24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(9,000</w:t>
            </w:r>
          </w:p>
        </w:tc>
        <w:tc>
          <w:tcPr>
            <w:tcW w:w="1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895" w:type="dxa"/>
            <w:tcBorders/>
            <w:shd w:fill="auto" w:val="clear"/>
            <w:vAlign w:val="bottom"/>
          </w:tcPr>
          <w:p>
            <w:pPr>
              <w:pStyle w:val="TableContents"/>
              <w:spacing w:before="0" w:after="283"/>
              <w:jc w:val="right"/>
              <w:rPr/>
            </w:pPr>
            <w:r>
              <w:rPr/>
              <w:t>0.41</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December 31, 2020</w:t>
            </w:r>
          </w:p>
        </w:tc>
        <w:tc>
          <w:tcPr>
            <w:tcW w:w="24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76,475</w:t>
            </w:r>
          </w:p>
        </w:tc>
        <w:tc>
          <w:tcPr>
            <w:tcW w:w="1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pPr>
            <w:r>
              <w:rPr/>
              <w:t>6.75</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w:t>
            </w:r>
          </w:p>
        </w:tc>
        <w:tc>
          <w:tcPr>
            <w:tcW w:w="895" w:type="dxa"/>
            <w:tcBorders/>
            <w:shd w:fill="CCEEFF" w:val="clear"/>
            <w:vAlign w:val="bottom"/>
          </w:tcPr>
          <w:p>
            <w:pPr>
              <w:pStyle w:val="TableContents"/>
              <w:spacing w:before="0" w:after="283"/>
              <w:jc w:val="right"/>
              <w:rPr/>
            </w:pPr>
            <w:r>
              <w:rPr/>
              <w:t>0.42</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w:t>
            </w:r>
          </w:p>
        </w:tc>
        <w:tc>
          <w:tcPr>
            <w:tcW w:w="891" w:type="dxa"/>
            <w:tcBorders/>
            <w:shd w:fill="CCEEFF" w:val="clear"/>
            <w:vAlign w:val="bottom"/>
          </w:tcPr>
          <w:p>
            <w:pPr>
              <w:pStyle w:val="TableContents"/>
              <w:spacing w:before="0" w:after="283"/>
              <w:jc w:val="right"/>
              <w:rPr/>
            </w:pPr>
            <w:r>
              <w:rPr/>
              <w:t>88,711</w:t>
            </w:r>
          </w:p>
        </w:tc>
        <w:tc>
          <w:tcPr>
            <w:tcW w:w="67" w:type="dxa"/>
            <w:tcBorders/>
            <w:shd w:fill="CCEEFF" w:val="clear"/>
            <w:vAlign w:val="bottom"/>
          </w:tcPr>
          <w:p>
            <w:pPr>
              <w:pStyle w:val="TableContents"/>
              <w:spacing w:before="0" w:after="283"/>
              <w:rPr/>
            </w:pPr>
            <w:r>
              <w:rPr/>
              <w:t> </w:t>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Vested as of December 31, 2020</w:t>
            </w:r>
          </w:p>
        </w:tc>
        <w:tc>
          <w:tcPr>
            <w:tcW w:w="24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8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40"/>
        <w:gridCol w:w="243"/>
        <w:gridCol w:w="91"/>
        <w:gridCol w:w="1039"/>
        <w:gridCol w:w="155"/>
        <w:gridCol w:w="188"/>
        <w:gridCol w:w="150"/>
        <w:gridCol w:w="1128"/>
        <w:gridCol w:w="60"/>
        <w:gridCol w:w="243"/>
        <w:gridCol w:w="289"/>
        <w:gridCol w:w="906"/>
        <w:gridCol w:w="60"/>
        <w:gridCol w:w="242"/>
        <w:gridCol w:w="157"/>
        <w:gridCol w:w="858"/>
        <w:gridCol w:w="60"/>
        <w:gridCol w:w="243"/>
        <w:gridCol w:w="182"/>
        <w:gridCol w:w="903"/>
        <w:gridCol w:w="68"/>
      </w:tblGrid>
      <w:tr>
        <w:trPr/>
        <w:tc>
          <w:tcPr>
            <w:tcW w:w="294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940" w:type="dxa"/>
            <w:tcBorders/>
            <w:shd w:fill="auto" w:val="clear"/>
            <w:vAlign w:val="bottom"/>
          </w:tcPr>
          <w:p>
            <w:pPr>
              <w:pStyle w:val="TableContents"/>
              <w:spacing w:before="0" w:after="283"/>
              <w:rPr>
                <w:b/>
              </w:rPr>
            </w:pPr>
            <w:r>
              <w:rPr>
                <w:b/>
              </w:rPr>
              <w:t>Common Incentive Units</w:t>
            </w:r>
          </w:p>
        </w:tc>
        <w:tc>
          <w:tcPr>
            <w:tcW w:w="243"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b/>
              </w:rPr>
            </w:pPr>
            <w:r>
              <w:rPr>
                <w:b/>
              </w:rPr>
              <w:t>Number of</w:t>
              <w:br/>
              <w:t>Common</w:t>
              <w:br/>
              <w:t>Incentive</w:t>
              <w:br/>
              <w:t>Units</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283"/>
              <w:jc w:val="center"/>
              <w:rPr>
                <w:b/>
              </w:rPr>
            </w:pPr>
            <w:r>
              <w:rPr>
                <w:b/>
              </w:rPr>
              <w:t>Weighted</w:t>
              <w:br/>
              <w:t>Average</w:t>
              <w:br/>
              <w:t>Remaining</w:t>
              <w:br/>
              <w:t>Contractual</w:t>
              <w:br/>
              <w:t>Term</w:t>
              <w:br/>
              <w:t>(years)</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5" w:type="dxa"/>
            <w:gridSpan w:val="2"/>
            <w:tcBorders/>
            <w:shd w:fill="auto" w:val="clear"/>
            <w:vAlign w:val="bottom"/>
          </w:tcPr>
          <w:p>
            <w:pPr>
              <w:pStyle w:val="TableContents"/>
              <w:spacing w:before="0" w:after="283"/>
              <w:jc w:val="center"/>
              <w:rPr>
                <w:b/>
              </w:rPr>
            </w:pPr>
            <w:r>
              <w:rPr>
                <w:b/>
              </w:rPr>
              <w:t>Weighted</w:t>
              <w:br/>
              <w:t>Average</w:t>
              <w:br/>
              <w:t>Grant Date</w:t>
              <w:br/>
              <w:t>Fair Value</w:t>
            </w:r>
          </w:p>
        </w:tc>
        <w:tc>
          <w:tcPr>
            <w:tcW w:w="6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015" w:type="dxa"/>
            <w:gridSpan w:val="2"/>
            <w:tcBorders/>
            <w:shd w:fill="auto" w:val="clear"/>
            <w:vAlign w:val="bottom"/>
          </w:tcPr>
          <w:p>
            <w:pPr>
              <w:pStyle w:val="TableContents"/>
              <w:spacing w:before="0" w:after="283"/>
              <w:jc w:val="center"/>
              <w:rPr>
                <w:b/>
              </w:rPr>
            </w:pPr>
            <w:r>
              <w:rPr>
                <w:b/>
              </w:rPr>
              <w:t>Weighted</w:t>
              <w:br/>
              <w:t>Average</w:t>
              <w:br/>
              <w:t>Exercise</w:t>
              <w:br/>
              <w:t>Price</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jc w:val="center"/>
              <w:rPr>
                <w:b/>
              </w:rPr>
            </w:pPr>
            <w:r>
              <w:rPr>
                <w:b/>
              </w:rPr>
              <w:t>Aggregate</w:t>
              <w:br/>
              <w:t>Intrinsic</w:t>
              <w:br/>
              <w:t>Value</w:t>
            </w:r>
          </w:p>
        </w:tc>
        <w:tc>
          <w:tcPr>
            <w:tcW w:w="68" w:type="dxa"/>
            <w:tcBorders/>
            <w:shd w:fill="auto" w:val="clear"/>
            <w:vAlign w:val="bottom"/>
          </w:tcPr>
          <w:p>
            <w:pPr>
              <w:pStyle w:val="TableContents"/>
              <w:spacing w:before="0" w:after="283"/>
              <w:rPr/>
            </w:pPr>
            <w:r>
              <w:rPr/>
              <w:t> </w:t>
            </w:r>
          </w:p>
        </w:tc>
      </w:tr>
      <w:tr>
        <w:trPr/>
        <w:tc>
          <w:tcPr>
            <w:tcW w:w="2940"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January 1, 2019</w:t>
            </w:r>
          </w:p>
        </w:tc>
        <w:tc>
          <w:tcPr>
            <w:tcW w:w="24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5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940" w:type="dxa"/>
            <w:tcBorders/>
            <w:shd w:fill="auto" w:val="clear"/>
          </w:tcPr>
          <w:p>
            <w:pPr>
              <w:pStyle w:val="TableContents"/>
              <w:spacing w:before="0" w:after="0"/>
              <w:rPr>
                <w:rFonts w:ascii="Times New Roman" w:hAnsi="Times New Roman"/>
                <w:sz w:val="20"/>
              </w:rPr>
            </w:pPr>
            <w:r>
              <w:rPr>
                <w:rFonts w:ascii="Times New Roman" w:hAnsi="Times New Roman"/>
                <w:sz w:val="20"/>
              </w:rPr>
              <w:t>Granted</w:t>
            </w:r>
          </w:p>
        </w:tc>
        <w:tc>
          <w:tcPr>
            <w:tcW w:w="24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3,750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w:t>
            </w:r>
          </w:p>
        </w:tc>
        <w:tc>
          <w:tcPr>
            <w:tcW w:w="906" w:type="dxa"/>
            <w:tcBorders/>
            <w:shd w:fill="auto" w:val="clear"/>
            <w:vAlign w:val="bottom"/>
          </w:tcPr>
          <w:p>
            <w:pPr>
              <w:pStyle w:val="TableContents"/>
              <w:spacing w:before="0" w:after="283"/>
              <w:jc w:val="right"/>
              <w:rPr/>
            </w:pPr>
            <w:r>
              <w:rPr/>
              <w:t>0.34</w:t>
            </w:r>
          </w:p>
        </w:tc>
        <w:tc>
          <w:tcPr>
            <w:tcW w:w="6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903" w:type="dxa"/>
            <w:tcBorders/>
            <w:shd w:fill="auto" w:val="clear"/>
            <w:vAlign w:val="bottom"/>
          </w:tcPr>
          <w:p>
            <w:pPr>
              <w:pStyle w:val="TableContents"/>
              <w:spacing w:before="0" w:after="283"/>
              <w:jc w:val="right"/>
              <w:rPr/>
            </w:pPr>
            <w:r>
              <w:rPr/>
              <w:t>1,275</w:t>
            </w:r>
          </w:p>
        </w:tc>
        <w:tc>
          <w:tcPr>
            <w:tcW w:w="68" w:type="dxa"/>
            <w:tcBorders/>
            <w:shd w:fill="auto" w:val="clear"/>
            <w:vAlign w:val="bottom"/>
          </w:tcPr>
          <w:p>
            <w:pPr>
              <w:pStyle w:val="TableContents"/>
              <w:spacing w:before="0" w:after="283"/>
              <w:rPr/>
            </w:pPr>
            <w:r>
              <w:rPr/>
              <w:t> </w:t>
            </w:r>
          </w:p>
        </w:tc>
      </w:tr>
      <w:tr>
        <w:trPr/>
        <w:tc>
          <w:tcPr>
            <w:tcW w:w="2940" w:type="dxa"/>
            <w:tcBorders/>
            <w:shd w:fill="CCEEFF" w:val="clear"/>
          </w:tcPr>
          <w:p>
            <w:pPr>
              <w:pStyle w:val="TableContents"/>
              <w:spacing w:before="0" w:after="0"/>
              <w:rPr>
                <w:rFonts w:ascii="Times New Roman" w:hAnsi="Times New Roman"/>
                <w:sz w:val="20"/>
              </w:rPr>
            </w:pPr>
            <w:r>
              <w:rPr>
                <w:rFonts w:ascii="Times New Roman" w:hAnsi="Times New Roman"/>
                <w:sz w:val="20"/>
              </w:rPr>
              <w:t>Forfeited</w:t>
            </w:r>
          </w:p>
        </w:tc>
        <w:tc>
          <w:tcPr>
            <w:tcW w:w="24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5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940" w:type="dxa"/>
            <w:tcBorders/>
            <w:shd w:fill="auto" w:val="clear"/>
          </w:tcPr>
          <w:p>
            <w:pPr>
              <w:pStyle w:val="TableContents"/>
              <w:spacing w:before="0" w:after="0"/>
              <w:rPr>
                <w:rFonts w:ascii="Times New Roman" w:hAnsi="Times New Roman"/>
                <w:sz w:val="20"/>
              </w:rPr>
            </w:pPr>
            <w:r>
              <w:rPr>
                <w:rFonts w:ascii="Times New Roman" w:hAnsi="Times New Roman"/>
                <w:sz w:val="20"/>
              </w:rPr>
              <w:t>Outstanding as of December 31, 2019</w:t>
            </w:r>
          </w:p>
        </w:tc>
        <w:tc>
          <w:tcPr>
            <w:tcW w:w="24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3,750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7.73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w:t>
            </w:r>
          </w:p>
        </w:tc>
        <w:tc>
          <w:tcPr>
            <w:tcW w:w="906" w:type="dxa"/>
            <w:tcBorders/>
            <w:shd w:fill="auto" w:val="clear"/>
            <w:vAlign w:val="bottom"/>
          </w:tcPr>
          <w:p>
            <w:pPr>
              <w:pStyle w:val="TableContents"/>
              <w:spacing w:before="0" w:after="283"/>
              <w:jc w:val="right"/>
              <w:rPr/>
            </w:pPr>
            <w:r>
              <w:rPr/>
              <w:t>0.34</w:t>
            </w:r>
          </w:p>
        </w:tc>
        <w:tc>
          <w:tcPr>
            <w:tcW w:w="6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5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903" w:type="dxa"/>
            <w:tcBorders/>
            <w:shd w:fill="auto" w:val="clear"/>
            <w:vAlign w:val="bottom"/>
          </w:tcPr>
          <w:p>
            <w:pPr>
              <w:pStyle w:val="TableContents"/>
              <w:spacing w:before="0" w:after="283"/>
              <w:jc w:val="right"/>
              <w:rPr/>
            </w:pPr>
            <w:r>
              <w:rPr/>
              <w:t>1,275</w:t>
            </w:r>
          </w:p>
        </w:tc>
        <w:tc>
          <w:tcPr>
            <w:tcW w:w="68" w:type="dxa"/>
            <w:tcBorders/>
            <w:shd w:fill="auto" w:val="clear"/>
            <w:vAlign w:val="bottom"/>
          </w:tcPr>
          <w:p>
            <w:pPr>
              <w:pStyle w:val="TableContents"/>
              <w:spacing w:before="0" w:after="283"/>
              <w:rPr/>
            </w:pPr>
            <w:r>
              <w:rPr/>
              <w:t> </w:t>
            </w:r>
          </w:p>
        </w:tc>
      </w:tr>
      <w:tr>
        <w:trPr/>
        <w:tc>
          <w:tcPr>
            <w:tcW w:w="2940" w:type="dxa"/>
            <w:tcBorders/>
            <w:shd w:fill="CCEEFF" w:val="clear"/>
          </w:tcPr>
          <w:p>
            <w:pPr>
              <w:pStyle w:val="TableContents"/>
              <w:spacing w:before="0" w:after="0"/>
              <w:rPr>
                <w:rFonts w:ascii="Times New Roman" w:hAnsi="Times New Roman"/>
                <w:sz w:val="20"/>
              </w:rPr>
            </w:pPr>
            <w:r>
              <w:rPr>
                <w:rFonts w:ascii="Times New Roman" w:hAnsi="Times New Roman"/>
                <w:sz w:val="20"/>
              </w:rPr>
              <w:t>Granted</w:t>
            </w:r>
          </w:p>
        </w:tc>
        <w:tc>
          <w:tcPr>
            <w:tcW w:w="24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31,333</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906" w:type="dxa"/>
            <w:tcBorders/>
            <w:shd w:fill="CCEEFF" w:val="clear"/>
            <w:vAlign w:val="bottom"/>
          </w:tcPr>
          <w:p>
            <w:pPr>
              <w:pStyle w:val="TableContents"/>
              <w:spacing w:before="0" w:after="283"/>
              <w:jc w:val="right"/>
              <w:rPr/>
            </w:pPr>
            <w:r>
              <w:rPr/>
              <w:t>0.42</w:t>
            </w:r>
          </w:p>
        </w:tc>
        <w:tc>
          <w:tcPr>
            <w:tcW w:w="6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13,065</w:t>
            </w:r>
          </w:p>
        </w:tc>
        <w:tc>
          <w:tcPr>
            <w:tcW w:w="68" w:type="dxa"/>
            <w:tcBorders/>
            <w:shd w:fill="CCEEFF" w:val="clear"/>
            <w:vAlign w:val="bottom"/>
          </w:tcPr>
          <w:p>
            <w:pPr>
              <w:pStyle w:val="TableContents"/>
              <w:spacing w:before="0" w:after="283"/>
              <w:rPr/>
            </w:pPr>
            <w:r>
              <w:rPr/>
              <w:t> </w:t>
            </w:r>
          </w:p>
        </w:tc>
      </w:tr>
      <w:tr>
        <w:trPr/>
        <w:tc>
          <w:tcPr>
            <w:tcW w:w="2940" w:type="dxa"/>
            <w:tcBorders/>
            <w:shd w:fill="auto" w:val="clear"/>
          </w:tcPr>
          <w:p>
            <w:pPr>
              <w:pStyle w:val="TableContents"/>
              <w:spacing w:before="0" w:after="0"/>
              <w:rPr>
                <w:rFonts w:ascii="Times New Roman" w:hAnsi="Times New Roman"/>
                <w:sz w:val="20"/>
              </w:rPr>
            </w:pPr>
            <w:r>
              <w:rPr>
                <w:rFonts w:ascii="Times New Roman" w:hAnsi="Times New Roman"/>
                <w:sz w:val="20"/>
              </w:rPr>
              <w:t>Forfeited</w:t>
            </w:r>
          </w:p>
        </w:tc>
        <w:tc>
          <w:tcPr>
            <w:tcW w:w="24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(8,250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w:t>
            </w:r>
          </w:p>
        </w:tc>
        <w:tc>
          <w:tcPr>
            <w:tcW w:w="906" w:type="dxa"/>
            <w:tcBorders/>
            <w:shd w:fill="auto" w:val="clear"/>
            <w:vAlign w:val="bottom"/>
          </w:tcPr>
          <w:p>
            <w:pPr>
              <w:pStyle w:val="TableContents"/>
              <w:spacing w:before="0" w:after="283"/>
              <w:jc w:val="right"/>
              <w:rPr/>
            </w:pPr>
            <w:r>
              <w:rPr/>
              <w:t>0.33</w:t>
            </w:r>
          </w:p>
        </w:tc>
        <w:tc>
          <w:tcPr>
            <w:tcW w:w="6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5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2940"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December 31, 2020</w:t>
            </w:r>
          </w:p>
        </w:tc>
        <w:tc>
          <w:tcPr>
            <w:tcW w:w="24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26,833</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6.75</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906" w:type="dxa"/>
            <w:tcBorders/>
            <w:shd w:fill="CCEEFF" w:val="clear"/>
            <w:vAlign w:val="bottom"/>
          </w:tcPr>
          <w:p>
            <w:pPr>
              <w:pStyle w:val="TableContents"/>
              <w:spacing w:before="0" w:after="283"/>
              <w:jc w:val="right"/>
              <w:rPr/>
            </w:pPr>
            <w:r>
              <w:rPr/>
              <w:t>0.43</w:t>
            </w:r>
          </w:p>
        </w:tc>
        <w:tc>
          <w:tcPr>
            <w:tcW w:w="6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5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25,760</w:t>
            </w:r>
          </w:p>
        </w:tc>
        <w:tc>
          <w:tcPr>
            <w:tcW w:w="68" w:type="dxa"/>
            <w:tcBorders/>
            <w:shd w:fill="CCEEFF" w:val="clear"/>
            <w:vAlign w:val="bottom"/>
          </w:tcPr>
          <w:p>
            <w:pPr>
              <w:pStyle w:val="TableContents"/>
              <w:spacing w:before="0" w:after="283"/>
              <w:rPr/>
            </w:pPr>
            <w:r>
              <w:rPr/>
              <w:t> </w:t>
            </w:r>
          </w:p>
        </w:tc>
      </w:tr>
      <w:tr>
        <w:trPr/>
        <w:tc>
          <w:tcPr>
            <w:tcW w:w="2940" w:type="dxa"/>
            <w:tcBorders/>
            <w:shd w:fill="auto" w:val="clear"/>
          </w:tcPr>
          <w:p>
            <w:pPr>
              <w:pStyle w:val="TableContents"/>
              <w:spacing w:before="0" w:after="0"/>
              <w:rPr>
                <w:rFonts w:ascii="Times New Roman" w:hAnsi="Times New Roman"/>
                <w:sz w:val="20"/>
              </w:rPr>
            </w:pPr>
            <w:r>
              <w:rPr>
                <w:rFonts w:ascii="Times New Roman" w:hAnsi="Times New Roman"/>
                <w:sz w:val="20"/>
              </w:rPr>
              <w:t>Vested as of December 31, 2020</w:t>
            </w:r>
          </w:p>
        </w:tc>
        <w:tc>
          <w:tcPr>
            <w:tcW w:w="24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sz w:val="4"/>
                <w:szCs w:val="4"/>
              </w:rPr>
            </w:pPr>
            <w:r>
              <w:rPr>
                <w:sz w:val="4"/>
                <w:szCs w:val="4"/>
              </w:rPr>
            </w:r>
          </w:p>
        </w:tc>
        <w:tc>
          <w:tcPr>
            <w:tcW w:w="9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5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F-52</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727"/>
        <w:gridCol w:w="254"/>
        <w:gridCol w:w="108"/>
        <w:gridCol w:w="1233"/>
        <w:gridCol w:w="155"/>
        <w:gridCol w:w="199"/>
        <w:gridCol w:w="150"/>
        <w:gridCol w:w="1113"/>
        <w:gridCol w:w="60"/>
        <w:gridCol w:w="254"/>
        <w:gridCol w:w="285"/>
        <w:gridCol w:w="896"/>
        <w:gridCol w:w="60"/>
        <w:gridCol w:w="254"/>
        <w:gridCol w:w="157"/>
        <w:gridCol w:w="846"/>
        <w:gridCol w:w="60"/>
        <w:gridCol w:w="254"/>
        <w:gridCol w:w="182"/>
        <w:gridCol w:w="892"/>
        <w:gridCol w:w="66"/>
      </w:tblGrid>
      <w:tr>
        <w:trPr/>
        <w:tc>
          <w:tcPr>
            <w:tcW w:w="272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727" w:type="dxa"/>
            <w:tcBorders/>
            <w:shd w:fill="auto" w:val="clear"/>
            <w:vAlign w:val="bottom"/>
          </w:tcPr>
          <w:p>
            <w:pPr>
              <w:pStyle w:val="TableContents"/>
              <w:spacing w:before="0" w:after="283"/>
              <w:rPr>
                <w:b/>
              </w:rPr>
            </w:pPr>
            <w:r>
              <w:rPr>
                <w:b/>
              </w:rPr>
              <w:t>Participation Units</w:t>
            </w:r>
          </w:p>
        </w:tc>
        <w:tc>
          <w:tcPr>
            <w:tcW w:w="254" w:type="dxa"/>
            <w:tcBorders/>
            <w:shd w:fill="auto" w:val="clear"/>
            <w:vAlign w:val="bottom"/>
          </w:tcPr>
          <w:p>
            <w:pPr>
              <w:pStyle w:val="TableContents"/>
              <w:spacing w:before="0" w:after="283"/>
              <w:rPr/>
            </w:pPr>
            <w:r>
              <w:rPr/>
              <w:t>  </w:t>
            </w:r>
          </w:p>
        </w:tc>
        <w:tc>
          <w:tcPr>
            <w:tcW w:w="1341" w:type="dxa"/>
            <w:gridSpan w:val="2"/>
            <w:tcBorders/>
            <w:shd w:fill="auto" w:val="clear"/>
            <w:vAlign w:val="bottom"/>
          </w:tcPr>
          <w:p>
            <w:pPr>
              <w:pStyle w:val="TableContents"/>
              <w:spacing w:before="0" w:after="283"/>
              <w:jc w:val="center"/>
              <w:rPr>
                <w:b/>
              </w:rPr>
            </w:pPr>
            <w:r>
              <w:rPr>
                <w:b/>
              </w:rPr>
              <w:t>Number of</w:t>
              <w:br/>
              <w:t>Participation</w:t>
              <w:br/>
              <w:t>Units</w:t>
            </w:r>
          </w:p>
        </w:tc>
        <w:tc>
          <w:tcPr>
            <w:tcW w:w="15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b/>
              </w:rPr>
            </w:pPr>
            <w:r>
              <w:rPr>
                <w:b/>
              </w:rPr>
              <w:t>Weighted</w:t>
              <w:br/>
              <w:t>Average</w:t>
              <w:br/>
              <w:t>Remaining</w:t>
              <w:br/>
              <w:t>Contractual</w:t>
              <w:br/>
              <w:t>Term</w:t>
              <w:br/>
              <w:t>(years)</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81" w:type="dxa"/>
            <w:gridSpan w:val="2"/>
            <w:tcBorders/>
            <w:shd w:fill="auto" w:val="clear"/>
            <w:vAlign w:val="bottom"/>
          </w:tcPr>
          <w:p>
            <w:pPr>
              <w:pStyle w:val="TableContents"/>
              <w:spacing w:before="0" w:after="283"/>
              <w:jc w:val="center"/>
              <w:rPr>
                <w:b/>
              </w:rPr>
            </w:pPr>
            <w:r>
              <w:rPr>
                <w:b/>
              </w:rPr>
              <w:t>Weighted</w:t>
              <w:br/>
              <w:t>Average</w:t>
              <w:br/>
              <w:t>Grant Date</w:t>
              <w:br/>
              <w:t>Fair Value</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03" w:type="dxa"/>
            <w:gridSpan w:val="2"/>
            <w:tcBorders/>
            <w:shd w:fill="auto" w:val="clear"/>
            <w:vAlign w:val="bottom"/>
          </w:tcPr>
          <w:p>
            <w:pPr>
              <w:pStyle w:val="TableContents"/>
              <w:spacing w:before="0" w:after="283"/>
              <w:jc w:val="center"/>
              <w:rPr>
                <w:b/>
              </w:rPr>
            </w:pPr>
            <w:r>
              <w:rPr>
                <w:b/>
              </w:rPr>
              <w:t>Weighted</w:t>
              <w:br/>
              <w:t>Average</w:t>
              <w:br/>
              <w:t>Exercise</w:t>
              <w:br/>
              <w:t>Price</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b/>
              </w:rPr>
            </w:pPr>
            <w:r>
              <w:rPr>
                <w:b/>
              </w:rPr>
              <w:t>Aggregate</w:t>
              <w:br/>
              <w:t>Intrinsic</w:t>
              <w:br/>
              <w:t>Value</w:t>
            </w:r>
          </w:p>
        </w:tc>
        <w:tc>
          <w:tcPr>
            <w:tcW w:w="66" w:type="dxa"/>
            <w:tcBorders/>
            <w:shd w:fill="auto" w:val="clear"/>
            <w:vAlign w:val="bottom"/>
          </w:tcPr>
          <w:p>
            <w:pPr>
              <w:pStyle w:val="TableContents"/>
              <w:spacing w:before="0" w:after="283"/>
              <w:rPr/>
            </w:pPr>
            <w:r>
              <w:rPr/>
              <w:t> </w:t>
            </w:r>
          </w:p>
        </w:tc>
      </w:tr>
      <w:tr>
        <w:trPr/>
        <w:tc>
          <w:tcPr>
            <w:tcW w:w="2727"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January 1, 2019</w:t>
            </w:r>
          </w:p>
        </w:tc>
        <w:tc>
          <w:tcPr>
            <w:tcW w:w="25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8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4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727" w:type="dxa"/>
            <w:tcBorders/>
            <w:shd w:fill="auto" w:val="clear"/>
          </w:tcPr>
          <w:p>
            <w:pPr>
              <w:pStyle w:val="TableContents"/>
              <w:spacing w:before="0" w:after="0"/>
              <w:rPr>
                <w:rFonts w:ascii="Times New Roman" w:hAnsi="Times New Roman"/>
                <w:sz w:val="20"/>
              </w:rPr>
            </w:pPr>
            <w:r>
              <w:rPr>
                <w:rFonts w:ascii="Times New Roman" w:hAnsi="Times New Roman"/>
                <w:sz w:val="20"/>
              </w:rPr>
              <w:t>Granted</w:t>
            </w:r>
          </w:p>
        </w:tc>
        <w:tc>
          <w:tcPr>
            <w:tcW w:w="25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8,716</w:t>
            </w:r>
          </w:p>
        </w:tc>
        <w:tc>
          <w:tcPr>
            <w:tcW w:w="15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896" w:type="dxa"/>
            <w:tcBorders/>
            <w:shd w:fill="auto" w:val="clear"/>
            <w:vAlign w:val="bottom"/>
          </w:tcPr>
          <w:p>
            <w:pPr>
              <w:pStyle w:val="TableContents"/>
              <w:spacing w:before="0" w:after="283"/>
              <w:jc w:val="right"/>
              <w:rPr/>
            </w:pPr>
            <w:r>
              <w:rPr/>
              <w:t>0.34</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892" w:type="dxa"/>
            <w:tcBorders/>
            <w:shd w:fill="auto" w:val="clear"/>
            <w:vAlign w:val="bottom"/>
          </w:tcPr>
          <w:p>
            <w:pPr>
              <w:pStyle w:val="TableContents"/>
              <w:spacing w:before="0" w:after="283"/>
              <w:jc w:val="right"/>
              <w:rPr/>
            </w:pPr>
            <w:r>
              <w:rPr/>
              <w:t>2,963</w:t>
            </w:r>
          </w:p>
        </w:tc>
        <w:tc>
          <w:tcPr>
            <w:tcW w:w="66" w:type="dxa"/>
            <w:tcBorders/>
            <w:shd w:fill="auto" w:val="clear"/>
            <w:vAlign w:val="bottom"/>
          </w:tcPr>
          <w:p>
            <w:pPr>
              <w:pStyle w:val="TableContents"/>
              <w:spacing w:before="0" w:after="283"/>
              <w:rPr/>
            </w:pPr>
            <w:r>
              <w:rPr/>
              <w:t> </w:t>
            </w:r>
          </w:p>
        </w:tc>
      </w:tr>
      <w:tr>
        <w:trPr/>
        <w:tc>
          <w:tcPr>
            <w:tcW w:w="2727" w:type="dxa"/>
            <w:tcBorders/>
            <w:shd w:fill="CCEEFF" w:val="clear"/>
          </w:tcPr>
          <w:p>
            <w:pPr>
              <w:pStyle w:val="TableContents"/>
              <w:spacing w:before="0" w:after="0"/>
              <w:rPr>
                <w:rFonts w:ascii="Times New Roman" w:hAnsi="Times New Roman"/>
                <w:sz w:val="20"/>
              </w:rPr>
            </w:pPr>
            <w:r>
              <w:rPr>
                <w:rFonts w:ascii="Times New Roman" w:hAnsi="Times New Roman"/>
                <w:sz w:val="20"/>
              </w:rPr>
              <w:t>Forfeited</w:t>
            </w:r>
          </w:p>
        </w:tc>
        <w:tc>
          <w:tcPr>
            <w:tcW w:w="25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(65</w:t>
            </w:r>
          </w:p>
        </w:tc>
        <w:tc>
          <w:tcPr>
            <w:tcW w:w="15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8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4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727" w:type="dxa"/>
            <w:tcBorders/>
            <w:shd w:fill="auto" w:val="clear"/>
          </w:tcPr>
          <w:p>
            <w:pPr>
              <w:pStyle w:val="TableContents"/>
              <w:spacing w:before="0" w:after="0"/>
              <w:rPr>
                <w:rFonts w:ascii="Times New Roman" w:hAnsi="Times New Roman"/>
                <w:sz w:val="20"/>
              </w:rPr>
            </w:pPr>
            <w:r>
              <w:rPr>
                <w:rFonts w:ascii="Times New Roman" w:hAnsi="Times New Roman"/>
                <w:sz w:val="20"/>
              </w:rPr>
              <w:t>Outstanding as of December 31, 2019</w:t>
            </w:r>
          </w:p>
        </w:tc>
        <w:tc>
          <w:tcPr>
            <w:tcW w:w="25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8,651</w:t>
            </w:r>
          </w:p>
        </w:tc>
        <w:tc>
          <w:tcPr>
            <w:tcW w:w="15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7.73</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896" w:type="dxa"/>
            <w:tcBorders/>
            <w:shd w:fill="auto" w:val="clear"/>
            <w:vAlign w:val="bottom"/>
          </w:tcPr>
          <w:p>
            <w:pPr>
              <w:pStyle w:val="TableContents"/>
              <w:spacing w:before="0" w:after="283"/>
              <w:jc w:val="right"/>
              <w:rPr/>
            </w:pPr>
            <w:r>
              <w:rPr/>
              <w:t>0.40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892" w:type="dxa"/>
            <w:tcBorders/>
            <w:shd w:fill="auto" w:val="clear"/>
            <w:vAlign w:val="bottom"/>
          </w:tcPr>
          <w:p>
            <w:pPr>
              <w:pStyle w:val="TableContents"/>
              <w:spacing w:before="0" w:after="283"/>
              <w:jc w:val="right"/>
              <w:rPr/>
            </w:pPr>
            <w:r>
              <w:rPr/>
              <w:t>3,460</w:t>
            </w:r>
          </w:p>
        </w:tc>
        <w:tc>
          <w:tcPr>
            <w:tcW w:w="66" w:type="dxa"/>
            <w:tcBorders/>
            <w:shd w:fill="auto" w:val="clear"/>
            <w:vAlign w:val="bottom"/>
          </w:tcPr>
          <w:p>
            <w:pPr>
              <w:pStyle w:val="TableContents"/>
              <w:spacing w:before="0" w:after="283"/>
              <w:rPr/>
            </w:pPr>
            <w:r>
              <w:rPr/>
              <w:t> </w:t>
            </w:r>
          </w:p>
        </w:tc>
      </w:tr>
      <w:tr>
        <w:trPr/>
        <w:tc>
          <w:tcPr>
            <w:tcW w:w="2727" w:type="dxa"/>
            <w:tcBorders/>
            <w:shd w:fill="CCEEFF" w:val="clear"/>
          </w:tcPr>
          <w:p>
            <w:pPr>
              <w:pStyle w:val="TableContents"/>
              <w:spacing w:before="0" w:after="0"/>
              <w:rPr>
                <w:rFonts w:ascii="Times New Roman" w:hAnsi="Times New Roman"/>
                <w:sz w:val="20"/>
              </w:rPr>
            </w:pPr>
            <w:r>
              <w:rPr>
                <w:rFonts w:ascii="Times New Roman" w:hAnsi="Times New Roman"/>
                <w:sz w:val="20"/>
              </w:rPr>
              <w:t>Granted</w:t>
            </w:r>
          </w:p>
        </w:tc>
        <w:tc>
          <w:tcPr>
            <w:tcW w:w="25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10,721</w:t>
            </w:r>
          </w:p>
        </w:tc>
        <w:tc>
          <w:tcPr>
            <w:tcW w:w="15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w:t>
            </w:r>
          </w:p>
        </w:tc>
        <w:tc>
          <w:tcPr>
            <w:tcW w:w="896" w:type="dxa"/>
            <w:tcBorders/>
            <w:shd w:fill="CCEEFF" w:val="clear"/>
            <w:vAlign w:val="bottom"/>
          </w:tcPr>
          <w:p>
            <w:pPr>
              <w:pStyle w:val="TableContents"/>
              <w:spacing w:before="0" w:after="283"/>
              <w:jc w:val="right"/>
              <w:rPr/>
            </w:pPr>
            <w:r>
              <w:rPr/>
              <w:t>0.44</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727" w:type="dxa"/>
            <w:tcBorders/>
            <w:shd w:fill="auto" w:val="clear"/>
          </w:tcPr>
          <w:p>
            <w:pPr>
              <w:pStyle w:val="TableContents"/>
              <w:spacing w:before="0" w:after="0"/>
              <w:rPr>
                <w:rFonts w:ascii="Times New Roman" w:hAnsi="Times New Roman"/>
                <w:sz w:val="20"/>
              </w:rPr>
            </w:pPr>
            <w:r>
              <w:rPr>
                <w:rFonts w:ascii="Times New Roman" w:hAnsi="Times New Roman"/>
                <w:sz w:val="20"/>
              </w:rPr>
              <w:t>Forfeited</w:t>
            </w:r>
          </w:p>
        </w:tc>
        <w:tc>
          <w:tcPr>
            <w:tcW w:w="25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(7,607</w:t>
            </w:r>
          </w:p>
        </w:tc>
        <w:tc>
          <w:tcPr>
            <w:tcW w:w="15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896" w:type="dxa"/>
            <w:tcBorders/>
            <w:shd w:fill="auto" w:val="clear"/>
            <w:vAlign w:val="bottom"/>
          </w:tcPr>
          <w:p>
            <w:pPr>
              <w:pStyle w:val="TableContents"/>
              <w:spacing w:before="0" w:after="283"/>
              <w:jc w:val="right"/>
              <w:rPr/>
            </w:pPr>
            <w:r>
              <w:rPr/>
              <w:t>0.33</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sz w:val="4"/>
                <w:szCs w:val="4"/>
              </w:rPr>
            </w:pPr>
            <w:r>
              <w:rPr>
                <w:sz w:val="4"/>
                <w:szCs w:val="4"/>
              </w:rPr>
            </w:r>
          </w:p>
        </w:tc>
        <w:tc>
          <w:tcPr>
            <w:tcW w:w="89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c>
          <w:tcPr>
            <w:tcW w:w="2727"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December 31, 2020</w:t>
            </w:r>
          </w:p>
        </w:tc>
        <w:tc>
          <w:tcPr>
            <w:tcW w:w="25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11,765</w:t>
            </w:r>
          </w:p>
        </w:tc>
        <w:tc>
          <w:tcPr>
            <w:tcW w:w="15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6.75</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w:t>
            </w:r>
          </w:p>
        </w:tc>
        <w:tc>
          <w:tcPr>
            <w:tcW w:w="896" w:type="dxa"/>
            <w:tcBorders/>
            <w:shd w:fill="CCEEFF" w:val="clear"/>
            <w:vAlign w:val="bottom"/>
          </w:tcPr>
          <w:p>
            <w:pPr>
              <w:pStyle w:val="TableContents"/>
              <w:spacing w:before="0" w:after="283"/>
              <w:jc w:val="right"/>
              <w:rPr/>
            </w:pPr>
            <w:r>
              <w:rPr/>
              <w:t>0.43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84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w:t>
            </w:r>
          </w:p>
        </w:tc>
        <w:tc>
          <w:tcPr>
            <w:tcW w:w="892" w:type="dxa"/>
            <w:tcBorders/>
            <w:shd w:fill="CCEEFF" w:val="clear"/>
            <w:vAlign w:val="bottom"/>
          </w:tcPr>
          <w:p>
            <w:pPr>
              <w:pStyle w:val="TableContents"/>
              <w:spacing w:before="0" w:after="283"/>
              <w:jc w:val="right"/>
              <w:rPr/>
            </w:pPr>
            <w:r>
              <w:rPr/>
              <w:t>11,294</w:t>
            </w:r>
          </w:p>
        </w:tc>
        <w:tc>
          <w:tcPr>
            <w:tcW w:w="66" w:type="dxa"/>
            <w:tcBorders/>
            <w:shd w:fill="CCEEFF" w:val="clear"/>
            <w:vAlign w:val="bottom"/>
          </w:tcPr>
          <w:p>
            <w:pPr>
              <w:pStyle w:val="TableContents"/>
              <w:spacing w:before="0" w:after="283"/>
              <w:rPr/>
            </w:pPr>
            <w:r>
              <w:rPr/>
              <w:t> </w:t>
            </w:r>
          </w:p>
        </w:tc>
      </w:tr>
      <w:tr>
        <w:trPr/>
        <w:tc>
          <w:tcPr>
            <w:tcW w:w="2727" w:type="dxa"/>
            <w:tcBorders/>
            <w:shd w:fill="auto" w:val="clear"/>
          </w:tcPr>
          <w:p>
            <w:pPr>
              <w:pStyle w:val="TableContents"/>
              <w:spacing w:before="0" w:after="0"/>
              <w:rPr>
                <w:rFonts w:ascii="Times New Roman" w:hAnsi="Times New Roman"/>
                <w:sz w:val="20"/>
              </w:rPr>
            </w:pPr>
            <w:r>
              <w:rPr>
                <w:rFonts w:ascii="Times New Roman" w:hAnsi="Times New Roman"/>
                <w:sz w:val="20"/>
              </w:rPr>
              <w:t>Vested as of December 31, 2020</w:t>
            </w:r>
          </w:p>
        </w:tc>
        <w:tc>
          <w:tcPr>
            <w:tcW w:w="25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8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sz w:val="4"/>
                <w:szCs w:val="4"/>
              </w:rPr>
            </w:pPr>
            <w:r>
              <w:rPr>
                <w:sz w:val="4"/>
                <w:szCs w:val="4"/>
              </w:rPr>
            </w:r>
          </w:p>
        </w:tc>
        <w:tc>
          <w:tcPr>
            <w:tcW w:w="89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i/>
          <w:sz w:val="20"/>
        </w:rPr>
      </w:pPr>
      <w:r>
        <w:rPr>
          <w:rFonts w:ascii="Times New Roman" w:hAnsi="Times New Roman"/>
          <w:b/>
          <w:i/>
          <w:sz w:val="20"/>
        </w:rPr>
        <w:t xml:space="preserve">Determination of Fair Value </w:t>
      </w:r>
    </w:p>
    <w:p>
      <w:pPr>
        <w:pStyle w:val="TextBody"/>
        <w:spacing w:before="120" w:after="0"/>
        <w:jc w:val="left"/>
        <w:rPr>
          <w:rFonts w:ascii="Times New Roman" w:hAnsi="Times New Roman"/>
          <w:sz w:val="20"/>
        </w:rPr>
      </w:pPr>
      <w:r>
        <w:rPr>
          <w:rFonts w:ascii="Times New Roman" w:hAnsi="Times New Roman"/>
          <w:sz w:val="20"/>
        </w:rPr>
        <w:t xml:space="preserve">The fair value of incentive and participation units granted is calculated through a Monte Carlo simulation based on various outcomes. The Company determined that a Monte Carlo simulation was an appropriate estimation model because of the market condition associated with the vesting of the units. The determination of the fair value of the units is affected by the Companys stock price and certain assumptions such as the Companys expected stock price volatility over the term of the units, risk-free interest rates, and expected dividends, which are determined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Expected term  The expected term represents the period that a unit is expected to be outstanding.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Volatility  The Company has limited historical data available to derive its own stock price volatility. As such, the Company estimates stock price volatility based on the average historic price volatility of comparable public industry peers.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Risk-free interest rate  The risk-free rate is based on the U.S. Treasury yield curve in effect on the grant date for securities with similar expected terms to the term of the Companys incentive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Expected dividends  Expected dividends is assumed to be zero as the Company has not paid and does not expect to pay cash dividends or non-liquidating distributions. </w:t>
            </w:r>
          </w:p>
        </w:tc>
      </w:tr>
    </w:tbl>
    <w:p>
      <w:pPr>
        <w:pStyle w:val="TextBody"/>
        <w:spacing w:before="240" w:after="0"/>
        <w:jc w:val="left"/>
        <w:rPr>
          <w:rFonts w:ascii="Times New Roman" w:hAnsi="Times New Roman"/>
          <w:sz w:val="20"/>
        </w:rPr>
      </w:pPr>
      <w:r>
        <w:rPr>
          <w:rFonts w:ascii="Times New Roman" w:hAnsi="Times New Roman"/>
          <w:sz w:val="20"/>
        </w:rPr>
        <w:t xml:space="preserve">The inputs used in the models to estimate the fair value of the preferred incentive units, common incentive units, and participation units granted in 2019 and 2020, including the common incentive units granted in connection with the Unit Exchange, are summarized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328"/>
        <w:gridCol w:w="462"/>
        <w:gridCol w:w="84"/>
        <w:gridCol w:w="1943"/>
        <w:gridCol w:w="276"/>
        <w:gridCol w:w="378"/>
        <w:gridCol w:w="149"/>
        <w:gridCol w:w="1855"/>
        <w:gridCol w:w="280"/>
      </w:tblGrid>
      <w:tr>
        <w:trPr/>
        <w:tc>
          <w:tcPr>
            <w:tcW w:w="2328"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2328" w:type="dxa"/>
            <w:vMerge w:val="restart"/>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2027" w:type="dxa"/>
            <w:gridSpan w:val="2"/>
            <w:tcBorders/>
            <w:shd w:fill="auto" w:val="clear"/>
            <w:vAlign w:val="bottom"/>
          </w:tcPr>
          <w:p>
            <w:pPr>
              <w:pStyle w:val="TableContents"/>
              <w:spacing w:before="0" w:after="283"/>
              <w:jc w:val="center"/>
              <w:rPr>
                <w:b/>
              </w:rPr>
            </w:pPr>
            <w:r>
              <w:rPr>
                <w:b/>
              </w:rPr>
              <w:t>Year Ended</w:t>
            </w:r>
          </w:p>
        </w:tc>
        <w:tc>
          <w:tcPr>
            <w:tcW w:w="27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4" w:type="dxa"/>
            <w:gridSpan w:val="2"/>
            <w:tcBorders/>
            <w:shd w:fill="auto" w:val="clear"/>
            <w:vAlign w:val="bottom"/>
          </w:tcPr>
          <w:p>
            <w:pPr>
              <w:pStyle w:val="TableContents"/>
              <w:spacing w:before="0" w:after="283"/>
              <w:jc w:val="center"/>
              <w:rPr>
                <w:b/>
              </w:rPr>
            </w:pPr>
            <w:r>
              <w:rPr>
                <w:b/>
              </w:rPr>
              <w:t>Year Ended</w:t>
            </w:r>
          </w:p>
        </w:tc>
        <w:tc>
          <w:tcPr>
            <w:tcW w:w="280" w:type="dxa"/>
            <w:tcBorders/>
            <w:shd w:fill="auto" w:val="clear"/>
            <w:vAlign w:val="bottom"/>
          </w:tcPr>
          <w:p>
            <w:pPr>
              <w:pStyle w:val="TableContents"/>
              <w:spacing w:before="0" w:after="283"/>
              <w:rPr/>
            </w:pPr>
            <w:r>
              <w:rPr/>
              <w:t> </w:t>
            </w:r>
          </w:p>
        </w:tc>
      </w:tr>
      <w:tr>
        <w:trPr/>
        <w:tc>
          <w:tcPr>
            <w:tcW w:w="2328" w:type="dxa"/>
            <w:vMerge w:val="continue"/>
            <w:tcBorders/>
            <w:shd w:fill="auto" w:val="clear"/>
            <w:vAlign w:val="bottom"/>
          </w:tcPr>
          <w:p>
            <w:pPr>
              <w:pStyle w:val="Normal"/>
              <w:rPr/>
            </w:pPr>
            <w:r>
              <w:rPr/>
            </w:r>
          </w:p>
        </w:tc>
        <w:tc>
          <w:tcPr>
            <w:tcW w:w="462" w:type="dxa"/>
            <w:tcBorders/>
            <w:shd w:fill="auto" w:val="clear"/>
            <w:vAlign w:val="bottom"/>
          </w:tcPr>
          <w:p>
            <w:pPr>
              <w:pStyle w:val="TableContents"/>
              <w:spacing w:before="0" w:after="283"/>
              <w:rPr/>
            </w:pPr>
            <w:r>
              <w:rPr/>
              <w:t>  </w:t>
            </w:r>
          </w:p>
        </w:tc>
        <w:tc>
          <w:tcPr>
            <w:tcW w:w="20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27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2019</w:t>
            </w:r>
          </w:p>
        </w:tc>
        <w:tc>
          <w:tcPr>
            <w:tcW w:w="280" w:type="dxa"/>
            <w:tcBorders/>
            <w:shd w:fill="auto" w:val="clear"/>
            <w:vAlign w:val="bottom"/>
          </w:tcPr>
          <w:p>
            <w:pPr>
              <w:pStyle w:val="TableContents"/>
              <w:spacing w:before="0" w:after="283"/>
              <w:rPr/>
            </w:pPr>
            <w:r>
              <w:rPr/>
              <w:t> </w:t>
            </w:r>
          </w:p>
        </w:tc>
      </w:tr>
      <w:tr>
        <w:trPr/>
        <w:tc>
          <w:tcPr>
            <w:tcW w:w="2328" w:type="dxa"/>
            <w:tcBorders/>
            <w:shd w:fill="CCEEFF" w:val="clear"/>
          </w:tcPr>
          <w:p>
            <w:pPr>
              <w:pStyle w:val="TableContents"/>
              <w:spacing w:before="0" w:after="0"/>
              <w:rPr>
                <w:rFonts w:ascii="Times New Roman" w:hAnsi="Times New Roman"/>
                <w:sz w:val="20"/>
              </w:rPr>
            </w:pPr>
            <w:r>
              <w:rPr>
                <w:rFonts w:ascii="Times New Roman" w:hAnsi="Times New Roman"/>
                <w:sz w:val="20"/>
              </w:rPr>
              <w:t>Dividend yield</w:t>
            </w:r>
          </w:p>
        </w:tc>
        <w:tc>
          <w:tcPr>
            <w:tcW w:w="462"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943" w:type="dxa"/>
            <w:tcBorders/>
            <w:shd w:fill="CCEEFF" w:val="clear"/>
            <w:vAlign w:val="bottom"/>
          </w:tcPr>
          <w:p>
            <w:pPr>
              <w:pStyle w:val="TableContents"/>
              <w:spacing w:before="0" w:after="283"/>
              <w:jc w:val="right"/>
              <w:rPr/>
            </w:pPr>
            <w:r>
              <w:rPr/>
              <w:t>  </w:t>
            </w:r>
          </w:p>
        </w:tc>
        <w:tc>
          <w:tcPr>
            <w:tcW w:w="27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855"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328" w:type="dxa"/>
            <w:tcBorders/>
            <w:shd w:fill="auto"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4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943" w:type="dxa"/>
            <w:tcBorders/>
            <w:shd w:fill="auto" w:val="clear"/>
            <w:vAlign w:val="bottom"/>
          </w:tcPr>
          <w:p>
            <w:pPr>
              <w:pStyle w:val="TableContents"/>
              <w:spacing w:before="0" w:after="283"/>
              <w:jc w:val="right"/>
              <w:rPr/>
            </w:pPr>
            <w:r>
              <w:rPr/>
              <w:t>1.85</w:t>
            </w:r>
          </w:p>
        </w:tc>
        <w:tc>
          <w:tcPr>
            <w:tcW w:w="27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jc w:val="right"/>
              <w:rPr/>
            </w:pPr>
            <w:r>
              <w:rPr/>
              <w:t>3.07</w:t>
            </w:r>
          </w:p>
        </w:tc>
        <w:tc>
          <w:tcPr>
            <w:tcW w:w="280" w:type="dxa"/>
            <w:tcBorders/>
            <w:shd w:fill="auto" w:val="clear"/>
            <w:vAlign w:val="bottom"/>
          </w:tcPr>
          <w:p>
            <w:pPr>
              <w:pStyle w:val="TableContents"/>
              <w:spacing w:before="0" w:after="283"/>
              <w:rPr/>
            </w:pPr>
            <w:r>
              <w:rPr/>
              <w:t>% </w:t>
            </w:r>
          </w:p>
        </w:tc>
      </w:tr>
      <w:tr>
        <w:trPr/>
        <w:tc>
          <w:tcPr>
            <w:tcW w:w="2328" w:type="dxa"/>
            <w:tcBorders/>
            <w:shd w:fill="CCEEFF" w:val="clear"/>
          </w:tcPr>
          <w:p>
            <w:pPr>
              <w:pStyle w:val="TableContents"/>
              <w:spacing w:before="0" w:after="0"/>
              <w:rPr>
                <w:rFonts w:ascii="Times New Roman" w:hAnsi="Times New Roman"/>
                <w:sz w:val="20"/>
              </w:rPr>
            </w:pPr>
            <w:r>
              <w:rPr>
                <w:rFonts w:ascii="Times New Roman" w:hAnsi="Times New Roman"/>
                <w:sz w:val="20"/>
              </w:rPr>
              <w:t>Expected volatility</w:t>
            </w:r>
          </w:p>
        </w:tc>
        <w:tc>
          <w:tcPr>
            <w:tcW w:w="462"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943" w:type="dxa"/>
            <w:tcBorders/>
            <w:shd w:fill="CCEEFF" w:val="clear"/>
            <w:vAlign w:val="bottom"/>
          </w:tcPr>
          <w:p>
            <w:pPr>
              <w:pStyle w:val="TableContents"/>
              <w:spacing w:before="0" w:after="283"/>
              <w:jc w:val="right"/>
              <w:rPr/>
            </w:pPr>
            <w:r>
              <w:rPr/>
              <w:t>45.00</w:t>
            </w:r>
          </w:p>
        </w:tc>
        <w:tc>
          <w:tcPr>
            <w:tcW w:w="27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855" w:type="dxa"/>
            <w:tcBorders/>
            <w:shd w:fill="CCEEFF" w:val="clear"/>
            <w:vAlign w:val="bottom"/>
          </w:tcPr>
          <w:p>
            <w:pPr>
              <w:pStyle w:val="TableContents"/>
              <w:spacing w:before="0" w:after="283"/>
              <w:jc w:val="right"/>
              <w:rPr/>
            </w:pPr>
            <w:r>
              <w:rPr/>
              <w:t>50.00</w:t>
            </w:r>
          </w:p>
        </w:tc>
        <w:tc>
          <w:tcPr>
            <w:tcW w:w="280" w:type="dxa"/>
            <w:tcBorders/>
            <w:shd w:fill="CCEEFF" w:val="clear"/>
            <w:vAlign w:val="bottom"/>
          </w:tcPr>
          <w:p>
            <w:pPr>
              <w:pStyle w:val="TableContents"/>
              <w:spacing w:before="0" w:after="283"/>
              <w:rPr/>
            </w:pPr>
            <w:r>
              <w:rPr/>
              <w:t>% </w:t>
            </w:r>
          </w:p>
        </w:tc>
      </w:tr>
      <w:tr>
        <w:trPr/>
        <w:tc>
          <w:tcPr>
            <w:tcW w:w="2328" w:type="dxa"/>
            <w:tcBorders/>
            <w:shd w:fill="auto" w:val="clear"/>
          </w:tcPr>
          <w:p>
            <w:pPr>
              <w:pStyle w:val="TableContents"/>
              <w:spacing w:before="0" w:after="0"/>
              <w:rPr>
                <w:rFonts w:ascii="Times New Roman" w:hAnsi="Times New Roman"/>
                <w:sz w:val="20"/>
              </w:rPr>
            </w:pPr>
            <w:r>
              <w:rPr>
                <w:rFonts w:ascii="Times New Roman" w:hAnsi="Times New Roman"/>
                <w:sz w:val="20"/>
              </w:rPr>
              <w:t>Expected term (years)</w:t>
            </w:r>
          </w:p>
        </w:tc>
        <w:tc>
          <w:tcPr>
            <w:tcW w:w="4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943" w:type="dxa"/>
            <w:tcBorders/>
            <w:shd w:fill="auto" w:val="clear"/>
            <w:vAlign w:val="bottom"/>
          </w:tcPr>
          <w:p>
            <w:pPr>
              <w:pStyle w:val="TableContents"/>
              <w:spacing w:before="0" w:after="283"/>
              <w:jc w:val="right"/>
              <w:rPr/>
            </w:pPr>
            <w:r>
              <w:rPr/>
              <w:t>4.73 and 7.73</w:t>
            </w:r>
          </w:p>
        </w:tc>
        <w:tc>
          <w:tcPr>
            <w:tcW w:w="27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jc w:val="right"/>
              <w:rPr/>
            </w:pPr>
            <w:r>
              <w:rPr/>
              <w:t>5 and 8</w:t>
            </w:r>
          </w:p>
        </w:tc>
        <w:tc>
          <w:tcPr>
            <w:tcW w:w="28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10.</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Capital Requirements </w:t>
            </w:r>
          </w:p>
        </w:tc>
      </w:tr>
    </w:tbl>
    <w:p>
      <w:pPr>
        <w:pStyle w:val="TextBody"/>
        <w:spacing w:before="120" w:after="0"/>
        <w:jc w:val="left"/>
        <w:rPr>
          <w:rFonts w:ascii="Times New Roman" w:hAnsi="Times New Roman"/>
          <w:sz w:val="20"/>
        </w:rPr>
      </w:pPr>
      <w:r>
        <w:rPr>
          <w:rFonts w:ascii="Times New Roman" w:hAnsi="Times New Roman"/>
          <w:sz w:val="20"/>
        </w:rPr>
        <w:t xml:space="preserve">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December 31, 2020 and 2019, Bakkt Trust had determined that $16,500,000 should be set aside to satisfy its capital requirements, which is reflected as Restricted cash in the accompanying consolidated balance sheets. </w:t>
      </w:r>
    </w:p>
    <w:p>
      <w:pPr>
        <w:pStyle w:val="TextBody"/>
        <w:spacing w:before="240" w:after="0"/>
        <w:jc w:val="left"/>
        <w:rPr>
          <w:rFonts w:ascii="Times New Roman" w:hAnsi="Times New Roman"/>
          <w:sz w:val="20"/>
        </w:rPr>
      </w:pPr>
      <w:r>
        <w:rPr>
          <w:rFonts w:ascii="Times New Roman" w:hAnsi="Times New Roman"/>
          <w:sz w:val="20"/>
        </w:rPr>
        <w:t xml:space="preserve">Bakkt Clearing is subject to the net capital requirements of CFTC Regulation 1.17, and the NFA. Under these requirements, Bakkt Clearing is generally required to maintain adjusted net capital equivalent to the greater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F-53</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$1,000,000 or the sum of 8 percent of customer and noncustomer risk maintenance margin requirements on all positions, as these terms are defined. Adjusted net capital and risk maintenance margin requirements may change from day to day, but at December 31, 2020, Bakkt Clearing had adjusted net capital of $4,146,000, which was $3,146,000 in excess of its required net capital of $1,000,000. The minimum capital requirements may effectively restrict the withdrawal of members equity of Bakkt Clearing. </w:t>
      </w:r>
    </w:p>
    <w:p>
      <w:pPr>
        <w:pStyle w:val="TextBody"/>
        <w:spacing w:before="240" w:after="0"/>
        <w:jc w:val="left"/>
        <w:rPr>
          <w:rFonts w:ascii="Times New Roman" w:hAnsi="Times New Roman"/>
          <w:sz w:val="20"/>
        </w:rPr>
      </w:pPr>
      <w:r>
        <w:rPr>
          <w:rFonts w:ascii="Times New Roman" w:hAnsi="Times New Roman"/>
          <w:sz w:val="20"/>
        </w:rPr>
        <w:t xml:space="preserve">As of December 31, 2020 and December 31, 2019,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$2,460,000 as of December 31, 2020. The minimum amount required varies by state. </w:t>
      </w:r>
    </w:p>
    <w:p>
      <w:pPr>
        <w:pStyle w:val="TextBody"/>
        <w:spacing w:before="240" w:after="0"/>
        <w:jc w:val="left"/>
        <w:rPr>
          <w:rFonts w:ascii="Times New Roman" w:hAnsi="Times New Roman"/>
          <w:sz w:val="20"/>
        </w:rPr>
      </w:pPr>
      <w:r>
        <w:rPr>
          <w:rFonts w:ascii="Times New Roman" w:hAnsi="Times New Roman"/>
          <w:sz w:val="20"/>
        </w:rPr>
        <w:t xml:space="preserve">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spacing w:before="120" w:after="0"/>
        <w:jc w:val="left"/>
        <w:rPr>
          <w:rFonts w:ascii="Times New Roman" w:hAnsi="Times New Roman"/>
          <w:b/>
          <w:i/>
          <w:sz w:val="20"/>
        </w:rPr>
      </w:pPr>
      <w:r>
        <w:rPr>
          <w:rFonts w:ascii="Times New Roman" w:hAnsi="Times New Roman"/>
          <w:b/>
          <w:i/>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The Company sponsors a 401(k) defined contribution plan covering all eligible U.S. employees. Contributions to the 401(k) plan are discretionary. During the year ended December 31, 2020 and 2019, the Company recorded $1,309,000 and $365,000 respectively of expenses related to the 401(k) plan. </w:t>
      </w:r>
    </w:p>
    <w:p>
      <w:pPr>
        <w:pStyle w:val="TextBody"/>
        <w:spacing w:before="360" w:after="0"/>
        <w:jc w:val="left"/>
        <w:rPr>
          <w:rFonts w:ascii="Times New Roman" w:hAnsi="Times New Roman"/>
          <w:b/>
          <w:i/>
          <w:sz w:val="20"/>
        </w:rPr>
      </w:pPr>
      <w:r>
        <w:rPr>
          <w:rFonts w:ascii="Times New Roman" w:hAnsi="Times New Roman"/>
          <w:b/>
          <w:i/>
          <w:sz w:val="20"/>
        </w:rPr>
        <w:t xml:space="preserve">Software License </w:t>
      </w:r>
    </w:p>
    <w:p>
      <w:pPr>
        <w:pStyle w:val="TextBody"/>
        <w:spacing w:before="120" w:after="0"/>
        <w:jc w:val="left"/>
        <w:rPr>
          <w:rFonts w:ascii="Times New Roman" w:hAnsi="Times New Roman"/>
          <w:sz w:val="20"/>
        </w:rPr>
      </w:pPr>
      <w:r>
        <w:rPr>
          <w:rFonts w:ascii="Times New Roman" w:hAnsi="Times New Roman"/>
          <w:sz w:val="20"/>
        </w:rPr>
        <w:t xml:space="preserve">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 </w:t>
      </w:r>
    </w:p>
    <w:p>
      <w:pPr>
        <w:pStyle w:val="TextBody"/>
        <w:spacing w:before="360" w:after="0"/>
        <w:jc w:val="left"/>
        <w:rPr>
          <w:rFonts w:ascii="Times New Roman" w:hAnsi="Times New Roman"/>
          <w:b/>
          <w:i/>
          <w:sz w:val="20"/>
        </w:rPr>
      </w:pPr>
      <w:r>
        <w:rPr>
          <w:rFonts w:ascii="Times New Roman" w:hAnsi="Times New Roman"/>
          <w:b/>
          <w:i/>
          <w:sz w:val="20"/>
        </w:rPr>
        <w:t xml:space="preserve">Litigation </w:t>
      </w:r>
    </w:p>
    <w:p>
      <w:pPr>
        <w:pStyle w:val="TextBody"/>
        <w:spacing w:before="120" w:after="0"/>
        <w:jc w:val="left"/>
        <w:rPr>
          <w:rFonts w:ascii="Times New Roman" w:hAnsi="Times New Roman"/>
          <w:sz w:val="20"/>
        </w:rPr>
      </w:pPr>
      <w:r>
        <w:rPr>
          <w:rFonts w:ascii="Times New Roman" w:hAnsi="Times New Roman"/>
          <w:sz w:val="20"/>
        </w:rPr>
        <w:t xml:space="preserve">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12.</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is treated as a partnership for income tax purposes. As a partnership, it is not subject to income tax as its earnings flow through to the partners at the consolidated level. The Company is subject to unincorporated business taxes in certain jurisdictions in which it operates. </w:t>
      </w:r>
    </w:p>
    <w:p>
      <w:pPr>
        <w:pStyle w:val="TextBody"/>
        <w:spacing w:before="240" w:after="0"/>
        <w:jc w:val="left"/>
        <w:rPr>
          <w:rFonts w:ascii="Times New Roman" w:hAnsi="Times New Roman"/>
          <w:sz w:val="20"/>
        </w:rPr>
      </w:pPr>
      <w:r>
        <w:rPr>
          <w:rFonts w:ascii="Times New Roman" w:hAnsi="Times New Roman"/>
          <w:sz w:val="20"/>
        </w:rPr>
        <w:t xml:space="preserve">The Bakkt entities not discussed below, as well as the United States domiciled Bridge2 Solutions entities owned by the Company, are all single member LLCs treated as disregarded entities for income tax purposes. As such, all their income, expense, gain and loss are included in the Companys consolidated partnership tax returns. DACC, a United States corporation and the Bridge2 Solutions foreign entities are subject to federal, state, and local and foreign income taxes and file income tax returns in the jurisdictions in which they operate. DACC is included in certain unitary state and local income tax returns filed by certain affiliates. Income taxes reflected in the accompanying consolidated financial statements are calculated as if DACC filed separate income tax returns and are accounted for under the liability method.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F-54</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domestic and foreign components of income (loss) before income taxes for the year ended December 31, 2020 and 2019 were as follows (in thousands):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368"/>
        <w:gridCol w:w="337"/>
        <w:gridCol w:w="185"/>
        <w:gridCol w:w="1064"/>
        <w:gridCol w:w="200"/>
        <w:gridCol w:w="364"/>
        <w:gridCol w:w="185"/>
        <w:gridCol w:w="1067"/>
        <w:gridCol w:w="169"/>
      </w:tblGrid>
      <w:tr>
        <w:trPr/>
        <w:tc>
          <w:tcPr>
            <w:tcW w:w="3368"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36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06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9" w:type="dxa"/>
            <w:tcBorders/>
            <w:shd w:fill="auto" w:val="clear"/>
            <w:vAlign w:val="bottom"/>
          </w:tcPr>
          <w:p>
            <w:pPr>
              <w:pStyle w:val="TableContents"/>
              <w:spacing w:before="0" w:after="283"/>
              <w:rPr/>
            </w:pPr>
            <w:r>
              <w:rPr/>
              <w:t> </w:t>
            </w:r>
          </w:p>
        </w:tc>
      </w:tr>
      <w:tr>
        <w:trPr/>
        <w:tc>
          <w:tcPr>
            <w:tcW w:w="336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20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69" w:type="dxa"/>
            <w:tcBorders/>
            <w:shd w:fill="auto" w:val="clear"/>
            <w:vAlign w:val="bottom"/>
          </w:tcPr>
          <w:p>
            <w:pPr>
              <w:pStyle w:val="TableContents"/>
              <w:spacing w:before="0" w:after="283"/>
              <w:rPr/>
            </w:pPr>
            <w:r>
              <w:rPr/>
              <w:t> </w:t>
            </w:r>
          </w:p>
        </w:tc>
      </w:tr>
      <w:tr>
        <w:trPr/>
        <w:tc>
          <w:tcPr>
            <w:tcW w:w="3368" w:type="dxa"/>
            <w:tcBorders/>
            <w:shd w:fill="CCEEFF" w:val="clear"/>
          </w:tcPr>
          <w:p>
            <w:pPr>
              <w:pStyle w:val="TableContents"/>
              <w:spacing w:before="0" w:after="0"/>
              <w:rPr>
                <w:rFonts w:ascii="Times New Roman" w:hAnsi="Times New Roman"/>
                <w:sz w:val="20"/>
              </w:rPr>
            </w:pPr>
            <w:r>
              <w:rPr>
                <w:rFonts w:ascii="Times New Roman" w:hAnsi="Times New Roman"/>
                <w:sz w:val="20"/>
              </w:rPr>
              <w:t>Domestic</w:t>
            </w:r>
          </w:p>
        </w:tc>
        <w:tc>
          <w:tcPr>
            <w:tcW w:w="33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1064" w:type="dxa"/>
            <w:tcBorders/>
            <w:shd w:fill="CCEEFF" w:val="clear"/>
            <w:vAlign w:val="bottom"/>
          </w:tcPr>
          <w:p>
            <w:pPr>
              <w:pStyle w:val="TableContents"/>
              <w:spacing w:before="0" w:after="283"/>
              <w:jc w:val="right"/>
              <w:rPr/>
            </w:pPr>
            <w:r>
              <w:rPr/>
              <w:t>(82,339</w:t>
            </w:r>
          </w:p>
        </w:tc>
        <w:tc>
          <w:tcPr>
            <w:tcW w:w="20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1067" w:type="dxa"/>
            <w:tcBorders/>
            <w:shd w:fill="CCEEFF" w:val="clear"/>
            <w:vAlign w:val="bottom"/>
          </w:tcPr>
          <w:p>
            <w:pPr>
              <w:pStyle w:val="TableContents"/>
              <w:spacing w:before="0" w:after="283"/>
              <w:jc w:val="right"/>
              <w:rPr/>
            </w:pPr>
            <w:r>
              <w:rPr/>
              <w:t>(33,175</w:t>
            </w:r>
          </w:p>
        </w:tc>
        <w:tc>
          <w:tcPr>
            <w:tcW w:w="169" w:type="dxa"/>
            <w:tcBorders/>
            <w:shd w:fill="CCEEFF" w:val="clear"/>
            <w:vAlign w:val="bottom"/>
          </w:tcPr>
          <w:p>
            <w:pPr>
              <w:pStyle w:val="TableContents"/>
              <w:spacing w:before="0" w:after="283"/>
              <w:rPr/>
            </w:pPr>
            <w:r>
              <w:rPr/>
              <w:t>) </w:t>
            </w:r>
          </w:p>
        </w:tc>
      </w:tr>
      <w:tr>
        <w:trPr/>
        <w:tc>
          <w:tcPr>
            <w:tcW w:w="3368" w:type="dxa"/>
            <w:tcBorders/>
            <w:shd w:fill="auto" w:val="clear"/>
          </w:tcPr>
          <w:p>
            <w:pPr>
              <w:pStyle w:val="TableContents"/>
              <w:spacing w:before="0" w:after="0"/>
              <w:rPr>
                <w:rFonts w:ascii="Times New Roman" w:hAnsi="Times New Roman"/>
                <w:sz w:val="20"/>
              </w:rPr>
            </w:pPr>
            <w:r>
              <w:rPr>
                <w:rFonts w:ascii="Times New Roman" w:hAnsi="Times New Roman"/>
                <w:sz w:val="20"/>
              </w:rPr>
              <w:t>Foreign</w:t>
            </w:r>
          </w:p>
        </w:tc>
        <w:tc>
          <w:tcPr>
            <w:tcW w:w="33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right"/>
              <w:rPr/>
            </w:pPr>
            <w:r>
              <w:rPr/>
              <w:t>3,125</w:t>
            </w:r>
          </w:p>
        </w:tc>
        <w:tc>
          <w:tcPr>
            <w:tcW w:w="200"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r>
      <w:tr>
        <w:trPr/>
        <w:tc>
          <w:tcPr>
            <w:tcW w:w="3368"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1064" w:type="dxa"/>
            <w:tcBorders/>
            <w:shd w:fill="auto" w:val="clear"/>
            <w:vAlign w:val="bottom"/>
          </w:tcPr>
          <w:p>
            <w:pPr>
              <w:pStyle w:val="TableContents"/>
              <w:pBdr>
                <w:top w:val="single" w:sz="2" w:space="1" w:color="000000"/>
              </w:pBdr>
              <w:spacing w:before="0" w:after="0"/>
              <w:rPr/>
            </w:pPr>
            <w:r>
              <w:rPr/>
              <w:t> </w:t>
            </w:r>
          </w:p>
        </w:tc>
        <w:tc>
          <w:tcPr>
            <w:tcW w:w="200" w:type="dxa"/>
            <w:tcBorders/>
            <w:shd w:fill="auto" w:val="clear"/>
            <w:vAlign w:val="center"/>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1067"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3368" w:type="dxa"/>
            <w:tcBorders/>
            <w:shd w:fill="CCEEFF" w:val="clear"/>
          </w:tcPr>
          <w:p>
            <w:pPr>
              <w:pStyle w:val="TableContents"/>
              <w:spacing w:before="0" w:after="0"/>
              <w:rPr>
                <w:rFonts w:ascii="Times New Roman" w:hAnsi="Times New Roman"/>
                <w:sz w:val="20"/>
              </w:rPr>
            </w:pPr>
            <w:r>
              <w:rPr>
                <w:rFonts w:ascii="Times New Roman" w:hAnsi="Times New Roman"/>
                <w:sz w:val="20"/>
              </w:rPr>
              <w:t>Total loss before provision for income taxes</w:t>
            </w:r>
          </w:p>
        </w:tc>
        <w:tc>
          <w:tcPr>
            <w:tcW w:w="33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1064" w:type="dxa"/>
            <w:tcBorders/>
            <w:shd w:fill="CCEEFF" w:val="clear"/>
            <w:vAlign w:val="bottom"/>
          </w:tcPr>
          <w:p>
            <w:pPr>
              <w:pStyle w:val="TableContents"/>
              <w:spacing w:before="0" w:after="283"/>
              <w:jc w:val="right"/>
              <w:rPr/>
            </w:pPr>
            <w:r>
              <w:rPr/>
              <w:t>(79,214</w:t>
            </w:r>
          </w:p>
        </w:tc>
        <w:tc>
          <w:tcPr>
            <w:tcW w:w="200" w:type="dxa"/>
            <w:tcBorders/>
            <w:shd w:fill="CCEEFF" w:val="clear"/>
            <w:vAlign w:val="bottom"/>
          </w:tcPr>
          <w:p>
            <w:pPr>
              <w:pStyle w:val="TableContents"/>
              <w:spacing w:before="0" w:after="283"/>
              <w:rPr/>
            </w:pPr>
            <w:r>
              <w:rPr/>
              <w:t>)</w:t>
            </w:r>
          </w:p>
        </w:tc>
        <w:tc>
          <w:tcPr>
            <w:tcW w:w="3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1067" w:type="dxa"/>
            <w:tcBorders/>
            <w:shd w:fill="CCEEFF" w:val="clear"/>
            <w:vAlign w:val="bottom"/>
          </w:tcPr>
          <w:p>
            <w:pPr>
              <w:pStyle w:val="TableContents"/>
              <w:spacing w:before="0" w:after="283"/>
              <w:jc w:val="right"/>
              <w:rPr/>
            </w:pPr>
            <w:r>
              <w:rPr/>
              <w:t>(33,175</w:t>
            </w:r>
          </w:p>
        </w:tc>
        <w:tc>
          <w:tcPr>
            <w:tcW w:w="169" w:type="dxa"/>
            <w:tcBorders/>
            <w:shd w:fill="CCEEFF" w:val="clear"/>
            <w:vAlign w:val="bottom"/>
          </w:tcPr>
          <w:p>
            <w:pPr>
              <w:pStyle w:val="TableContents"/>
              <w:spacing w:before="0" w:after="283"/>
              <w:rPr/>
            </w:pPr>
            <w:r>
              <w:rPr/>
              <w:t>) </w:t>
            </w:r>
          </w:p>
        </w:tc>
      </w:tr>
      <w:tr>
        <w:trPr/>
        <w:tc>
          <w:tcPr>
            <w:tcW w:w="3368"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0"/>
              <w:rPr/>
            </w:pPr>
            <w:r>
              <w:rPr/>
              <w:t> </w:t>
            </w:r>
          </w:p>
        </w:tc>
        <w:tc>
          <w:tcPr>
            <w:tcW w:w="1064" w:type="dxa"/>
            <w:tcBorders/>
            <w:shd w:fill="auto" w:val="clear"/>
            <w:vAlign w:val="bottom"/>
          </w:tcPr>
          <w:p>
            <w:pPr>
              <w:pStyle w:val="TableContents"/>
              <w:pBdr>
                <w:top w:val="double" w:sz="6" w:space="1" w:color="000000"/>
              </w:pBdr>
              <w:spacing w:before="0" w:after="0"/>
              <w:rPr/>
            </w:pPr>
            <w:r>
              <w:rPr/>
              <w:t> </w:t>
            </w:r>
          </w:p>
        </w:tc>
        <w:tc>
          <w:tcPr>
            <w:tcW w:w="200" w:type="dxa"/>
            <w:tcBorders/>
            <w:shd w:fill="auto" w:val="clear"/>
            <w:vAlign w:val="center"/>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0"/>
              <w:rPr/>
            </w:pPr>
            <w:r>
              <w:rPr/>
              <w:t> </w:t>
            </w:r>
          </w:p>
        </w:tc>
        <w:tc>
          <w:tcPr>
            <w:tcW w:w="1067" w:type="dxa"/>
            <w:tcBorders/>
            <w:shd w:fill="auto" w:val="clear"/>
            <w:vAlign w:val="bottom"/>
          </w:tcPr>
          <w:p>
            <w:pPr>
              <w:pStyle w:val="TableContents"/>
              <w:pBdr>
                <w:top w:val="double" w:sz="6"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Details of the income tax benefit in the accompanying consolidated statements of operations and comprehensive loss are as follows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81"/>
        <w:gridCol w:w="431"/>
        <w:gridCol w:w="254"/>
        <w:gridCol w:w="839"/>
        <w:gridCol w:w="284"/>
        <w:gridCol w:w="513"/>
        <w:gridCol w:w="254"/>
        <w:gridCol w:w="840"/>
        <w:gridCol w:w="159"/>
      </w:tblGrid>
      <w:tr>
        <w:trPr/>
        <w:tc>
          <w:tcPr>
            <w:tcW w:w="418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18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98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9" w:type="dxa"/>
            <w:tcBorders/>
            <w:shd w:fill="auto" w:val="clear"/>
            <w:vAlign w:val="bottom"/>
          </w:tcPr>
          <w:p>
            <w:pPr>
              <w:pStyle w:val="TableContents"/>
              <w:spacing w:before="0" w:after="283"/>
              <w:rPr/>
            </w:pPr>
            <w:r>
              <w:rPr/>
              <w:t> </w:t>
            </w:r>
          </w:p>
        </w:tc>
      </w:tr>
      <w:tr>
        <w:trPr/>
        <w:tc>
          <w:tcPr>
            <w:tcW w:w="418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284"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10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9" w:type="dxa"/>
            <w:tcBorders/>
            <w:shd w:fill="auto" w:val="clear"/>
            <w:vAlign w:val="bottom"/>
          </w:tcPr>
          <w:p>
            <w:pPr>
              <w:pStyle w:val="TableContents"/>
              <w:spacing w:before="0" w:after="283"/>
              <w:rPr/>
            </w:pPr>
            <w:r>
              <w:rPr/>
              <w:t> </w:t>
            </w:r>
          </w:p>
        </w:tc>
      </w:tr>
      <w:tr>
        <w:trPr/>
        <w:tc>
          <w:tcPr>
            <w:tcW w:w="4181" w:type="dxa"/>
            <w:tcBorders/>
            <w:shd w:fill="CCEEFF" w:val="clear"/>
          </w:tcPr>
          <w:p>
            <w:pPr>
              <w:pStyle w:val="TableContents"/>
              <w:spacing w:before="0" w:after="0"/>
              <w:rPr>
                <w:rFonts w:ascii="Times New Roman" w:hAnsi="Times New Roman"/>
                <w:sz w:val="20"/>
              </w:rPr>
            </w:pPr>
            <w:r>
              <w:rPr>
                <w:rFonts w:ascii="Times New Roman" w:hAnsi="Times New Roman"/>
                <w:sz w:val="20"/>
              </w:rPr>
              <w:t>Current:</w:t>
            </w:r>
          </w:p>
        </w:tc>
        <w:tc>
          <w:tcPr>
            <w:tcW w:w="43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839"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sz w:val="4"/>
                <w:szCs w:val="4"/>
              </w:rPr>
            </w:pPr>
            <w:r>
              <w:rPr>
                <w:sz w:val="4"/>
                <w:szCs w:val="4"/>
              </w:rPr>
            </w:r>
          </w:p>
        </w:tc>
        <w:tc>
          <w:tcPr>
            <w:tcW w:w="51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181" w:type="dxa"/>
            <w:tcBorders/>
            <w:shd w:fill="auto" w:val="clear"/>
          </w:tcPr>
          <w:p>
            <w:pPr>
              <w:pStyle w:val="TableContents"/>
              <w:spacing w:before="0" w:after="0"/>
              <w:rPr>
                <w:rFonts w:ascii="Times New Roman" w:hAnsi="Times New Roman"/>
                <w:sz w:val="20"/>
              </w:rPr>
            </w:pPr>
            <w:r>
              <w:rPr>
                <w:rFonts w:ascii="Times New Roman" w:hAnsi="Times New Roman"/>
                <w:sz w:val="20"/>
              </w:rPr>
              <w:t>Foreign</w:t>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839" w:type="dxa"/>
            <w:tcBorders/>
            <w:shd w:fill="auto" w:val="clear"/>
            <w:vAlign w:val="bottom"/>
          </w:tcPr>
          <w:p>
            <w:pPr>
              <w:pStyle w:val="TableContents"/>
              <w:spacing w:before="0" w:after="283"/>
              <w:jc w:val="right"/>
              <w:rPr/>
            </w:pPr>
            <w:r>
              <w:rPr/>
              <w:t>830</w:t>
            </w:r>
          </w:p>
        </w:tc>
        <w:tc>
          <w:tcPr>
            <w:tcW w:w="284"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84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181" w:type="dxa"/>
            <w:tcBorders/>
            <w:shd w:fill="CCEEFF" w:val="clear"/>
          </w:tcPr>
          <w:p>
            <w:pPr>
              <w:pStyle w:val="TableContents"/>
              <w:spacing w:before="0" w:after="0"/>
              <w:rPr>
                <w:rFonts w:ascii="Times New Roman" w:hAnsi="Times New Roman"/>
                <w:sz w:val="20"/>
              </w:rPr>
            </w:pPr>
            <w:r>
              <w:rPr>
                <w:rFonts w:ascii="Times New Roman" w:hAnsi="Times New Roman"/>
                <w:sz w:val="20"/>
              </w:rPr>
              <w:t>Federal</w:t>
            </w:r>
          </w:p>
        </w:tc>
        <w:tc>
          <w:tcPr>
            <w:tcW w:w="43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w:t>
            </w:r>
          </w:p>
        </w:tc>
        <w:tc>
          <w:tcPr>
            <w:tcW w:w="284"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181" w:type="dxa"/>
            <w:tcBorders/>
            <w:shd w:fill="auto" w:val="clear"/>
          </w:tcPr>
          <w:p>
            <w:pPr>
              <w:pStyle w:val="TableContents"/>
              <w:spacing w:before="0" w:after="0"/>
              <w:rPr>
                <w:rFonts w:ascii="Times New Roman" w:hAnsi="Times New Roman"/>
                <w:sz w:val="20"/>
              </w:rPr>
            </w:pPr>
            <w:r>
              <w:rPr>
                <w:rFonts w:ascii="Times New Roman" w:hAnsi="Times New Roman"/>
                <w:sz w:val="20"/>
              </w:rPr>
              <w:t>State</w:t>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(85</w:t>
            </w:r>
          </w:p>
        </w:tc>
        <w:tc>
          <w:tcPr>
            <w:tcW w:w="284"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(85</w:t>
            </w:r>
          </w:p>
        </w:tc>
        <w:tc>
          <w:tcPr>
            <w:tcW w:w="159" w:type="dxa"/>
            <w:tcBorders/>
            <w:shd w:fill="auto" w:val="clear"/>
            <w:vAlign w:val="bottom"/>
          </w:tcPr>
          <w:p>
            <w:pPr>
              <w:pStyle w:val="TableContents"/>
              <w:spacing w:before="0" w:after="283"/>
              <w:rPr/>
            </w:pPr>
            <w:r>
              <w:rPr/>
              <w:t>) </w:t>
            </w:r>
          </w:p>
        </w:tc>
      </w:tr>
      <w:tr>
        <w:trPr/>
        <w:tc>
          <w:tcPr>
            <w:tcW w:w="418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284" w:type="dxa"/>
            <w:tcBorders/>
            <w:shd w:fill="auto" w:val="clear"/>
            <w:vAlign w:val="center"/>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181"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income tax expense (benefit)</w:t>
            </w:r>
          </w:p>
        </w:tc>
        <w:tc>
          <w:tcPr>
            <w:tcW w:w="43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745</w:t>
            </w:r>
          </w:p>
        </w:tc>
        <w:tc>
          <w:tcPr>
            <w:tcW w:w="284"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(85</w:t>
            </w:r>
          </w:p>
        </w:tc>
        <w:tc>
          <w:tcPr>
            <w:tcW w:w="159" w:type="dxa"/>
            <w:tcBorders/>
            <w:shd w:fill="CCEEFF" w:val="clear"/>
            <w:vAlign w:val="bottom"/>
          </w:tcPr>
          <w:p>
            <w:pPr>
              <w:pStyle w:val="TableContents"/>
              <w:spacing w:before="0" w:after="283"/>
              <w:rPr/>
            </w:pPr>
            <w:r>
              <w:rPr/>
              <w:t>) </w:t>
            </w:r>
          </w:p>
        </w:tc>
      </w:tr>
      <w:tr>
        <w:trPr/>
        <w:tc>
          <w:tcPr>
            <w:tcW w:w="418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284" w:type="dxa"/>
            <w:tcBorders/>
            <w:shd w:fill="auto" w:val="clear"/>
            <w:vAlign w:val="center"/>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181" w:type="dxa"/>
            <w:tcBorders/>
            <w:shd w:fill="auto" w:val="clear"/>
          </w:tcPr>
          <w:p>
            <w:pPr>
              <w:pStyle w:val="TableContents"/>
              <w:spacing w:before="0" w:after="0"/>
              <w:rPr>
                <w:rFonts w:ascii="Times New Roman" w:hAnsi="Times New Roman"/>
                <w:sz w:val="20"/>
              </w:rPr>
            </w:pPr>
            <w:r>
              <w:rPr>
                <w:rFonts w:ascii="Times New Roman" w:hAnsi="Times New Roman"/>
                <w:sz w:val="20"/>
              </w:rPr>
              <w:t>Deferred:</w:t>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sz w:val="4"/>
                <w:szCs w:val="4"/>
              </w:rPr>
            </w:pPr>
            <w:r>
              <w:rPr>
                <w:sz w:val="4"/>
                <w:szCs w:val="4"/>
              </w:rPr>
            </w:r>
          </w:p>
        </w:tc>
        <w:tc>
          <w:tcPr>
            <w:tcW w:w="839"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sz w:val="4"/>
                <w:szCs w:val="4"/>
              </w:rPr>
            </w:pPr>
            <w:r>
              <w:rPr>
                <w:sz w:val="4"/>
                <w:szCs w:val="4"/>
              </w:rPr>
            </w:r>
          </w:p>
        </w:tc>
        <w:tc>
          <w:tcPr>
            <w:tcW w:w="84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4181" w:type="dxa"/>
            <w:tcBorders/>
            <w:shd w:fill="CCEEFF" w:val="clear"/>
          </w:tcPr>
          <w:p>
            <w:pPr>
              <w:pStyle w:val="TableContents"/>
              <w:spacing w:before="0" w:after="0"/>
              <w:rPr>
                <w:rFonts w:ascii="Times New Roman" w:hAnsi="Times New Roman"/>
                <w:sz w:val="20"/>
              </w:rPr>
            </w:pPr>
            <w:r>
              <w:rPr>
                <w:rFonts w:ascii="Times New Roman" w:hAnsi="Times New Roman"/>
                <w:sz w:val="20"/>
              </w:rPr>
              <w:t>Foreign</w:t>
            </w:r>
          </w:p>
        </w:tc>
        <w:tc>
          <w:tcPr>
            <w:tcW w:w="43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w:t>
            </w:r>
          </w:p>
        </w:tc>
        <w:tc>
          <w:tcPr>
            <w:tcW w:w="284"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181" w:type="dxa"/>
            <w:tcBorders/>
            <w:shd w:fill="auto" w:val="clear"/>
          </w:tcPr>
          <w:p>
            <w:pPr>
              <w:pStyle w:val="TableContents"/>
              <w:spacing w:before="0" w:after="0"/>
              <w:rPr>
                <w:rFonts w:ascii="Times New Roman" w:hAnsi="Times New Roman"/>
                <w:sz w:val="20"/>
              </w:rPr>
            </w:pPr>
            <w:r>
              <w:rPr>
                <w:rFonts w:ascii="Times New Roman" w:hAnsi="Times New Roman"/>
                <w:sz w:val="20"/>
              </w:rPr>
              <w:t>Federal</w:t>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(11</w:t>
            </w:r>
          </w:p>
        </w:tc>
        <w:tc>
          <w:tcPr>
            <w:tcW w:w="284"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(31</w:t>
            </w:r>
          </w:p>
        </w:tc>
        <w:tc>
          <w:tcPr>
            <w:tcW w:w="159" w:type="dxa"/>
            <w:tcBorders/>
            <w:shd w:fill="auto" w:val="clear"/>
            <w:vAlign w:val="bottom"/>
          </w:tcPr>
          <w:p>
            <w:pPr>
              <w:pStyle w:val="TableContents"/>
              <w:spacing w:before="0" w:after="283"/>
              <w:rPr/>
            </w:pPr>
            <w:r>
              <w:rPr/>
              <w:t>) </w:t>
            </w:r>
          </w:p>
        </w:tc>
      </w:tr>
      <w:tr>
        <w:trPr/>
        <w:tc>
          <w:tcPr>
            <w:tcW w:w="4181" w:type="dxa"/>
            <w:tcBorders/>
            <w:shd w:fill="CCEEFF" w:val="clear"/>
          </w:tcPr>
          <w:p>
            <w:pPr>
              <w:pStyle w:val="TableContents"/>
              <w:spacing w:before="0" w:after="0"/>
              <w:rPr>
                <w:rFonts w:ascii="Times New Roman" w:hAnsi="Times New Roman"/>
                <w:sz w:val="20"/>
              </w:rPr>
            </w:pPr>
            <w:r>
              <w:rPr>
                <w:rFonts w:ascii="Times New Roman" w:hAnsi="Times New Roman"/>
                <w:sz w:val="20"/>
              </w:rPr>
              <w:t>State</w:t>
            </w:r>
          </w:p>
        </w:tc>
        <w:tc>
          <w:tcPr>
            <w:tcW w:w="43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(342</w:t>
            </w:r>
          </w:p>
        </w:tc>
        <w:tc>
          <w:tcPr>
            <w:tcW w:w="284"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(83</w:t>
            </w:r>
          </w:p>
        </w:tc>
        <w:tc>
          <w:tcPr>
            <w:tcW w:w="159" w:type="dxa"/>
            <w:tcBorders/>
            <w:shd w:fill="CCEEFF" w:val="clear"/>
            <w:vAlign w:val="bottom"/>
          </w:tcPr>
          <w:p>
            <w:pPr>
              <w:pStyle w:val="TableContents"/>
              <w:spacing w:before="0" w:after="283"/>
              <w:rPr/>
            </w:pPr>
            <w:r>
              <w:rPr/>
              <w:t>) </w:t>
            </w:r>
          </w:p>
        </w:tc>
      </w:tr>
      <w:tr>
        <w:trPr/>
        <w:tc>
          <w:tcPr>
            <w:tcW w:w="418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284" w:type="dxa"/>
            <w:tcBorders/>
            <w:shd w:fill="auto" w:val="clear"/>
            <w:vAlign w:val="center"/>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181" w:type="dxa"/>
            <w:tcBorders/>
            <w:shd w:fill="auto" w:val="clear"/>
          </w:tcPr>
          <w:p>
            <w:pPr>
              <w:pStyle w:val="TableContents"/>
              <w:spacing w:before="0" w:after="0"/>
              <w:rPr>
                <w:rFonts w:ascii="Times New Roman" w:hAnsi="Times New Roman"/>
                <w:sz w:val="20"/>
              </w:rPr>
            </w:pPr>
            <w:r>
              <w:rPr>
                <w:rFonts w:ascii="Times New Roman" w:hAnsi="Times New Roman"/>
                <w:sz w:val="20"/>
              </w:rPr>
              <w:t>Total deferred income tax benefit</w:t>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(354</w:t>
            </w:r>
          </w:p>
        </w:tc>
        <w:tc>
          <w:tcPr>
            <w:tcW w:w="284"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(114</w:t>
            </w:r>
          </w:p>
        </w:tc>
        <w:tc>
          <w:tcPr>
            <w:tcW w:w="159" w:type="dxa"/>
            <w:tcBorders/>
            <w:shd w:fill="auto" w:val="clear"/>
            <w:vAlign w:val="bottom"/>
          </w:tcPr>
          <w:p>
            <w:pPr>
              <w:pStyle w:val="TableContents"/>
              <w:spacing w:before="0" w:after="283"/>
              <w:rPr/>
            </w:pPr>
            <w:r>
              <w:rPr/>
              <w:t>) </w:t>
            </w:r>
          </w:p>
        </w:tc>
      </w:tr>
      <w:tr>
        <w:trPr/>
        <w:tc>
          <w:tcPr>
            <w:tcW w:w="418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284" w:type="dxa"/>
            <w:tcBorders/>
            <w:shd w:fill="auto" w:val="clear"/>
            <w:vAlign w:val="center"/>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181" w:type="dxa"/>
            <w:tcBorders/>
            <w:shd w:fill="CCEEFF" w:val="clear"/>
          </w:tcPr>
          <w:p>
            <w:pPr>
              <w:pStyle w:val="TableContents"/>
              <w:spacing w:before="0" w:after="0"/>
              <w:rPr>
                <w:rFonts w:ascii="Times New Roman" w:hAnsi="Times New Roman"/>
                <w:sz w:val="20"/>
              </w:rPr>
            </w:pPr>
            <w:r>
              <w:rPr>
                <w:rFonts w:ascii="Times New Roman" w:hAnsi="Times New Roman"/>
                <w:sz w:val="20"/>
              </w:rPr>
              <w:t>Total income tax expense (benefit)</w:t>
            </w:r>
          </w:p>
        </w:tc>
        <w:tc>
          <w:tcPr>
            <w:tcW w:w="43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391</w:t>
            </w:r>
          </w:p>
        </w:tc>
        <w:tc>
          <w:tcPr>
            <w:tcW w:w="284" w:type="dxa"/>
            <w:tcBorders/>
            <w:shd w:fill="CCEEFF" w:val="clear"/>
            <w:vAlign w:val="bottom"/>
          </w:tcPr>
          <w:p>
            <w:pPr>
              <w:pStyle w:val="TableContents"/>
              <w:spacing w:before="0" w:after="283"/>
              <w:rPr>
                <w:sz w:val="4"/>
                <w:szCs w:val="4"/>
              </w:rPr>
            </w:pPr>
            <w:r>
              <w:rPr>
                <w:sz w:val="4"/>
                <w:szCs w:val="4"/>
              </w:rPr>
            </w:r>
          </w:p>
        </w:tc>
        <w:tc>
          <w:tcPr>
            <w:tcW w:w="51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840" w:type="dxa"/>
            <w:tcBorders/>
            <w:shd w:fill="CCEEFF" w:val="clear"/>
            <w:vAlign w:val="bottom"/>
          </w:tcPr>
          <w:p>
            <w:pPr>
              <w:pStyle w:val="TableContents"/>
              <w:spacing w:before="0" w:after="283"/>
              <w:jc w:val="right"/>
              <w:rPr/>
            </w:pPr>
            <w:r>
              <w:rPr/>
              <w:t>199</w:t>
            </w:r>
          </w:p>
        </w:tc>
        <w:tc>
          <w:tcPr>
            <w:tcW w:w="159" w:type="dxa"/>
            <w:tcBorders/>
            <w:shd w:fill="CCEEFF" w:val="clear"/>
            <w:vAlign w:val="bottom"/>
          </w:tcPr>
          <w:p>
            <w:pPr>
              <w:pStyle w:val="TableContents"/>
              <w:spacing w:before="0" w:after="283"/>
              <w:rPr/>
            </w:pPr>
            <w:r>
              <w:rPr/>
              <w:t> </w:t>
            </w:r>
          </w:p>
        </w:tc>
      </w:tr>
      <w:tr>
        <w:trPr/>
        <w:tc>
          <w:tcPr>
            <w:tcW w:w="418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284" w:type="dxa"/>
            <w:tcBorders/>
            <w:shd w:fill="auto" w:val="clear"/>
            <w:vAlign w:val="center"/>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double" w:sz="6" w:space="1" w:color="000000"/>
              </w:pBdr>
              <w:spacing w:before="0" w:after="0"/>
              <w:rPr/>
            </w:pPr>
            <w:r>
              <w:rPr/>
              <w:t> </w:t>
            </w:r>
          </w:p>
        </w:tc>
        <w:tc>
          <w:tcPr>
            <w:tcW w:w="840"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086"/>
        <w:gridCol w:w="391"/>
        <w:gridCol w:w="185"/>
        <w:gridCol w:w="1058"/>
        <w:gridCol w:w="366"/>
        <w:gridCol w:w="314"/>
        <w:gridCol w:w="185"/>
        <w:gridCol w:w="879"/>
        <w:gridCol w:w="291"/>
      </w:tblGrid>
      <w:tr>
        <w:trPr/>
        <w:tc>
          <w:tcPr>
            <w:tcW w:w="408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08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98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91" w:type="dxa"/>
            <w:tcBorders/>
            <w:shd w:fill="auto" w:val="clear"/>
            <w:vAlign w:val="bottom"/>
          </w:tcPr>
          <w:p>
            <w:pPr>
              <w:pStyle w:val="TableContents"/>
              <w:spacing w:before="0" w:after="283"/>
              <w:rPr/>
            </w:pPr>
            <w:r>
              <w:rPr/>
              <w:t> </w:t>
            </w:r>
          </w:p>
        </w:tc>
      </w:tr>
      <w:tr>
        <w:trPr/>
        <w:tc>
          <w:tcPr>
            <w:tcW w:w="408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36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0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291" w:type="dxa"/>
            <w:tcBorders/>
            <w:shd w:fill="auto" w:val="clear"/>
            <w:vAlign w:val="bottom"/>
          </w:tcPr>
          <w:p>
            <w:pPr>
              <w:pStyle w:val="TableContents"/>
              <w:spacing w:before="0" w:after="283"/>
              <w:rPr/>
            </w:pPr>
            <w:r>
              <w:rPr/>
              <w:t> </w:t>
            </w:r>
          </w:p>
        </w:tc>
      </w:tr>
      <w:tr>
        <w:trPr/>
        <w:tc>
          <w:tcPr>
            <w:tcW w:w="4086" w:type="dxa"/>
            <w:tcBorders/>
            <w:shd w:fill="CCEEFF" w:val="clear"/>
          </w:tcPr>
          <w:p>
            <w:pPr>
              <w:pStyle w:val="TableContents"/>
              <w:spacing w:before="0" w:after="0"/>
              <w:rPr>
                <w:rFonts w:ascii="Times New Roman" w:hAnsi="Times New Roman"/>
                <w:sz w:val="20"/>
              </w:rPr>
            </w:pPr>
            <w:r>
              <w:rPr>
                <w:rFonts w:ascii="Times New Roman" w:hAnsi="Times New Roman"/>
                <w:sz w:val="20"/>
              </w:rPr>
              <w:t>Tax provision at federal statutory rate</w:t>
            </w:r>
          </w:p>
        </w:tc>
        <w:tc>
          <w:tcPr>
            <w:tcW w:w="39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1058" w:type="dxa"/>
            <w:tcBorders/>
            <w:shd w:fill="CCEEFF" w:val="clear"/>
            <w:vAlign w:val="bottom"/>
          </w:tcPr>
          <w:p>
            <w:pPr>
              <w:pStyle w:val="TableContents"/>
              <w:spacing w:before="0" w:after="283"/>
              <w:jc w:val="right"/>
              <w:rPr/>
            </w:pPr>
            <w:r>
              <w:rPr/>
              <w:t>(16,635</w:t>
            </w:r>
          </w:p>
        </w:tc>
        <w:tc>
          <w:tcPr>
            <w:tcW w:w="36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(6,927</w:t>
            </w:r>
          </w:p>
        </w:tc>
        <w:tc>
          <w:tcPr>
            <w:tcW w:w="291" w:type="dxa"/>
            <w:tcBorders/>
            <w:shd w:fill="CCEEFF" w:val="clear"/>
            <w:vAlign w:val="bottom"/>
          </w:tcPr>
          <w:p>
            <w:pPr>
              <w:pStyle w:val="TableContents"/>
              <w:spacing w:before="0" w:after="283"/>
              <w:rPr/>
            </w:pPr>
            <w:r>
              <w:rPr/>
              <w:t>) </w:t>
            </w:r>
          </w:p>
        </w:tc>
      </w:tr>
      <w:tr>
        <w:trPr/>
        <w:tc>
          <w:tcPr>
            <w:tcW w:w="4086" w:type="dxa"/>
            <w:tcBorders/>
            <w:shd w:fill="auto" w:val="clear"/>
          </w:tcPr>
          <w:p>
            <w:pPr>
              <w:pStyle w:val="TableContents"/>
              <w:spacing w:before="0" w:after="0"/>
              <w:rPr>
                <w:rFonts w:ascii="Times New Roman" w:hAnsi="Times New Roman"/>
                <w:sz w:val="20"/>
              </w:rPr>
            </w:pPr>
            <w:r>
              <w:rPr>
                <w:rFonts w:ascii="Times New Roman" w:hAnsi="Times New Roman"/>
                <w:sz w:val="20"/>
              </w:rPr>
              <w:t>Increase (decrease) in income tax resulting from:</w:t>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1058"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r>
      <w:tr>
        <w:trPr/>
        <w:tc>
          <w:tcPr>
            <w:tcW w:w="4086" w:type="dxa"/>
            <w:tcBorders/>
            <w:shd w:fill="CCEEFF" w:val="clear"/>
          </w:tcPr>
          <w:p>
            <w:pPr>
              <w:pStyle w:val="TableContents"/>
              <w:spacing w:before="0" w:after="0"/>
              <w:rPr>
                <w:rFonts w:ascii="Times New Roman" w:hAnsi="Times New Roman"/>
                <w:sz w:val="20"/>
              </w:rPr>
            </w:pPr>
            <w:r>
              <w:rPr>
                <w:rFonts w:ascii="Times New Roman" w:hAnsi="Times New Roman"/>
                <w:sz w:val="20"/>
              </w:rPr>
              <w:t>Tax on income not subject to entity level federal income tax</w:t>
            </w:r>
          </w:p>
        </w:tc>
        <w:tc>
          <w:tcPr>
            <w:tcW w:w="39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17,716</w:t>
            </w:r>
          </w:p>
        </w:tc>
        <w:tc>
          <w:tcPr>
            <w:tcW w:w="36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6,920</w:t>
            </w:r>
          </w:p>
        </w:tc>
        <w:tc>
          <w:tcPr>
            <w:tcW w:w="291" w:type="dxa"/>
            <w:tcBorders/>
            <w:shd w:fill="CCEEFF" w:val="clear"/>
            <w:vAlign w:val="bottom"/>
          </w:tcPr>
          <w:p>
            <w:pPr>
              <w:pStyle w:val="TableContents"/>
              <w:spacing w:before="0" w:after="283"/>
              <w:rPr/>
            </w:pPr>
            <w:r>
              <w:rPr/>
              <w:t> </w:t>
            </w:r>
          </w:p>
        </w:tc>
      </w:tr>
      <w:tr>
        <w:trPr/>
        <w:tc>
          <w:tcPr>
            <w:tcW w:w="4086" w:type="dxa"/>
            <w:tcBorders/>
            <w:shd w:fill="auto" w:val="clear"/>
          </w:tcPr>
          <w:p>
            <w:pPr>
              <w:pStyle w:val="TableContents"/>
              <w:spacing w:before="0" w:after="0"/>
              <w:rPr>
                <w:rFonts w:ascii="Times New Roman" w:hAnsi="Times New Roman"/>
                <w:sz w:val="20"/>
              </w:rPr>
            </w:pPr>
            <w:r>
              <w:rPr>
                <w:rFonts w:ascii="Times New Roman" w:hAnsi="Times New Roman"/>
                <w:sz w:val="20"/>
              </w:rPr>
              <w:t>Tax rate differences on income in other jurisdictions</w:t>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172</w:t>
            </w:r>
          </w:p>
        </w:tc>
        <w:tc>
          <w:tcPr>
            <w:tcW w:w="36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r>
      <w:tr>
        <w:trPr/>
        <w:tc>
          <w:tcPr>
            <w:tcW w:w="4086" w:type="dxa"/>
            <w:tcBorders/>
            <w:shd w:fill="CCEEFF" w:val="clear"/>
          </w:tcPr>
          <w:p>
            <w:pPr>
              <w:pStyle w:val="TableContents"/>
              <w:spacing w:before="0" w:after="0"/>
              <w:rPr>
                <w:rFonts w:ascii="Times New Roman" w:hAnsi="Times New Roman"/>
                <w:sz w:val="20"/>
              </w:rPr>
            </w:pPr>
            <w:r>
              <w:rPr>
                <w:rFonts w:ascii="Times New Roman" w:hAnsi="Times New Roman"/>
                <w:sz w:val="20"/>
              </w:rPr>
              <w:t>State income taxes, net of federal tax effect</w:t>
            </w:r>
          </w:p>
        </w:tc>
        <w:tc>
          <w:tcPr>
            <w:tcW w:w="39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(423</w:t>
            </w:r>
          </w:p>
        </w:tc>
        <w:tc>
          <w:tcPr>
            <w:tcW w:w="36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(164</w:t>
            </w:r>
          </w:p>
        </w:tc>
        <w:tc>
          <w:tcPr>
            <w:tcW w:w="291" w:type="dxa"/>
            <w:tcBorders/>
            <w:shd w:fill="CCEEFF" w:val="clear"/>
            <w:vAlign w:val="bottom"/>
          </w:tcPr>
          <w:p>
            <w:pPr>
              <w:pStyle w:val="TableContents"/>
              <w:spacing w:before="0" w:after="283"/>
              <w:rPr/>
            </w:pPr>
            <w:r>
              <w:rPr/>
              <w:t>) </w:t>
            </w:r>
          </w:p>
        </w:tc>
      </w:tr>
      <w:tr>
        <w:trPr/>
        <w:tc>
          <w:tcPr>
            <w:tcW w:w="4086" w:type="dxa"/>
            <w:tcBorders/>
            <w:shd w:fill="auto" w:val="clear"/>
          </w:tcPr>
          <w:p>
            <w:pPr>
              <w:pStyle w:val="TableContents"/>
              <w:spacing w:before="0" w:after="0"/>
              <w:rPr>
                <w:rFonts w:ascii="Times New Roman" w:hAnsi="Times New Roman"/>
                <w:sz w:val="20"/>
              </w:rPr>
            </w:pPr>
            <w:r>
              <w:rPr>
                <w:rFonts w:ascii="Times New Roman" w:hAnsi="Times New Roman"/>
                <w:sz w:val="20"/>
              </w:rPr>
              <w:t>Changes in valuation allowance</w:t>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15</w:t>
            </w:r>
          </w:p>
        </w:tc>
        <w:tc>
          <w:tcPr>
            <w:tcW w:w="36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29</w:t>
            </w:r>
          </w:p>
        </w:tc>
        <w:tc>
          <w:tcPr>
            <w:tcW w:w="291" w:type="dxa"/>
            <w:tcBorders/>
            <w:shd w:fill="auto" w:val="clear"/>
            <w:vAlign w:val="bottom"/>
          </w:tcPr>
          <w:p>
            <w:pPr>
              <w:pStyle w:val="TableContents"/>
              <w:spacing w:before="0" w:after="283"/>
              <w:rPr/>
            </w:pPr>
            <w:r>
              <w:rPr/>
              <w:t> </w:t>
            </w:r>
          </w:p>
        </w:tc>
      </w:tr>
      <w:tr>
        <w:trPr/>
        <w:tc>
          <w:tcPr>
            <w:tcW w:w="4086" w:type="dxa"/>
            <w:tcBorders/>
            <w:shd w:fill="CCEEFF" w:val="clear"/>
          </w:tcPr>
          <w:p>
            <w:pPr>
              <w:pStyle w:val="TableContents"/>
              <w:spacing w:before="0" w:after="0"/>
              <w:rPr>
                <w:rFonts w:ascii="Times New Roman" w:hAnsi="Times New Roman"/>
                <w:sz w:val="20"/>
              </w:rPr>
            </w:pPr>
            <w:r>
              <w:rPr>
                <w:rFonts w:ascii="Times New Roman" w:hAnsi="Times New Roman"/>
                <w:sz w:val="20"/>
              </w:rPr>
              <w:t>Stock Compensation</w:t>
            </w:r>
          </w:p>
        </w:tc>
        <w:tc>
          <w:tcPr>
            <w:tcW w:w="39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(851</w:t>
            </w:r>
          </w:p>
        </w:tc>
        <w:tc>
          <w:tcPr>
            <w:tcW w:w="36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(141</w:t>
            </w:r>
          </w:p>
        </w:tc>
        <w:tc>
          <w:tcPr>
            <w:tcW w:w="291" w:type="dxa"/>
            <w:tcBorders/>
            <w:shd w:fill="CCEEFF" w:val="clear"/>
            <w:vAlign w:val="bottom"/>
          </w:tcPr>
          <w:p>
            <w:pPr>
              <w:pStyle w:val="TableContents"/>
              <w:spacing w:before="0" w:after="283"/>
              <w:rPr/>
            </w:pPr>
            <w:r>
              <w:rPr/>
              <w:t>) </w:t>
            </w:r>
          </w:p>
        </w:tc>
      </w:tr>
      <w:tr>
        <w:trPr/>
        <w:tc>
          <w:tcPr>
            <w:tcW w:w="4086" w:type="dxa"/>
            <w:tcBorders/>
            <w:shd w:fill="auto" w:val="clear"/>
          </w:tcPr>
          <w:p>
            <w:pPr>
              <w:pStyle w:val="TableContents"/>
              <w:spacing w:before="0" w:after="0"/>
              <w:rPr>
                <w:rFonts w:ascii="Times New Roman" w:hAnsi="Times New Roman"/>
                <w:sz w:val="20"/>
              </w:rPr>
            </w:pPr>
            <w:r>
              <w:rPr>
                <w:rFonts w:ascii="Times New Roman" w:hAnsi="Times New Roman"/>
                <w:sz w:val="20"/>
              </w:rPr>
              <w:t>Other permanent adjustments</w:t>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397</w:t>
            </w:r>
          </w:p>
        </w:tc>
        <w:tc>
          <w:tcPr>
            <w:tcW w:w="36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84</w:t>
            </w:r>
          </w:p>
        </w:tc>
        <w:tc>
          <w:tcPr>
            <w:tcW w:w="291" w:type="dxa"/>
            <w:tcBorders/>
            <w:shd w:fill="auto" w:val="clear"/>
            <w:vAlign w:val="bottom"/>
          </w:tcPr>
          <w:p>
            <w:pPr>
              <w:pStyle w:val="TableContents"/>
              <w:spacing w:before="0" w:after="283"/>
              <w:rPr/>
            </w:pPr>
            <w:r>
              <w:rPr/>
              <w:t> </w:t>
            </w:r>
          </w:p>
        </w:tc>
      </w:tr>
      <w:tr>
        <w:trPr/>
        <w:tc>
          <w:tcPr>
            <w:tcW w:w="4086"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1058" w:type="dxa"/>
            <w:tcBorders/>
            <w:shd w:fill="auto" w:val="clear"/>
            <w:vAlign w:val="bottom"/>
          </w:tcPr>
          <w:p>
            <w:pPr>
              <w:pStyle w:val="TableContents"/>
              <w:pBdr>
                <w:top w:val="single" w:sz="2" w:space="1" w:color="000000"/>
              </w:pBdr>
              <w:spacing w:before="0" w:after="0"/>
              <w:rPr/>
            </w:pPr>
            <w:r>
              <w:rPr/>
              <w:t> </w:t>
            </w:r>
          </w:p>
        </w:tc>
        <w:tc>
          <w:tcPr>
            <w:tcW w:w="366"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291" w:type="dxa"/>
            <w:tcBorders/>
            <w:shd w:fill="auto" w:val="clear"/>
            <w:vAlign w:val="center"/>
          </w:tcPr>
          <w:p>
            <w:pPr>
              <w:pStyle w:val="TableContents"/>
              <w:spacing w:before="0" w:after="283"/>
              <w:rPr/>
            </w:pPr>
            <w:r>
              <w:rPr/>
              <w:t> </w:t>
            </w:r>
          </w:p>
        </w:tc>
      </w:tr>
      <w:tr>
        <w:trPr/>
        <w:tc>
          <w:tcPr>
            <w:tcW w:w="4086" w:type="dxa"/>
            <w:tcBorders/>
            <w:shd w:fill="CCEEFF" w:val="clear"/>
          </w:tcPr>
          <w:p>
            <w:pPr>
              <w:pStyle w:val="TableContents"/>
              <w:spacing w:before="0" w:after="0"/>
              <w:rPr>
                <w:rFonts w:ascii="Times New Roman" w:hAnsi="Times New Roman"/>
                <w:sz w:val="20"/>
              </w:rPr>
            </w:pPr>
            <w:r>
              <w:rPr>
                <w:rFonts w:ascii="Times New Roman" w:hAnsi="Times New Roman"/>
                <w:sz w:val="20"/>
              </w:rPr>
              <w:t>Provision for (benefit from) income taxes</w:t>
            </w:r>
          </w:p>
        </w:tc>
        <w:tc>
          <w:tcPr>
            <w:tcW w:w="39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1058" w:type="dxa"/>
            <w:tcBorders/>
            <w:shd w:fill="CCEEFF" w:val="clear"/>
            <w:vAlign w:val="bottom"/>
          </w:tcPr>
          <w:p>
            <w:pPr>
              <w:pStyle w:val="TableContents"/>
              <w:spacing w:before="0" w:after="283"/>
              <w:jc w:val="right"/>
              <w:rPr/>
            </w:pPr>
            <w:r>
              <w:rPr/>
              <w:t>391</w:t>
            </w:r>
          </w:p>
        </w:tc>
        <w:tc>
          <w:tcPr>
            <w:tcW w:w="36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(199</w:t>
            </w:r>
          </w:p>
        </w:tc>
        <w:tc>
          <w:tcPr>
            <w:tcW w:w="291" w:type="dxa"/>
            <w:tcBorders/>
            <w:shd w:fill="CCEEFF" w:val="clear"/>
            <w:vAlign w:val="bottom"/>
          </w:tcPr>
          <w:p>
            <w:pPr>
              <w:pStyle w:val="TableContents"/>
              <w:spacing w:before="0" w:after="283"/>
              <w:rPr/>
            </w:pPr>
            <w:r>
              <w:rPr/>
              <w:t>) </w:t>
            </w:r>
          </w:p>
        </w:tc>
      </w:tr>
      <w:tr>
        <w:trPr/>
        <w:tc>
          <w:tcPr>
            <w:tcW w:w="4086"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1058" w:type="dxa"/>
            <w:tcBorders/>
            <w:shd w:fill="auto" w:val="clear"/>
            <w:vAlign w:val="bottom"/>
          </w:tcPr>
          <w:p>
            <w:pPr>
              <w:pStyle w:val="TableContents"/>
              <w:pBdr>
                <w:top w:val="single" w:sz="2" w:space="1" w:color="000000"/>
              </w:pBdr>
              <w:spacing w:before="0" w:after="0"/>
              <w:rPr/>
            </w:pPr>
            <w:r>
              <w:rPr/>
              <w:t> </w:t>
            </w:r>
          </w:p>
        </w:tc>
        <w:tc>
          <w:tcPr>
            <w:tcW w:w="366"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291" w:type="dxa"/>
            <w:tcBorders/>
            <w:shd w:fill="auto" w:val="clear"/>
            <w:vAlign w:val="center"/>
          </w:tcPr>
          <w:p>
            <w:pPr>
              <w:pStyle w:val="TableContents"/>
              <w:spacing w:before="0" w:after="283"/>
              <w:rPr/>
            </w:pPr>
            <w:r>
              <w:rPr/>
              <w:t> </w:t>
            </w:r>
          </w:p>
        </w:tc>
      </w:tr>
      <w:tr>
        <w:trPr/>
        <w:tc>
          <w:tcPr>
            <w:tcW w:w="4086" w:type="dxa"/>
            <w:tcBorders/>
            <w:shd w:fill="auto" w:val="clear"/>
          </w:tcPr>
          <w:p>
            <w:pPr>
              <w:pStyle w:val="TableContents"/>
              <w:spacing w:before="0" w:after="0"/>
              <w:rPr>
                <w:rFonts w:ascii="Times New Roman" w:hAnsi="Times New Roman"/>
                <w:sz w:val="20"/>
              </w:rPr>
            </w:pPr>
            <w:r>
              <w:rPr>
                <w:rFonts w:ascii="Times New Roman" w:hAnsi="Times New Roman"/>
                <w:sz w:val="20"/>
              </w:rPr>
              <w:t>Effective tax rate</w:t>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-0.5</w:t>
            </w:r>
          </w:p>
        </w:tc>
        <w:tc>
          <w:tcPr>
            <w:tcW w:w="36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0.6</w:t>
            </w:r>
          </w:p>
        </w:tc>
        <w:tc>
          <w:tcPr>
            <w:tcW w:w="291" w:type="dxa"/>
            <w:tcBorders/>
            <w:shd w:fill="auto" w:val="clear"/>
            <w:vAlign w:val="bottom"/>
          </w:tcPr>
          <w:p>
            <w:pPr>
              <w:pStyle w:val="TableContents"/>
              <w:spacing w:before="0" w:after="283"/>
              <w:rPr/>
            </w:pPr>
            <w:r>
              <w:rPr/>
              <w:t>% </w:t>
            </w:r>
          </w:p>
        </w:tc>
      </w:tr>
      <w:tr>
        <w:trPr/>
        <w:tc>
          <w:tcPr>
            <w:tcW w:w="4086"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0"/>
              <w:rPr/>
            </w:pPr>
            <w:r>
              <w:rPr/>
              <w:t> </w:t>
            </w:r>
          </w:p>
        </w:tc>
        <w:tc>
          <w:tcPr>
            <w:tcW w:w="1058" w:type="dxa"/>
            <w:tcBorders/>
            <w:shd w:fill="auto" w:val="clear"/>
            <w:vAlign w:val="bottom"/>
          </w:tcPr>
          <w:p>
            <w:pPr>
              <w:pStyle w:val="TableContents"/>
              <w:pBdr>
                <w:top w:val="double" w:sz="6" w:space="1" w:color="000000"/>
              </w:pBdr>
              <w:spacing w:before="0" w:after="0"/>
              <w:rPr/>
            </w:pPr>
            <w:r>
              <w:rPr/>
              <w:t> </w:t>
            </w:r>
          </w:p>
        </w:tc>
        <w:tc>
          <w:tcPr>
            <w:tcW w:w="366"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29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F-55</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effective tax rate is lower than the federal statutory rate primarily because the substantial majority of the earnings are from the Bakkt Holdings partnership and the single member LLCs held by the partnership, where earnings flow through to the partners at the consolidated level. The following summarizes the significant components of our deferred tax liabilities and assets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92"/>
        <w:gridCol w:w="508"/>
        <w:gridCol w:w="140"/>
        <w:gridCol w:w="639"/>
        <w:gridCol w:w="155"/>
        <w:gridCol w:w="508"/>
        <w:gridCol w:w="140"/>
        <w:gridCol w:w="639"/>
        <w:gridCol w:w="234"/>
      </w:tblGrid>
      <w:tr>
        <w:trPr/>
        <w:tc>
          <w:tcPr>
            <w:tcW w:w="479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79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222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234" w:type="dxa"/>
            <w:tcBorders/>
            <w:shd w:fill="auto"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39"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Deferred and stock-based compensation</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9" w:type="dxa"/>
            <w:tcBorders/>
            <w:shd w:fill="auto" w:val="clear"/>
            <w:vAlign w:val="bottom"/>
          </w:tcPr>
          <w:p>
            <w:pPr>
              <w:pStyle w:val="TableContents"/>
              <w:spacing w:before="0" w:after="283"/>
              <w:jc w:val="right"/>
              <w:rPr/>
            </w:pPr>
            <w:r>
              <w:rPr/>
              <w:t>132</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9" w:type="dxa"/>
            <w:tcBorders/>
            <w:shd w:fill="auto" w:val="clear"/>
            <w:vAlign w:val="bottom"/>
          </w:tcPr>
          <w:p>
            <w:pPr>
              <w:pStyle w:val="TableContents"/>
              <w:spacing w:before="0" w:after="283"/>
              <w:jc w:val="right"/>
              <w:rPr/>
            </w:pPr>
            <w:r>
              <w:rPr/>
              <w:t>18</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 costs</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138</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160</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55</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Net operating loss carryforwards</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3,226</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2,899</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Property, equipment and software</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116</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32</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234" w:type="dxa"/>
            <w:tcBorders/>
            <w:shd w:fill="auto" w:val="clear"/>
            <w:vAlign w:val="center"/>
          </w:tcPr>
          <w:p>
            <w:pPr>
              <w:pStyle w:val="TableContents"/>
              <w:spacing w:before="0" w:after="283"/>
              <w:rPr/>
            </w:pPr>
            <w:r>
              <w:rPr/>
              <w:t> </w:t>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Total deferred tax assets</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3,576</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3,225</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Less: valuation allowance</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(2,901</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(2,899</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234" w:type="dxa"/>
            <w:tcBorders/>
            <w:shd w:fill="auto" w:val="clear"/>
            <w:vAlign w:val="center"/>
          </w:tcPr>
          <w:p>
            <w:pPr>
              <w:pStyle w:val="TableContents"/>
              <w:spacing w:before="0" w:after="283"/>
              <w:rPr/>
            </w:pPr>
            <w:r>
              <w:rPr/>
              <w:t> </w:t>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Net deferred tax assets</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675</w:t>
            </w:r>
          </w:p>
        </w:tc>
        <w:tc>
          <w:tcPr>
            <w:tcW w:w="155"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326</w:t>
            </w:r>
          </w:p>
        </w:tc>
        <w:tc>
          <w:tcPr>
            <w:tcW w:w="234" w:type="dxa"/>
            <w:tcBorders/>
            <w:shd w:fill="auto"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234" w:type="dxa"/>
            <w:tcBorders/>
            <w:shd w:fill="auto" w:val="clear"/>
            <w:vAlign w:val="center"/>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liabilities:</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39"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Customer Relationships</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293</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Acquired Technology</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415</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428</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Other Acquired Intangibles</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21</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2</w:t>
            </w:r>
          </w:p>
        </w:tc>
        <w:tc>
          <w:tcPr>
            <w:tcW w:w="234" w:type="dxa"/>
            <w:tcBorders/>
            <w:shd w:fill="auto" w:val="clear"/>
            <w:vAlign w:val="bottom"/>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41</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234" w:type="dxa"/>
            <w:tcBorders/>
            <w:shd w:fill="auto" w:val="clear"/>
            <w:vAlign w:val="center"/>
          </w:tcPr>
          <w:p>
            <w:pPr>
              <w:pStyle w:val="TableContents"/>
              <w:spacing w:before="0" w:after="283"/>
              <w:rPr/>
            </w:pPr>
            <w:r>
              <w:rPr/>
              <w:t> </w:t>
            </w:r>
          </w:p>
        </w:tc>
      </w:tr>
      <w:tr>
        <w:trPr/>
        <w:tc>
          <w:tcPr>
            <w:tcW w:w="4792" w:type="dxa"/>
            <w:tcBorders/>
            <w:shd w:fill="auto" w:val="clear"/>
          </w:tcPr>
          <w:p>
            <w:pPr>
              <w:pStyle w:val="TableContents"/>
              <w:spacing w:before="0" w:after="0"/>
              <w:rPr>
                <w:rFonts w:ascii="Times New Roman" w:hAnsi="Times New Roman"/>
                <w:sz w:val="20"/>
              </w:rPr>
            </w:pPr>
            <w:r>
              <w:rPr>
                <w:rFonts w:ascii="Times New Roman" w:hAnsi="Times New Roman"/>
                <w:sz w:val="20"/>
              </w:rPr>
              <w:t>Total deferred tax liabilities</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770</w:t>
            </w:r>
          </w:p>
        </w:tc>
        <w:tc>
          <w:tcPr>
            <w:tcW w:w="15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430</w:t>
            </w:r>
          </w:p>
        </w:tc>
        <w:tc>
          <w:tcPr>
            <w:tcW w:w="234" w:type="dxa"/>
            <w:tcBorders/>
            <w:shd w:fill="auto"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234" w:type="dxa"/>
            <w:tcBorders/>
            <w:shd w:fill="auto" w:val="clear"/>
            <w:vAlign w:val="center"/>
          </w:tcPr>
          <w:p>
            <w:pPr>
              <w:pStyle w:val="TableContents"/>
              <w:spacing w:before="0" w:after="283"/>
              <w:rPr/>
            </w:pPr>
            <w:r>
              <w:rPr/>
              <w:t> </w:t>
            </w:r>
          </w:p>
        </w:tc>
      </w:tr>
      <w:tr>
        <w:trPr/>
        <w:tc>
          <w:tcPr>
            <w:tcW w:w="4792" w:type="dxa"/>
            <w:tcBorders/>
            <w:shd w:fill="CCEEFF" w:val="clear"/>
          </w:tcPr>
          <w:p>
            <w:pPr>
              <w:pStyle w:val="TableContents"/>
              <w:spacing w:before="0" w:after="0"/>
              <w:rPr>
                <w:rFonts w:ascii="Times New Roman" w:hAnsi="Times New Roman"/>
                <w:sz w:val="20"/>
              </w:rPr>
            </w:pPr>
            <w:r>
              <w:rPr>
                <w:rFonts w:ascii="Times New Roman" w:hAnsi="Times New Roman"/>
                <w:sz w:val="20"/>
              </w:rPr>
              <w:t>Net deferred tax assets (liabilities)</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9" w:type="dxa"/>
            <w:tcBorders/>
            <w:shd w:fill="CCEEFF" w:val="clear"/>
            <w:vAlign w:val="bottom"/>
          </w:tcPr>
          <w:p>
            <w:pPr>
              <w:pStyle w:val="TableContents"/>
              <w:spacing w:before="0" w:after="283"/>
              <w:jc w:val="right"/>
              <w:rPr/>
            </w:pPr>
            <w:r>
              <w:rPr/>
              <w:t>(95</w:t>
            </w:r>
          </w:p>
        </w:tc>
        <w:tc>
          <w:tcPr>
            <w:tcW w:w="155"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9" w:type="dxa"/>
            <w:tcBorders/>
            <w:shd w:fill="CCEEFF" w:val="clear"/>
            <w:vAlign w:val="bottom"/>
          </w:tcPr>
          <w:p>
            <w:pPr>
              <w:pStyle w:val="TableContents"/>
              <w:spacing w:before="0" w:after="283"/>
              <w:jc w:val="right"/>
              <w:rPr/>
            </w:pPr>
            <w:r>
              <w:rPr/>
              <w:t>(104</w:t>
            </w:r>
          </w:p>
        </w:tc>
        <w:tc>
          <w:tcPr>
            <w:tcW w:w="234" w:type="dxa"/>
            <w:tcBorders/>
            <w:shd w:fill="CCEEFF" w:val="clear"/>
            <w:vAlign w:val="bottom"/>
          </w:tcPr>
          <w:p>
            <w:pPr>
              <w:pStyle w:val="TableContents"/>
              <w:spacing w:before="0" w:after="283"/>
              <w:rPr/>
            </w:pPr>
            <w:r>
              <w:rPr/>
              <w:t>)) </w:t>
            </w:r>
          </w:p>
        </w:tc>
      </w:tr>
      <w:tr>
        <w:trPr/>
        <w:tc>
          <w:tcPr>
            <w:tcW w:w="479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6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639" w:type="dxa"/>
            <w:tcBorders/>
            <w:shd w:fill="auto" w:val="clear"/>
            <w:vAlign w:val="bottom"/>
          </w:tcPr>
          <w:p>
            <w:pPr>
              <w:pStyle w:val="TableContents"/>
              <w:pBdr>
                <w:top w:val="double" w:sz="6" w:space="1" w:color="000000"/>
              </w:pBdr>
              <w:spacing w:before="0" w:after="0"/>
              <w:rPr/>
            </w:pPr>
            <w:r>
              <w:rPr/>
              <w:t> </w:t>
            </w:r>
          </w:p>
        </w:tc>
        <w:tc>
          <w:tcPr>
            <w:tcW w:w="23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Deferred income taxes reflect the net tax effects of temporary differences between the carrying amounts of assets and liabilities for financial reporting purposes and the amounts used for income tax purposes. </w:t>
      </w:r>
    </w:p>
    <w:p>
      <w:pPr>
        <w:pStyle w:val="TextBody"/>
        <w:spacing w:before="240" w:after="0"/>
        <w:jc w:val="left"/>
        <w:rPr>
          <w:rFonts w:ascii="Times New Roman" w:hAnsi="Times New Roman"/>
          <w:sz w:val="20"/>
        </w:rPr>
      </w:pPr>
      <w:r>
        <w:rPr>
          <w:rFonts w:ascii="Times New Roman" w:hAnsi="Times New Roman"/>
          <w:sz w:val="20"/>
        </w:rPr>
        <w:t xml:space="preserve">Deferred tax assets are reduced by a valuation allowance if, based on the weight of available evidence, it is more likely than not that some portion or all of the deferred tax assets will not be realized. The Companys realizability of its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The Company has a valuation allowance of $2.9 million and $2.9 million as of December 31, 2020 and December 31, 2019, respectively. </w:t>
      </w:r>
    </w:p>
    <w:p>
      <w:pPr>
        <w:pStyle w:val="TextBody"/>
        <w:spacing w:before="240" w:after="0"/>
        <w:jc w:val="left"/>
        <w:rPr>
          <w:rFonts w:ascii="Times New Roman" w:hAnsi="Times New Roman"/>
          <w:sz w:val="20"/>
        </w:rPr>
      </w:pPr>
      <w:r>
        <w:rPr>
          <w:rFonts w:ascii="Times New Roman" w:hAnsi="Times New Roman"/>
          <w:sz w:val="20"/>
        </w:rPr>
        <w:t xml:space="preserve">As of December 31, 2020, the Company had gross federal net operating loss carryforwards (NOLs) of $8,574,000, of which $416,000 will begin to expire in 2037 and $8,158,000 can be carried forward indefinitely. The Company also had state NOLs of $16,662,000 which begin to expire in 2037. </w:t>
      </w:r>
    </w:p>
    <w:p>
      <w:pPr>
        <w:pStyle w:val="TextBody"/>
        <w:spacing w:before="240" w:after="0"/>
        <w:jc w:val="left"/>
        <w:rPr>
          <w:rFonts w:ascii="Times New Roman" w:hAnsi="Times New Roman"/>
          <w:sz w:val="20"/>
        </w:rPr>
      </w:pPr>
      <w:r>
        <w:rPr>
          <w:rFonts w:ascii="Times New Roman" w:hAnsi="Times New Roman"/>
          <w:sz w:val="20"/>
        </w:rPr>
        <w:t xml:space="preserve">The Company and its affiliates files income tax returns in the U.S. federal jurisdiction, various state jurisdictions and foreign jurisdictions. The Company is no longer subject to income tax examinations by tax authorities for years prior to 2017. </w:t>
      </w:r>
    </w:p>
    <w:p>
      <w:pPr>
        <w:pStyle w:val="TextBody"/>
        <w:spacing w:before="240" w:after="0"/>
        <w:jc w:val="left"/>
        <w:rPr>
          <w:rFonts w:ascii="Times New Roman" w:hAnsi="Times New Roman"/>
          <w:sz w:val="20"/>
        </w:rPr>
      </w:pPr>
      <w:r>
        <w:rPr>
          <w:rFonts w:ascii="Times New Roman" w:hAnsi="Times New Roman"/>
          <w:sz w:val="20"/>
        </w:rPr>
        <w:t xml:space="preserve">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for the years ended December 31, 2020 and 2019, respectively.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F-56</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13.</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spacing w:before="120" w:after="0"/>
        <w:jc w:val="left"/>
        <w:rPr>
          <w:rFonts w:ascii="Times New Roman" w:hAnsi="Times New Roman"/>
          <w:sz w:val="20"/>
        </w:rPr>
      </w:pPr>
      <w:r>
        <w:rPr>
          <w:rFonts w:ascii="Times New Roman" w:hAnsi="Times New Roman"/>
          <w:sz w:val="20"/>
        </w:rPr>
        <w:t xml:space="preserve">The Companys financial assets and liabilities that are measured at fair value on a recurring basis are classified as follows (in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86"/>
        <w:gridCol w:w="298"/>
        <w:gridCol w:w="140"/>
        <w:gridCol w:w="563"/>
        <w:gridCol w:w="60"/>
        <w:gridCol w:w="298"/>
        <w:gridCol w:w="151"/>
        <w:gridCol w:w="666"/>
        <w:gridCol w:w="60"/>
        <w:gridCol w:w="298"/>
        <w:gridCol w:w="242"/>
        <w:gridCol w:w="537"/>
        <w:gridCol w:w="60"/>
        <w:gridCol w:w="297"/>
        <w:gridCol w:w="242"/>
        <w:gridCol w:w="537"/>
        <w:gridCol w:w="70"/>
      </w:tblGrid>
      <w:tr>
        <w:trPr/>
        <w:tc>
          <w:tcPr>
            <w:tcW w:w="568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5686"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4151"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2020</w:t>
            </w:r>
          </w:p>
        </w:tc>
        <w:tc>
          <w:tcPr>
            <w:tcW w:w="70" w:type="dxa"/>
            <w:tcBorders/>
            <w:shd w:fill="auto" w:val="clear"/>
            <w:vAlign w:val="bottom"/>
          </w:tcPr>
          <w:p>
            <w:pPr>
              <w:pStyle w:val="TableContents"/>
              <w:spacing w:before="0" w:after="283"/>
              <w:rPr/>
            </w:pPr>
            <w:r>
              <w:rPr/>
              <w:t> </w:t>
            </w:r>
          </w:p>
        </w:tc>
      </w:tr>
      <w:tr>
        <w:trPr/>
        <w:tc>
          <w:tcPr>
            <w:tcW w:w="5686"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7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70" w:type="dxa"/>
            <w:tcBorders/>
            <w:shd w:fill="auto" w:val="clear"/>
            <w:vAlign w:val="bottom"/>
          </w:tcPr>
          <w:p>
            <w:pPr>
              <w:pStyle w:val="TableContents"/>
              <w:spacing w:before="0" w:after="283"/>
              <w:rPr/>
            </w:pPr>
            <w:r>
              <w:rPr/>
              <w:t> </w:t>
            </w:r>
          </w:p>
        </w:tc>
      </w:tr>
      <w:tr>
        <w:trPr/>
        <w:tc>
          <w:tcPr>
            <w:tcW w:w="5686"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66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sz w:val="4"/>
                <w:szCs w:val="4"/>
              </w:rPr>
            </w:pPr>
            <w:r>
              <w:rPr>
                <w:sz w:val="4"/>
                <w:szCs w:val="4"/>
              </w:rPr>
            </w:r>
          </w:p>
        </w:tc>
        <w:tc>
          <w:tcPr>
            <w:tcW w:w="5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sz w:val="4"/>
                <w:szCs w:val="4"/>
              </w:rPr>
            </w:pPr>
            <w:r>
              <w:rPr>
                <w:sz w:val="4"/>
                <w:szCs w:val="4"/>
              </w:rPr>
            </w:r>
          </w:p>
        </w:tc>
        <w:tc>
          <w:tcPr>
            <w:tcW w:w="537"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5686" w:type="dxa"/>
            <w:tcBorders/>
            <w:shd w:fill="auto" w:val="clear"/>
          </w:tcPr>
          <w:p>
            <w:pPr>
              <w:pStyle w:val="TableContents"/>
              <w:spacing w:before="0" w:after="0"/>
              <w:rPr>
                <w:rFonts w:ascii="Times New Roman" w:hAnsi="Times New Roman"/>
                <w:sz w:val="20"/>
              </w:rPr>
            </w:pPr>
            <w:r>
              <w:rPr>
                <w:rFonts w:ascii="Times New Roman" w:hAnsi="Times New Roman"/>
                <w:sz w:val="20"/>
              </w:rPr>
              <w:t>Investment in shares of affiliate stock</w:t>
            </w:r>
          </w:p>
        </w:tc>
        <w:tc>
          <w:tcPr>
            <w:tcW w:w="2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1,823</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666" w:type="dxa"/>
            <w:tcBorders/>
            <w:shd w:fill="auto" w:val="clear"/>
            <w:vAlign w:val="bottom"/>
          </w:tcPr>
          <w:p>
            <w:pPr>
              <w:pStyle w:val="TableContents"/>
              <w:spacing w:before="0" w:after="283"/>
              <w:jc w:val="right"/>
              <w:rPr/>
            </w:pPr>
            <w:r>
              <w:rPr/>
              <w:t>1,823</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c>
          <w:tcPr>
            <w:tcW w:w="53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c>
          <w:tcPr>
            <w:tcW w:w="537"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rPr/>
            </w:pPr>
            <w:r>
              <w:rPr/>
              <w:t> </w:t>
            </w:r>
          </w:p>
        </w:tc>
      </w:tr>
      <w:tr>
        <w:trPr/>
        <w:tc>
          <w:tcPr>
            <w:tcW w:w="5686"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66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pBdr>
                <w:top w:val="single" w:sz="2" w:space="1" w:color="000000"/>
              </w:pBdr>
              <w:spacing w:before="0" w:after="0"/>
              <w:rPr/>
            </w:pPr>
            <w:r>
              <w:rPr/>
              <w:t> </w:t>
            </w:r>
          </w:p>
        </w:tc>
        <w:tc>
          <w:tcPr>
            <w:tcW w:w="5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pBdr>
                <w:top w:val="single" w:sz="2" w:space="1" w:color="000000"/>
              </w:pBdr>
              <w:spacing w:before="0" w:after="0"/>
              <w:rPr/>
            </w:pPr>
            <w:r>
              <w:rPr/>
              <w:t> </w:t>
            </w:r>
          </w:p>
        </w:tc>
        <w:tc>
          <w:tcPr>
            <w:tcW w:w="537"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5686"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 measured at fair value</w:t>
            </w:r>
          </w:p>
        </w:tc>
        <w:tc>
          <w:tcPr>
            <w:tcW w:w="2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1,823</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666" w:type="dxa"/>
            <w:tcBorders/>
            <w:shd w:fill="CCEEFF" w:val="clear"/>
            <w:vAlign w:val="bottom"/>
          </w:tcPr>
          <w:p>
            <w:pPr>
              <w:pStyle w:val="TableContents"/>
              <w:spacing w:before="0" w:after="283"/>
              <w:jc w:val="right"/>
              <w:rPr/>
            </w:pPr>
            <w:r>
              <w:rPr/>
              <w:t>1,823</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w:t>
            </w:r>
          </w:p>
        </w:tc>
        <w:tc>
          <w:tcPr>
            <w:tcW w:w="5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w:t>
            </w:r>
          </w:p>
        </w:tc>
        <w:tc>
          <w:tcPr>
            <w:tcW w:w="537"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795"/>
        <w:gridCol w:w="323"/>
        <w:gridCol w:w="140"/>
        <w:gridCol w:w="561"/>
        <w:gridCol w:w="60"/>
        <w:gridCol w:w="323"/>
        <w:gridCol w:w="151"/>
        <w:gridCol w:w="654"/>
        <w:gridCol w:w="60"/>
        <w:gridCol w:w="323"/>
        <w:gridCol w:w="240"/>
        <w:gridCol w:w="534"/>
        <w:gridCol w:w="60"/>
        <w:gridCol w:w="323"/>
        <w:gridCol w:w="240"/>
        <w:gridCol w:w="534"/>
        <w:gridCol w:w="67"/>
      </w:tblGrid>
      <w:tr>
        <w:trPr/>
        <w:tc>
          <w:tcPr>
            <w:tcW w:w="479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479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203"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2019</w:t>
            </w:r>
          </w:p>
        </w:tc>
        <w:tc>
          <w:tcPr>
            <w:tcW w:w="67" w:type="dxa"/>
            <w:tcBorders/>
            <w:shd w:fill="auto" w:val="clear"/>
            <w:vAlign w:val="bottom"/>
          </w:tcPr>
          <w:p>
            <w:pPr>
              <w:pStyle w:val="TableContents"/>
              <w:spacing w:before="0" w:after="283"/>
              <w:rPr/>
            </w:pPr>
            <w:r>
              <w:rPr/>
              <w:t> </w:t>
            </w:r>
          </w:p>
        </w:tc>
      </w:tr>
      <w:tr>
        <w:trPr/>
        <w:tc>
          <w:tcPr>
            <w:tcW w:w="479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7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8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7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7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67" w:type="dxa"/>
            <w:tcBorders/>
            <w:shd w:fill="auto" w:val="clear"/>
            <w:vAlign w:val="bottom"/>
          </w:tcPr>
          <w:p>
            <w:pPr>
              <w:pStyle w:val="TableContents"/>
              <w:spacing w:before="0" w:after="283"/>
              <w:rPr/>
            </w:pPr>
            <w:r>
              <w:rPr/>
              <w:t> </w:t>
            </w:r>
          </w:p>
        </w:tc>
      </w:tr>
      <w:tr>
        <w:trPr/>
        <w:tc>
          <w:tcPr>
            <w:tcW w:w="4795"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32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53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534"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4795" w:type="dxa"/>
            <w:tcBorders/>
            <w:shd w:fill="auto" w:val="clear"/>
          </w:tcPr>
          <w:p>
            <w:pPr>
              <w:pStyle w:val="TableContents"/>
              <w:spacing w:before="0" w:after="0"/>
              <w:rPr>
                <w:rFonts w:ascii="Times New Roman" w:hAnsi="Times New Roman"/>
                <w:sz w:val="20"/>
              </w:rPr>
            </w:pPr>
            <w:r>
              <w:rPr>
                <w:rFonts w:ascii="Times New Roman" w:hAnsi="Times New Roman"/>
                <w:sz w:val="20"/>
              </w:rPr>
              <w:t>Deposits with clearinghouse affiliate, noncurrent:</w:t>
            </w:r>
          </w:p>
        </w:tc>
        <w:tc>
          <w:tcPr>
            <w:tcW w:w="32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4795" w:type="dxa"/>
            <w:tcBorders/>
            <w:shd w:fill="CCEEFF" w:val="clear"/>
          </w:tcPr>
          <w:p>
            <w:pPr>
              <w:pStyle w:val="TableContents"/>
              <w:spacing w:before="0" w:after="0"/>
              <w:rPr>
                <w:rFonts w:ascii="Times New Roman" w:hAnsi="Times New Roman"/>
                <w:sz w:val="20"/>
              </w:rPr>
            </w:pPr>
            <w:r>
              <w:rPr>
                <w:rFonts w:ascii="Times New Roman" w:hAnsi="Times New Roman"/>
                <w:sz w:val="20"/>
              </w:rPr>
              <w:t>U.S. government securities</w:t>
            </w:r>
          </w:p>
        </w:tc>
        <w:tc>
          <w:tcPr>
            <w:tcW w:w="32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1" w:type="dxa"/>
            <w:tcBorders/>
            <w:shd w:fill="CCEEFF" w:val="clear"/>
            <w:vAlign w:val="bottom"/>
          </w:tcPr>
          <w:p>
            <w:pPr>
              <w:pStyle w:val="TableContents"/>
              <w:spacing w:before="0" w:after="283"/>
              <w:jc w:val="right"/>
              <w:rPr/>
            </w:pPr>
            <w:r>
              <w:rPr/>
              <w:t>994</w:t>
            </w:r>
          </w:p>
        </w:tc>
        <w:tc>
          <w:tcPr>
            <w:tcW w:w="6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654" w:type="dxa"/>
            <w:tcBorders/>
            <w:shd w:fill="CCEEFF" w:val="clear"/>
            <w:vAlign w:val="bottom"/>
          </w:tcPr>
          <w:p>
            <w:pPr>
              <w:pStyle w:val="TableContents"/>
              <w:spacing w:before="0" w:after="283"/>
              <w:jc w:val="right"/>
              <w:rPr/>
            </w:pPr>
            <w:r>
              <w:rPr/>
              <w:t>994</w:t>
            </w:r>
          </w:p>
        </w:tc>
        <w:tc>
          <w:tcPr>
            <w:tcW w:w="6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53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534" w:type="dxa"/>
            <w:tcBorders/>
            <w:shd w:fill="CCEEFF" w:val="clear"/>
            <w:vAlign w:val="bottom"/>
          </w:tcPr>
          <w:p>
            <w:pPr>
              <w:pStyle w:val="TableContents"/>
              <w:spacing w:before="0" w:after="283"/>
              <w:jc w:val="right"/>
              <w:rPr/>
            </w:pPr>
            <w:r>
              <w:rPr/>
              <w:t>  </w:t>
            </w:r>
          </w:p>
        </w:tc>
        <w:tc>
          <w:tcPr>
            <w:tcW w:w="67" w:type="dxa"/>
            <w:tcBorders/>
            <w:shd w:fill="CCEEFF" w:val="clear"/>
            <w:vAlign w:val="bottom"/>
          </w:tcPr>
          <w:p>
            <w:pPr>
              <w:pStyle w:val="TableContents"/>
              <w:spacing w:before="0" w:after="283"/>
              <w:rPr/>
            </w:pPr>
            <w:r>
              <w:rPr/>
              <w:t> </w:t>
            </w:r>
          </w:p>
        </w:tc>
      </w:tr>
      <w:tr>
        <w:trPr/>
        <w:tc>
          <w:tcPr>
            <w:tcW w:w="4795" w:type="dxa"/>
            <w:tcBorders/>
            <w:shd w:fill="auto" w:val="clear"/>
          </w:tcPr>
          <w:p>
            <w:pPr>
              <w:pStyle w:val="TableContents"/>
              <w:spacing w:before="0" w:after="0"/>
              <w:rPr>
                <w:rFonts w:ascii="Times New Roman" w:hAnsi="Times New Roman"/>
                <w:sz w:val="20"/>
              </w:rPr>
            </w:pPr>
            <w:r>
              <w:rPr>
                <w:rFonts w:ascii="Times New Roman" w:hAnsi="Times New Roman"/>
                <w:sz w:val="20"/>
              </w:rPr>
              <w:t>Short-term investments:</w:t>
            </w:r>
          </w:p>
        </w:tc>
        <w:tc>
          <w:tcPr>
            <w:tcW w:w="32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4795" w:type="dxa"/>
            <w:tcBorders/>
            <w:shd w:fill="CCEEFF" w:val="clear"/>
          </w:tcPr>
          <w:p>
            <w:pPr>
              <w:pStyle w:val="TableContents"/>
              <w:spacing w:before="0" w:after="0"/>
              <w:rPr>
                <w:rFonts w:ascii="Times New Roman" w:hAnsi="Times New Roman"/>
                <w:sz w:val="20"/>
              </w:rPr>
            </w:pPr>
            <w:r>
              <w:rPr>
                <w:rFonts w:ascii="Times New Roman" w:hAnsi="Times New Roman"/>
                <w:sz w:val="20"/>
              </w:rPr>
              <w:t>U.S. government securities</w:t>
            </w:r>
          </w:p>
        </w:tc>
        <w:tc>
          <w:tcPr>
            <w:tcW w:w="32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1,988</w:t>
            </w:r>
          </w:p>
        </w:tc>
        <w:tc>
          <w:tcPr>
            <w:tcW w:w="6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1,988</w:t>
            </w:r>
          </w:p>
        </w:tc>
        <w:tc>
          <w:tcPr>
            <w:tcW w:w="6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r>
      <w:tr>
        <w:trPr/>
        <w:tc>
          <w:tcPr>
            <w:tcW w:w="4795"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65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pBdr>
                <w:top w:val="single" w:sz="2" w:space="1" w:color="000000"/>
              </w:pBdr>
              <w:spacing w:before="0" w:after="0"/>
              <w:rPr/>
            </w:pPr>
            <w:r>
              <w:rPr/>
              <w:t> </w:t>
            </w:r>
          </w:p>
        </w:tc>
        <w:tc>
          <w:tcPr>
            <w:tcW w:w="53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pBdr>
                <w:top w:val="single" w:sz="2" w:space="1" w:color="000000"/>
              </w:pBdr>
              <w:spacing w:before="0" w:after="0"/>
              <w:rPr/>
            </w:pPr>
            <w:r>
              <w:rPr/>
              <w:t> </w:t>
            </w:r>
          </w:p>
        </w:tc>
        <w:tc>
          <w:tcPr>
            <w:tcW w:w="534"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4795"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 measured at fair value</w:t>
            </w:r>
          </w:p>
        </w:tc>
        <w:tc>
          <w:tcPr>
            <w:tcW w:w="32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1" w:type="dxa"/>
            <w:tcBorders/>
            <w:shd w:fill="auto" w:val="clear"/>
            <w:vAlign w:val="bottom"/>
          </w:tcPr>
          <w:p>
            <w:pPr>
              <w:pStyle w:val="TableContents"/>
              <w:spacing w:before="0" w:after="283"/>
              <w:jc w:val="right"/>
              <w:rPr/>
            </w:pPr>
            <w:r>
              <w:rPr/>
              <w:t>2,982</w:t>
            </w:r>
          </w:p>
        </w:tc>
        <w:tc>
          <w:tcPr>
            <w:tcW w:w="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654" w:type="dxa"/>
            <w:tcBorders/>
            <w:shd w:fill="auto" w:val="clear"/>
            <w:vAlign w:val="bottom"/>
          </w:tcPr>
          <w:p>
            <w:pPr>
              <w:pStyle w:val="TableContents"/>
              <w:spacing w:before="0" w:after="283"/>
              <w:jc w:val="right"/>
              <w:rPr/>
            </w:pPr>
            <w:r>
              <w:rPr/>
              <w:t>2,982</w:t>
            </w:r>
          </w:p>
        </w:tc>
        <w:tc>
          <w:tcPr>
            <w:tcW w:w="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53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534" w:type="dxa"/>
            <w:tcBorders/>
            <w:shd w:fill="auto" w:val="clear"/>
            <w:vAlign w:val="bottom"/>
          </w:tcPr>
          <w:p>
            <w:pPr>
              <w:pStyle w:val="TableContents"/>
              <w:spacing w:before="0" w:after="283"/>
              <w:jc w:val="right"/>
              <w:rPr/>
            </w:pPr>
            <w:r>
              <w:rPr/>
              <w:t>  </w:t>
            </w:r>
          </w:p>
        </w:tc>
        <w:tc>
          <w:tcPr>
            <w:tcW w:w="67" w:type="dxa"/>
            <w:tcBorders/>
            <w:shd w:fill="auto" w:val="clear"/>
            <w:vAlign w:val="bottom"/>
          </w:tcPr>
          <w:p>
            <w:pPr>
              <w:pStyle w:val="TableContents"/>
              <w:spacing w:before="0" w:after="283"/>
              <w:rPr/>
            </w:pPr>
            <w:r>
              <w:rPr/>
              <w:t> </w:t>
            </w:r>
          </w:p>
        </w:tc>
      </w:tr>
      <w:tr>
        <w:trPr/>
        <w:tc>
          <w:tcPr>
            <w:tcW w:w="4795"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6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0"/>
              <w:rPr/>
            </w:pPr>
            <w:r>
              <w:rPr/>
              <w:t> </w:t>
            </w:r>
          </w:p>
        </w:tc>
        <w:tc>
          <w:tcPr>
            <w:tcW w:w="65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pBdr>
                <w:top w:val="double" w:sz="6" w:space="1" w:color="000000"/>
              </w:pBdr>
              <w:spacing w:before="0" w:after="0"/>
              <w:rPr/>
            </w:pPr>
            <w:r>
              <w:rPr/>
              <w:t> </w:t>
            </w:r>
          </w:p>
        </w:tc>
        <w:tc>
          <w:tcPr>
            <w:tcW w:w="53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pBdr>
                <w:top w:val="double" w:sz="6" w:space="1" w:color="000000"/>
              </w:pBdr>
              <w:spacing w:before="0" w:after="0"/>
              <w:rPr/>
            </w:pPr>
            <w:r>
              <w:rPr/>
              <w:t> </w:t>
            </w:r>
          </w:p>
        </w:tc>
        <w:tc>
          <w:tcPr>
            <w:tcW w:w="534" w:type="dxa"/>
            <w:tcBorders/>
            <w:shd w:fill="auto" w:val="clear"/>
            <w:vAlign w:val="bottom"/>
          </w:tcPr>
          <w:p>
            <w:pPr>
              <w:pStyle w:val="TableContents"/>
              <w:pBdr>
                <w:top w:val="double" w:sz="6"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U.S. government securities are valued based on the quoted market yield and are classified within Level 1. Our investment in shares of affiliate stock is valued based on quoted prices in active markets and are classified within Level 1. There are no Level 2 or Level 3 instruments during the years ended or as of December 31, 2020 and 2019. </w:t>
      </w:r>
    </w:p>
    <w:p>
      <w:pPr>
        <w:pStyle w:val="TextBody"/>
        <w:spacing w:before="240" w:after="0"/>
        <w:jc w:val="left"/>
        <w:rPr>
          <w:rFonts w:ascii="Times New Roman" w:hAnsi="Times New Roman"/>
          <w:sz w:val="20"/>
        </w:rPr>
      </w:pPr>
      <w:r>
        <w:rPr>
          <w:rFonts w:ascii="Times New Roman" w:hAnsi="Times New Roman"/>
          <w:sz w:val="20"/>
        </w:rPr>
        <w:t xml:space="preserve">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balance of deposits with clearinghouse affiliate not invested in U.S. government securities are in the form of cash, and therefore approximate fair value. During the year ended December 31, 2020, the Company also adjusted internal-use software and software licenses to fair value when impairment charges were recognized, which were on a non-recurring basis and based on Level 3 inputs. As of December 31, 2019, the Company did not measure any assets or liabilities at fair value on a non-recurring basis.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14.</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Leases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was not party to any leasing arrangements as of January 1, 2019. As a result of the Companys acquisition of Bakkt Clearing on February 8, 2019, the Company assumed an operating lease for office facilities previously held by the former owners of Bakkt Clearing. This lease agreement was subsequently cancelled, and the rental expense related to the cancellation of this operating lease was $525,000 for the year ended December 31, 2019. </w:t>
      </w:r>
    </w:p>
    <w:p>
      <w:pPr>
        <w:pStyle w:val="TextBody"/>
        <w:spacing w:before="240" w:after="0"/>
        <w:jc w:val="left"/>
        <w:rPr>
          <w:rFonts w:ascii="Times New Roman" w:hAnsi="Times New Roman"/>
          <w:sz w:val="20"/>
        </w:rPr>
      </w:pPr>
      <w:r>
        <w:rPr>
          <w:rFonts w:ascii="Times New Roman" w:hAnsi="Times New Roman"/>
          <w:sz w:val="20"/>
        </w:rPr>
        <w:t xml:space="preserve">The Company also assumed operating and finance leases as a result of its acquisition of Bridge2 Solutions on February 21, 2020. These leases relate to leased office facilities under the terms of various operating leases expiring through 2023. Several of these leases include escalation clauses for adjusting rentals. The Company leases real estate for office space under operating leases, and office equipment under finance leases. </w:t>
      </w:r>
    </w:p>
    <w:p>
      <w:pPr>
        <w:pStyle w:val="TextBody"/>
        <w:spacing w:before="240" w:after="0"/>
        <w:jc w:val="left"/>
        <w:rPr>
          <w:rFonts w:ascii="Times New Roman" w:hAnsi="Times New Roman"/>
          <w:sz w:val="20"/>
        </w:rPr>
      </w:pPr>
      <w:r>
        <w:rPr>
          <w:rFonts w:ascii="Times New Roman" w:hAnsi="Times New Roman"/>
          <w:sz w:val="20"/>
        </w:rPr>
        <w:t xml:space="preserve">The Companys real estate leases have remaining lease terms as at December 31, 2020 ranging from 10 months to 28 months, with no option to extend or terminate the lease without cause at the option of either party during the lease term. Certain equipment leases contain options to purchase the asset at the fair market value, available with the Company.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F-57</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Certain of 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 </w:t>
      </w:r>
    </w:p>
    <w:p>
      <w:pPr>
        <w:pStyle w:val="TextBody"/>
        <w:spacing w:before="240" w:after="0"/>
        <w:jc w:val="left"/>
        <w:rPr>
          <w:rFonts w:ascii="Times New Roman" w:hAnsi="Times New Roman"/>
          <w:sz w:val="20"/>
        </w:rPr>
      </w:pPr>
      <w:r>
        <w:rPr>
          <w:rFonts w:ascii="Times New Roman" w:hAnsi="Times New Roman"/>
          <w:sz w:val="20"/>
        </w:rPr>
        <w:t xml:space="preserve">The weighted-average discount rate for all of the Companys leases is based on the Companys incremental borrowing rate since the rates implicit in the leases were not determinable. The Companys incremental borrowing rate is based on managements estimate of the rate of interest the Company would have to pay to borrow on a fully collateralized basis over a similar term an amount equal to the lease payments in a similar economic environment. </w:t>
      </w:r>
    </w:p>
    <w:p>
      <w:pPr>
        <w:pStyle w:val="TextBody"/>
        <w:spacing w:before="240" w:after="0"/>
        <w:jc w:val="left"/>
        <w:rPr>
          <w:rFonts w:ascii="Times New Roman" w:hAnsi="Times New Roman"/>
          <w:sz w:val="20"/>
        </w:rPr>
      </w:pPr>
      <w:r>
        <w:rPr>
          <w:rFonts w:ascii="Times New Roman" w:hAnsi="Times New Roman"/>
          <w:sz w:val="20"/>
        </w:rPr>
        <w:t xml:space="preserve">The Company has elected the practical expedient under which lease components would not be separated from the non-lease components for all its classes of underlying assets. Accordingly, each lease component and the non-lease components related to the lease component are accounted for as a single lease component. </w:t>
      </w:r>
    </w:p>
    <w:p>
      <w:pPr>
        <w:pStyle w:val="TextBody"/>
        <w:spacing w:before="0" w:after="0"/>
        <w:jc w:val="left"/>
        <w:rPr>
          <w:rFonts w:ascii="Times New Roman" w:hAnsi="Times New Roman"/>
          <w:sz w:val="20"/>
        </w:rPr>
      </w:pPr>
      <w:r>
        <w:rPr>
          <w:rFonts w:ascii="Times New Roman" w:hAnsi="Times New Roman"/>
          <w:sz w:val="20"/>
        </w:rPr>
        <w:t xml:space="preserve">The components of total lease expense are as follows (in thousands):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304"/>
        <w:gridCol w:w="413"/>
        <w:gridCol w:w="274"/>
        <w:gridCol w:w="1097"/>
        <w:gridCol w:w="111"/>
        <w:gridCol w:w="503"/>
        <w:gridCol w:w="274"/>
        <w:gridCol w:w="714"/>
        <w:gridCol w:w="65"/>
      </w:tblGrid>
      <w:tr>
        <w:trPr/>
        <w:tc>
          <w:tcPr>
            <w:tcW w:w="430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3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97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65" w:type="dxa"/>
            <w:tcBorders/>
            <w:shd w:fill="auto" w:val="clear"/>
            <w:vAlign w:val="bottom"/>
          </w:tcPr>
          <w:p>
            <w:pPr>
              <w:pStyle w:val="TableContents"/>
              <w:spacing w:before="0" w:after="283"/>
              <w:rPr/>
            </w:pPr>
            <w:r>
              <w:rPr/>
              <w:t> </w:t>
            </w:r>
          </w:p>
        </w:tc>
      </w:tr>
      <w:tr>
        <w:trPr/>
        <w:tc>
          <w:tcPr>
            <w:tcW w:w="43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11"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9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5" w:type="dxa"/>
            <w:tcBorders/>
            <w:shd w:fill="auto" w:val="clear"/>
            <w:vAlign w:val="bottom"/>
          </w:tcPr>
          <w:p>
            <w:pPr>
              <w:pStyle w:val="TableContents"/>
              <w:spacing w:before="0" w:after="283"/>
              <w:rPr/>
            </w:pPr>
            <w:r>
              <w:rPr/>
              <w:t> </w:t>
            </w:r>
          </w:p>
        </w:tc>
      </w:tr>
      <w:tr>
        <w:trPr/>
        <w:tc>
          <w:tcPr>
            <w:tcW w:w="4304" w:type="dxa"/>
            <w:tcBorders/>
            <w:shd w:fill="CCEEFF" w:val="clear"/>
          </w:tcPr>
          <w:p>
            <w:pPr>
              <w:pStyle w:val="TableContents"/>
              <w:spacing w:before="0" w:after="0"/>
              <w:rPr>
                <w:rFonts w:ascii="Times New Roman" w:hAnsi="Times New Roman"/>
                <w:sz w:val="20"/>
              </w:rPr>
            </w:pPr>
            <w:r>
              <w:rPr>
                <w:rFonts w:ascii="Times New Roman" w:hAnsi="Times New Roman"/>
                <w:sz w:val="20"/>
              </w:rPr>
              <w:t>Finance lease cost</w:t>
            </w:r>
          </w:p>
        </w:tc>
        <w:tc>
          <w:tcPr>
            <w:tcW w:w="41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sz w:val="4"/>
                <w:szCs w:val="4"/>
              </w:rPr>
            </w:pPr>
            <w:r>
              <w:rPr>
                <w:sz w:val="4"/>
                <w:szCs w:val="4"/>
              </w:rPr>
            </w:r>
          </w:p>
        </w:tc>
        <w:tc>
          <w:tcPr>
            <w:tcW w:w="1097" w:type="dxa"/>
            <w:tcBorders/>
            <w:shd w:fill="CCEEFF" w:val="clear"/>
            <w:vAlign w:val="bottom"/>
          </w:tcPr>
          <w:p>
            <w:pPr>
              <w:pStyle w:val="TableContents"/>
              <w:spacing w:before="0" w:after="283"/>
              <w:rPr>
                <w:sz w:val="4"/>
                <w:szCs w:val="4"/>
              </w:rPr>
            </w:pPr>
            <w:r>
              <w:rPr>
                <w:sz w:val="4"/>
                <w:szCs w:val="4"/>
              </w:rPr>
            </w:r>
          </w:p>
        </w:tc>
        <w:tc>
          <w:tcPr>
            <w:tcW w:w="111"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304" w:type="dxa"/>
            <w:tcBorders/>
            <w:shd w:fill="auto" w:val="clear"/>
          </w:tcPr>
          <w:p>
            <w:pPr>
              <w:pStyle w:val="TableContents"/>
              <w:spacing w:before="0" w:after="0"/>
              <w:rPr>
                <w:rFonts w:ascii="Times New Roman" w:hAnsi="Times New Roman"/>
                <w:sz w:val="20"/>
              </w:rPr>
            </w:pPr>
            <w:r>
              <w:rPr>
                <w:rFonts w:ascii="Times New Roman" w:hAnsi="Times New Roman"/>
                <w:sz w:val="20"/>
              </w:rPr>
              <w:t>Amortization of right-of-use assets</w:t>
            </w:r>
          </w:p>
        </w:tc>
        <w:tc>
          <w:tcPr>
            <w:tcW w:w="41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w:t>
            </w:r>
          </w:p>
        </w:tc>
        <w:tc>
          <w:tcPr>
            <w:tcW w:w="1097" w:type="dxa"/>
            <w:tcBorders/>
            <w:shd w:fill="auto" w:val="clear"/>
            <w:vAlign w:val="bottom"/>
          </w:tcPr>
          <w:p>
            <w:pPr>
              <w:pStyle w:val="TableContents"/>
              <w:spacing w:before="0" w:after="283"/>
              <w:jc w:val="right"/>
              <w:rPr/>
            </w:pPr>
            <w:r>
              <w:rPr/>
              <w:t>185</w:t>
            </w:r>
          </w:p>
        </w:tc>
        <w:tc>
          <w:tcPr>
            <w:tcW w:w="111"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w:t>
            </w:r>
          </w:p>
        </w:tc>
        <w:tc>
          <w:tcPr>
            <w:tcW w:w="714"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4304" w:type="dxa"/>
            <w:tcBorders/>
            <w:shd w:fill="CCEEFF" w:val="clear"/>
          </w:tcPr>
          <w:p>
            <w:pPr>
              <w:pStyle w:val="TableContents"/>
              <w:spacing w:before="0" w:after="0"/>
              <w:rPr>
                <w:rFonts w:ascii="Times New Roman" w:hAnsi="Times New Roman"/>
                <w:sz w:val="20"/>
              </w:rPr>
            </w:pPr>
            <w:r>
              <w:rPr>
                <w:rFonts w:ascii="Times New Roman" w:hAnsi="Times New Roman"/>
                <w:sz w:val="20"/>
              </w:rPr>
              <w:t>Interest on lease liabilities</w:t>
            </w:r>
          </w:p>
        </w:tc>
        <w:tc>
          <w:tcPr>
            <w:tcW w:w="41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44</w:t>
            </w:r>
          </w:p>
        </w:tc>
        <w:tc>
          <w:tcPr>
            <w:tcW w:w="111"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4304"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cost</w:t>
            </w:r>
          </w:p>
        </w:tc>
        <w:tc>
          <w:tcPr>
            <w:tcW w:w="41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984</w:t>
            </w:r>
          </w:p>
        </w:tc>
        <w:tc>
          <w:tcPr>
            <w:tcW w:w="111"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525</w:t>
            </w:r>
          </w:p>
        </w:tc>
        <w:tc>
          <w:tcPr>
            <w:tcW w:w="65" w:type="dxa"/>
            <w:tcBorders/>
            <w:shd w:fill="auto" w:val="clear"/>
            <w:vAlign w:val="bottom"/>
          </w:tcPr>
          <w:p>
            <w:pPr>
              <w:pStyle w:val="TableContents"/>
              <w:spacing w:before="0" w:after="283"/>
              <w:rPr/>
            </w:pPr>
            <w:r>
              <w:rPr/>
              <w:t> </w:t>
            </w:r>
          </w:p>
        </w:tc>
      </w:tr>
      <w:tr>
        <w:trPr/>
        <w:tc>
          <w:tcPr>
            <w:tcW w:w="4304" w:type="dxa"/>
            <w:tcBorders/>
            <w:shd w:fill="CCEEFF" w:val="clear"/>
          </w:tcPr>
          <w:p>
            <w:pPr>
              <w:pStyle w:val="TableContents"/>
              <w:spacing w:before="0" w:after="0"/>
              <w:rPr>
                <w:rFonts w:ascii="Times New Roman" w:hAnsi="Times New Roman"/>
                <w:sz w:val="20"/>
              </w:rPr>
            </w:pPr>
            <w:r>
              <w:rPr>
                <w:rFonts w:ascii="Times New Roman" w:hAnsi="Times New Roman"/>
                <w:sz w:val="20"/>
              </w:rPr>
              <w:t>Variable lease cost</w:t>
            </w:r>
          </w:p>
        </w:tc>
        <w:tc>
          <w:tcPr>
            <w:tcW w:w="41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63</w:t>
            </w:r>
          </w:p>
        </w:tc>
        <w:tc>
          <w:tcPr>
            <w:tcW w:w="111"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43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11"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71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304" w:type="dxa"/>
            <w:tcBorders/>
            <w:shd w:fill="auto" w:val="clear"/>
          </w:tcPr>
          <w:p>
            <w:pPr>
              <w:pStyle w:val="TableContents"/>
              <w:spacing w:before="0" w:after="0"/>
              <w:rPr>
                <w:rFonts w:ascii="Times New Roman" w:hAnsi="Times New Roman"/>
                <w:sz w:val="20"/>
              </w:rPr>
            </w:pPr>
            <w:r>
              <w:rPr>
                <w:rFonts w:ascii="Times New Roman" w:hAnsi="Times New Roman"/>
                <w:sz w:val="20"/>
              </w:rPr>
              <w:t>Total lease cost</w:t>
            </w:r>
          </w:p>
        </w:tc>
        <w:tc>
          <w:tcPr>
            <w:tcW w:w="41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w:t>
            </w:r>
          </w:p>
        </w:tc>
        <w:tc>
          <w:tcPr>
            <w:tcW w:w="1097" w:type="dxa"/>
            <w:tcBorders/>
            <w:shd w:fill="auto" w:val="clear"/>
            <w:vAlign w:val="bottom"/>
          </w:tcPr>
          <w:p>
            <w:pPr>
              <w:pStyle w:val="TableContents"/>
              <w:spacing w:before="0" w:after="283"/>
              <w:jc w:val="right"/>
              <w:rPr/>
            </w:pPr>
            <w:r>
              <w:rPr/>
              <w:t>1,276</w:t>
            </w:r>
          </w:p>
        </w:tc>
        <w:tc>
          <w:tcPr>
            <w:tcW w:w="111"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w:t>
            </w:r>
          </w:p>
        </w:tc>
        <w:tc>
          <w:tcPr>
            <w:tcW w:w="714" w:type="dxa"/>
            <w:tcBorders/>
            <w:shd w:fill="auto" w:val="clear"/>
            <w:vAlign w:val="bottom"/>
          </w:tcPr>
          <w:p>
            <w:pPr>
              <w:pStyle w:val="TableContents"/>
              <w:spacing w:before="0" w:after="283"/>
              <w:jc w:val="right"/>
              <w:rPr/>
            </w:pPr>
            <w:r>
              <w:rPr/>
              <w:t>525</w:t>
            </w:r>
          </w:p>
        </w:tc>
        <w:tc>
          <w:tcPr>
            <w:tcW w:w="65" w:type="dxa"/>
            <w:tcBorders/>
            <w:shd w:fill="auto" w:val="clear"/>
            <w:vAlign w:val="bottom"/>
          </w:tcPr>
          <w:p>
            <w:pPr>
              <w:pStyle w:val="TableContents"/>
              <w:spacing w:before="0" w:after="283"/>
              <w:rPr/>
            </w:pPr>
            <w:r>
              <w:rPr/>
              <w:t> </w:t>
            </w:r>
          </w:p>
        </w:tc>
      </w:tr>
      <w:tr>
        <w:trPr/>
        <w:tc>
          <w:tcPr>
            <w:tcW w:w="43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11"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71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short-term lease cost disclosed above reasonably reflects the Companys ongoing short-term lease commitments.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617"/>
        <w:gridCol w:w="363"/>
        <w:gridCol w:w="230"/>
        <w:gridCol w:w="944"/>
        <w:gridCol w:w="452"/>
        <w:gridCol w:w="314"/>
        <w:gridCol w:w="230"/>
        <w:gridCol w:w="729"/>
        <w:gridCol w:w="275"/>
        <w:gridCol w:w="278"/>
        <w:gridCol w:w="284"/>
        <w:gridCol w:w="771"/>
        <w:gridCol w:w="563"/>
        <w:gridCol w:w="336"/>
        <w:gridCol w:w="283"/>
        <w:gridCol w:w="652"/>
        <w:gridCol w:w="67"/>
      </w:tblGrid>
      <w:tr>
        <w:trPr/>
        <w:tc>
          <w:tcPr>
            <w:tcW w:w="261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61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89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br/>
              <w:t>2020</w:t>
            </w:r>
          </w:p>
        </w:tc>
        <w:tc>
          <w:tcPr>
            <w:tcW w:w="2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88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br/>
              <w:t>2019</w:t>
            </w:r>
          </w:p>
        </w:tc>
        <w:tc>
          <w:tcPr>
            <w:tcW w:w="67" w:type="dxa"/>
            <w:tcBorders/>
            <w:shd w:fill="auto" w:val="clear"/>
            <w:vAlign w:val="bottom"/>
          </w:tcPr>
          <w:p>
            <w:pPr>
              <w:pStyle w:val="TableContents"/>
              <w:spacing w:before="0" w:after="283"/>
              <w:rPr/>
            </w:pPr>
            <w:r>
              <w:rPr/>
              <w:t> </w:t>
            </w:r>
          </w:p>
        </w:tc>
      </w:tr>
      <w:tr>
        <w:trPr/>
        <w:tc>
          <w:tcPr>
            <w:tcW w:w="261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Operating</w:t>
              <w:br/>
              <w:t>leases</w:t>
            </w:r>
          </w:p>
        </w:tc>
        <w:tc>
          <w:tcPr>
            <w:tcW w:w="452"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Finance</w:t>
              <w:br/>
              <w:t>leases</w:t>
            </w:r>
          </w:p>
        </w:tc>
        <w:tc>
          <w:tcPr>
            <w:tcW w:w="2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Operating</w:t>
              <w:br/>
              <w:t>leases</w:t>
            </w:r>
          </w:p>
        </w:tc>
        <w:tc>
          <w:tcPr>
            <w:tcW w:w="56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Finance</w:t>
              <w:br/>
              <w:t>leases</w:t>
            </w:r>
          </w:p>
        </w:tc>
        <w:tc>
          <w:tcPr>
            <w:tcW w:w="67" w:type="dxa"/>
            <w:tcBorders/>
            <w:shd w:fill="auto" w:val="clear"/>
            <w:vAlign w:val="bottom"/>
          </w:tcPr>
          <w:p>
            <w:pPr>
              <w:pStyle w:val="TableContents"/>
              <w:spacing w:before="0" w:after="283"/>
              <w:rPr/>
            </w:pPr>
            <w:r>
              <w:rPr/>
              <w:t> </w:t>
            </w:r>
          </w:p>
        </w:tc>
      </w:tr>
      <w:tr>
        <w:trPr/>
        <w:tc>
          <w:tcPr>
            <w:tcW w:w="2617" w:type="dxa"/>
            <w:tcBorders/>
            <w:shd w:fill="CCEEFF" w:val="clear"/>
          </w:tcPr>
          <w:p>
            <w:pPr>
              <w:pStyle w:val="TableContents"/>
              <w:spacing w:before="0" w:after="0"/>
              <w:rPr>
                <w:rFonts w:ascii="Times New Roman" w:hAnsi="Times New Roman"/>
                <w:sz w:val="20"/>
              </w:rPr>
            </w:pPr>
            <w:r>
              <w:rPr>
                <w:rFonts w:ascii="Times New Roman" w:hAnsi="Times New Roman"/>
                <w:sz w:val="20"/>
              </w:rPr>
              <w:t>Cash paid for amounts included in the measurement of lease liabilities</w:t>
            </w:r>
          </w:p>
        </w:tc>
        <w:tc>
          <w:tcPr>
            <w:tcW w:w="36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944"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sz w:val="4"/>
                <w:szCs w:val="4"/>
              </w:rPr>
            </w:pPr>
            <w:r>
              <w:rPr>
                <w:sz w:val="4"/>
                <w:szCs w:val="4"/>
              </w:rPr>
            </w:r>
          </w:p>
        </w:tc>
        <w:tc>
          <w:tcPr>
            <w:tcW w:w="771"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2617" w:type="dxa"/>
            <w:tcBorders/>
            <w:shd w:fill="auto" w:val="clear"/>
          </w:tcPr>
          <w:p>
            <w:pPr>
              <w:pStyle w:val="TableContents"/>
              <w:spacing w:before="0" w:after="0"/>
              <w:rPr>
                <w:rFonts w:ascii="Times New Roman" w:hAnsi="Times New Roman"/>
                <w:sz w:val="20"/>
              </w:rPr>
            </w:pPr>
            <w:r>
              <w:rPr>
                <w:rFonts w:ascii="Times New Roman" w:hAnsi="Times New Roman"/>
                <w:sz w:val="20"/>
              </w:rPr>
              <w:t>Cash flow from financing activities</w:t>
            </w:r>
          </w:p>
        </w:tc>
        <w:tc>
          <w:tcPr>
            <w:tcW w:w="36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944" w:type="dxa"/>
            <w:tcBorders/>
            <w:shd w:fill="auto" w:val="clear"/>
            <w:vAlign w:val="bottom"/>
          </w:tcPr>
          <w:p>
            <w:pPr>
              <w:pStyle w:val="TableContents"/>
              <w:spacing w:before="0" w:after="283"/>
              <w:jc w:val="right"/>
              <w:rPr/>
            </w:pPr>
            <w:r>
              <w:rPr/>
              <w:t>  </w:t>
            </w:r>
          </w:p>
        </w:tc>
        <w:tc>
          <w:tcPr>
            <w:tcW w:w="452"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729" w:type="dxa"/>
            <w:tcBorders/>
            <w:shd w:fill="auto" w:val="clear"/>
            <w:vAlign w:val="bottom"/>
          </w:tcPr>
          <w:p>
            <w:pPr>
              <w:pStyle w:val="TableContents"/>
              <w:spacing w:before="0" w:after="283"/>
              <w:jc w:val="right"/>
              <w:rPr/>
            </w:pPr>
            <w:r>
              <w:rPr/>
              <w:t>313</w:t>
            </w:r>
          </w:p>
        </w:tc>
        <w:tc>
          <w:tcPr>
            <w:tcW w:w="2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w:t>
            </w:r>
          </w:p>
        </w:tc>
        <w:tc>
          <w:tcPr>
            <w:tcW w:w="771"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652" w:type="dxa"/>
            <w:tcBorders/>
            <w:shd w:fill="auto" w:val="clear"/>
            <w:vAlign w:val="bottom"/>
          </w:tcPr>
          <w:p>
            <w:pPr>
              <w:pStyle w:val="TableContents"/>
              <w:spacing w:before="0" w:after="283"/>
              <w:jc w:val="right"/>
              <w:rPr/>
            </w:pPr>
            <w:r>
              <w:rPr/>
              <w:t>  </w:t>
            </w:r>
          </w:p>
        </w:tc>
        <w:tc>
          <w:tcPr>
            <w:tcW w:w="67" w:type="dxa"/>
            <w:tcBorders/>
            <w:shd w:fill="auto" w:val="clear"/>
            <w:vAlign w:val="bottom"/>
          </w:tcPr>
          <w:p>
            <w:pPr>
              <w:pStyle w:val="TableContents"/>
              <w:spacing w:before="0" w:after="283"/>
              <w:rPr/>
            </w:pPr>
            <w:r>
              <w:rPr/>
              <w:t> </w:t>
            </w:r>
          </w:p>
        </w:tc>
      </w:tr>
      <w:tr>
        <w:trPr/>
        <w:tc>
          <w:tcPr>
            <w:tcW w:w="2617" w:type="dxa"/>
            <w:tcBorders/>
            <w:shd w:fill="CCEEFF" w:val="clear"/>
          </w:tcPr>
          <w:p>
            <w:pPr>
              <w:pStyle w:val="TableContents"/>
              <w:spacing w:before="0" w:after="0"/>
              <w:rPr>
                <w:rFonts w:ascii="Times New Roman" w:hAnsi="Times New Roman"/>
                <w:sz w:val="20"/>
              </w:rPr>
            </w:pPr>
            <w:r>
              <w:rPr>
                <w:rFonts w:ascii="Times New Roman" w:hAnsi="Times New Roman"/>
                <w:sz w:val="20"/>
              </w:rPr>
              <w:t>Cash flow from operating activities</w:t>
            </w:r>
          </w:p>
        </w:tc>
        <w:tc>
          <w:tcPr>
            <w:tcW w:w="36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944" w:type="dxa"/>
            <w:tcBorders/>
            <w:shd w:fill="CCEEFF" w:val="clear"/>
            <w:vAlign w:val="bottom"/>
          </w:tcPr>
          <w:p>
            <w:pPr>
              <w:pStyle w:val="TableContents"/>
              <w:spacing w:before="0" w:after="283"/>
              <w:jc w:val="right"/>
              <w:rPr/>
            </w:pPr>
            <w:r>
              <w:rPr/>
              <w:t>1,126</w:t>
            </w:r>
          </w:p>
        </w:tc>
        <w:tc>
          <w:tcPr>
            <w:tcW w:w="452"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729" w:type="dxa"/>
            <w:tcBorders/>
            <w:shd w:fill="CCEEFF" w:val="clear"/>
            <w:vAlign w:val="bottom"/>
          </w:tcPr>
          <w:p>
            <w:pPr>
              <w:pStyle w:val="TableContents"/>
              <w:spacing w:before="0" w:after="283"/>
              <w:jc w:val="right"/>
              <w:rPr/>
            </w:pPr>
            <w:r>
              <w:rPr/>
              <w:t>44</w:t>
            </w:r>
          </w:p>
        </w:tc>
        <w:tc>
          <w:tcPr>
            <w:tcW w:w="2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w:t>
            </w:r>
          </w:p>
        </w:tc>
        <w:tc>
          <w:tcPr>
            <w:tcW w:w="771" w:type="dxa"/>
            <w:tcBorders/>
            <w:shd w:fill="CCEEFF" w:val="clear"/>
            <w:vAlign w:val="bottom"/>
          </w:tcPr>
          <w:p>
            <w:pPr>
              <w:pStyle w:val="TableContents"/>
              <w:spacing w:before="0" w:after="283"/>
              <w:jc w:val="right"/>
              <w:rPr/>
            </w:pPr>
            <w:r>
              <w:rPr/>
              <w:t>525</w:t>
            </w:r>
          </w:p>
        </w:tc>
        <w:tc>
          <w:tcPr>
            <w:tcW w:w="56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652" w:type="dxa"/>
            <w:tcBorders/>
            <w:shd w:fill="CCEEFF" w:val="clear"/>
            <w:vAlign w:val="bottom"/>
          </w:tcPr>
          <w:p>
            <w:pPr>
              <w:pStyle w:val="TableContents"/>
              <w:spacing w:before="0" w:after="283"/>
              <w:jc w:val="right"/>
              <w:rPr/>
            </w:pPr>
            <w:r>
              <w:rPr/>
              <w:t>  </w:t>
            </w:r>
          </w:p>
        </w:tc>
        <w:tc>
          <w:tcPr>
            <w:tcW w:w="67" w:type="dxa"/>
            <w:tcBorders/>
            <w:shd w:fill="CCEEFF" w:val="clear"/>
            <w:vAlign w:val="bottom"/>
          </w:tcPr>
          <w:p>
            <w:pPr>
              <w:pStyle w:val="TableContents"/>
              <w:spacing w:before="0" w:after="283"/>
              <w:rPr/>
            </w:pPr>
            <w:r>
              <w:rPr/>
              <w:t> </w:t>
            </w:r>
          </w:p>
        </w:tc>
      </w:tr>
      <w:tr>
        <w:trPr/>
        <w:tc>
          <w:tcPr>
            <w:tcW w:w="2617" w:type="dxa"/>
            <w:tcBorders/>
            <w:shd w:fill="auto" w:val="clear"/>
          </w:tcPr>
          <w:p>
            <w:pPr>
              <w:pStyle w:val="TableContents"/>
              <w:spacing w:before="0" w:after="0"/>
              <w:rPr>
                <w:rFonts w:ascii="Times New Roman" w:hAnsi="Times New Roman"/>
                <w:sz w:val="20"/>
              </w:rPr>
            </w:pPr>
            <w:r>
              <w:rPr>
                <w:rFonts w:ascii="Times New Roman" w:hAnsi="Times New Roman"/>
                <w:sz w:val="20"/>
              </w:rPr>
              <w:t>Supplemental non-cash information on lease liabilities arising from obtaining right-of-use assets</w:t>
            </w:r>
          </w:p>
        </w:tc>
        <w:tc>
          <w:tcPr>
            <w:tcW w:w="36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944" w:type="dxa"/>
            <w:tcBorders/>
            <w:shd w:fill="auto" w:val="clear"/>
            <w:vAlign w:val="bottom"/>
          </w:tcPr>
          <w:p>
            <w:pPr>
              <w:pStyle w:val="TableContents"/>
              <w:spacing w:before="0" w:after="283"/>
              <w:jc w:val="right"/>
              <w:rPr/>
            </w:pPr>
            <w:r>
              <w:rPr/>
              <w:t>2,991</w:t>
            </w:r>
          </w:p>
        </w:tc>
        <w:tc>
          <w:tcPr>
            <w:tcW w:w="452"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729" w:type="dxa"/>
            <w:tcBorders/>
            <w:shd w:fill="auto" w:val="clear"/>
            <w:vAlign w:val="bottom"/>
          </w:tcPr>
          <w:p>
            <w:pPr>
              <w:pStyle w:val="TableContents"/>
              <w:spacing w:before="0" w:after="283"/>
              <w:jc w:val="right"/>
              <w:rPr/>
            </w:pPr>
            <w:r>
              <w:rPr/>
              <w:t>786</w:t>
            </w:r>
          </w:p>
        </w:tc>
        <w:tc>
          <w:tcPr>
            <w:tcW w:w="2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w:t>
            </w:r>
          </w:p>
        </w:tc>
        <w:tc>
          <w:tcPr>
            <w:tcW w:w="771"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652" w:type="dxa"/>
            <w:tcBorders/>
            <w:shd w:fill="auto" w:val="clear"/>
            <w:vAlign w:val="bottom"/>
          </w:tcPr>
          <w:p>
            <w:pPr>
              <w:pStyle w:val="TableContents"/>
              <w:spacing w:before="0" w:after="283"/>
              <w:jc w:val="right"/>
              <w:rPr/>
            </w:pPr>
            <w:r>
              <w:rPr/>
              <w:t>  </w:t>
            </w:r>
          </w:p>
        </w:tc>
        <w:tc>
          <w:tcPr>
            <w:tcW w:w="67" w:type="dxa"/>
            <w:tcBorders/>
            <w:shd w:fill="auto" w:val="clear"/>
            <w:vAlign w:val="bottom"/>
          </w:tcPr>
          <w:p>
            <w:pPr>
              <w:pStyle w:val="TableContents"/>
              <w:spacing w:before="0" w:after="283"/>
              <w:rPr/>
            </w:pPr>
            <w:r>
              <w:rPr/>
              <w:t> </w:t>
            </w:r>
          </w:p>
        </w:tc>
      </w:tr>
      <w:tr>
        <w:trPr/>
        <w:tc>
          <w:tcPr>
            <w:tcW w:w="2617" w:type="dxa"/>
            <w:tcBorders/>
            <w:shd w:fill="CCEEFF" w:val="clear"/>
          </w:tcPr>
          <w:p>
            <w:pPr>
              <w:pStyle w:val="TableContents"/>
              <w:spacing w:before="0" w:after="0"/>
              <w:rPr>
                <w:rFonts w:ascii="Times New Roman" w:hAnsi="Times New Roman"/>
                <w:sz w:val="20"/>
              </w:rPr>
            </w:pPr>
            <w:r>
              <w:rPr>
                <w:rFonts w:ascii="Times New Roman" w:hAnsi="Times New Roman"/>
                <w:sz w:val="20"/>
              </w:rPr>
              <w:t>Weighted average remaining lease term (in months)</w:t>
            </w:r>
          </w:p>
        </w:tc>
        <w:tc>
          <w:tcPr>
            <w:tcW w:w="36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24.6</w:t>
            </w:r>
          </w:p>
        </w:tc>
        <w:tc>
          <w:tcPr>
            <w:tcW w:w="452"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pPr>
            <w:r>
              <w:rPr/>
              <w:t>41.0</w:t>
            </w:r>
          </w:p>
        </w:tc>
        <w:tc>
          <w:tcPr>
            <w:tcW w:w="2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pPr>
            <w:r>
              <w:rPr/>
              <w:t>  </w:t>
            </w:r>
          </w:p>
        </w:tc>
        <w:tc>
          <w:tcPr>
            <w:tcW w:w="56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  </w:t>
            </w:r>
          </w:p>
        </w:tc>
        <w:tc>
          <w:tcPr>
            <w:tcW w:w="67" w:type="dxa"/>
            <w:tcBorders/>
            <w:shd w:fill="CCEEFF" w:val="clear"/>
            <w:vAlign w:val="bottom"/>
          </w:tcPr>
          <w:p>
            <w:pPr>
              <w:pStyle w:val="TableContents"/>
              <w:spacing w:before="0" w:after="283"/>
              <w:rPr/>
            </w:pPr>
            <w:r>
              <w:rPr/>
              <w:t> </w:t>
            </w:r>
          </w:p>
        </w:tc>
      </w:tr>
      <w:tr>
        <w:trPr/>
        <w:tc>
          <w:tcPr>
            <w:tcW w:w="2617" w:type="dxa"/>
            <w:tcBorders/>
            <w:shd w:fill="auto" w:val="clear"/>
          </w:tcPr>
          <w:p>
            <w:pPr>
              <w:pStyle w:val="TableContents"/>
              <w:spacing w:before="0" w:after="0"/>
              <w:rPr>
                <w:rFonts w:ascii="Times New Roman" w:hAnsi="Times New Roman"/>
                <w:sz w:val="20"/>
              </w:rPr>
            </w:pPr>
            <w:r>
              <w:rPr>
                <w:rFonts w:ascii="Times New Roman" w:hAnsi="Times New Roman"/>
                <w:sz w:val="20"/>
              </w:rPr>
              <w:t>Weighted average discount rate</w:t>
            </w:r>
          </w:p>
        </w:tc>
        <w:tc>
          <w:tcPr>
            <w:tcW w:w="36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2.0</w:t>
            </w:r>
          </w:p>
        </w:tc>
        <w:tc>
          <w:tcPr>
            <w:tcW w:w="452"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pPr>
            <w:r>
              <w:rPr/>
              <w:t>7.6</w:t>
            </w:r>
          </w:p>
        </w:tc>
        <w:tc>
          <w:tcPr>
            <w:tcW w:w="2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  </w:t>
            </w:r>
          </w:p>
        </w:tc>
        <w:tc>
          <w:tcPr>
            <w:tcW w:w="67"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 was not party to any short-term leases during the periods presented.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F-58</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Future minimum lease payments under non-cancellable leases as of December 31, 2020 were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69"/>
        <w:gridCol w:w="430"/>
        <w:gridCol w:w="211"/>
        <w:gridCol w:w="857"/>
        <w:gridCol w:w="155"/>
        <w:gridCol w:w="430"/>
        <w:gridCol w:w="236"/>
        <w:gridCol w:w="609"/>
        <w:gridCol w:w="158"/>
      </w:tblGrid>
      <w:tr>
        <w:trPr/>
        <w:tc>
          <w:tcPr>
            <w:tcW w:w="466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669" w:type="dxa"/>
            <w:tcBorders/>
            <w:shd w:fill="auto" w:val="clear"/>
            <w:vAlign w:val="bottom"/>
          </w:tcPr>
          <w:p>
            <w:pPr>
              <w:pStyle w:val="TableContents"/>
              <w:spacing w:before="0" w:after="283"/>
              <w:rPr/>
            </w:pPr>
            <w:r>
              <w:rPr/>
              <w:t>For the year ended December 31,</w:t>
            </w:r>
          </w:p>
        </w:tc>
        <w:tc>
          <w:tcPr>
            <w:tcW w:w="430" w:type="dxa"/>
            <w:tcBorders/>
            <w:shd w:fill="auto" w:val="clear"/>
            <w:vAlign w:val="bottom"/>
          </w:tcPr>
          <w:p>
            <w:pPr>
              <w:pStyle w:val="TableContents"/>
              <w:spacing w:before="0" w:after="283"/>
              <w:rPr/>
            </w:pPr>
            <w:r>
              <w:rPr/>
              <w:t>  </w:t>
            </w:r>
          </w:p>
        </w:tc>
        <w:tc>
          <w:tcPr>
            <w:tcW w:w="10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Operating</w:t>
              <w:br/>
              <w:t>leases</w:t>
            </w:r>
          </w:p>
        </w:tc>
        <w:tc>
          <w:tcPr>
            <w:tcW w:w="15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Finance</w:t>
              <w:br/>
              <w:t>leases</w:t>
            </w:r>
          </w:p>
        </w:tc>
        <w:tc>
          <w:tcPr>
            <w:tcW w:w="158" w:type="dxa"/>
            <w:tcBorders/>
            <w:shd w:fill="auto" w:val="clear"/>
            <w:vAlign w:val="bottom"/>
          </w:tcPr>
          <w:p>
            <w:pPr>
              <w:pStyle w:val="TableContents"/>
              <w:spacing w:before="0" w:after="283"/>
              <w:rPr/>
            </w:pPr>
            <w:r>
              <w:rPr/>
              <w:t> </w:t>
            </w:r>
          </w:p>
        </w:tc>
      </w:tr>
      <w:tr>
        <w:trPr/>
        <w:tc>
          <w:tcPr>
            <w:tcW w:w="4669" w:type="dxa"/>
            <w:tcBorders/>
            <w:shd w:fill="CCEEFF" w:val="clear"/>
          </w:tcPr>
          <w:p>
            <w:pPr>
              <w:pStyle w:val="TableContents"/>
              <w:spacing w:before="0" w:after="0"/>
              <w:rPr>
                <w:rFonts w:ascii="Times New Roman" w:hAnsi="Times New Roman"/>
                <w:sz w:val="20"/>
              </w:rPr>
            </w:pPr>
            <w:r>
              <w:rPr>
                <w:rFonts w:ascii="Times New Roman" w:hAnsi="Times New Roman"/>
                <w:sz w:val="20"/>
              </w:rPr>
              <w:t>2021</w:t>
            </w:r>
          </w:p>
        </w:tc>
        <w:tc>
          <w:tcPr>
            <w:tcW w:w="4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57" w:type="dxa"/>
            <w:tcBorders/>
            <w:shd w:fill="CCEEFF" w:val="clear"/>
            <w:vAlign w:val="bottom"/>
          </w:tcPr>
          <w:p>
            <w:pPr>
              <w:pStyle w:val="TableContents"/>
              <w:spacing w:before="0" w:after="283"/>
              <w:jc w:val="right"/>
              <w:rPr/>
            </w:pPr>
            <w:r>
              <w:rPr/>
              <w:t>977</w:t>
            </w:r>
          </w:p>
        </w:tc>
        <w:tc>
          <w:tcPr>
            <w:tcW w:w="15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609" w:type="dxa"/>
            <w:tcBorders/>
            <w:shd w:fill="CCEEFF" w:val="clear"/>
            <w:vAlign w:val="bottom"/>
          </w:tcPr>
          <w:p>
            <w:pPr>
              <w:pStyle w:val="TableContents"/>
              <w:spacing w:before="0" w:after="283"/>
              <w:jc w:val="right"/>
              <w:rPr/>
            </w:pPr>
            <w:r>
              <w:rPr/>
              <w:t>163</w:t>
            </w:r>
          </w:p>
        </w:tc>
        <w:tc>
          <w:tcPr>
            <w:tcW w:w="158" w:type="dxa"/>
            <w:tcBorders/>
            <w:shd w:fill="CCEEFF" w:val="clear"/>
            <w:vAlign w:val="bottom"/>
          </w:tcPr>
          <w:p>
            <w:pPr>
              <w:pStyle w:val="TableContents"/>
              <w:spacing w:before="0" w:after="283"/>
              <w:rPr/>
            </w:pPr>
            <w:r>
              <w:rPr/>
              <w:t> </w:t>
            </w:r>
          </w:p>
        </w:tc>
      </w:tr>
      <w:tr>
        <w:trPr/>
        <w:tc>
          <w:tcPr>
            <w:tcW w:w="4669" w:type="dxa"/>
            <w:tcBorders/>
            <w:shd w:fill="auto" w:val="clear"/>
          </w:tcPr>
          <w:p>
            <w:pPr>
              <w:pStyle w:val="TableContents"/>
              <w:spacing w:before="0" w:after="0"/>
              <w:rPr>
                <w:rFonts w:ascii="Times New Roman" w:hAnsi="Times New Roman"/>
                <w:sz w:val="20"/>
              </w:rPr>
            </w:pPr>
            <w:r>
              <w:rPr>
                <w:rFonts w:ascii="Times New Roman" w:hAnsi="Times New Roman"/>
                <w:sz w:val="20"/>
              </w:rPr>
              <w:t>2022</w:t>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642</w:t>
            </w:r>
          </w:p>
        </w:tc>
        <w:tc>
          <w:tcPr>
            <w:tcW w:w="15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pPr>
            <w:r>
              <w:rPr/>
              <w:t>163</w:t>
            </w:r>
          </w:p>
        </w:tc>
        <w:tc>
          <w:tcPr>
            <w:tcW w:w="158" w:type="dxa"/>
            <w:tcBorders/>
            <w:shd w:fill="auto" w:val="clear"/>
            <w:vAlign w:val="bottom"/>
          </w:tcPr>
          <w:p>
            <w:pPr>
              <w:pStyle w:val="TableContents"/>
              <w:spacing w:before="0" w:after="283"/>
              <w:rPr/>
            </w:pPr>
            <w:r>
              <w:rPr/>
              <w:t> </w:t>
            </w:r>
          </w:p>
        </w:tc>
      </w:tr>
      <w:tr>
        <w:trPr/>
        <w:tc>
          <w:tcPr>
            <w:tcW w:w="4669" w:type="dxa"/>
            <w:tcBorders/>
            <w:shd w:fill="CCEEFF" w:val="clear"/>
          </w:tcPr>
          <w:p>
            <w:pPr>
              <w:pStyle w:val="TableContents"/>
              <w:spacing w:before="0" w:after="0"/>
              <w:rPr>
                <w:rFonts w:ascii="Times New Roman" w:hAnsi="Times New Roman"/>
                <w:sz w:val="20"/>
              </w:rPr>
            </w:pPr>
            <w:r>
              <w:rPr>
                <w:rFonts w:ascii="Times New Roman" w:hAnsi="Times New Roman"/>
                <w:sz w:val="20"/>
              </w:rPr>
              <w:t>2023</w:t>
            </w:r>
          </w:p>
        </w:tc>
        <w:tc>
          <w:tcPr>
            <w:tcW w:w="4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215</w:t>
            </w:r>
          </w:p>
        </w:tc>
        <w:tc>
          <w:tcPr>
            <w:tcW w:w="15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pPr>
            <w:r>
              <w:rPr/>
              <w:t>163</w:t>
            </w:r>
          </w:p>
        </w:tc>
        <w:tc>
          <w:tcPr>
            <w:tcW w:w="158" w:type="dxa"/>
            <w:tcBorders/>
            <w:shd w:fill="CCEEFF" w:val="clear"/>
            <w:vAlign w:val="bottom"/>
          </w:tcPr>
          <w:p>
            <w:pPr>
              <w:pStyle w:val="TableContents"/>
              <w:spacing w:before="0" w:after="283"/>
              <w:rPr/>
            </w:pPr>
            <w:r>
              <w:rPr/>
              <w:t> </w:t>
            </w:r>
          </w:p>
        </w:tc>
      </w:tr>
      <w:tr>
        <w:trPr/>
        <w:tc>
          <w:tcPr>
            <w:tcW w:w="4669" w:type="dxa"/>
            <w:tcBorders/>
            <w:shd w:fill="auto" w:val="clear"/>
          </w:tcPr>
          <w:p>
            <w:pPr>
              <w:pStyle w:val="TableContents"/>
              <w:spacing w:before="0" w:after="0"/>
              <w:rPr>
                <w:rFonts w:ascii="Times New Roman" w:hAnsi="Times New Roman"/>
                <w:sz w:val="20"/>
              </w:rPr>
            </w:pPr>
            <w:r>
              <w:rPr>
                <w:rFonts w:ascii="Times New Roman" w:hAnsi="Times New Roman"/>
                <w:sz w:val="20"/>
              </w:rPr>
              <w:t>2024</w:t>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pPr>
            <w:r>
              <w:rPr/>
              <w:t>80</w:t>
            </w:r>
          </w:p>
        </w:tc>
        <w:tc>
          <w:tcPr>
            <w:tcW w:w="158" w:type="dxa"/>
            <w:tcBorders/>
            <w:shd w:fill="auto" w:val="clear"/>
            <w:vAlign w:val="bottom"/>
          </w:tcPr>
          <w:p>
            <w:pPr>
              <w:pStyle w:val="TableContents"/>
              <w:spacing w:before="0" w:after="283"/>
              <w:rPr/>
            </w:pPr>
            <w:r>
              <w:rPr/>
              <w:t> </w:t>
            </w:r>
          </w:p>
        </w:tc>
      </w:tr>
      <w:tr>
        <w:trPr/>
        <w:tc>
          <w:tcPr>
            <w:tcW w:w="4669" w:type="dxa"/>
            <w:tcBorders/>
            <w:shd w:fill="CCEEFF" w:val="clear"/>
          </w:tcPr>
          <w:p>
            <w:pPr>
              <w:pStyle w:val="TableContents"/>
              <w:spacing w:before="0" w:after="0"/>
              <w:rPr>
                <w:rFonts w:ascii="Times New Roman" w:hAnsi="Times New Roman"/>
                <w:sz w:val="20"/>
              </w:rPr>
            </w:pPr>
            <w:r>
              <w:rPr>
                <w:rFonts w:ascii="Times New Roman" w:hAnsi="Times New Roman"/>
                <w:sz w:val="20"/>
              </w:rPr>
              <w:t>2025</w:t>
            </w:r>
          </w:p>
        </w:tc>
        <w:tc>
          <w:tcPr>
            <w:tcW w:w="4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4669" w:type="dxa"/>
            <w:tcBorders/>
            <w:shd w:fill="auto" w:val="clear"/>
          </w:tcPr>
          <w:p>
            <w:pPr>
              <w:pStyle w:val="TableContents"/>
              <w:spacing w:before="0" w:after="0"/>
              <w:rPr>
                <w:rFonts w:ascii="Times New Roman" w:hAnsi="Times New Roman"/>
                <w:sz w:val="20"/>
              </w:rPr>
            </w:pPr>
            <w:r>
              <w:rPr>
                <w:rFonts w:ascii="Times New Roman" w:hAnsi="Times New Roman"/>
                <w:sz w:val="20"/>
              </w:rPr>
              <w:t>Thereafter</w:t>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4669"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60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669" w:type="dxa"/>
            <w:tcBorders/>
            <w:shd w:fill="CCEEFF" w:val="clear"/>
          </w:tcPr>
          <w:p>
            <w:pPr>
              <w:pStyle w:val="TableContents"/>
              <w:spacing w:before="0" w:after="0"/>
              <w:rPr>
                <w:rFonts w:ascii="Times New Roman" w:hAnsi="Times New Roman"/>
                <w:sz w:val="20"/>
              </w:rPr>
            </w:pPr>
            <w:r>
              <w:rPr>
                <w:rFonts w:ascii="Times New Roman" w:hAnsi="Times New Roman"/>
                <w:sz w:val="20"/>
              </w:rPr>
              <w:t>Total undiscounted lease payments</w:t>
            </w:r>
          </w:p>
        </w:tc>
        <w:tc>
          <w:tcPr>
            <w:tcW w:w="4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57" w:type="dxa"/>
            <w:tcBorders/>
            <w:shd w:fill="CCEEFF" w:val="clear"/>
            <w:vAlign w:val="bottom"/>
          </w:tcPr>
          <w:p>
            <w:pPr>
              <w:pStyle w:val="TableContents"/>
              <w:spacing w:before="0" w:after="283"/>
              <w:jc w:val="right"/>
              <w:rPr/>
            </w:pPr>
            <w:r>
              <w:rPr/>
              <w:t>1,834</w:t>
            </w:r>
          </w:p>
        </w:tc>
        <w:tc>
          <w:tcPr>
            <w:tcW w:w="15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609" w:type="dxa"/>
            <w:tcBorders/>
            <w:shd w:fill="CCEEFF" w:val="clear"/>
            <w:vAlign w:val="bottom"/>
          </w:tcPr>
          <w:p>
            <w:pPr>
              <w:pStyle w:val="TableContents"/>
              <w:spacing w:before="0" w:after="283"/>
              <w:jc w:val="right"/>
              <w:rPr/>
            </w:pPr>
            <w:r>
              <w:rPr/>
              <w:t>569</w:t>
            </w:r>
          </w:p>
        </w:tc>
        <w:tc>
          <w:tcPr>
            <w:tcW w:w="158" w:type="dxa"/>
            <w:tcBorders/>
            <w:shd w:fill="CCEEFF" w:val="clear"/>
            <w:vAlign w:val="bottom"/>
          </w:tcPr>
          <w:p>
            <w:pPr>
              <w:pStyle w:val="TableContents"/>
              <w:spacing w:before="0" w:after="283"/>
              <w:rPr/>
            </w:pPr>
            <w:r>
              <w:rPr/>
              <w:t> </w:t>
            </w:r>
          </w:p>
        </w:tc>
      </w:tr>
      <w:tr>
        <w:trPr/>
        <w:tc>
          <w:tcPr>
            <w:tcW w:w="4669" w:type="dxa"/>
            <w:tcBorders/>
            <w:shd w:fill="auto" w:val="clear"/>
          </w:tcPr>
          <w:p>
            <w:pPr>
              <w:pStyle w:val="TableContents"/>
              <w:spacing w:before="0" w:after="0"/>
              <w:rPr>
                <w:rFonts w:ascii="Times New Roman" w:hAnsi="Times New Roman"/>
                <w:sz w:val="20"/>
              </w:rPr>
            </w:pPr>
            <w:r>
              <w:rPr>
                <w:rFonts w:ascii="Times New Roman" w:hAnsi="Times New Roman"/>
                <w:sz w:val="20"/>
              </w:rPr>
              <w:t>Less: Imputed interest</w:t>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(35</w:t>
            </w:r>
          </w:p>
        </w:tc>
        <w:tc>
          <w:tcPr>
            <w:tcW w:w="15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pPr>
            <w:r>
              <w:rPr/>
              <w:t>(71</w:t>
            </w:r>
          </w:p>
        </w:tc>
        <w:tc>
          <w:tcPr>
            <w:tcW w:w="158" w:type="dxa"/>
            <w:tcBorders/>
            <w:shd w:fill="auto" w:val="clear"/>
            <w:vAlign w:val="bottom"/>
          </w:tcPr>
          <w:p>
            <w:pPr>
              <w:pStyle w:val="TableContents"/>
              <w:spacing w:before="0" w:after="283"/>
              <w:rPr/>
            </w:pPr>
            <w:r>
              <w:rPr/>
              <w:t>) </w:t>
            </w:r>
          </w:p>
        </w:tc>
      </w:tr>
      <w:tr>
        <w:trPr/>
        <w:tc>
          <w:tcPr>
            <w:tcW w:w="4669"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60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669" w:type="dxa"/>
            <w:tcBorders/>
            <w:shd w:fill="CCEEFF" w:val="clear"/>
          </w:tcPr>
          <w:p>
            <w:pPr>
              <w:pStyle w:val="TableContents"/>
              <w:spacing w:before="0" w:after="0"/>
              <w:rPr>
                <w:rFonts w:ascii="Times New Roman" w:hAnsi="Times New Roman"/>
                <w:sz w:val="20"/>
              </w:rPr>
            </w:pPr>
            <w:r>
              <w:rPr>
                <w:rFonts w:ascii="Times New Roman" w:hAnsi="Times New Roman"/>
                <w:sz w:val="20"/>
              </w:rPr>
              <w:t>Total lease liability</w:t>
            </w:r>
          </w:p>
        </w:tc>
        <w:tc>
          <w:tcPr>
            <w:tcW w:w="4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57" w:type="dxa"/>
            <w:tcBorders/>
            <w:shd w:fill="CCEEFF" w:val="clear"/>
            <w:vAlign w:val="bottom"/>
          </w:tcPr>
          <w:p>
            <w:pPr>
              <w:pStyle w:val="TableContents"/>
              <w:spacing w:before="0" w:after="283"/>
              <w:jc w:val="right"/>
              <w:rPr/>
            </w:pPr>
            <w:r>
              <w:rPr/>
              <w:t>1,799</w:t>
            </w:r>
          </w:p>
        </w:tc>
        <w:tc>
          <w:tcPr>
            <w:tcW w:w="15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609" w:type="dxa"/>
            <w:tcBorders/>
            <w:shd w:fill="CCEEFF" w:val="clear"/>
            <w:vAlign w:val="bottom"/>
          </w:tcPr>
          <w:p>
            <w:pPr>
              <w:pStyle w:val="TableContents"/>
              <w:spacing w:before="0" w:after="283"/>
              <w:jc w:val="right"/>
              <w:rPr/>
            </w:pPr>
            <w:r>
              <w:rPr/>
              <w:t>498</w:t>
            </w:r>
          </w:p>
        </w:tc>
        <w:tc>
          <w:tcPr>
            <w:tcW w:w="158" w:type="dxa"/>
            <w:tcBorders/>
            <w:shd w:fill="CCEEFF" w:val="clear"/>
            <w:vAlign w:val="bottom"/>
          </w:tcPr>
          <w:p>
            <w:pPr>
              <w:pStyle w:val="TableContents"/>
              <w:spacing w:before="0" w:after="283"/>
              <w:rPr/>
            </w:pPr>
            <w:r>
              <w:rPr/>
              <w:t> </w:t>
            </w:r>
          </w:p>
        </w:tc>
      </w:tr>
      <w:tr>
        <w:trPr/>
        <w:tc>
          <w:tcPr>
            <w:tcW w:w="4669" w:type="dxa"/>
            <w:tcBorders/>
            <w:shd w:fill="auto" w:val="clear"/>
          </w:tcPr>
          <w:p>
            <w:pPr>
              <w:pStyle w:val="TableContents"/>
              <w:spacing w:before="0" w:after="0"/>
              <w:rPr>
                <w:rFonts w:ascii="Times New Roman" w:hAnsi="Times New Roman"/>
                <w:sz w:val="20"/>
              </w:rPr>
            </w:pPr>
            <w:r>
              <w:rPr>
                <w:rFonts w:ascii="Times New Roman" w:hAnsi="Times New Roman"/>
                <w:sz w:val="20"/>
              </w:rPr>
              <w:t>Current</w:t>
            </w:r>
          </w:p>
        </w:tc>
        <w:tc>
          <w:tcPr>
            <w:tcW w:w="4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857" w:type="dxa"/>
            <w:tcBorders/>
            <w:shd w:fill="auto" w:val="clear"/>
            <w:vAlign w:val="bottom"/>
          </w:tcPr>
          <w:p>
            <w:pPr>
              <w:pStyle w:val="TableContents"/>
              <w:spacing w:before="0" w:after="283"/>
              <w:jc w:val="right"/>
              <w:rPr/>
            </w:pPr>
            <w:r>
              <w:rPr/>
              <w:t>953</w:t>
            </w:r>
          </w:p>
        </w:tc>
        <w:tc>
          <w:tcPr>
            <w:tcW w:w="15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609" w:type="dxa"/>
            <w:tcBorders/>
            <w:shd w:fill="auto" w:val="clear"/>
            <w:vAlign w:val="bottom"/>
          </w:tcPr>
          <w:p>
            <w:pPr>
              <w:pStyle w:val="TableContents"/>
              <w:spacing w:before="0" w:after="283"/>
              <w:jc w:val="right"/>
              <w:rPr/>
            </w:pPr>
            <w:r>
              <w:rPr/>
              <w:t>129</w:t>
            </w:r>
          </w:p>
        </w:tc>
        <w:tc>
          <w:tcPr>
            <w:tcW w:w="158" w:type="dxa"/>
            <w:tcBorders/>
            <w:shd w:fill="auto" w:val="clear"/>
            <w:vAlign w:val="bottom"/>
          </w:tcPr>
          <w:p>
            <w:pPr>
              <w:pStyle w:val="TableContents"/>
              <w:spacing w:before="0" w:after="283"/>
              <w:rPr/>
            </w:pPr>
            <w:r>
              <w:rPr/>
              <w:t> </w:t>
            </w:r>
          </w:p>
        </w:tc>
      </w:tr>
      <w:tr>
        <w:trPr/>
        <w:tc>
          <w:tcPr>
            <w:tcW w:w="4669" w:type="dxa"/>
            <w:tcBorders/>
            <w:shd w:fill="CCEEFF" w:val="clear"/>
          </w:tcPr>
          <w:p>
            <w:pPr>
              <w:pStyle w:val="TableContents"/>
              <w:spacing w:before="0" w:after="0"/>
              <w:rPr>
                <w:rFonts w:ascii="Times New Roman" w:hAnsi="Times New Roman"/>
                <w:sz w:val="20"/>
              </w:rPr>
            </w:pPr>
            <w:r>
              <w:rPr>
                <w:rFonts w:ascii="Times New Roman" w:hAnsi="Times New Roman"/>
                <w:sz w:val="20"/>
              </w:rPr>
              <w:t>Noncurrent</w:t>
            </w:r>
          </w:p>
        </w:tc>
        <w:tc>
          <w:tcPr>
            <w:tcW w:w="4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57" w:type="dxa"/>
            <w:tcBorders/>
            <w:shd w:fill="CCEEFF" w:val="clear"/>
            <w:vAlign w:val="bottom"/>
          </w:tcPr>
          <w:p>
            <w:pPr>
              <w:pStyle w:val="TableContents"/>
              <w:spacing w:before="0" w:after="283"/>
              <w:jc w:val="right"/>
              <w:rPr/>
            </w:pPr>
            <w:r>
              <w:rPr/>
              <w:t>846</w:t>
            </w:r>
          </w:p>
        </w:tc>
        <w:tc>
          <w:tcPr>
            <w:tcW w:w="15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609" w:type="dxa"/>
            <w:tcBorders/>
            <w:shd w:fill="CCEEFF" w:val="clear"/>
            <w:vAlign w:val="bottom"/>
          </w:tcPr>
          <w:p>
            <w:pPr>
              <w:pStyle w:val="TableContents"/>
              <w:spacing w:before="0" w:after="283"/>
              <w:jc w:val="right"/>
              <w:rPr/>
            </w:pPr>
            <w:r>
              <w:rPr/>
              <w:t>369</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15.</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spacing w:before="120" w:after="0"/>
        <w:jc w:val="left"/>
        <w:rPr>
          <w:rFonts w:ascii="Times New Roman" w:hAnsi="Times New Roman"/>
          <w:sz w:val="20"/>
        </w:rPr>
      </w:pPr>
      <w:r>
        <w:rPr>
          <w:rFonts w:ascii="Times New Roman" w:hAnsi="Times New Roman"/>
          <w:sz w:val="20"/>
        </w:rPr>
        <w:t xml:space="preserve">The Company has evaluated subsequent events and transactions and determined that no other events or transactions, except as noted below, met the definition of a subsequent event for purpose of recognition or disclosure in these financial statements. </w:t>
      </w:r>
    </w:p>
    <w:p>
      <w:pPr>
        <w:pStyle w:val="TextBody"/>
        <w:spacing w:before="240" w:after="0"/>
        <w:jc w:val="left"/>
        <w:rPr>
          <w:rFonts w:ascii="Times New Roman" w:hAnsi="Times New Roman"/>
          <w:sz w:val="20"/>
        </w:rPr>
      </w:pPr>
      <w:r>
        <w:rPr>
          <w:rFonts w:ascii="Times New Roman" w:hAnsi="Times New Roman"/>
          <w:sz w:val="20"/>
        </w:rPr>
        <w:t xml:space="preserve">On January 11, 2021, the Company entered into a definitive agreement to combine with VPC Impact Acquisition Holdings (VIH), a special purpose acquisition company sponsored by Victory Park Capital. The business combination between Bakkt and VIH values the combined company at an enterprise value of approximately $2.1 billion and is expected to result in over at least $425 million of cash on the combined companys balance sheet, reflecting a contribution of up to $207 million of cash held in VIHs trust account, net of redemptions, and a $325 million concurrent private placement of Class A common stock of the combined company, priced at $10.00 per share, including a $50 million commitment from ICE. The newly combined company will be renamed Bakkt Holdings, Inc. and will be listed on the New York Stock Exchange under the ticker sumbol BKKT. </w:t>
      </w:r>
    </w:p>
    <w:p>
      <w:pPr>
        <w:pStyle w:val="TextBody"/>
        <w:spacing w:before="240" w:after="0"/>
        <w:jc w:val="left"/>
        <w:rPr>
          <w:rFonts w:ascii="Times New Roman" w:hAnsi="Times New Roman"/>
          <w:sz w:val="20"/>
        </w:rPr>
      </w:pPr>
      <w:r>
        <w:rPr>
          <w:rFonts w:ascii="Times New Roman" w:hAnsi="Times New Roman"/>
          <w:sz w:val="20"/>
        </w:rPr>
        <w:t xml:space="preserve">On January 19, 2021, ICE self-certified a rule change with the CFTC, reducing Bakkt Trusts skin-in-the-game contribution to the ICUS guaranty fund to $15.2 million from $35.4 million. Following the two-week self-certification period, in which no comments were received from the CFTC, ICE proceeded with the reduction. On February 3, 2021, ICE returned $20.2 million to Bakkt Trust.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F-59</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2400" w:after="0"/>
        <w:jc w:val="center"/>
        <w:rPr>
          <w:rFonts w:ascii="Times New Roman" w:hAnsi="Times New Roman"/>
          <w:b/>
          <w:sz w:val="20"/>
        </w:rPr>
      </w:pPr>
      <w:r>
        <w:rPr>
          <w:rFonts w:ascii="Times New Roman" w:hAnsi="Times New Roman"/>
          <w:b/>
          <w:sz w:val="20"/>
        </w:rPr>
        <w:t xml:space="preserve">B2S Holdings, Inc. and Subsidiaries </w:t>
      </w:r>
    </w:p>
    <w:p>
      <w:pPr>
        <w:pStyle w:val="TextBody"/>
        <w:spacing w:before="2400" w:after="0"/>
        <w:jc w:val="center"/>
        <w:rPr>
          <w:rFonts w:ascii="Times New Roman" w:hAnsi="Times New Roman"/>
          <w:b/>
          <w:sz w:val="20"/>
        </w:rPr>
      </w:pPr>
      <w:r>
        <w:rPr>
          <w:rFonts w:ascii="Times New Roman" w:hAnsi="Times New Roman"/>
          <w:b/>
          <w:sz w:val="20"/>
        </w:rPr>
        <w:t xml:space="preserve">Consolidated Financial Statements </w:t>
      </w:r>
    </w:p>
    <w:p>
      <w:pPr>
        <w:pStyle w:val="TextBody"/>
        <w:spacing w:before="240" w:after="0"/>
        <w:jc w:val="center"/>
        <w:rPr>
          <w:rFonts w:ascii="Times New Roman" w:hAnsi="Times New Roman"/>
          <w:b/>
          <w:sz w:val="20"/>
        </w:rPr>
      </w:pPr>
      <w:r>
        <w:rPr>
          <w:rFonts w:ascii="Times New Roman" w:hAnsi="Times New Roman"/>
          <w:b/>
          <w:sz w:val="20"/>
        </w:rPr>
        <w:t xml:space="preserve">December 31, 2019 and 2018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B2S Holdings, Inc. and Subsidiaries </w:t>
      </w:r>
    </w:p>
    <w:p>
      <w:pPr>
        <w:pStyle w:val="TextBody"/>
        <w:spacing w:before="240" w:after="0"/>
        <w:jc w:val="left"/>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tbl>
      <w:tblPr>
        <w:tblW w:w="5000" w:type="pct"/>
        <w:jc w:val="center"/>
        <w:tblInd w:w="0" w:type="dxa"/>
        <w:tblCellMar>
          <w:top w:w="0" w:type="dxa"/>
          <w:left w:w="0" w:type="dxa"/>
          <w:bottom w:w="0" w:type="dxa"/>
          <w:right w:w="0" w:type="dxa"/>
        </w:tblCellMar>
      </w:tblPr>
      <w:tblGrid>
        <w:gridCol w:w="9450"/>
        <w:gridCol w:w="146"/>
        <w:gridCol w:w="60"/>
        <w:gridCol w:w="487"/>
        <w:gridCol w:w="62"/>
      </w:tblGrid>
      <w:tr>
        <w:trPr/>
        <w:tc>
          <w:tcPr>
            <w:tcW w:w="9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47" w:type="dxa"/>
            <w:gridSpan w:val="2"/>
            <w:tcBorders/>
            <w:shd w:fill="auto" w:val="cle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CCEEFF" w:val="clear"/>
          </w:tcPr>
          <w:p>
            <w:pPr>
              <w:pStyle w:val="TableContents"/>
              <w:spacing w:before="0" w:after="0"/>
              <w:rPr/>
            </w:pPr>
            <w:hyperlink w:anchor="fin108105_20">
              <w:r>
                <w:rPr>
                  <w:rStyle w:val="InternetLink"/>
                  <w:rFonts w:ascii="Times New Roman" w:hAnsi="Times New Roman"/>
                  <w:sz w:val="20"/>
                </w:rPr>
                <w:t>Independent Auditors Report</w:t>
              </w:r>
            </w:hyperlink>
          </w:p>
        </w:tc>
        <w:tc>
          <w:tcPr>
            <w:tcW w:w="1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pPr>
            <w:r>
              <w:rPr/>
              <w:t>F-62</w:t>
            </w:r>
          </w:p>
        </w:tc>
        <w:tc>
          <w:tcPr>
            <w:tcW w:w="62" w:type="dxa"/>
            <w:tcBorders/>
            <w:shd w:fill="CCEEFF" w:val="clear"/>
            <w:vAlign w:val="bottom"/>
          </w:tcPr>
          <w:p>
            <w:pPr>
              <w:pStyle w:val="TableContents"/>
              <w:spacing w:before="0" w:after="283"/>
              <w:rPr/>
            </w:pPr>
            <w:r>
              <w:rPr/>
              <w:t> </w:t>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tcPr>
          <w:p>
            <w:pPr>
              <w:pStyle w:val="TableContents"/>
              <w:spacing w:before="0" w:after="0"/>
              <w:rPr>
                <w:rFonts w:ascii="Times New Roman" w:hAnsi="Times New Roman"/>
                <w:sz w:val="20"/>
              </w:rPr>
            </w:pPr>
            <w:r>
              <w:rPr>
                <w:rFonts w:ascii="Times New Roman" w:hAnsi="Times New Roman"/>
                <w:sz w:val="20"/>
              </w:rPr>
              <w:t>Consolidated Financial Statements</w:t>
            </w:r>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CCEEFF" w:val="clear"/>
          </w:tcPr>
          <w:p>
            <w:pPr>
              <w:pStyle w:val="TableContents"/>
              <w:spacing w:before="0" w:after="0"/>
              <w:rPr/>
            </w:pPr>
            <w:hyperlink w:anchor="fin108105_21">
              <w:r>
                <w:rPr>
                  <w:rStyle w:val="InternetLink"/>
                  <w:rFonts w:ascii="Times New Roman" w:hAnsi="Times New Roman"/>
                  <w:sz w:val="20"/>
                </w:rPr>
                <w:t xml:space="preserve">Consolidated Balance Sheets </w:t>
              </w:r>
            </w:hyperlink>
          </w:p>
        </w:tc>
        <w:tc>
          <w:tcPr>
            <w:tcW w:w="1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pPr>
            <w:r>
              <w:rPr/>
              <w:t>F-64</w:t>
            </w:r>
          </w:p>
        </w:tc>
        <w:tc>
          <w:tcPr>
            <w:tcW w:w="62" w:type="dxa"/>
            <w:tcBorders/>
            <w:shd w:fill="CCEEFF" w:val="clear"/>
            <w:vAlign w:val="bottom"/>
          </w:tcPr>
          <w:p>
            <w:pPr>
              <w:pStyle w:val="TableContents"/>
              <w:spacing w:before="0" w:after="283"/>
              <w:rPr/>
            </w:pPr>
            <w:r>
              <w:rPr/>
              <w:t> </w:t>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tcPr>
          <w:p>
            <w:pPr>
              <w:pStyle w:val="TableContents"/>
              <w:spacing w:before="0" w:after="0"/>
              <w:rPr/>
            </w:pPr>
            <w:hyperlink w:anchor="fin108105_22">
              <w:r>
                <w:rPr>
                  <w:rStyle w:val="InternetLink"/>
                  <w:rFonts w:ascii="Times New Roman" w:hAnsi="Times New Roman"/>
                  <w:sz w:val="20"/>
                </w:rPr>
                <w:t xml:space="preserve">Consolidated Statements of Operations and Comprehensive Income (Loss) </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F-65</w:t>
            </w:r>
          </w:p>
        </w:tc>
        <w:tc>
          <w:tcPr>
            <w:tcW w:w="62" w:type="dxa"/>
            <w:tcBorders/>
            <w:shd w:fill="auto" w:val="clear"/>
            <w:vAlign w:val="bottom"/>
          </w:tcPr>
          <w:p>
            <w:pPr>
              <w:pStyle w:val="TableContents"/>
              <w:spacing w:before="0" w:after="283"/>
              <w:rPr/>
            </w:pPr>
            <w:r>
              <w:rPr/>
              <w:t> </w:t>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CCEEFF" w:val="clear"/>
          </w:tcPr>
          <w:p>
            <w:pPr>
              <w:pStyle w:val="TableContents"/>
              <w:spacing w:before="0" w:after="0"/>
              <w:rPr/>
            </w:pPr>
            <w:hyperlink w:anchor="fin108105_23">
              <w:r>
                <w:rPr>
                  <w:rStyle w:val="InternetLink"/>
                  <w:rFonts w:ascii="Times New Roman" w:hAnsi="Times New Roman"/>
                  <w:sz w:val="20"/>
                </w:rPr>
                <w:t xml:space="preserve">Consolidated Statements of Changes in Shareholders Deficit </w:t>
              </w:r>
            </w:hyperlink>
          </w:p>
        </w:tc>
        <w:tc>
          <w:tcPr>
            <w:tcW w:w="1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pPr>
            <w:r>
              <w:rPr/>
              <w:t>F-66</w:t>
            </w:r>
          </w:p>
        </w:tc>
        <w:tc>
          <w:tcPr>
            <w:tcW w:w="62" w:type="dxa"/>
            <w:tcBorders/>
            <w:shd w:fill="CCEEFF" w:val="clear"/>
            <w:vAlign w:val="bottom"/>
          </w:tcPr>
          <w:p>
            <w:pPr>
              <w:pStyle w:val="TableContents"/>
              <w:spacing w:before="0" w:after="283"/>
              <w:rPr/>
            </w:pPr>
            <w:r>
              <w:rPr/>
              <w:t> </w:t>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tcPr>
          <w:p>
            <w:pPr>
              <w:pStyle w:val="TableContents"/>
              <w:spacing w:before="0" w:after="0"/>
              <w:rPr/>
            </w:pPr>
            <w:hyperlink w:anchor="fin108105_24">
              <w:r>
                <w:rPr>
                  <w:rStyle w:val="InternetLink"/>
                  <w:rFonts w:ascii="Times New Roman" w:hAnsi="Times New Roman"/>
                  <w:sz w:val="20"/>
                </w:rPr>
                <w:t xml:space="preserve">Consolidated Statements of Cash Flows </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F-67</w:t>
            </w:r>
          </w:p>
        </w:tc>
        <w:tc>
          <w:tcPr>
            <w:tcW w:w="62" w:type="dxa"/>
            <w:tcBorders/>
            <w:shd w:fill="auto" w:val="clear"/>
            <w:vAlign w:val="bottom"/>
          </w:tcPr>
          <w:p>
            <w:pPr>
              <w:pStyle w:val="TableContents"/>
              <w:spacing w:before="0" w:after="283"/>
              <w:rPr/>
            </w:pPr>
            <w:r>
              <w:rPr/>
              <w:t> </w:t>
            </w:r>
          </w:p>
        </w:tc>
      </w:tr>
      <w:tr>
        <w:trPr>
          <w:trHeight w:val="120" w:hRule="atLeast"/>
        </w:trPr>
        <w:tc>
          <w:tcPr>
            <w:tcW w:w="9450"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9450" w:type="dxa"/>
            <w:tcBorders/>
            <w:shd w:fill="CCEEFF" w:val="clear"/>
          </w:tcPr>
          <w:p>
            <w:pPr>
              <w:pStyle w:val="TableContents"/>
              <w:spacing w:before="0" w:after="0"/>
              <w:rPr/>
            </w:pPr>
            <w:hyperlink w:anchor="fin108105_25">
              <w:r>
                <w:rPr>
                  <w:rStyle w:val="InternetLink"/>
                  <w:rFonts w:ascii="Times New Roman" w:hAnsi="Times New Roman"/>
                  <w:sz w:val="20"/>
                </w:rPr>
                <w:t xml:space="preserve">Notes to Consolidated Financial Statements </w:t>
              </w:r>
            </w:hyperlink>
          </w:p>
        </w:tc>
        <w:tc>
          <w:tcPr>
            <w:tcW w:w="1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pPr>
            <w:r>
              <w:rPr/>
              <w:t>F-68</w:t>
            </w:r>
          </w:p>
        </w:tc>
        <w:tc>
          <w:tcPr>
            <w:tcW w:w="62"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47955" cy="69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955" cy="69850"/>
                    </a:xfrm>
                    <a:prstGeom prst="rect">
                      <a:avLst/>
                    </a:prstGeom>
                  </pic:spPr>
                </pic:pic>
              </a:graphicData>
            </a:graphic>
          </wp:inline>
        </w:drawing>
      </w:r>
      <w:r>
        <w:rPr/>
        <w:t xml:space="preserve"> </w:t>
      </w:r>
    </w:p>
    <w:p>
      <w:pPr>
        <w:pStyle w:val="TextBody"/>
        <w:spacing w:before="360" w:after="0"/>
        <w:jc w:val="left"/>
        <w:rPr>
          <w:rFonts w:ascii="Times New Roman" w:hAnsi="Times New Roman"/>
          <w:b/>
          <w:sz w:val="20"/>
        </w:rPr>
      </w:pPr>
      <w:bookmarkStart w:id="125" w:name="fin108105_20"/>
      <w:bookmarkEnd w:id="125"/>
      <w:r>
        <w:rPr>
          <w:rFonts w:ascii="Times New Roman" w:hAnsi="Times New Roman"/>
          <w:b/>
          <w:sz w:val="20"/>
        </w:rPr>
        <w:t xml:space="preserve">Independent Auditors Report </w:t>
      </w:r>
    </w:p>
    <w:p>
      <w:pPr>
        <w:pStyle w:val="TextBody"/>
        <w:spacing w:before="240" w:after="0"/>
        <w:jc w:val="left"/>
        <w:rPr>
          <w:rFonts w:ascii="Times New Roman" w:hAnsi="Times New Roman"/>
          <w:sz w:val="20"/>
        </w:rPr>
      </w:pPr>
      <w:r>
        <w:rPr>
          <w:rFonts w:ascii="Times New Roman" w:hAnsi="Times New Roman"/>
          <w:sz w:val="20"/>
        </w:rPr>
        <w:t xml:space="preserve">To the Board of Directors of </w:t>
      </w:r>
    </w:p>
    <w:p>
      <w:pPr>
        <w:pStyle w:val="TextBody"/>
        <w:spacing w:before="0" w:after="0"/>
        <w:jc w:val="left"/>
        <w:rPr>
          <w:rFonts w:ascii="Times New Roman" w:hAnsi="Times New Roman"/>
          <w:sz w:val="20"/>
        </w:rPr>
      </w:pPr>
      <w:r>
        <w:rPr>
          <w:rFonts w:ascii="Times New Roman" w:hAnsi="Times New Roman"/>
          <w:sz w:val="20"/>
        </w:rPr>
        <w:t xml:space="preserve">B2S Holdings, Inc. and Subsidiaries </w:t>
      </w:r>
    </w:p>
    <w:p>
      <w:pPr>
        <w:pStyle w:val="TextBody"/>
        <w:spacing w:before="240" w:after="0"/>
        <w:jc w:val="left"/>
        <w:rPr>
          <w:rFonts w:ascii="Times New Roman" w:hAnsi="Times New Roman"/>
          <w:sz w:val="20"/>
        </w:rPr>
      </w:pPr>
      <w:r>
        <w:rPr>
          <w:rFonts w:ascii="Times New Roman" w:hAnsi="Times New Roman"/>
          <w:sz w:val="20"/>
        </w:rPr>
        <w:t xml:space="preserve">We have audited the accompanying consolidated financial statements of B2S Holdings, Inc. and its subsidiaries (the Company), which comprise the consolidated balance sheets as of December 31, 2019 and 2018, and the related consolidated statements of operations and comprehensive income (loss), shareholders deficit, and cash flows for the years then ended, and the related notes to the consolidated financial statements. </w:t>
      </w:r>
    </w:p>
    <w:p>
      <w:pPr>
        <w:pStyle w:val="TextBody"/>
        <w:spacing w:before="360" w:after="0"/>
        <w:jc w:val="left"/>
        <w:rPr>
          <w:rFonts w:ascii="Times New Roman" w:hAnsi="Times New Roman"/>
          <w:b/>
          <w:i/>
          <w:sz w:val="20"/>
        </w:rPr>
      </w:pPr>
      <w:r>
        <w:rPr>
          <w:rFonts w:ascii="Times New Roman" w:hAnsi="Times New Roman"/>
          <w:b/>
          <w:i/>
          <w:sz w:val="20"/>
        </w:rPr>
        <w:t xml:space="preserve">Managements Responsibility for the Financial Statements </w:t>
      </w:r>
    </w:p>
    <w:p>
      <w:pPr>
        <w:pStyle w:val="TextBody"/>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 </w:t>
      </w:r>
    </w:p>
    <w:p>
      <w:pPr>
        <w:pStyle w:val="TextBody"/>
        <w:spacing w:before="360" w:after="0"/>
        <w:jc w:val="left"/>
        <w:rPr>
          <w:rFonts w:ascii="Times New Roman" w:hAnsi="Times New Roman"/>
          <w:b/>
          <w:i/>
          <w:sz w:val="20"/>
        </w:rPr>
      </w:pPr>
      <w:r>
        <w:rPr>
          <w:rFonts w:ascii="Times New Roman" w:hAnsi="Times New Roman"/>
          <w:b/>
          <w:i/>
          <w:sz w:val="20"/>
        </w:rPr>
        <w:t xml:space="preserve">Auditors Responsibility </w:t>
      </w:r>
    </w:p>
    <w:p>
      <w:pPr>
        <w:pStyle w:val="TextBody"/>
        <w:spacing w:before="120" w:after="0"/>
        <w:jc w:val="left"/>
        <w:rPr>
          <w:rFonts w:ascii="Times New Roman" w:hAnsi="Times New Roman"/>
          <w:sz w:val="20"/>
        </w:rPr>
      </w:pPr>
      <w:r>
        <w:rPr>
          <w:rFonts w:ascii="Times New Roman" w:hAnsi="Times New Roman"/>
          <w:sz w:val="20"/>
        </w:rPr>
        <w:t xml:space="preserve">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 </w:t>
      </w:r>
    </w:p>
    <w:p>
      <w:pPr>
        <w:pStyle w:val="TextBody"/>
        <w:spacing w:before="240" w:after="0"/>
        <w:jc w:val="left"/>
        <w:rPr>
          <w:rFonts w:ascii="Times New Roman" w:hAnsi="Times New Roman"/>
          <w:sz w:val="20"/>
        </w:rPr>
      </w:pPr>
      <w:r>
        <w:rPr>
          <w:rFonts w:ascii="Times New Roman" w:hAnsi="Times New Roman"/>
          <w:sz w:val="20"/>
        </w:rPr>
        <w:t xml:space="preserve">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the audit evidence we have obtained is sufficient and appropriate to provide a basis for our audit opinion. </w:t>
      </w:r>
    </w:p>
    <w:p>
      <w:pPr>
        <w:pStyle w:val="TextBody"/>
        <w:spacing w:before="360" w:after="0"/>
        <w:jc w:val="left"/>
        <w:rPr>
          <w:rFonts w:ascii="Times New Roman" w:hAnsi="Times New Roman"/>
          <w:b/>
          <w:i/>
          <w:sz w:val="20"/>
        </w:rPr>
      </w:pPr>
      <w:r>
        <w:rPr>
          <w:rFonts w:ascii="Times New Roman" w:hAnsi="Times New Roman"/>
          <w:b/>
          <w:i/>
          <w:sz w:val="20"/>
        </w:rPr>
        <w:t xml:space="preserve">Opinion </w:t>
      </w:r>
    </w:p>
    <w:p>
      <w:pPr>
        <w:pStyle w:val="TextBody"/>
        <w:spacing w:before="120" w:after="0"/>
        <w:jc w:val="left"/>
        <w:rPr>
          <w:rFonts w:ascii="Times New Roman" w:hAnsi="Times New Roman"/>
          <w:sz w:val="20"/>
        </w:rPr>
      </w:pPr>
      <w:r>
        <w:rPr>
          <w:rFonts w:ascii="Times New Roman" w:hAnsi="Times New Roman"/>
          <w:sz w:val="20"/>
        </w:rPr>
        <w:t xml:space="preserve">In our opinion, the financial statements referred to above present fairly, in all material respects, the financial position of B2S Holdings, Inc. and its subsidiaries as of December 31, 2019 and 2018, and the results of their operations and their cash flows for the years then ended in accordance with accounting principles generally accepted in the United States of America. </w:t>
      </w:r>
    </w:p>
    <w:p>
      <w:pPr>
        <w:pStyle w:val="TextBody"/>
        <w:spacing w:before="240" w:after="0"/>
        <w:jc w:val="center"/>
        <w:rPr>
          <w:rFonts w:ascii="Times New Roman" w:hAnsi="Times New Roman"/>
          <w:sz w:val="20"/>
        </w:rPr>
      </w:pPr>
      <w:r>
        <w:rPr>
          <w:rFonts w:ascii="Times New Roman" w:hAnsi="Times New Roman"/>
          <w:sz w:val="20"/>
        </w:rPr>
        <w:t xml:space="preserve">BETTER TOGETHER </w:t>
      </w:r>
    </w:p>
    <w:p>
      <w:pPr>
        <w:pStyle w:val="TextBody"/>
        <w:spacing w:before="0" w:after="0"/>
        <w:jc w:val="center"/>
        <w:rPr>
          <w:rFonts w:ascii="Times New Roman" w:hAnsi="Times New Roman"/>
          <w:sz w:val="16"/>
        </w:rPr>
      </w:pPr>
      <w:r>
        <w:rPr>
          <w:rFonts w:ascii="Times New Roman" w:hAnsi="Times New Roman"/>
          <w:sz w:val="16"/>
        </w:rPr>
        <w:t xml:space="preserve">A Limited Liability Partnership of Certified Public Accountants &amp; Consultants </w:t>
      </w:r>
    </w:p>
    <w:p>
      <w:pPr>
        <w:pStyle w:val="TextBody"/>
        <w:spacing w:before="0" w:after="0"/>
        <w:jc w:val="center"/>
        <w:rPr>
          <w:rFonts w:ascii="Times New Roman" w:hAnsi="Times New Roman"/>
          <w:sz w:val="16"/>
        </w:rPr>
      </w:pPr>
      <w:r>
        <w:rPr>
          <w:rFonts w:ascii="Times New Roman" w:hAnsi="Times New Roman"/>
          <w:sz w:val="16"/>
        </w:rPr>
        <w:t>Riverwood 200    3300 Riverwood Parkway    Suite 700    Atlanta, GA 30339    </w:t>
      </w:r>
      <w:r>
        <w:rPr>
          <w:rFonts w:ascii="Times New Roman" w:hAnsi="Times New Roman"/>
          <w:b/>
          <w:sz w:val="16"/>
        </w:rPr>
        <w:t xml:space="preserve">phone </w:t>
      </w:r>
      <w:r>
        <w:rPr>
          <w:rFonts w:ascii="Times New Roman" w:hAnsi="Times New Roman"/>
          <w:sz w:val="16"/>
        </w:rPr>
        <w:t>770.396.2200    </w:t>
      </w:r>
      <w:r>
        <w:rPr>
          <w:rFonts w:ascii="Times New Roman" w:hAnsi="Times New Roman"/>
          <w:b/>
          <w:sz w:val="16"/>
        </w:rPr>
        <w:t>fax</w:t>
      </w:r>
      <w:r>
        <w:rPr>
          <w:rFonts w:ascii="Times New Roman" w:hAnsi="Times New Roman"/>
          <w:sz w:val="16"/>
        </w:rPr>
        <w:t xml:space="preserve"> 770.390.0394 </w:t>
      </w:r>
    </w:p>
    <w:p>
      <w:pPr>
        <w:pStyle w:val="TextBody"/>
        <w:spacing w:before="0" w:after="0"/>
        <w:jc w:val="center"/>
        <w:rPr>
          <w:rFonts w:ascii="Times New Roman" w:hAnsi="Times New Roman"/>
          <w:sz w:val="20"/>
        </w:rPr>
      </w:pPr>
      <w:r>
        <w:rPr>
          <w:rFonts w:ascii="Times New Roman" w:hAnsi="Times New Roman"/>
          <w:sz w:val="20"/>
        </w:rPr>
        <w:t xml:space="preserve">www.btcpa.net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60325" cy="736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325" cy="73660"/>
                    </a:xfrm>
                    <a:prstGeom prst="rect">
                      <a:avLst/>
                    </a:prstGeom>
                  </pic:spPr>
                </pic:pic>
              </a:graphicData>
            </a:graphic>
          </wp:inline>
        </w:drawing>
      </w:r>
      <w:r>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Change in Accounting Principle </w:t>
      </w:r>
    </w:p>
    <w:p>
      <w:pPr>
        <w:pStyle w:val="TextBody"/>
        <w:spacing w:before="120" w:after="0"/>
        <w:jc w:val="left"/>
        <w:rPr>
          <w:rFonts w:ascii="Times New Roman" w:hAnsi="Times New Roman"/>
          <w:sz w:val="20"/>
        </w:rPr>
      </w:pPr>
      <w:r>
        <w:rPr>
          <w:rFonts w:ascii="Times New Roman" w:hAnsi="Times New Roman"/>
          <w:sz w:val="20"/>
        </w:rPr>
        <w:t xml:space="preserve">As discussed in Note 1 and Note 2 to the financial statements, the Company has changed its method of accounting for revenue from contracts with customers in 2019 due to the adoption of ASC 606, </w:t>
      </w:r>
      <w:r>
        <w:rPr>
          <w:rFonts w:ascii="Times New Roman" w:hAnsi="Times New Roman"/>
          <w:i/>
          <w:sz w:val="20"/>
        </w:rPr>
        <w:t>Revenue from Contracts with Customers</w:t>
      </w:r>
      <w:r>
        <w:rPr>
          <w:rFonts w:ascii="Times New Roman" w:hAnsi="Times New Roman"/>
          <w:sz w:val="20"/>
        </w:rPr>
        <w:t xml:space="preserve">. Our opinion is not modified with respect to this matter. </w:t>
      </w:r>
    </w:p>
    <w:p>
      <w:pPr>
        <w:pStyle w:val="TextBody"/>
        <w:spacing w:before="0" w:after="0"/>
        <w:jc w:val="left"/>
        <w:rPr/>
      </w:pPr>
      <w:r>
        <w:rPr/>
        <w:t> </w:t>
      </w:r>
    </w:p>
    <w:p>
      <w:pPr>
        <w:pStyle w:val="TextBody"/>
        <w:spacing w:before="0" w:after="0"/>
        <w:jc w:val="left"/>
        <w:rPr/>
      </w:pPr>
      <w:r>
        <w:rPr/>
        <w:drawing>
          <wp:inline distT="0" distB="0" distL="0" distR="0">
            <wp:extent cx="2230755" cy="2965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30755" cy="29654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B2S Holdings, Inc. and Subsidiaries </w:t>
      </w:r>
    </w:p>
    <w:p>
      <w:pPr>
        <w:pStyle w:val="TextBody"/>
        <w:spacing w:before="120" w:after="0"/>
        <w:jc w:val="left"/>
        <w:rPr>
          <w:rFonts w:ascii="Times New Roman" w:hAnsi="Times New Roman"/>
          <w:b/>
          <w:sz w:val="20"/>
        </w:rPr>
      </w:pPr>
      <w:bookmarkStart w:id="126" w:name="fin108105_21"/>
      <w:bookmarkEnd w:id="126"/>
      <w:r>
        <w:rPr>
          <w:rFonts w:ascii="Times New Roman" w:hAnsi="Times New Roman"/>
          <w:b/>
          <w:sz w:val="20"/>
        </w:rPr>
        <w:t xml:space="preserve">Consolidated Balance Sheets </w:t>
      </w:r>
    </w:p>
    <w:p>
      <w:pPr>
        <w:pStyle w:val="TextBody"/>
        <w:spacing w:before="120" w:after="0"/>
        <w:jc w:val="left"/>
        <w:rPr>
          <w:rFonts w:ascii="Times New Roman" w:hAnsi="Times New Roman"/>
          <w:b/>
          <w:sz w:val="20"/>
        </w:rPr>
      </w:pPr>
      <w:r>
        <w:rPr>
          <w:rFonts w:ascii="Times New Roman" w:hAnsi="Times New Roman"/>
          <w:b/>
          <w:sz w:val="20"/>
        </w:rPr>
        <w:t xml:space="preserve">December 31, 2019 and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11"/>
        <w:gridCol w:w="220"/>
        <w:gridCol w:w="141"/>
        <w:gridCol w:w="1124"/>
        <w:gridCol w:w="60"/>
        <w:gridCol w:w="220"/>
        <w:gridCol w:w="141"/>
        <w:gridCol w:w="1124"/>
        <w:gridCol w:w="64"/>
      </w:tblGrid>
      <w:tr>
        <w:trPr/>
        <w:tc>
          <w:tcPr>
            <w:tcW w:w="711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71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14,797,056</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11,661,106</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 net</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14,450,236</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25,612,891</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costs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865,429</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825,881</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873,176</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1,174,649</w:t>
            </w:r>
          </w:p>
        </w:tc>
        <w:tc>
          <w:tcPr>
            <w:tcW w:w="64" w:type="dxa"/>
            <w:tcBorders/>
            <w:shd w:fill="auto"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30,985,897</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39,274,527</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rHeight w:val="120" w:hRule="atLeast"/>
        </w:trPr>
        <w:tc>
          <w:tcPr>
            <w:tcW w:w="7111" w:type="dxa"/>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Noncurrent assets: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1,432,097</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1,870,128</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Internally developed software, net</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9,559,880</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11,418,470</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costs, less current portion</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3,028,740</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2,820,013</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 net</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232,520</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299,786</w:t>
            </w:r>
          </w:p>
        </w:tc>
        <w:tc>
          <w:tcPr>
            <w:tcW w:w="64" w:type="dxa"/>
            <w:tcBorders/>
            <w:shd w:fill="auto"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Total noncurrent assets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14,253,237</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16,408,397</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w:t>
            </w:r>
          </w:p>
        </w:tc>
        <w:tc>
          <w:tcPr>
            <w:tcW w:w="1124" w:type="dxa"/>
            <w:tcBorders/>
            <w:shd w:fill="auto" w:val="clear"/>
            <w:vAlign w:val="bottom"/>
          </w:tcPr>
          <w:p>
            <w:pPr>
              <w:pStyle w:val="TableContents"/>
              <w:spacing w:before="0" w:after="283"/>
              <w:jc w:val="right"/>
              <w:rPr/>
            </w:pPr>
            <w:r>
              <w:rPr/>
              <w:t>45,239,134</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w:t>
            </w:r>
          </w:p>
        </w:tc>
        <w:tc>
          <w:tcPr>
            <w:tcW w:w="1124" w:type="dxa"/>
            <w:tcBorders/>
            <w:shd w:fill="auto" w:val="clear"/>
            <w:vAlign w:val="bottom"/>
          </w:tcPr>
          <w:p>
            <w:pPr>
              <w:pStyle w:val="TableContents"/>
              <w:spacing w:before="0" w:after="283"/>
              <w:jc w:val="right"/>
              <w:rPr/>
            </w:pPr>
            <w:r>
              <w:rPr/>
              <w:t>55,682,924</w:t>
            </w:r>
          </w:p>
        </w:tc>
        <w:tc>
          <w:tcPr>
            <w:tcW w:w="64" w:type="dxa"/>
            <w:tcBorders/>
            <w:shd w:fill="auto"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2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24"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rHeight w:val="120" w:hRule="atLeast"/>
        </w:trPr>
        <w:tc>
          <w:tcPr>
            <w:tcW w:w="7111" w:type="dxa"/>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7111"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and Shareholders Deficit</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 and accrued expenses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12,847,190</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19,285,181</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Purchasing card payable</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16,627,159</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21,616,026</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7,700,159</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10,907,753</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Borrowings under revolving line of credit</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6,876,207</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7,500,000</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Current portion of subordinated notes payable</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2,666,667</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2,666,667</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Current portion of capital lease obligations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356,280</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1,169,451</w:t>
            </w:r>
          </w:p>
        </w:tc>
        <w:tc>
          <w:tcPr>
            <w:tcW w:w="64" w:type="dxa"/>
            <w:tcBorders/>
            <w:shd w:fill="auto"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47,073,662</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63,145,078</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rHeight w:val="120" w:hRule="atLeast"/>
        </w:trPr>
        <w:tc>
          <w:tcPr>
            <w:tcW w:w="7111" w:type="dxa"/>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Long-term liabilities: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5,917,398</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8,447,717</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Deferred rent expense</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799,413</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1,115,261</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Capital lease obligations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498,849</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230,375</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Subordinated notes payable, net</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12,202,825</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7,278,337</w:t>
            </w:r>
          </w:p>
        </w:tc>
        <w:tc>
          <w:tcPr>
            <w:tcW w:w="64" w:type="dxa"/>
            <w:tcBorders/>
            <w:shd w:fill="auto"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Total long-term liabilities</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19,418,485</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17,071,690</w:t>
            </w:r>
          </w:p>
        </w:tc>
        <w:tc>
          <w:tcPr>
            <w:tcW w:w="64" w:type="dxa"/>
            <w:tcBorders/>
            <w:shd w:fill="CCEEFF"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66,492,147</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80,216,768</w:t>
            </w:r>
          </w:p>
        </w:tc>
        <w:tc>
          <w:tcPr>
            <w:tcW w:w="64" w:type="dxa"/>
            <w:tcBorders/>
            <w:shd w:fill="auto" w:val="clear"/>
            <w:vAlign w:val="bottom"/>
          </w:tcPr>
          <w:p>
            <w:pPr>
              <w:pStyle w:val="TableContents"/>
              <w:spacing w:before="0" w:after="283"/>
              <w:rPr/>
            </w:pPr>
            <w:r>
              <w:rPr/>
              <w:t> </w:t>
            </w:r>
          </w:p>
        </w:tc>
      </w:tr>
      <w:tr>
        <w:trPr/>
        <w:tc>
          <w:tcPr>
            <w:tcW w:w="7111"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2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rHeight w:val="120" w:hRule="atLeast"/>
        </w:trPr>
        <w:tc>
          <w:tcPr>
            <w:tcW w:w="7111" w:type="dxa"/>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Shareholders deficit:</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7111" w:type="dxa"/>
            <w:tcBorders/>
            <w:shd w:fill="auto" w:val="clear"/>
          </w:tcPr>
          <w:p>
            <w:pPr>
              <w:pStyle w:val="TableContents"/>
              <w:spacing w:before="0" w:after="0"/>
              <w:rPr>
                <w:rFonts w:ascii="Times New Roman" w:hAnsi="Times New Roman"/>
                <w:sz w:val="20"/>
              </w:rPr>
            </w:pPr>
            <w:r>
              <w:rPr>
                <w:rFonts w:ascii="Times New Roman" w:hAnsi="Times New Roman"/>
                <w:sz w:val="20"/>
              </w:rPr>
              <w:t>Series A redeemable preferred stock</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77,893,303</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36,815,087</w:t>
            </w:r>
          </w:p>
        </w:tc>
        <w:tc>
          <w:tcPr>
            <w:tcW w:w="64" w:type="dxa"/>
            <w:tcBorders/>
            <w:shd w:fill="auto" w:val="clear"/>
            <w:vAlign w:val="bottom"/>
          </w:tcPr>
          <w:p>
            <w:pPr>
              <w:pStyle w:val="TableContents"/>
              <w:spacing w:before="0" w:after="283"/>
              <w:rPr/>
            </w:pPr>
            <w:r>
              <w:rPr/>
              <w:t> </w:t>
            </w:r>
          </w:p>
        </w:tc>
      </w:tr>
      <w:tr>
        <w:trPr/>
        <w:tc>
          <w:tcPr>
            <w:tcW w:w="7111"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5,108</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5,104</w:t>
            </w:r>
          </w:p>
        </w:tc>
        <w:tc>
          <w:tcPr>
            <w:tcW w:w="64"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750"/>
        <w:gridCol w:w="222"/>
        <w:gridCol w:w="148"/>
        <w:gridCol w:w="1213"/>
        <w:gridCol w:w="155"/>
        <w:gridCol w:w="194"/>
        <w:gridCol w:w="148"/>
        <w:gridCol w:w="1213"/>
        <w:gridCol w:w="162"/>
      </w:tblGrid>
      <w:tr>
        <w:trPr/>
        <w:tc>
          <w:tcPr>
            <w:tcW w:w="675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750"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 in capital</w:t>
            </w:r>
          </w:p>
        </w:tc>
        <w:tc>
          <w:tcPr>
            <w:tcW w:w="22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(8,529,011</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(8,942,357</w:t>
            </w:r>
          </w:p>
        </w:tc>
        <w:tc>
          <w:tcPr>
            <w:tcW w:w="162" w:type="dxa"/>
            <w:tcBorders/>
            <w:shd w:fill="CCEEFF" w:val="clear"/>
            <w:vAlign w:val="bottom"/>
          </w:tcPr>
          <w:p>
            <w:pPr>
              <w:pStyle w:val="TableContents"/>
              <w:spacing w:before="0" w:after="283"/>
              <w:rPr/>
            </w:pPr>
            <w:r>
              <w:rPr/>
              <w:t>) </w:t>
            </w:r>
          </w:p>
        </w:tc>
      </w:tr>
      <w:tr>
        <w:trPr/>
        <w:tc>
          <w:tcPr>
            <w:tcW w:w="6750"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(90,446,029</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(52,111,907</w:t>
            </w:r>
          </w:p>
        </w:tc>
        <w:tc>
          <w:tcPr>
            <w:tcW w:w="162" w:type="dxa"/>
            <w:tcBorders/>
            <w:shd w:fill="auto" w:val="clear"/>
            <w:vAlign w:val="bottom"/>
          </w:tcPr>
          <w:p>
            <w:pPr>
              <w:pStyle w:val="TableContents"/>
              <w:spacing w:before="0" w:after="283"/>
              <w:rPr/>
            </w:pPr>
            <w:r>
              <w:rPr/>
              <w:t>) </w:t>
            </w:r>
          </w:p>
        </w:tc>
      </w:tr>
      <w:tr>
        <w:trPr/>
        <w:tc>
          <w:tcPr>
            <w:tcW w:w="6750"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other comprehensive loss</w:t>
            </w:r>
          </w:p>
        </w:tc>
        <w:tc>
          <w:tcPr>
            <w:tcW w:w="22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(176,384</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(299,771</w:t>
            </w:r>
          </w:p>
        </w:tc>
        <w:tc>
          <w:tcPr>
            <w:tcW w:w="162" w:type="dxa"/>
            <w:tcBorders/>
            <w:shd w:fill="CCEEFF" w:val="clear"/>
            <w:vAlign w:val="bottom"/>
          </w:tcPr>
          <w:p>
            <w:pPr>
              <w:pStyle w:val="TableContents"/>
              <w:spacing w:before="0" w:after="283"/>
              <w:rPr/>
            </w:pPr>
            <w:r>
              <w:rPr/>
              <w:t>) </w:t>
            </w:r>
          </w:p>
        </w:tc>
      </w:tr>
      <w:tr>
        <w:trPr/>
        <w:tc>
          <w:tcPr>
            <w:tcW w:w="675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2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21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6750" w:type="dxa"/>
            <w:tcBorders/>
            <w:shd w:fill="auto" w:val="clear"/>
          </w:tcPr>
          <w:p>
            <w:pPr>
              <w:pStyle w:val="TableContents"/>
              <w:spacing w:before="0" w:after="0"/>
              <w:rPr>
                <w:rFonts w:ascii="Times New Roman" w:hAnsi="Times New Roman"/>
                <w:sz w:val="20"/>
              </w:rPr>
            </w:pPr>
            <w:r>
              <w:rPr>
                <w:rFonts w:ascii="Times New Roman" w:hAnsi="Times New Roman"/>
                <w:sz w:val="20"/>
              </w:rPr>
              <w:t>Total shareholders deficit</w:t>
            </w:r>
          </w:p>
        </w:tc>
        <w:tc>
          <w:tcPr>
            <w:tcW w:w="2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(21,253,013</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(24,533,844</w:t>
            </w:r>
          </w:p>
        </w:tc>
        <w:tc>
          <w:tcPr>
            <w:tcW w:w="162" w:type="dxa"/>
            <w:tcBorders/>
            <w:shd w:fill="auto" w:val="clear"/>
            <w:vAlign w:val="bottom"/>
          </w:tcPr>
          <w:p>
            <w:pPr>
              <w:pStyle w:val="TableContents"/>
              <w:spacing w:before="0" w:after="283"/>
              <w:rPr/>
            </w:pPr>
            <w:r>
              <w:rPr/>
              <w:t>) </w:t>
            </w:r>
          </w:p>
        </w:tc>
      </w:tr>
      <w:tr>
        <w:trPr/>
        <w:tc>
          <w:tcPr>
            <w:tcW w:w="675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2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21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6750"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and shareholders deficit</w:t>
            </w:r>
          </w:p>
        </w:tc>
        <w:tc>
          <w:tcPr>
            <w:tcW w:w="22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45,239,134</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55,682,924</w:t>
            </w:r>
          </w:p>
        </w:tc>
        <w:tc>
          <w:tcPr>
            <w:tcW w:w="162" w:type="dxa"/>
            <w:tcBorders/>
            <w:shd w:fill="CCEEFF" w:val="clear"/>
            <w:vAlign w:val="bottom"/>
          </w:tcPr>
          <w:p>
            <w:pPr>
              <w:pStyle w:val="TableContents"/>
              <w:spacing w:before="0" w:after="283"/>
              <w:rPr/>
            </w:pPr>
            <w:r>
              <w:rPr/>
              <w:t> </w:t>
            </w:r>
          </w:p>
        </w:tc>
      </w:tr>
      <w:tr>
        <w:trPr/>
        <w:tc>
          <w:tcPr>
            <w:tcW w:w="675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21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21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B2S Holdings, Inc. and Subsidiaries </w:t>
      </w:r>
    </w:p>
    <w:p>
      <w:pPr>
        <w:pStyle w:val="TextBody"/>
        <w:spacing w:before="120" w:after="0"/>
        <w:jc w:val="left"/>
        <w:rPr>
          <w:rFonts w:ascii="Times New Roman" w:hAnsi="Times New Roman"/>
          <w:b/>
          <w:sz w:val="20"/>
        </w:rPr>
      </w:pPr>
      <w:bookmarkStart w:id="127" w:name="fin108105_22"/>
      <w:bookmarkEnd w:id="127"/>
      <w:r>
        <w:rPr>
          <w:rFonts w:ascii="Times New Roman" w:hAnsi="Times New Roman"/>
          <w:b/>
          <w:sz w:val="20"/>
        </w:rPr>
        <w:t xml:space="preserve">Consolidated Statements of Operations and Comprehensive Income (Loss) </w:t>
      </w:r>
    </w:p>
    <w:p>
      <w:pPr>
        <w:pStyle w:val="TextBody"/>
        <w:spacing w:before="120" w:after="0"/>
        <w:jc w:val="left"/>
        <w:rPr>
          <w:rFonts w:ascii="Times New Roman" w:hAnsi="Times New Roman"/>
          <w:b/>
          <w:sz w:val="20"/>
        </w:rPr>
      </w:pPr>
      <w:r>
        <w:rPr>
          <w:rFonts w:ascii="Times New Roman" w:hAnsi="Times New Roman"/>
          <w:b/>
          <w:sz w:val="20"/>
        </w:rPr>
        <w:t xml:space="preserve">For the Years Ended December 31, 2019 and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990"/>
        <w:gridCol w:w="222"/>
        <w:gridCol w:w="140"/>
        <w:gridCol w:w="1102"/>
        <w:gridCol w:w="156"/>
        <w:gridCol w:w="193"/>
        <w:gridCol w:w="140"/>
        <w:gridCol w:w="1102"/>
        <w:gridCol w:w="160"/>
      </w:tblGrid>
      <w:tr>
        <w:trPr/>
        <w:tc>
          <w:tcPr>
            <w:tcW w:w="699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9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60" w:type="dxa"/>
            <w:tcBorders/>
            <w:shd w:fill="auto" w:val="clear"/>
            <w:vAlign w:val="bottom"/>
          </w:tcPr>
          <w:p>
            <w:pPr>
              <w:pStyle w:val="TableContents"/>
              <w:spacing w:before="0" w:after="283"/>
              <w:rPr/>
            </w:pPr>
            <w:r>
              <w:rPr/>
              <w:t> </w:t>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Transaction</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9,692,307</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12,468,911</w:t>
            </w:r>
          </w:p>
        </w:tc>
        <w:tc>
          <w:tcPr>
            <w:tcW w:w="160" w:type="dxa"/>
            <w:tcBorders/>
            <w:shd w:fill="auto" w:val="clear"/>
            <w:vAlign w:val="bottom"/>
          </w:tcPr>
          <w:p>
            <w:pPr>
              <w:pStyle w:val="TableContents"/>
              <w:spacing w:before="0" w:after="283"/>
              <w:rPr/>
            </w:pPr>
            <w:r>
              <w:rPr/>
              <w:t> </w:t>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Subscription</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12,822,951</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12,183,477</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Services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21,782,190</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18,487,504</w:t>
            </w:r>
          </w:p>
        </w:tc>
        <w:tc>
          <w:tcPr>
            <w:tcW w:w="160" w:type="dxa"/>
            <w:tcBorders/>
            <w:shd w:fill="auto"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Total revenues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44,297,448</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43,139,892</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Salary and compensation expense</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24,306,975</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27,586,040</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Other selling, general and administrative expenses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6,950,155</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5,863,390</w:t>
            </w:r>
          </w:p>
        </w:tc>
        <w:tc>
          <w:tcPr>
            <w:tcW w:w="160" w:type="dxa"/>
            <w:tcBorders/>
            <w:shd w:fill="auto" w:val="clear"/>
            <w:vAlign w:val="bottom"/>
          </w:tcPr>
          <w:p>
            <w:pPr>
              <w:pStyle w:val="TableContents"/>
              <w:spacing w:before="0" w:after="283"/>
              <w:rPr/>
            </w:pPr>
            <w:r>
              <w:rPr/>
              <w:t> </w:t>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6,807,284</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8,274,727</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38,064,414</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41,724,157</w:t>
            </w:r>
          </w:p>
        </w:tc>
        <w:tc>
          <w:tcPr>
            <w:tcW w:w="160" w:type="dxa"/>
            <w:tcBorders/>
            <w:shd w:fill="auto"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Income from operations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6,233,034</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1,415,735</w:t>
            </w:r>
          </w:p>
        </w:tc>
        <w:tc>
          <w:tcPr>
            <w:tcW w:w="160" w:type="dxa"/>
            <w:tcBorders/>
            <w:shd w:fill="CCEEFF" w:val="clear"/>
            <w:vAlign w:val="bottom"/>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 (expense):</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Interest</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(2,730,720</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(4,438,345</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Settlement</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3,000,000</w:t>
            </w:r>
          </w:p>
        </w:tc>
        <w:tc>
          <w:tcPr>
            <w:tcW w:w="160" w:type="dxa"/>
            <w:tcBorders/>
            <w:shd w:fill="auto" w:val="clear"/>
            <w:vAlign w:val="bottom"/>
          </w:tcPr>
          <w:p>
            <w:pPr>
              <w:pStyle w:val="TableContents"/>
              <w:spacing w:before="0" w:after="283"/>
              <w:rPr/>
            </w:pPr>
            <w:r>
              <w:rPr/>
              <w:t> </w:t>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transaction losses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(648,403</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(500,733</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Other</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(109,817</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(19,756</w:t>
            </w:r>
          </w:p>
        </w:tc>
        <w:tc>
          <w:tcPr>
            <w:tcW w:w="160" w:type="dxa"/>
            <w:tcBorders/>
            <w:shd w:fill="auto"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Income (loss) before income taxes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2,744,094</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(543,099</w:t>
            </w:r>
          </w:p>
        </w:tc>
        <w:tc>
          <w:tcPr>
            <w:tcW w:w="160" w:type="dxa"/>
            <w:tcBorders/>
            <w:shd w:fill="CCEEFF" w:val="clear"/>
            <w:vAlign w:val="bottom"/>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Net income (loss)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2,744,094</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(543,099</w:t>
            </w:r>
          </w:p>
        </w:tc>
        <w:tc>
          <w:tcPr>
            <w:tcW w:w="160" w:type="dxa"/>
            <w:tcBorders/>
            <w:shd w:fill="CCEEFF" w:val="clear"/>
            <w:vAlign w:val="bottom"/>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auto" w:val="clear"/>
          </w:tcPr>
          <w:p>
            <w:pPr>
              <w:pStyle w:val="TableContents"/>
              <w:spacing w:before="0" w:after="0"/>
              <w:rPr>
                <w:rFonts w:ascii="Times New Roman" w:hAnsi="Times New Roman"/>
                <w:sz w:val="20"/>
              </w:rPr>
            </w:pPr>
            <w:r>
              <w:rPr>
                <w:rFonts w:ascii="Times New Roman" w:hAnsi="Times New Roman"/>
                <w:sz w:val="20"/>
              </w:rPr>
              <w:t>Currency translation adjustment</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123,387</w:t>
            </w:r>
          </w:p>
        </w:tc>
        <w:tc>
          <w:tcPr>
            <w:tcW w:w="15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(271,514</w:t>
            </w:r>
          </w:p>
        </w:tc>
        <w:tc>
          <w:tcPr>
            <w:tcW w:w="160" w:type="dxa"/>
            <w:tcBorders/>
            <w:shd w:fill="auto"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120" w:hRule="atLeast"/>
        </w:trPr>
        <w:tc>
          <w:tcPr>
            <w:tcW w:w="6990" w:type="dxa"/>
            <w:tcBorders/>
            <w:shd w:fill="auto" w:val="clear"/>
            <w:vAlign w:val="center"/>
          </w:tcPr>
          <w:p>
            <w:pPr>
              <w:pStyle w:val="TableContents"/>
              <w:spacing w:before="0" w:after="283"/>
              <w:rPr>
                <w:sz w:val="4"/>
                <w:szCs w:val="4"/>
              </w:rPr>
            </w:pPr>
            <w:r>
              <w:rPr>
                <w:sz w:val="4"/>
                <w:szCs w:val="4"/>
              </w:rPr>
            </w:r>
          </w:p>
        </w:tc>
        <w:tc>
          <w:tcPr>
            <w:tcW w:w="162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990" w:type="dxa"/>
            <w:tcBorders/>
            <w:shd w:fill="CCEEFF" w:val="clear"/>
          </w:tcPr>
          <w:p>
            <w:pPr>
              <w:pStyle w:val="TableContents"/>
              <w:spacing w:before="0" w:after="0"/>
              <w:rPr>
                <w:rFonts w:ascii="Times New Roman" w:hAnsi="Times New Roman"/>
                <w:sz w:val="20"/>
              </w:rPr>
            </w:pPr>
            <w:r>
              <w:rPr>
                <w:rFonts w:ascii="Times New Roman" w:hAnsi="Times New Roman"/>
                <w:sz w:val="20"/>
              </w:rPr>
              <w:t>Comprehensive income (loss)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2,867,481</w:t>
            </w:r>
          </w:p>
        </w:tc>
        <w:tc>
          <w:tcPr>
            <w:tcW w:w="15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(814,613</w:t>
            </w:r>
          </w:p>
        </w:tc>
        <w:tc>
          <w:tcPr>
            <w:tcW w:w="160" w:type="dxa"/>
            <w:tcBorders/>
            <w:shd w:fill="CCEEFF" w:val="clear"/>
            <w:vAlign w:val="bottom"/>
          </w:tcPr>
          <w:p>
            <w:pPr>
              <w:pStyle w:val="TableContents"/>
              <w:spacing w:before="0" w:after="283"/>
              <w:rPr/>
            </w:pPr>
            <w:r>
              <w:rPr/>
              <w:t>) </w:t>
            </w:r>
          </w:p>
        </w:tc>
      </w:tr>
      <w:tr>
        <w:trPr/>
        <w:tc>
          <w:tcPr>
            <w:tcW w:w="699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2"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B2S Holdings, Inc. and Subsidiaries </w:t>
      </w:r>
    </w:p>
    <w:p>
      <w:pPr>
        <w:pStyle w:val="TextBody"/>
        <w:spacing w:before="120" w:after="0"/>
        <w:jc w:val="left"/>
        <w:rPr>
          <w:rFonts w:ascii="Times New Roman" w:hAnsi="Times New Roman"/>
          <w:b/>
          <w:sz w:val="20"/>
        </w:rPr>
      </w:pPr>
      <w:bookmarkStart w:id="128" w:name="fin108105_23"/>
      <w:bookmarkEnd w:id="128"/>
      <w:r>
        <w:rPr>
          <w:rFonts w:ascii="Times New Roman" w:hAnsi="Times New Roman"/>
          <w:b/>
          <w:sz w:val="20"/>
        </w:rPr>
        <w:t xml:space="preserve">Consolidated Statements of Changes in Shareholders Deficit </w:t>
      </w:r>
    </w:p>
    <w:p>
      <w:pPr>
        <w:pStyle w:val="TextBody"/>
        <w:spacing w:before="120" w:after="0"/>
        <w:jc w:val="left"/>
        <w:rPr>
          <w:rFonts w:ascii="Times New Roman" w:hAnsi="Times New Roman"/>
          <w:b/>
          <w:sz w:val="20"/>
        </w:rPr>
      </w:pPr>
      <w:r>
        <w:rPr>
          <w:rFonts w:ascii="Times New Roman" w:hAnsi="Times New Roman"/>
          <w:b/>
          <w:sz w:val="20"/>
        </w:rPr>
        <w:t xml:space="preserve">For the Years Ended December 31, 2019 and 2018 </w:t>
      </w:r>
    </w:p>
    <w:p>
      <w:pPr>
        <w:pStyle w:val="TextBody"/>
        <w:spacing w:before="0" w:after="0"/>
        <w:jc w:val="left"/>
        <w:rPr/>
      </w:pPr>
      <w:r>
        <w:rPr/>
        <w:t> </w:t>
      </w:r>
    </w:p>
    <w:tbl>
      <w:tblPr>
        <w:tblW w:w="12245" w:type="dxa"/>
        <w:jc w:val="center"/>
        <w:tblInd w:w="0" w:type="dxa"/>
        <w:tblCellMar>
          <w:top w:w="0" w:type="dxa"/>
          <w:left w:w="0" w:type="dxa"/>
          <w:bottom w:w="0" w:type="dxa"/>
          <w:right w:w="0" w:type="dxa"/>
        </w:tblCellMar>
      </w:tblPr>
      <w:tblGrid>
        <w:gridCol w:w="1160"/>
        <w:gridCol w:w="60"/>
        <w:gridCol w:w="60"/>
        <w:gridCol w:w="980"/>
        <w:gridCol w:w="60"/>
        <w:gridCol w:w="60"/>
        <w:gridCol w:w="140"/>
        <w:gridCol w:w="1100"/>
        <w:gridCol w:w="60"/>
        <w:gridCol w:w="60"/>
        <w:gridCol w:w="60"/>
        <w:gridCol w:w="980"/>
        <w:gridCol w:w="60"/>
        <w:gridCol w:w="60"/>
        <w:gridCol w:w="140"/>
        <w:gridCol w:w="560"/>
        <w:gridCol w:w="60"/>
        <w:gridCol w:w="60"/>
        <w:gridCol w:w="140"/>
        <w:gridCol w:w="1055"/>
        <w:gridCol w:w="155"/>
        <w:gridCol w:w="60"/>
        <w:gridCol w:w="145"/>
        <w:gridCol w:w="1225"/>
        <w:gridCol w:w="155"/>
        <w:gridCol w:w="60"/>
        <w:gridCol w:w="222"/>
        <w:gridCol w:w="1388"/>
        <w:gridCol w:w="155"/>
        <w:gridCol w:w="60"/>
        <w:gridCol w:w="165"/>
        <w:gridCol w:w="1385"/>
        <w:gridCol w:w="155"/>
      </w:tblGrid>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Series A Redeemable</w:t>
              <w:br/>
              <w:t>Preferred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Par</w:t>
              <w:br/>
              <w:t>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 in</w:t>
              <w:br/>
              <w:t>Capital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Other</w:t>
              <w:br/>
              <w:t>Comprehensive</w:t>
              <w:br/>
              <w:t>Loss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Shareholders</w:t>
              <w:br/>
              <w:t>Deficit</w:t>
            </w:r>
          </w:p>
        </w:tc>
        <w:tc>
          <w:tcPr>
            <w:tcW w:w="155"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Balance at December 31, 2017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3,371,345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31,975,782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5,103,434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5,104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55" w:type="dxa"/>
            <w:tcBorders/>
            <w:shd w:fill="CCEEFF" w:val="clear"/>
            <w:vAlign w:val="bottom"/>
          </w:tcPr>
          <w:p>
            <w:pPr>
              <w:pStyle w:val="TableContents"/>
              <w:spacing w:before="0" w:after="283"/>
              <w:jc w:val="right"/>
              <w:rPr/>
            </w:pPr>
            <w:r>
              <w:rPr/>
              <w:t>(8,963,821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225" w:type="dxa"/>
            <w:tcBorders/>
            <w:shd w:fill="CCEEFF" w:val="clear"/>
            <w:vAlign w:val="bottom"/>
          </w:tcPr>
          <w:p>
            <w:pPr>
              <w:pStyle w:val="TableContents"/>
              <w:spacing w:before="0" w:after="283"/>
              <w:jc w:val="right"/>
              <w:rPr/>
            </w:pPr>
            <w:r>
              <w:rPr/>
              <w:t>(46,729,503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388" w:type="dxa"/>
            <w:tcBorders/>
            <w:shd w:fill="CCEEFF" w:val="clear"/>
            <w:vAlign w:val="bottom"/>
          </w:tcPr>
          <w:p>
            <w:pPr>
              <w:pStyle w:val="TableContents"/>
              <w:spacing w:before="0" w:after="283"/>
              <w:jc w:val="right"/>
              <w:rPr/>
            </w:pPr>
            <w:r>
              <w:rPr/>
              <w:t>(28,257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1385" w:type="dxa"/>
            <w:tcBorders/>
            <w:shd w:fill="CCEEFF" w:val="clear"/>
            <w:vAlign w:val="bottom"/>
          </w:tcPr>
          <w:p>
            <w:pPr>
              <w:pStyle w:val="TableContents"/>
              <w:spacing w:before="0" w:after="283"/>
              <w:jc w:val="right"/>
              <w:rPr/>
            </w:pPr>
            <w:r>
              <w:rPr/>
              <w:t>(23,740,695</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tcPr>
          <w:p>
            <w:pPr>
              <w:pStyle w:val="TableContents"/>
              <w:spacing w:before="0" w:after="0"/>
              <w:rPr>
                <w:rFonts w:ascii="Times New Roman" w:hAnsi="Times New Roman"/>
                <w:sz w:val="19"/>
              </w:rPr>
            </w:pPr>
            <w:r>
              <w:rPr>
                <w:rFonts w:ascii="Times New Roman" w:hAnsi="Times New Roman"/>
                <w:sz w:val="19"/>
              </w:rPr>
              <w:t>Stock compensation expense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21,464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21,464</w:t>
            </w:r>
          </w:p>
        </w:tc>
        <w:tc>
          <w:tcPr>
            <w:tcW w:w="155"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Cumulative translation adjustment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(271,514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385" w:type="dxa"/>
            <w:tcBorders/>
            <w:shd w:fill="CCEEFF" w:val="clear"/>
            <w:vAlign w:val="bottom"/>
          </w:tcPr>
          <w:p>
            <w:pPr>
              <w:pStyle w:val="TableContents"/>
              <w:spacing w:before="0" w:after="283"/>
              <w:jc w:val="right"/>
              <w:rPr/>
            </w:pPr>
            <w:r>
              <w:rPr/>
              <w:t>(271,514</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tcPr>
          <w:p>
            <w:pPr>
              <w:pStyle w:val="TableContents"/>
              <w:spacing w:before="0" w:after="0"/>
              <w:rPr>
                <w:rFonts w:ascii="Times New Roman" w:hAnsi="Times New Roman"/>
                <w:sz w:val="19"/>
              </w:rPr>
            </w:pPr>
            <w:r>
              <w:rPr>
                <w:rFonts w:ascii="Times New Roman" w:hAnsi="Times New Roman"/>
                <w:sz w:val="19"/>
              </w:rPr>
              <w:t>Preferred stock accretion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4,839,305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(4,839,305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Net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(543,099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385" w:type="dxa"/>
            <w:tcBorders/>
            <w:shd w:fill="CCEEFF" w:val="clear"/>
            <w:vAlign w:val="bottom"/>
          </w:tcPr>
          <w:p>
            <w:pPr>
              <w:pStyle w:val="TableContents"/>
              <w:spacing w:before="0" w:after="283"/>
              <w:jc w:val="right"/>
              <w:rPr/>
            </w:pPr>
            <w:r>
              <w:rPr/>
              <w:t>(543,099</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13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160" w:type="dxa"/>
            <w:tcBorders/>
            <w:shd w:fill="auto" w:val="clear"/>
          </w:tcPr>
          <w:p>
            <w:pPr>
              <w:pStyle w:val="TableContents"/>
              <w:spacing w:before="0" w:after="0"/>
              <w:rPr>
                <w:rFonts w:ascii="Times New Roman" w:hAnsi="Times New Roman"/>
                <w:sz w:val="19"/>
              </w:rPr>
            </w:pPr>
            <w:r>
              <w:rPr>
                <w:rFonts w:ascii="Times New Roman" w:hAnsi="Times New Roman"/>
                <w:sz w:val="19"/>
              </w:rPr>
              <w:t>Balance at December 31, 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3,371,345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36,815,087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5,103,434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5,104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(8,942,357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(52,111,907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(299,771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(24,533,844</w:t>
            </w:r>
          </w:p>
        </w:tc>
        <w:tc>
          <w:tcPr>
            <w:tcW w:w="155"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Options exercised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3,958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6,764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385" w:type="dxa"/>
            <w:tcBorders/>
            <w:shd w:fill="CCEEFF" w:val="clear"/>
            <w:vAlign w:val="bottom"/>
          </w:tcPr>
          <w:p>
            <w:pPr>
              <w:pStyle w:val="TableContents"/>
              <w:spacing w:before="0" w:after="283"/>
              <w:jc w:val="right"/>
              <w:rPr/>
            </w:pPr>
            <w:r>
              <w:rPr/>
              <w:t>6,768</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tcPr>
          <w:p>
            <w:pPr>
              <w:pStyle w:val="TableContents"/>
              <w:spacing w:before="0" w:after="0"/>
              <w:rPr>
                <w:rFonts w:ascii="Times New Roman" w:hAnsi="Times New Roman"/>
                <w:sz w:val="19"/>
              </w:rPr>
            </w:pPr>
            <w:r>
              <w:rPr>
                <w:rFonts w:ascii="Times New Roman" w:hAnsi="Times New Roman"/>
                <w:sz w:val="19"/>
              </w:rPr>
              <w:t>Capital contributions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390,125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390,125</w:t>
            </w:r>
          </w:p>
        </w:tc>
        <w:tc>
          <w:tcPr>
            <w:tcW w:w="155"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Stock compensation expense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16,457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385" w:type="dxa"/>
            <w:tcBorders/>
            <w:shd w:fill="CCEEFF" w:val="clear"/>
            <w:vAlign w:val="bottom"/>
          </w:tcPr>
          <w:p>
            <w:pPr>
              <w:pStyle w:val="TableContents"/>
              <w:spacing w:before="0" w:after="283"/>
              <w:jc w:val="right"/>
              <w:rPr/>
            </w:pPr>
            <w:r>
              <w:rPr/>
              <w:t>16,457</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tcPr>
          <w:p>
            <w:pPr>
              <w:pStyle w:val="TableContents"/>
              <w:spacing w:before="0" w:after="0"/>
              <w:rPr>
                <w:rFonts w:ascii="Times New Roman" w:hAnsi="Times New Roman"/>
                <w:sz w:val="19"/>
              </w:rPr>
            </w:pPr>
            <w:r>
              <w:rPr>
                <w:rFonts w:ascii="Times New Roman" w:hAnsi="Times New Roman"/>
                <w:sz w:val="19"/>
              </w:rPr>
              <w:t>Cumulative translation adjustment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123,387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123,387</w:t>
            </w:r>
          </w:p>
        </w:tc>
        <w:tc>
          <w:tcPr>
            <w:tcW w:w="155"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Preferred stock accretion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41,078,216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(41,078,216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38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tcPr>
          <w:p>
            <w:pPr>
              <w:pStyle w:val="TableContents"/>
              <w:spacing w:before="0" w:after="0"/>
              <w:rPr>
                <w:rFonts w:ascii="Times New Roman" w:hAnsi="Times New Roman"/>
                <w:sz w:val="19"/>
              </w:rPr>
            </w:pPr>
            <w:r>
              <w:rPr>
                <w:rFonts w:ascii="Times New Roman" w:hAnsi="Times New Roman"/>
                <w:sz w:val="19"/>
              </w:rPr>
              <w:t>Net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2,744,094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pPr>
            <w:r>
              <w:rPr/>
              <w:t>2,744,094</w:t>
            </w:r>
          </w:p>
        </w:tc>
        <w:tc>
          <w:tcPr>
            <w:tcW w:w="155"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13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19"/>
              </w:rPr>
            </w:pPr>
            <w:r>
              <w:rPr>
                <w:rFonts w:ascii="Times New Roman" w:hAnsi="Times New Roman"/>
                <w:sz w:val="19"/>
              </w:rPr>
              <w:t>Balance at December 31, 2019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3,371,345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77,893,303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5,107,392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5,108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55" w:type="dxa"/>
            <w:tcBorders/>
            <w:shd w:fill="CCEEFF" w:val="clear"/>
            <w:vAlign w:val="bottom"/>
          </w:tcPr>
          <w:p>
            <w:pPr>
              <w:pStyle w:val="TableContents"/>
              <w:spacing w:before="0" w:after="283"/>
              <w:jc w:val="right"/>
              <w:rPr/>
            </w:pPr>
            <w:r>
              <w:rPr/>
              <w:t>(8,529,011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225" w:type="dxa"/>
            <w:tcBorders/>
            <w:shd w:fill="CCEEFF" w:val="clear"/>
            <w:vAlign w:val="bottom"/>
          </w:tcPr>
          <w:p>
            <w:pPr>
              <w:pStyle w:val="TableContents"/>
              <w:spacing w:before="0" w:after="283"/>
              <w:jc w:val="right"/>
              <w:rPr/>
            </w:pPr>
            <w:r>
              <w:rPr/>
              <w:t>(90,446,029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388" w:type="dxa"/>
            <w:tcBorders/>
            <w:shd w:fill="CCEEFF" w:val="clear"/>
            <w:vAlign w:val="bottom"/>
          </w:tcPr>
          <w:p>
            <w:pPr>
              <w:pStyle w:val="TableContents"/>
              <w:spacing w:before="0" w:after="283"/>
              <w:jc w:val="right"/>
              <w:rPr/>
            </w:pPr>
            <w:r>
              <w:rPr/>
              <w:t>(176,384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1385" w:type="dxa"/>
            <w:tcBorders/>
            <w:shd w:fill="CCEEFF" w:val="clear"/>
            <w:vAlign w:val="bottom"/>
          </w:tcPr>
          <w:p>
            <w:pPr>
              <w:pStyle w:val="TableContents"/>
              <w:spacing w:before="0" w:after="283"/>
              <w:jc w:val="right"/>
              <w:rPr/>
            </w:pPr>
            <w:r>
              <w:rPr/>
              <w:t>(21,253,013</w:t>
            </w:r>
          </w:p>
        </w:tc>
        <w:tc>
          <w:tcPr>
            <w:tcW w:w="155" w:type="dxa"/>
            <w:tcBorders/>
            <w:shd w:fill="CCEEFF"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6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5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2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double" w:sz="6" w:space="1" w:color="000000"/>
              </w:pBdr>
              <w:spacing w:before="0" w:after="0"/>
              <w:rPr/>
            </w:pPr>
            <w:r>
              <w:rPr/>
              <w:t> </w:t>
            </w:r>
          </w:p>
        </w:tc>
        <w:tc>
          <w:tcPr>
            <w:tcW w:w="13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double" w:sz="6" w:space="1" w:color="000000"/>
              </w:pBdr>
              <w:spacing w:before="0" w:after="0"/>
              <w:rPr/>
            </w:pPr>
            <w:r>
              <w:rPr/>
              <w:t> </w:t>
            </w:r>
          </w:p>
        </w:tc>
        <w:tc>
          <w:tcPr>
            <w:tcW w:w="138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B2S Holdings, Inc. and Subsidiaries </w:t>
      </w:r>
    </w:p>
    <w:p>
      <w:pPr>
        <w:pStyle w:val="TextBody"/>
        <w:spacing w:before="120" w:after="0"/>
        <w:jc w:val="left"/>
        <w:rPr>
          <w:rFonts w:ascii="Times New Roman" w:hAnsi="Times New Roman"/>
          <w:b/>
          <w:sz w:val="20"/>
        </w:rPr>
      </w:pPr>
      <w:bookmarkStart w:id="129" w:name="fin108105_24"/>
      <w:bookmarkEnd w:id="129"/>
      <w:r>
        <w:rPr>
          <w:rFonts w:ascii="Times New Roman" w:hAnsi="Times New Roman"/>
          <w:b/>
          <w:sz w:val="20"/>
        </w:rPr>
        <w:t xml:space="preserve">Consolidated Statements of Cash Flows </w:t>
      </w:r>
    </w:p>
    <w:p>
      <w:pPr>
        <w:pStyle w:val="TextBody"/>
        <w:spacing w:before="120" w:after="0"/>
        <w:jc w:val="left"/>
        <w:rPr>
          <w:rFonts w:ascii="Times New Roman" w:hAnsi="Times New Roman"/>
          <w:b/>
          <w:sz w:val="20"/>
        </w:rPr>
      </w:pPr>
      <w:r>
        <w:rPr>
          <w:rFonts w:ascii="Times New Roman" w:hAnsi="Times New Roman"/>
          <w:b/>
          <w:sz w:val="20"/>
        </w:rPr>
        <w:t xml:space="preserve">For the Years Ended December 31, 2019 and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719"/>
        <w:gridCol w:w="223"/>
        <w:gridCol w:w="149"/>
        <w:gridCol w:w="1225"/>
        <w:gridCol w:w="157"/>
        <w:gridCol w:w="195"/>
        <w:gridCol w:w="149"/>
        <w:gridCol w:w="1225"/>
        <w:gridCol w:w="163"/>
      </w:tblGrid>
      <w:tr>
        <w:trPr/>
        <w:tc>
          <w:tcPr>
            <w:tcW w:w="671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Cash flows from operating activities: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5"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Net income (loss)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2,744,094</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(543,099</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income (loss) to net cash</w:t>
            </w:r>
          </w:p>
          <w:p>
            <w:pPr>
              <w:pStyle w:val="TableContents"/>
              <w:spacing w:before="0" w:after="20"/>
              <w:rPr>
                <w:rFonts w:ascii="Times New Roman" w:hAnsi="Times New Roman"/>
                <w:sz w:val="20"/>
              </w:rPr>
            </w:pPr>
            <w:r>
              <w:rPr>
                <w:rFonts w:ascii="Times New Roman" w:hAnsi="Times New Roman"/>
                <w:sz w:val="20"/>
              </w:rPr>
              <w:t>provided by (used in) operating activities: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5"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6,807,284</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8,274,727</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Non-cash interest expense</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145,605</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171,139</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Net loss on asset disposition</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129,913</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20,485</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Stock compensation expense</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16,457</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21,464</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11,356,598</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517,671</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Deferred costs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(248,275</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(1,222,504</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 and accrued liabilities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(6,515,900</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(9,676,562</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Purchasing card payable</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(4,988,867</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(3,699,610</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(5,754,425</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(3,625,010</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Other assets and liabilities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56,976</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(145,227</w:t>
            </w:r>
          </w:p>
        </w:tc>
        <w:tc>
          <w:tcPr>
            <w:tcW w:w="163" w:type="dxa"/>
            <w:tcBorders/>
            <w:shd w:fill="auto"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(used in) operating activities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3,749,460</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(9,906,526</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Cash flows from investing activities: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Purchase of property and equipment</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(176,693</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(333,128</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Investment in internally developed software</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(3,769,518</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(5,219,045</w:t>
            </w:r>
          </w:p>
        </w:tc>
        <w:tc>
          <w:tcPr>
            <w:tcW w:w="163" w:type="dxa"/>
            <w:tcBorders/>
            <w:shd w:fill="auto"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(3,946,211</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(5,552,173</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Cash flows from financing activities: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Capital contributions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390,125</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Exercise of options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6,768</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subordinated notes payable</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15,000,000</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Repayments of subordinated notes payable</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(10,623,793</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Cash paid for deferred financing costs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(221,117</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(66,167</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line of credit</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1,500,000</w:t>
            </w:r>
          </w:p>
        </w:tc>
        <w:tc>
          <w:tcPr>
            <w:tcW w:w="163" w:type="dxa"/>
            <w:tcBorders/>
            <w:shd w:fill="auto" w:val="clear"/>
            <w:vAlign w:val="bottom"/>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Payments for capital lease obligations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(1,233,372</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(996,134</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3,318,611</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437,699</w:t>
            </w:r>
          </w:p>
        </w:tc>
        <w:tc>
          <w:tcPr>
            <w:tcW w:w="163" w:type="dxa"/>
            <w:tcBorders/>
            <w:shd w:fill="auto"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exchange rate changes on cash and cash equivalents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14,090</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(33,460</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Increase (decrease) in cash and cash equivalents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3,135,950</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(15,054,460</w:t>
            </w:r>
          </w:p>
        </w:tc>
        <w:tc>
          <w:tcPr>
            <w:tcW w:w="163" w:type="dxa"/>
            <w:tcBorders/>
            <w:shd w:fill="auto" w:val="clear"/>
            <w:vAlign w:val="bottom"/>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equivalentsbeginning of year</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11,661,106</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26,715,566</w:t>
            </w:r>
          </w:p>
        </w:tc>
        <w:tc>
          <w:tcPr>
            <w:tcW w:w="163" w:type="dxa"/>
            <w:tcBorders/>
            <w:shd w:fill="CCEEFF"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equivalentsend of year</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14,797,056</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11,661,106</w:t>
            </w:r>
          </w:p>
        </w:tc>
        <w:tc>
          <w:tcPr>
            <w:tcW w:w="163" w:type="dxa"/>
            <w:tcBorders/>
            <w:shd w:fill="auto" w:val="clear"/>
            <w:vAlign w:val="bottom"/>
          </w:tcPr>
          <w:p>
            <w:pPr>
              <w:pStyle w:val="TableContents"/>
              <w:spacing w:before="0" w:after="283"/>
              <w:rPr/>
            </w:pPr>
            <w:r>
              <w:rPr/>
              <w:t> </w:t>
            </w:r>
          </w:p>
        </w:tc>
      </w:tr>
      <w:tr>
        <w:trPr/>
        <w:tc>
          <w:tcPr>
            <w:tcW w:w="671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225" w:type="dxa"/>
            <w:tcBorders/>
            <w:shd w:fill="auto" w:val="clear"/>
            <w:vAlign w:val="bottom"/>
          </w:tcPr>
          <w:p>
            <w:pPr>
              <w:pStyle w:val="TableContents"/>
              <w:pBdr>
                <w:top w:val="double" w:sz="6"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1225"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719"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Disclosure of Cash Flow Information</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5"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rHeight w:val="75"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Cash paid during the year for interest</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2,743,826</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4,108,495</w:t>
            </w:r>
          </w:p>
        </w:tc>
        <w:tc>
          <w:tcPr>
            <w:tcW w:w="163" w:type="dxa"/>
            <w:tcBorders/>
            <w:shd w:fill="auto" w:val="clear"/>
            <w:vAlign w:val="bottom"/>
          </w:tcPr>
          <w:p>
            <w:pPr>
              <w:pStyle w:val="TableContents"/>
              <w:spacing w:before="0" w:after="283"/>
              <w:rPr/>
            </w:pPr>
            <w:r>
              <w:rPr/>
              <w:t> </w:t>
            </w:r>
          </w:p>
        </w:tc>
      </w:tr>
      <w:tr>
        <w:trPr>
          <w:trHeight w:val="75"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CCEEFF" w:val="clear"/>
          </w:tcPr>
          <w:p>
            <w:pPr>
              <w:pStyle w:val="TableContents"/>
              <w:spacing w:before="0" w:after="0"/>
              <w:rPr>
                <w:rFonts w:ascii="Times New Roman" w:hAnsi="Times New Roman"/>
                <w:sz w:val="20"/>
              </w:rPr>
            </w:pPr>
            <w:r>
              <w:rPr>
                <w:rFonts w:ascii="Times New Roman" w:hAnsi="Times New Roman"/>
                <w:sz w:val="20"/>
              </w:rPr>
              <w:t>Cash paid for income taxes</w:t>
            </w:r>
          </w:p>
        </w:tc>
        <w:tc>
          <w:tcPr>
            <w:tcW w:w="22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225"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225"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rHeight w:val="75" w:hRule="atLeast"/>
        </w:trPr>
        <w:tc>
          <w:tcPr>
            <w:tcW w:w="6719"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32" w:type="dxa"/>
            <w:gridSpan w:val="4"/>
            <w:tcBorders/>
            <w:shd w:fill="auto" w:val="clear"/>
            <w:vAlign w:val="center"/>
          </w:tcPr>
          <w:p>
            <w:pPr>
              <w:pStyle w:val="TableContents"/>
              <w:spacing w:before="0" w:after="283"/>
              <w:rPr>
                <w:sz w:val="4"/>
                <w:szCs w:val="4"/>
              </w:rPr>
            </w:pPr>
            <w:r>
              <w:rPr>
                <w:sz w:val="4"/>
                <w:szCs w:val="4"/>
              </w:rPr>
            </w:r>
          </w:p>
        </w:tc>
      </w:tr>
      <w:tr>
        <w:trPr/>
        <w:tc>
          <w:tcPr>
            <w:tcW w:w="6719" w:type="dxa"/>
            <w:tcBorders/>
            <w:shd w:fill="auto" w:val="clear"/>
          </w:tcPr>
          <w:p>
            <w:pPr>
              <w:pStyle w:val="TableContents"/>
              <w:spacing w:before="0" w:after="0"/>
              <w:rPr>
                <w:rFonts w:ascii="Times New Roman" w:hAnsi="Times New Roman"/>
                <w:sz w:val="20"/>
              </w:rPr>
            </w:pPr>
            <w:r>
              <w:rPr>
                <w:rFonts w:ascii="Times New Roman" w:hAnsi="Times New Roman"/>
                <w:sz w:val="20"/>
              </w:rPr>
              <w:t>Fixed assets acquired through capital leases</w:t>
            </w:r>
          </w:p>
        </w:tc>
        <w:tc>
          <w:tcPr>
            <w:tcW w:w="22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688,675</w:t>
            </w:r>
          </w:p>
        </w:tc>
        <w:tc>
          <w:tcPr>
            <w:tcW w:w="1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5"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B2S Holdings, Inc. and Subsidiaries </w:t>
      </w:r>
    </w:p>
    <w:p>
      <w:pPr>
        <w:pStyle w:val="TextBody"/>
        <w:spacing w:before="360" w:after="0"/>
        <w:jc w:val="left"/>
        <w:rPr>
          <w:rFonts w:ascii="Times New Roman" w:hAnsi="Times New Roman"/>
          <w:b/>
          <w:sz w:val="20"/>
        </w:rPr>
      </w:pPr>
      <w:bookmarkStart w:id="130" w:name="fin108105_25"/>
      <w:bookmarkEnd w:id="130"/>
      <w:r>
        <w:rPr>
          <w:rFonts w:ascii="Times New Roman" w:hAnsi="Times New Roman"/>
          <w:b/>
          <w:sz w:val="20"/>
        </w:rPr>
        <w:t xml:space="preserve">Notes to Consolidated Financial Statements </w:t>
      </w:r>
    </w:p>
    <w:p>
      <w:pPr>
        <w:pStyle w:val="TextBody"/>
        <w:spacing w:before="120" w:after="0"/>
        <w:jc w:val="left"/>
        <w:rPr>
          <w:rFonts w:ascii="Times New Roman" w:hAnsi="Times New Roman"/>
          <w:b/>
          <w:sz w:val="20"/>
        </w:rPr>
      </w:pPr>
      <w:r>
        <w:rPr>
          <w:rFonts w:ascii="Times New Roman" w:hAnsi="Times New Roman"/>
          <w:b/>
          <w:sz w:val="20"/>
        </w:rPr>
        <w:t xml:space="preserve">December 31, 2019 and 2018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728"/>
        <w:gridCol w:w="8477"/>
      </w:tblGrid>
      <w:tr>
        <w:trPr/>
        <w:tc>
          <w:tcPr>
            <w:tcW w:w="1728" w:type="dxa"/>
            <w:tcBorders/>
            <w:shd w:fill="auto" w:val="clear"/>
          </w:tcPr>
          <w:p>
            <w:pPr>
              <w:pStyle w:val="TableContents"/>
              <w:spacing w:before="0" w:after="283"/>
              <w:jc w:val="left"/>
              <w:rPr>
                <w:b/>
              </w:rPr>
            </w:pPr>
            <w:r>
              <w:rPr>
                <w:b/>
              </w:rPr>
              <w:t>Note 1:    Nature</w:t>
            </w:r>
          </w:p>
        </w:tc>
        <w:tc>
          <w:tcPr>
            <w:tcW w:w="847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of Operations and Summary of Significant Accounting Policies </w:t>
            </w:r>
          </w:p>
        </w:tc>
      </w:tr>
    </w:tbl>
    <w:p>
      <w:pPr>
        <w:pStyle w:val="TextBody"/>
        <w:spacing w:before="120" w:after="0"/>
        <w:jc w:val="left"/>
        <w:rPr>
          <w:rFonts w:ascii="Times New Roman" w:hAnsi="Times New Roman"/>
          <w:b/>
          <w:sz w:val="20"/>
        </w:rPr>
      </w:pPr>
      <w:r>
        <w:rPr>
          <w:rFonts w:ascii="Times New Roman" w:hAnsi="Times New Roman"/>
          <w:b/>
          <w:sz w:val="20"/>
        </w:rPr>
        <w:t xml:space="preserve">Nature of Operations </w:t>
      </w:r>
    </w:p>
    <w:p>
      <w:pPr>
        <w:pStyle w:val="TextBody"/>
        <w:spacing w:before="120" w:after="0"/>
        <w:jc w:val="left"/>
        <w:rPr>
          <w:rFonts w:ascii="Times New Roman" w:hAnsi="Times New Roman"/>
          <w:sz w:val="20"/>
        </w:rPr>
      </w:pPr>
      <w:r>
        <w:rPr>
          <w:rFonts w:ascii="Times New Roman" w:hAnsi="Times New Roman"/>
          <w:sz w:val="20"/>
        </w:rPr>
        <w:t xml:space="preserve">Founded in 2006, Bridge2 Solutions (defined below) is a leading software as a service provider, which connects loyalty programs to leading commerce partners allowing consumers to redeem a spectrum of loyalty currencies anytime, anywhere. Bridge2 Solutions service offerings are cloud-based and are delivered through major web browsers and mobile devices. Bridge2 Solutions markets and sells its services principally on a subscription basis to large enterprises through direct selling efforts and partners. </w:t>
      </w:r>
    </w:p>
    <w:p>
      <w:pPr>
        <w:pStyle w:val="TextBody"/>
        <w:spacing w:before="360" w:after="0"/>
        <w:jc w:val="left"/>
        <w:rPr>
          <w:rFonts w:ascii="Times New Roman" w:hAnsi="Times New Roman"/>
          <w:b/>
          <w:sz w:val="20"/>
        </w:rPr>
      </w:pPr>
      <w:r>
        <w:rPr>
          <w:rFonts w:ascii="Times New Roman" w:hAnsi="Times New Roman"/>
          <w:b/>
          <w:sz w:val="20"/>
        </w:rPr>
        <w:t xml:space="preserve">Principles of Consolidation </w:t>
      </w:r>
    </w:p>
    <w:p>
      <w:pPr>
        <w:pStyle w:val="TextBody"/>
        <w:spacing w:before="120" w:after="0"/>
        <w:jc w:val="left"/>
        <w:rPr>
          <w:rFonts w:ascii="Times New Roman" w:hAnsi="Times New Roman"/>
          <w:sz w:val="20"/>
        </w:rPr>
      </w:pPr>
      <w:r>
        <w:rPr>
          <w:rFonts w:ascii="Times New Roman" w:hAnsi="Times New Roman"/>
          <w:sz w:val="20"/>
        </w:rPr>
        <w:t>These consolidated financial statements present the accounts of B2S Holdings, Inc. and its wholly-owned subsidiaries (collectively, the </w:t>
      </w:r>
      <w:r>
        <w:rPr>
          <w:rFonts w:ascii="Times New Roman" w:hAnsi="Times New Roman"/>
          <w:b/>
          <w:sz w:val="20"/>
        </w:rPr>
        <w:t>Company</w:t>
      </w:r>
      <w:r>
        <w:rPr>
          <w:rFonts w:ascii="Times New Roman" w:hAnsi="Times New Roman"/>
          <w:sz w:val="20"/>
        </w:rPr>
        <w:t> or </w:t>
      </w:r>
      <w:r>
        <w:rPr>
          <w:rFonts w:ascii="Times New Roman" w:hAnsi="Times New Roman"/>
          <w:b/>
          <w:sz w:val="20"/>
        </w:rPr>
        <w:t>Bridge2 Solutions</w:t>
      </w:r>
      <w:r>
        <w:rPr>
          <w:rFonts w:ascii="Times New Roman" w:hAnsi="Times New Roman"/>
          <w:sz w:val="20"/>
        </w:rPr>
        <w:t xml:space="preserve">). In April 2016, in connection with its Series A redeemable preferred equity financing, the Company reorganized its legal entity structure by contributing all ownership interests in its operating companies, Bridge2 Solutions, Direct, LLC, and B2S Canada, LLC, and subsidiaries, into a newly created holding company, B2S Holdings, Inc. The Company accounted for the transfer of interests in its operating subsidiaries as a transfer of business interests between entities under common control. The method of accounting for common control transactions is similar to the pooling of interests method of accounting in that the carrying amount of net assets recognized in the balance sheets of each combining entity are carried forward to the balance sheet of the combined entity at historical values and the resulting change in reporting entity is applied retrospectively for all periods presented. Additionally, all material intercompany transactions between the entities have been eliminated in consolidation. </w:t>
      </w:r>
    </w:p>
    <w:p>
      <w:pPr>
        <w:pStyle w:val="TextBody"/>
        <w:spacing w:before="360" w:after="0"/>
        <w:jc w:val="left"/>
        <w:rPr>
          <w:rFonts w:ascii="Times New Roman" w:hAnsi="Times New Roman"/>
          <w:b/>
          <w:sz w:val="20"/>
        </w:rPr>
      </w:pPr>
      <w:r>
        <w:rPr>
          <w:rFonts w:ascii="Times New Roman" w:hAnsi="Times New Roman"/>
          <w:b/>
          <w:sz w:val="20"/>
        </w:rPr>
        <w:t xml:space="preserve">Translation of Foreign Currencies and Foreign Currency Transactions </w:t>
      </w:r>
    </w:p>
    <w:p>
      <w:pPr>
        <w:pStyle w:val="TextBody"/>
        <w:spacing w:before="120" w:after="0"/>
        <w:jc w:val="left"/>
        <w:rPr>
          <w:rFonts w:ascii="Times New Roman" w:hAnsi="Times New Roman"/>
          <w:sz w:val="20"/>
        </w:rPr>
      </w:pPr>
      <w:r>
        <w:rPr>
          <w:rFonts w:ascii="Times New Roman" w:hAnsi="Times New Roman"/>
          <w:sz w:val="20"/>
        </w:rPr>
        <w:t xml:space="preserve">The functional currency of the Companys foreign operating entities is generally the local currency. Adjustments resulting from translating foreign functional currency financial statements into U.S. dollars are recorded as a separate component on the consolidated statements of operations and comprehensive income (loss). Foreign currency transaction gains and losses are included in net income or loss for the period.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 </w:t>
      </w:r>
    </w:p>
    <w:p>
      <w:pPr>
        <w:pStyle w:val="TextBody"/>
        <w:spacing w:before="360" w:after="0"/>
        <w:jc w:val="left"/>
        <w:rPr>
          <w:rFonts w:ascii="Times New Roman" w:hAnsi="Times New Roman"/>
          <w:b/>
          <w:sz w:val="20"/>
        </w:rPr>
      </w:pPr>
      <w:r>
        <w:rPr>
          <w:rFonts w:ascii="Times New Roman" w:hAnsi="Times New Roman"/>
          <w:b/>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U.S. generally accepted accounting principles (U.S. GAAP) requires management to make estimates and assumptions in the Companys consolidated financial statements and notes thereto. </w:t>
      </w:r>
    </w:p>
    <w:p>
      <w:pPr>
        <w:pStyle w:val="TextBody"/>
        <w:spacing w:before="240" w:after="0"/>
        <w:jc w:val="left"/>
        <w:rPr>
          <w:rFonts w:ascii="Times New Roman" w:hAnsi="Times New Roman"/>
          <w:sz w:val="20"/>
        </w:rPr>
      </w:pPr>
      <w:r>
        <w:rPr>
          <w:rFonts w:ascii="Times New Roman" w:hAnsi="Times New Roman"/>
          <w:sz w:val="20"/>
        </w:rPr>
        <w:t xml:space="preserve">Significant estimates and assumptions made by management include the determination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best estimates of stand-alone selling price of performance obligations included in contracts with multiple performance obligations;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recognition, measurement and valuation of current and deferred income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useful lives of internally developed software and other intangible assets, property and equipment, and the determination of other-than-temporary impairments;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determining provisions for doubtful accounts.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Actual results could differ materially from those estimates. The Company bases its estimates on historical experience and on various other assumptions that are believed to be reasonable, the result of which forms the basis for making judgments about the carrying values of the assets and liabilities. </w:t>
      </w:r>
    </w:p>
    <w:p>
      <w:pPr>
        <w:pStyle w:val="TextBody"/>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Cash and cash equivalents include cash and highly liquid instruments that are readily convertible into cash and have a maturity date of ninety days or less when purchased. At times, cash and cash equivalent balances may exceed federally insured amounts. The Company believes it mitigates any risk by depositing cash and investing in cash equivalents with major financial institutions. </w:t>
      </w:r>
    </w:p>
    <w:p>
      <w:pPr>
        <w:pStyle w:val="TextBody"/>
        <w:spacing w:before="360" w:after="0"/>
        <w:jc w:val="left"/>
        <w:rPr>
          <w:rFonts w:ascii="Times New Roman" w:hAnsi="Times New Roman"/>
          <w:b/>
          <w:sz w:val="20"/>
        </w:rPr>
      </w:pPr>
      <w:r>
        <w:rPr>
          <w:rFonts w:ascii="Times New Roman" w:hAnsi="Times New Roman"/>
          <w:b/>
          <w:sz w:val="20"/>
        </w:rPr>
        <w:t xml:space="preserve">Accounts Receivable </w:t>
      </w:r>
    </w:p>
    <w:p>
      <w:pPr>
        <w:pStyle w:val="TextBody"/>
        <w:spacing w:before="120" w:after="0"/>
        <w:jc w:val="left"/>
        <w:rPr>
          <w:rFonts w:ascii="Times New Roman" w:hAnsi="Times New Roman"/>
          <w:sz w:val="20"/>
        </w:rPr>
      </w:pPr>
      <w:r>
        <w:rPr>
          <w:rFonts w:ascii="Times New Roman" w:hAnsi="Times New Roman"/>
          <w:sz w:val="20"/>
        </w:rPr>
        <w:t xml:space="preserve">The Company maintains an allowance for doubtful accounts receivable balances. This allowance is based upon historical loss patterns, the number of days that billings are past due and an evaluation of the potential risk of loss associated with delinquent accounts. Receivables are written-off and charged against its recorded allowance when the Company has exhausted collection efforts without success. The Company estimated the allowance for doubtful accounts to be $100,000 and $260,000 at December 31, 2019 and 2018, respectively. </w:t>
      </w:r>
    </w:p>
    <w:p>
      <w:pPr>
        <w:pStyle w:val="TextBody"/>
        <w:spacing w:before="240" w:after="0"/>
        <w:jc w:val="left"/>
        <w:rPr>
          <w:rFonts w:ascii="Times New Roman" w:hAnsi="Times New Roman"/>
          <w:sz w:val="20"/>
        </w:rPr>
      </w:pPr>
      <w:r>
        <w:rPr>
          <w:rFonts w:ascii="Times New Roman" w:hAnsi="Times New Roman"/>
          <w:sz w:val="20"/>
        </w:rPr>
        <w:t xml:space="preserve">Included in accounts receivable is unbilled revenue totaling $1,076,039 and $796,949 as of December 31, 2019 </w:t>
      </w:r>
    </w:p>
    <w:p>
      <w:pPr>
        <w:pStyle w:val="TextBody"/>
        <w:spacing w:before="0" w:after="0"/>
        <w:jc w:val="left"/>
        <w:rPr>
          <w:rFonts w:ascii="Times New Roman" w:hAnsi="Times New Roman"/>
          <w:sz w:val="20"/>
        </w:rPr>
      </w:pPr>
      <w:r>
        <w:rPr>
          <w:rFonts w:ascii="Times New Roman" w:hAnsi="Times New Roman"/>
          <w:sz w:val="20"/>
        </w:rPr>
        <w:t xml:space="preserve">and 2018, respectively. </w:t>
      </w:r>
    </w:p>
    <w:p>
      <w:pPr>
        <w:pStyle w:val="TextBody"/>
        <w:spacing w:before="360" w:after="0"/>
        <w:jc w:val="left"/>
        <w:rPr>
          <w:rFonts w:ascii="Times New Roman" w:hAnsi="Times New Roman"/>
          <w:b/>
          <w:sz w:val="20"/>
        </w:rPr>
      </w:pPr>
      <w:r>
        <w:rPr>
          <w:rFonts w:ascii="Times New Roman" w:hAnsi="Times New Roman"/>
          <w:b/>
          <w:sz w:val="20"/>
        </w:rPr>
        <w:t xml:space="preserve">Deferred Costs </w:t>
      </w:r>
    </w:p>
    <w:p>
      <w:pPr>
        <w:pStyle w:val="TextBody"/>
        <w:spacing w:before="120" w:after="0"/>
        <w:jc w:val="left"/>
        <w:rPr>
          <w:rFonts w:ascii="Times New Roman" w:hAnsi="Times New Roman"/>
          <w:sz w:val="20"/>
        </w:rPr>
      </w:pPr>
      <w:r>
        <w:rPr>
          <w:rFonts w:ascii="Times New Roman" w:hAnsi="Times New Roman"/>
          <w:sz w:val="20"/>
        </w:rPr>
        <w:t xml:space="preserve">Costs associated with implementation and customization of the Companys software applications are considered incremental and recoverable costs of obtaining and implementing a contract with a customer. Costs incurred are deferred and then amortized on a straight-line basis over the estimated customer relationship, which the Company has determined to be between six and eight years. The Company determined the estimated customer relationship by taking into consideration standard contract terms and conditions, contract renewals, rate of technological change and other factors. Amortization expense is included in other selling, general and administrative expenses in the accompanying consolidated statements of operations. </w:t>
      </w:r>
    </w:p>
    <w:p>
      <w:pPr>
        <w:pStyle w:val="TextBody"/>
        <w:spacing w:before="360" w:after="0"/>
        <w:jc w:val="left"/>
        <w:rPr>
          <w:rFonts w:ascii="Times New Roman" w:hAnsi="Times New Roman"/>
          <w:b/>
          <w:sz w:val="20"/>
        </w:rPr>
      </w:pPr>
      <w:r>
        <w:rPr>
          <w:rFonts w:ascii="Times New Roman" w:hAnsi="Times New Roman"/>
          <w:b/>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On January 1, 2019, the Company adopted ASU 2014-09, </w:t>
      </w:r>
      <w:r>
        <w:rPr>
          <w:rFonts w:ascii="Times New Roman" w:hAnsi="Times New Roman"/>
          <w:i/>
          <w:sz w:val="20"/>
        </w:rPr>
        <w:t>Revenue from Contracts with Customers</w:t>
      </w:r>
      <w:r>
        <w:rPr>
          <w:rFonts w:ascii="Times New Roman" w:hAnsi="Times New Roman"/>
          <w:sz w:val="20"/>
        </w:rPr>
        <w:t xml:space="preserve"> (ASC 606), which is the new comprehensive revenue recognition standard that supersedes the revenue recognition requirements in ASC 605, </w:t>
      </w:r>
      <w:r>
        <w:rPr>
          <w:rFonts w:ascii="Times New Roman" w:hAnsi="Times New Roman"/>
          <w:i/>
          <w:sz w:val="20"/>
        </w:rPr>
        <w:t>Revenue Recognition</w:t>
      </w:r>
      <w:r>
        <w:rPr>
          <w:rFonts w:ascii="Times New Roman" w:hAnsi="Times New Roman"/>
          <w:sz w:val="20"/>
        </w:rPr>
        <w:t xml:space="preserve">, and most industry specific guidance. The standards core principle is that a company will recognize revenue when the customer obtains control of the promised goods or service in an amount that reflects the consideration to which the company expects to be entitled in exchange for those goods or services. The new guidance was effective for annual periods beginning after December 15, 2018. The Company elected to adopt the new guidance using the full retrospective transition method (Note 2). </w:t>
      </w:r>
    </w:p>
    <w:p>
      <w:pPr>
        <w:pStyle w:val="TextBody"/>
        <w:spacing w:before="0" w:after="0"/>
        <w:jc w:val="left"/>
        <w:rPr>
          <w:rFonts w:ascii="Times New Roman" w:hAnsi="Times New Roman"/>
          <w:sz w:val="20"/>
        </w:rPr>
      </w:pPr>
      <w:r>
        <w:rPr>
          <w:rFonts w:ascii="Times New Roman" w:hAnsi="Times New Roman"/>
          <w:sz w:val="20"/>
        </w:rPr>
        <w:t xml:space="preserve">In accordance with ASC 606, revenue is recognized when the customer obtains control of promised goods or services in an amount that reflects the consideration to which the Company expects to be entitled in exchange for those goods or services. To achieve this core principle, the Company applies the following five steps: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Identification of the contract, or contracts, with a customer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Identification of the performance obligations in the contract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Determination of the transaction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Allocation of the transaction price to the performance obligations in the contract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Recognition of revenue when, or as, it satisfies a performance obligation </w:t>
            </w:r>
          </w:p>
        </w:tc>
      </w:tr>
    </w:tbl>
    <w:p>
      <w:pPr>
        <w:pStyle w:val="TextBody"/>
        <w:spacing w:before="240" w:after="0"/>
        <w:jc w:val="left"/>
        <w:rPr>
          <w:rFonts w:ascii="Times New Roman" w:hAnsi="Times New Roman"/>
          <w:sz w:val="20"/>
        </w:rPr>
      </w:pPr>
      <w:r>
        <w:rPr>
          <w:rFonts w:ascii="Times New Roman" w:hAnsi="Times New Roman"/>
          <w:sz w:val="20"/>
        </w:rPr>
        <w:t xml:space="preserve">The Company derives its revenues from three principal sources: (a) transaction fees; (b) subscription fees; and (c) related software development services associated with project management, implementation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customization of the Companys cloud-based software platform, which are optional services elected by its customers. </w:t>
      </w:r>
    </w:p>
    <w:p>
      <w:pPr>
        <w:pStyle w:val="TextBody"/>
        <w:spacing w:before="360" w:after="0"/>
        <w:jc w:val="left"/>
        <w:rPr>
          <w:rFonts w:ascii="Times New Roman" w:hAnsi="Times New Roman"/>
          <w:i/>
          <w:sz w:val="20"/>
        </w:rPr>
      </w:pPr>
      <w:r>
        <w:rPr>
          <w:rFonts w:ascii="Times New Roman" w:hAnsi="Times New Roman"/>
          <w:i/>
          <w:sz w:val="20"/>
        </w:rPr>
        <w:t xml:space="preserve">Transaction Revenue </w:t>
      </w:r>
    </w:p>
    <w:p>
      <w:pPr>
        <w:pStyle w:val="TextBody"/>
        <w:spacing w:before="120" w:after="0"/>
        <w:jc w:val="left"/>
        <w:rPr>
          <w:rFonts w:ascii="Times New Roman" w:hAnsi="Times New Roman"/>
          <w:sz w:val="20"/>
        </w:rPr>
      </w:pPr>
      <w:r>
        <w:rPr>
          <w:rFonts w:ascii="Times New Roman" w:hAnsi="Times New Roman"/>
          <w:sz w:val="20"/>
        </w:rPr>
        <w:t xml:space="preserve">Transaction fees are based upon fixed and variable rates for the Companys transaction processing services. Transaction fees are generally recognized when services are delivered, and the Company records the associated revenues on a net basis in accordance with ASC 606, as its primary role in the transaction is as an agent, not a principal. Judgment is required in determining whether the Company is the principal or agent in transactions with customers and end-users. The Company evaluates the presentation of revenue on a gross vs. net basis based on whether it acts as a principal by controlling the service provided to the end-user or whether it acts as an agent by arranging for third parties to provide the service to the end-user. The Companys role is facilitating the ability for a customer to provide a service to the end-user. Accordingly, the Company reports revenue on a net basis, reflecting the fee owed to the Company from the customer as revenue. </w:t>
      </w:r>
    </w:p>
    <w:p>
      <w:pPr>
        <w:pStyle w:val="TextBody"/>
        <w:spacing w:before="360" w:after="0"/>
        <w:jc w:val="left"/>
        <w:rPr>
          <w:rFonts w:ascii="Times New Roman" w:hAnsi="Times New Roman"/>
          <w:i/>
          <w:sz w:val="20"/>
        </w:rPr>
      </w:pPr>
      <w:r>
        <w:rPr>
          <w:rFonts w:ascii="Times New Roman" w:hAnsi="Times New Roman"/>
          <w:i/>
          <w:sz w:val="20"/>
        </w:rPr>
        <w:t xml:space="preserve">Subscription Revenue </w:t>
      </w:r>
    </w:p>
    <w:p>
      <w:pPr>
        <w:pStyle w:val="TextBody"/>
        <w:spacing w:before="120" w:after="0"/>
        <w:jc w:val="left"/>
        <w:rPr>
          <w:rFonts w:ascii="Times New Roman" w:hAnsi="Times New Roman"/>
          <w:sz w:val="20"/>
        </w:rPr>
      </w:pPr>
      <w:r>
        <w:rPr>
          <w:rFonts w:ascii="Times New Roman" w:hAnsi="Times New Roman"/>
          <w:sz w:val="20"/>
        </w:rPr>
        <w:t xml:space="preserve">Subscription arrangements provide the customer with a right to access the Companys hosted solution. The Company recognizes subscription revenue on a ratable basis over the contract term beginning on the date that the service is made available to the customer and the customer has a legal right to use the software. The Companys subscription contracts are generally 12 to 36 months in duration and are billed monthly in advance. The Company considers access to its platform and related support services in a customer contract to be a series of distinct services which comprise a single performance obligation because they are substantially the same and have the same pattern of transfer. </w:t>
      </w:r>
    </w:p>
    <w:p>
      <w:pPr>
        <w:pStyle w:val="TextBody"/>
        <w:spacing w:before="360" w:after="0"/>
        <w:jc w:val="left"/>
        <w:rPr>
          <w:rFonts w:ascii="Times New Roman" w:hAnsi="Times New Roman"/>
          <w:i/>
          <w:sz w:val="20"/>
        </w:rPr>
      </w:pPr>
      <w:r>
        <w:rPr>
          <w:rFonts w:ascii="Times New Roman" w:hAnsi="Times New Roman"/>
          <w:i/>
          <w:sz w:val="20"/>
        </w:rPr>
        <w:t xml:space="preserve">Professional Services Revenue </w:t>
      </w:r>
    </w:p>
    <w:p>
      <w:pPr>
        <w:pStyle w:val="TextBody"/>
        <w:spacing w:before="120" w:after="0"/>
        <w:jc w:val="left"/>
        <w:rPr>
          <w:rFonts w:ascii="Times New Roman" w:hAnsi="Times New Roman"/>
          <w:sz w:val="20"/>
        </w:rPr>
      </w:pPr>
      <w:r>
        <w:rPr>
          <w:rFonts w:ascii="Times New Roman" w:hAnsi="Times New Roman"/>
          <w:sz w:val="20"/>
        </w:rPr>
        <w:t xml:space="preserve">Professional services revenues primarily consist of fees for software development services associated with implementation, and customization of the Companys cloud-based software platform sold on the initial arrangement or throughout the contract term. The Company has an ongoing performance obligation to maintain the functionality of these features throughout the customer relationship. Revenues are recognized over the longer of the estimated customer relationship period, which the Company has been determined to be between six and eight years or three years in the case such software development services are completed at the end of or subsequent to the initially estimated customer relationship period of benefit. </w:t>
      </w:r>
    </w:p>
    <w:p>
      <w:pPr>
        <w:pStyle w:val="TextBody"/>
        <w:spacing w:before="360" w:after="0"/>
        <w:jc w:val="left"/>
        <w:rPr>
          <w:rFonts w:ascii="Times New Roman" w:hAnsi="Times New Roman"/>
          <w:i/>
          <w:sz w:val="20"/>
        </w:rPr>
      </w:pPr>
      <w:r>
        <w:rPr>
          <w:rFonts w:ascii="Times New Roman" w:hAnsi="Times New Roman"/>
          <w:i/>
          <w:sz w:val="20"/>
        </w:rPr>
        <w:t xml:space="preserve">Contracts with Multiple Performance Obligations </w:t>
      </w:r>
    </w:p>
    <w:p>
      <w:pPr>
        <w:pStyle w:val="TextBody"/>
        <w:spacing w:before="120" w:after="0"/>
        <w:jc w:val="left"/>
        <w:rPr>
          <w:rFonts w:ascii="Times New Roman" w:hAnsi="Times New Roman"/>
          <w:sz w:val="20"/>
        </w:rPr>
      </w:pPr>
      <w:r>
        <w:rPr>
          <w:rFonts w:ascii="Times New Roman" w:hAnsi="Times New Roman"/>
          <w:sz w:val="20"/>
        </w:rPr>
        <w:t xml:space="preserve">Some contracts with customers contain multiple performance obligations. These individual performance obligations are accounted for separately when they are both capable of being distinct. A performance obligation is distinct if the customer can benefit from the service either on its own or together with other resources that are readily available from third parties or from the Company and are distinct in the context of the contract, whereby the transfer of the services is separately identifiable from other promises in the contract. If these criteria are not met, the promised services are accounted for as a combined performance obligation. </w:t>
      </w:r>
    </w:p>
    <w:p>
      <w:pPr>
        <w:pStyle w:val="TextBody"/>
        <w:spacing w:before="240" w:after="0"/>
        <w:jc w:val="left"/>
        <w:rPr>
          <w:rFonts w:ascii="Times New Roman" w:hAnsi="Times New Roman"/>
          <w:sz w:val="20"/>
        </w:rPr>
      </w:pPr>
      <w:r>
        <w:rPr>
          <w:rFonts w:ascii="Times New Roman" w:hAnsi="Times New Roman"/>
          <w:sz w:val="20"/>
        </w:rPr>
        <w:t xml:space="preserve">The transaction price is allocated to the separate performance obligations on a relative standalone selling price basis. The Company determines the standalone selling prices based on overall pricing objectives, taking into consideration market conditions and entity-specific factors, including the size of arrangements, length of term, customer demographics and the numbers and types of users within the arrangements. </w:t>
      </w:r>
    </w:p>
    <w:p>
      <w:pPr>
        <w:pStyle w:val="TextBody"/>
        <w:spacing w:before="240" w:after="0"/>
        <w:jc w:val="left"/>
        <w:rPr>
          <w:rFonts w:ascii="Times New Roman" w:hAnsi="Times New Roman"/>
          <w:sz w:val="20"/>
        </w:rPr>
      </w:pPr>
      <w:r>
        <w:rPr>
          <w:rFonts w:ascii="Times New Roman" w:hAnsi="Times New Roman"/>
          <w:sz w:val="20"/>
        </w:rPr>
        <w:t xml:space="preserve">Customers have the option to purchase additional subscription and support services at a stated price. These options generally do not provide a material right as they are priced at the Companys standalone selling price. </w:t>
      </w:r>
    </w:p>
    <w:p>
      <w:pPr>
        <w:pStyle w:val="TextBody"/>
        <w:spacing w:before="360" w:after="0"/>
        <w:jc w:val="left"/>
        <w:rPr>
          <w:rFonts w:ascii="Times New Roman" w:hAnsi="Times New Roman"/>
          <w:b/>
          <w:sz w:val="20"/>
        </w:rPr>
      </w:pPr>
      <w:r>
        <w:rPr>
          <w:rFonts w:ascii="Times New Roman" w:hAnsi="Times New Roman"/>
          <w:b/>
          <w:sz w:val="20"/>
        </w:rPr>
        <w:t xml:space="preserve">Deferred Revenue </w:t>
      </w:r>
    </w:p>
    <w:p>
      <w:pPr>
        <w:pStyle w:val="TextBody"/>
        <w:spacing w:before="120" w:after="0"/>
        <w:jc w:val="left"/>
        <w:rPr>
          <w:rFonts w:ascii="Times New Roman" w:hAnsi="Times New Roman"/>
          <w:sz w:val="20"/>
        </w:rPr>
      </w:pPr>
      <w:r>
        <w:rPr>
          <w:rFonts w:ascii="Times New Roman" w:hAnsi="Times New Roman"/>
          <w:sz w:val="20"/>
        </w:rPr>
        <w:t xml:space="preserve">Deferred revenues include amounts invoiced and collected prior to the Company meeting the criteria for revenue recognition. The Company typically invoices customers for subscription fees in advance on a monthly basis.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Unpaid invoice amounts for noncancelable services starting in future periods are included in accounts receivable and deferred revenue. </w:t>
      </w:r>
    </w:p>
    <w:p>
      <w:pPr>
        <w:pStyle w:val="TextBody"/>
        <w:spacing w:before="240" w:after="0"/>
        <w:jc w:val="left"/>
        <w:rPr>
          <w:rFonts w:ascii="Times New Roman" w:hAnsi="Times New Roman"/>
          <w:sz w:val="20"/>
        </w:rPr>
      </w:pPr>
      <w:r>
        <w:rPr>
          <w:rFonts w:ascii="Times New Roman" w:hAnsi="Times New Roman"/>
          <w:sz w:val="20"/>
        </w:rPr>
        <w:t xml:space="preserve">The Company invoices customers for service fees at the time the service is performed, and such fees are recognized as revenue over the period of benefit. The portion of deferred revenue to be recognized in the succeeding twelve-month period is recorded as non-current deferred revenue, and the remaining portion is recorded as current deferred revenue. </w:t>
      </w:r>
    </w:p>
    <w:p>
      <w:pPr>
        <w:pStyle w:val="TextBody"/>
        <w:spacing w:before="360" w:after="0"/>
        <w:jc w:val="left"/>
        <w:rPr>
          <w:rFonts w:ascii="Times New Roman" w:hAnsi="Times New Roman"/>
          <w:b/>
          <w:sz w:val="20"/>
        </w:rPr>
      </w:pPr>
      <w:r>
        <w:rPr>
          <w:rFonts w:ascii="Times New Roman" w:hAnsi="Times New Roman"/>
          <w:b/>
          <w:sz w:val="20"/>
        </w:rPr>
        <w:t xml:space="preserve">Property and Equipment </w:t>
      </w:r>
    </w:p>
    <w:p>
      <w:pPr>
        <w:pStyle w:val="TextBody"/>
        <w:spacing w:before="120" w:after="0"/>
        <w:jc w:val="left"/>
        <w:rPr>
          <w:rFonts w:ascii="Times New Roman" w:hAnsi="Times New Roman"/>
          <w:sz w:val="20"/>
        </w:rPr>
      </w:pPr>
      <w:r>
        <w:rPr>
          <w:rFonts w:ascii="Times New Roman" w:hAnsi="Times New Roman"/>
          <w:sz w:val="20"/>
        </w:rPr>
        <w:t xml:space="preserve">Property and equipment are stated at cost, net of accumulated depreciation and amortization. Depreciation of property and equipment is computed using the straight-line method over the estimated useful lives of the respective assets, which range from three to eight years. Leasehold improvements are amortized over the shorter of the associated lease term or estimated useful life. </w:t>
      </w:r>
    </w:p>
    <w:p>
      <w:pPr>
        <w:pStyle w:val="TextBody"/>
        <w:spacing w:before="360" w:after="0"/>
        <w:jc w:val="left"/>
        <w:rPr>
          <w:rFonts w:ascii="Times New Roman" w:hAnsi="Times New Roman"/>
          <w:b/>
          <w:sz w:val="20"/>
        </w:rPr>
      </w:pPr>
      <w:r>
        <w:rPr>
          <w:rFonts w:ascii="Times New Roman" w:hAnsi="Times New Roman"/>
          <w:b/>
          <w:sz w:val="20"/>
        </w:rPr>
        <w:t xml:space="preserve">Internally Developed Software </w:t>
      </w:r>
    </w:p>
    <w:p>
      <w:pPr>
        <w:pStyle w:val="TextBody"/>
        <w:spacing w:before="120" w:after="0"/>
        <w:jc w:val="left"/>
        <w:rPr>
          <w:rFonts w:ascii="Times New Roman" w:hAnsi="Times New Roman"/>
          <w:sz w:val="20"/>
        </w:rPr>
      </w:pPr>
      <w:r>
        <w:rPr>
          <w:rFonts w:ascii="Times New Roman" w:hAnsi="Times New Roman"/>
          <w:sz w:val="20"/>
        </w:rPr>
        <w:t xml:space="preserve">The Company capitalizes software development costs associated with its cloud-based software services during the application development stage. Costs related to preliminary project activities and post implementation activities are expensed as incurred. Capitalized costs are amortized on a straight-line basis over the estimated useful life of the associated software. Management evaluates the useful lives of these assets continually and tests for impairment whenever events or changes in circumstances occur that could impact the recoverability of these assets. The estimated useful life for internally developed software is generally three years. </w:t>
      </w:r>
    </w:p>
    <w:p>
      <w:pPr>
        <w:pStyle w:val="TextBody"/>
        <w:spacing w:before="360" w:after="0"/>
        <w:jc w:val="left"/>
        <w:rPr>
          <w:rFonts w:ascii="Times New Roman" w:hAnsi="Times New Roman"/>
          <w:b/>
          <w:sz w:val="20"/>
        </w:rPr>
      </w:pPr>
      <w:r>
        <w:rPr>
          <w:rFonts w:ascii="Times New Roman" w:hAnsi="Times New Roman"/>
          <w:b/>
          <w:sz w:val="20"/>
        </w:rPr>
        <w:t xml:space="preserve">Impairment Assessment </w:t>
      </w:r>
    </w:p>
    <w:p>
      <w:pPr>
        <w:pStyle w:val="TextBody"/>
        <w:spacing w:before="120" w:after="0"/>
        <w:jc w:val="left"/>
        <w:rPr>
          <w:rFonts w:ascii="Times New Roman" w:hAnsi="Times New Roman"/>
          <w:sz w:val="20"/>
        </w:rPr>
      </w:pPr>
      <w:r>
        <w:rPr>
          <w:rFonts w:ascii="Times New Roman" w:hAnsi="Times New Roman"/>
          <w:sz w:val="20"/>
        </w:rPr>
        <w:t xml:space="preserve">The Company evaluates costs capitalized as internally developed software and other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each asset to the future undiscounted cash flows the asset is expected to generate. If the undiscounted cash flows used in the test for recoverability are less than the carrying amount of these assets, then the carrying amount of such assets is reduced to fair value. There was no impairment of intangible assets or long-lived assets during the years ending December 31, 2019 and 2018. </w:t>
      </w:r>
    </w:p>
    <w:p>
      <w:pPr>
        <w:pStyle w:val="TextBody"/>
        <w:spacing w:before="360" w:after="0"/>
        <w:jc w:val="left"/>
        <w:rPr>
          <w:rFonts w:ascii="Times New Roman" w:hAnsi="Times New Roman"/>
          <w:b/>
          <w:sz w:val="20"/>
        </w:rPr>
      </w:pPr>
      <w:r>
        <w:rPr>
          <w:rFonts w:ascii="Times New Roman" w:hAnsi="Times New Roman"/>
          <w:b/>
          <w:sz w:val="20"/>
        </w:rPr>
        <w:t xml:space="preserve">Deferred Financing Costs </w:t>
      </w:r>
    </w:p>
    <w:p>
      <w:pPr>
        <w:pStyle w:val="TextBody"/>
        <w:spacing w:before="120" w:after="0"/>
        <w:jc w:val="left"/>
        <w:rPr>
          <w:rFonts w:ascii="Times New Roman" w:hAnsi="Times New Roman"/>
          <w:sz w:val="20"/>
        </w:rPr>
      </w:pPr>
      <w:r>
        <w:rPr>
          <w:rFonts w:ascii="Times New Roman" w:hAnsi="Times New Roman"/>
          <w:sz w:val="20"/>
        </w:rPr>
        <w:t xml:space="preserve">Costs incurred by the Company in the issuance of its subordinated notes payable have been deferred and are being amortized over the term of the associated notes and are presented as a direct reduction of the principle balance of the notes. During 2019, the Company incurred an additional $221,117 in deferred financing costs related to the modification of the Venture Loan and Security agreement in Note 4 (the Venture Loan). For the years ended December 31, 2019 and 2018, amortization expense of deferred financing costs was $144,828 and $99,875, respectively, and is included in interest expense in the accompanying consolidated statements of operations and comprehensive income (loss). Unamortized deferred financing costs as of December 31, 2019 and 2018, were $133,920 and $57,630, respectively. </w:t>
      </w:r>
    </w:p>
    <w:p>
      <w:pPr>
        <w:pStyle w:val="TextBody"/>
        <w:spacing w:before="360" w:after="0"/>
        <w:jc w:val="left"/>
        <w:rPr>
          <w:rFonts w:ascii="Times New Roman" w:hAnsi="Times New Roman"/>
          <w:b/>
          <w:sz w:val="20"/>
        </w:rPr>
      </w:pPr>
      <w:r>
        <w:rPr>
          <w:rFonts w:ascii="Times New Roman" w:hAnsi="Times New Roman"/>
          <w:b/>
          <w:sz w:val="20"/>
        </w:rPr>
        <w:t xml:space="preserve">Concentrations of Credit Risk </w:t>
      </w:r>
    </w:p>
    <w:p>
      <w:pPr>
        <w:pStyle w:val="TextBody"/>
        <w:spacing w:before="120" w:after="0"/>
        <w:jc w:val="left"/>
        <w:rPr>
          <w:rFonts w:ascii="Times New Roman" w:hAnsi="Times New Roman"/>
          <w:sz w:val="20"/>
        </w:rPr>
      </w:pPr>
      <w:r>
        <w:rPr>
          <w:rFonts w:ascii="Times New Roman" w:hAnsi="Times New Roman"/>
          <w:sz w:val="20"/>
        </w:rPr>
        <w:t xml:space="preserve">Revenue is earned principally from customers based in the United States and Canada. As of December 31, 2019, there were three and four customers that represented approximately 55% and 64% of accounts receivable, respectively. Two customers accounted for approximately 60% and 65% of total net revenues in 2019 and 2018,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uses the asset and liability method of accounting for income taxes. Under this method, deferred tax assets and liabilities are determined based on temporary differences between their financial statement and tax basis using enacted tax rates in effect for the year in which the differences are expected to reverse. The effect on deferred tax assets and liabilities of a change in tax laws is recognized in the consolidated statement of operations and comprehensive income (loss) in the period that includes the enactment date. </w:t>
      </w:r>
    </w:p>
    <w:p>
      <w:pPr>
        <w:pStyle w:val="TextBody"/>
        <w:spacing w:before="240" w:after="0"/>
        <w:jc w:val="left"/>
        <w:rPr>
          <w:rFonts w:ascii="Times New Roman" w:hAnsi="Times New Roman"/>
          <w:sz w:val="20"/>
        </w:rPr>
      </w:pPr>
      <w:r>
        <w:rPr>
          <w:rFonts w:ascii="Times New Roman" w:hAnsi="Times New Roman"/>
          <w:sz w:val="20"/>
        </w:rPr>
        <w:t xml:space="preserve">The Companys tax positions are subject to income tax audits by multiple tax jurisdictions throughout North America. The Company recognizes the tax benefit of an uncertain tax position only if it is more likely than not that the position is sustainable upon examination by the taxing authority, solely based on its technical merits. </w:t>
      </w:r>
    </w:p>
    <w:p>
      <w:pPr>
        <w:pStyle w:val="TextBody"/>
        <w:spacing w:before="240" w:after="0"/>
        <w:jc w:val="left"/>
        <w:rPr>
          <w:rFonts w:ascii="Times New Roman" w:hAnsi="Times New Roman"/>
          <w:sz w:val="20"/>
        </w:rPr>
      </w:pPr>
      <w:r>
        <w:rPr>
          <w:rFonts w:ascii="Times New Roman" w:hAnsi="Times New Roman"/>
          <w:sz w:val="20"/>
        </w:rPr>
        <w:t xml:space="preserve">Valuation allowances are recorded to reduce deferred tax assets to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The Company assesses deferred tax assets for recoverability based on historical taxable income, projected future taxable income, the expected timing of the reversals of existing temporary differences and tax planning strategies. The Companys judgments regarding future profitability may change due to many factors, including future market conditions and the ability to successfully execute its business plans and tax planning strategies. Should there be a change in the ability to recover deferred tax assets, the tax provision would increase or decrease in the period in which the assessment is changed. </w:t>
      </w:r>
    </w:p>
    <w:p>
      <w:pPr>
        <w:pStyle w:val="TextBody"/>
        <w:spacing w:before="360" w:after="0"/>
        <w:jc w:val="left"/>
        <w:rPr>
          <w:rFonts w:ascii="Times New Roman" w:hAnsi="Times New Roman"/>
          <w:b/>
          <w:sz w:val="20"/>
        </w:rPr>
      </w:pPr>
      <w:r>
        <w:rPr>
          <w:rFonts w:ascii="Times New Roman" w:hAnsi="Times New Roman"/>
          <w:b/>
          <w:sz w:val="20"/>
        </w:rPr>
        <w:t xml:space="preserve">New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February 2016, the FASB issued ASU 2016-02, </w:t>
      </w:r>
      <w:r>
        <w:rPr>
          <w:rFonts w:ascii="Times New Roman" w:hAnsi="Times New Roman"/>
          <w:i/>
          <w:sz w:val="20"/>
        </w:rPr>
        <w:t>Leases</w:t>
      </w:r>
      <w:r>
        <w:rPr>
          <w:rFonts w:ascii="Times New Roman" w:hAnsi="Times New Roman"/>
          <w:sz w:val="20"/>
        </w:rPr>
        <w:t xml:space="preserve">, which requires an entity to recognize a right-of-use asset and a lease liability for virtually all of its leases. The liability will be equal to the present value of lease payments. The asset will generally be based on the liability. The guidance also requires additional disclosures to enable users of financial statements to understand the amount, timing and uncertainty of cash flows arising from leases. The guidance will be effective for fiscal years beginning after December 15, 2021, with early adoption permitted. The Company is currently evaluating the potential impact of ASU 2016-02 on the consolidated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Subsequent Events </w:t>
      </w:r>
    </w:p>
    <w:p>
      <w:pPr>
        <w:pStyle w:val="TextBody"/>
        <w:spacing w:before="120" w:after="0"/>
        <w:jc w:val="left"/>
        <w:rPr>
          <w:rFonts w:ascii="Times New Roman" w:hAnsi="Times New Roman"/>
          <w:sz w:val="20"/>
        </w:rPr>
      </w:pPr>
      <w:r>
        <w:rPr>
          <w:rFonts w:ascii="Times New Roman" w:hAnsi="Times New Roman"/>
          <w:sz w:val="20"/>
        </w:rPr>
        <w:t xml:space="preserve">The Company has evaluated subsequent events through the report date, the date these financial statements were available for issuance, and has concluded there were no subsequent events requiring recognition or disclosure in the financial statements except as stated below. </w:t>
      </w:r>
    </w:p>
    <w:p>
      <w:pPr>
        <w:pStyle w:val="TextBody"/>
        <w:spacing w:before="360" w:after="0"/>
        <w:jc w:val="left"/>
        <w:rPr>
          <w:rFonts w:ascii="Times New Roman" w:hAnsi="Times New Roman"/>
          <w:i/>
          <w:sz w:val="20"/>
        </w:rPr>
      </w:pPr>
      <w:r>
        <w:rPr>
          <w:rFonts w:ascii="Times New Roman" w:hAnsi="Times New Roman"/>
          <w:i/>
          <w:sz w:val="20"/>
        </w:rPr>
        <w:t xml:space="preserve">Acquisition </w:t>
      </w:r>
    </w:p>
    <w:p>
      <w:pPr>
        <w:pStyle w:val="TextBody"/>
        <w:spacing w:before="120" w:after="0"/>
        <w:jc w:val="left"/>
        <w:rPr>
          <w:rFonts w:ascii="Times New Roman" w:hAnsi="Times New Roman"/>
          <w:sz w:val="20"/>
        </w:rPr>
      </w:pPr>
      <w:r>
        <w:rPr>
          <w:rFonts w:ascii="Times New Roman" w:hAnsi="Times New Roman"/>
          <w:sz w:val="20"/>
        </w:rPr>
        <w:t xml:space="preserve">In February 2020, the Company was acquired by Intercontinental Exchange, Inc. (ICE), which owns the New York Stock Exchange (NYSE) and is a leading operator of global securities and commodities exchanges and clearing houses and provider of data and listings services. Following this transaction, the Company was merged with Bakkt Holdings, LLC (Bakkt), a majority-owned subsidiary of ICE. Bakkt was established in 2018 with a mission to unlock the value of, and bring trust and transparency to, digital assets such as loyalty and reward points, miles, crypto and gaming assets. </w:t>
      </w:r>
    </w:p>
    <w:p>
      <w:pPr>
        <w:pStyle w:val="TextBody"/>
        <w:spacing w:before="360" w:after="0"/>
        <w:jc w:val="left"/>
        <w:rPr>
          <w:rFonts w:ascii="Times New Roman" w:hAnsi="Times New Roman"/>
          <w:i/>
          <w:sz w:val="20"/>
        </w:rPr>
      </w:pPr>
      <w:r>
        <w:rPr>
          <w:rFonts w:ascii="Times New Roman" w:hAnsi="Times New Roman"/>
          <w:i/>
          <w:sz w:val="20"/>
        </w:rPr>
        <w:t xml:space="preserve">COVID-19 Disruption </w:t>
      </w:r>
    </w:p>
    <w:p>
      <w:pPr>
        <w:pStyle w:val="TextBody"/>
        <w:spacing w:before="120" w:after="0"/>
        <w:jc w:val="left"/>
        <w:rPr>
          <w:rFonts w:ascii="Times New Roman" w:hAnsi="Times New Roman"/>
          <w:sz w:val="20"/>
        </w:rPr>
      </w:pPr>
      <w:r>
        <w:rPr>
          <w:rFonts w:ascii="Times New Roman" w:hAnsi="Times New Roman"/>
          <w:sz w:val="20"/>
        </w:rPr>
        <w:t xml:space="preserve">In March 2020, the World Health Organization officially designated COVID-19 as a pandemic, and as a result, businesses across the country and the world have had to take steps to protect their employees, and employees of companies with whom they do business. The associated business disruption has ranged from limited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significant, depending on the nature of the business being impacted. Management is presently unable to predict what short-term and long-term impact this level of disruption will have on the Company, and there can be no assurances that a significant impact to the business will not take place. There have been no adjustments to these financial statements as a result of this uncertainty. </w:t>
      </w:r>
    </w:p>
    <w:p>
      <w:pPr>
        <w:pStyle w:val="TextBody"/>
        <w:spacing w:before="360" w:after="0"/>
        <w:jc w:val="left"/>
        <w:rPr>
          <w:rFonts w:ascii="Times New Roman" w:hAnsi="Times New Roman"/>
          <w:b/>
          <w:sz w:val="20"/>
        </w:rPr>
      </w:pPr>
      <w:r>
        <w:rPr>
          <w:rFonts w:ascii="Times New Roman" w:hAnsi="Times New Roman"/>
          <w:b/>
          <w:sz w:val="20"/>
        </w:rPr>
        <w:t xml:space="preserve">Reclassifications </w:t>
      </w:r>
    </w:p>
    <w:p>
      <w:pPr>
        <w:pStyle w:val="TextBody"/>
        <w:spacing w:before="120" w:after="0"/>
        <w:jc w:val="left"/>
        <w:rPr>
          <w:rFonts w:ascii="Times New Roman" w:hAnsi="Times New Roman"/>
          <w:sz w:val="20"/>
        </w:rPr>
      </w:pPr>
      <w:r>
        <w:rPr>
          <w:rFonts w:ascii="Times New Roman" w:hAnsi="Times New Roman"/>
          <w:sz w:val="20"/>
        </w:rPr>
        <w:t xml:space="preserve">Certain prior year amounts have been reclassified to conform to the current year presentation. These reclassifications had no effect on previously reported revenues and expenses or shareholders deficit. </w:t>
      </w:r>
    </w:p>
    <w:p>
      <w:pPr>
        <w:pStyle w:val="TextBody"/>
        <w:spacing w:before="360" w:after="0"/>
        <w:jc w:val="left"/>
        <w:rPr>
          <w:rFonts w:ascii="Times New Roman" w:hAnsi="Times New Roman"/>
          <w:b/>
          <w:sz w:val="20"/>
        </w:rPr>
      </w:pPr>
      <w:r>
        <w:rPr>
          <w:rFonts w:ascii="Times New Roman" w:hAnsi="Times New Roman"/>
          <w:b/>
          <w:sz w:val="20"/>
        </w:rPr>
        <w:t xml:space="preserve">Note 2: Recently Adopted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May 2014, the Financial Accounting Standards Boards (FASB) issued Accounting Standards Update (ASU) 2014-09, </w:t>
      </w:r>
      <w:r>
        <w:rPr>
          <w:rFonts w:ascii="Times New Roman" w:hAnsi="Times New Roman"/>
          <w:i/>
          <w:sz w:val="20"/>
        </w:rPr>
        <w:t>Revenue from Contracts with Customers</w:t>
      </w:r>
      <w:r>
        <w:rPr>
          <w:rFonts w:ascii="Times New Roman" w:hAnsi="Times New Roman"/>
          <w:sz w:val="20"/>
        </w:rPr>
        <w:t xml:space="preserve"> (ASC 606), which supersedes the prior revenue recognition standard (ASC 605). Under ASC 606, revenue is recognized when a customer obtains control of promised goods or services and is recognized in an amount that reflects the consideration which the entity expects to be entitled to in exchange for those goods or services. In addition, this standard requires disclosure of the nature, amount, timing, and uncertainty of revenue and cash flows arising from contracts with customers. Topic 606 also includes Subtopic 340-40, </w:t>
      </w:r>
      <w:r>
        <w:rPr>
          <w:rFonts w:ascii="Times New Roman" w:hAnsi="Times New Roman"/>
          <w:i/>
          <w:sz w:val="20"/>
        </w:rPr>
        <w:t>Other Assets and Deferred CostsContracts with Customers</w:t>
      </w:r>
      <w:r>
        <w:rPr>
          <w:rFonts w:ascii="Times New Roman" w:hAnsi="Times New Roman"/>
          <w:sz w:val="20"/>
        </w:rPr>
        <w:t xml:space="preserve">, which requires the deferral of incremental costs of obtaining and fulfilling a contract with a customer. </w:t>
      </w:r>
    </w:p>
    <w:p>
      <w:pPr>
        <w:pStyle w:val="TextBody"/>
        <w:spacing w:before="240" w:after="0"/>
        <w:jc w:val="left"/>
        <w:rPr>
          <w:rFonts w:ascii="Times New Roman" w:hAnsi="Times New Roman"/>
          <w:sz w:val="20"/>
        </w:rPr>
      </w:pPr>
      <w:r>
        <w:rPr>
          <w:rFonts w:ascii="Times New Roman" w:hAnsi="Times New Roman"/>
          <w:sz w:val="20"/>
        </w:rPr>
        <w:t xml:space="preserve">Effective January 1, 2019, the Company adopted the provision and expanded disclosure requirements described in Topic 606 utilizing the full retrospective method of transition, which requires a restatement of each period presented. In adopting ASC 606, the Company used the practical expedient where the transaction price allocated to the remaining performance obligations before the date of the initial application is not disclosed. The impact of adopting ASC 606 on the Companys fiscal 2019 and 2018 revenues was material. </w:t>
      </w:r>
    </w:p>
    <w:p>
      <w:pPr>
        <w:pStyle w:val="TextBody"/>
        <w:spacing w:before="240" w:after="0"/>
        <w:jc w:val="left"/>
        <w:rPr>
          <w:rFonts w:ascii="Times New Roman" w:hAnsi="Times New Roman"/>
          <w:sz w:val="20"/>
        </w:rPr>
      </w:pPr>
      <w:r>
        <w:rPr>
          <w:rFonts w:ascii="Times New Roman" w:hAnsi="Times New Roman"/>
          <w:sz w:val="20"/>
        </w:rPr>
        <w:t xml:space="preserve">The primary impact of adopting the standard related to the following: </w:t>
      </w:r>
    </w:p>
    <w:p>
      <w:pPr>
        <w:pStyle w:val="TextBody"/>
        <w:spacing w:before="240" w:after="0"/>
        <w:jc w:val="left"/>
        <w:rPr>
          <w:rFonts w:ascii="Times New Roman" w:hAnsi="Times New Roman"/>
          <w:sz w:val="20"/>
        </w:rPr>
      </w:pPr>
      <w:r>
        <w:rPr>
          <w:rFonts w:ascii="Times New Roman" w:hAnsi="Times New Roman"/>
          <w:i/>
          <w:sz w:val="20"/>
        </w:rPr>
        <w:t>Perpetual licenses</w:t>
      </w:r>
      <w:r>
        <w:rPr>
          <w:rFonts w:ascii="Times New Roman" w:hAnsi="Times New Roman"/>
          <w:sz w:val="20"/>
        </w:rPr>
        <w:t xml:space="preserve">Prior to the adoption of the new revenue recognition standard, the Company recognized these revenues over the contract term. Under the new revenue recognition standard, the Company has identified the license as a separate performance obligation and revenues were recognized upon delivery. </w:t>
      </w:r>
    </w:p>
    <w:p>
      <w:pPr>
        <w:pStyle w:val="TextBody"/>
        <w:spacing w:before="240" w:after="0"/>
        <w:jc w:val="left"/>
        <w:rPr>
          <w:rFonts w:ascii="Times New Roman" w:hAnsi="Times New Roman"/>
          <w:sz w:val="20"/>
        </w:rPr>
      </w:pPr>
      <w:r>
        <w:rPr>
          <w:rFonts w:ascii="Times New Roman" w:hAnsi="Times New Roman"/>
          <w:i/>
          <w:sz w:val="20"/>
        </w:rPr>
        <w:t>Professional services related to implementation and customization</w:t>
      </w:r>
      <w:r>
        <w:rPr>
          <w:rFonts w:ascii="Times New Roman" w:hAnsi="Times New Roman"/>
          <w:sz w:val="20"/>
        </w:rPr>
        <w:t xml:space="preserve">Prior to the adoption of the new revenue recognition standard, the Company recognized these revenues over the contract terms. Under the new revenue recognition standard, the Company is recognizing these revenues over the longer of the estimated customer relationship period of benefit or three years. </w:t>
      </w:r>
    </w:p>
    <w:p>
      <w:pPr>
        <w:pStyle w:val="TextBody"/>
        <w:spacing w:before="240" w:after="0"/>
        <w:jc w:val="left"/>
        <w:rPr>
          <w:rFonts w:ascii="Times New Roman" w:hAnsi="Times New Roman"/>
          <w:sz w:val="20"/>
        </w:rPr>
      </w:pPr>
      <w:r>
        <w:rPr>
          <w:rFonts w:ascii="Times New Roman" w:hAnsi="Times New Roman"/>
          <w:i/>
          <w:sz w:val="20"/>
        </w:rPr>
        <w:t>Implementation and customization costs</w:t>
      </w:r>
      <w:r>
        <w:rPr>
          <w:rFonts w:ascii="Times New Roman" w:hAnsi="Times New Roman"/>
          <w:sz w:val="20"/>
        </w:rPr>
        <w:t xml:space="preserve">Prior to the adoption of the new revenue recognition standard, the Company recognized these expenses as incurred. Under the new revenue recognition standard, the Company is required to recognize these expenses over the period of benefit associated with these costs. This results in a deferral of implementation and customization costs each period and subsequent amortization of those costs over the estimated benefit period. </w:t>
      </w:r>
    </w:p>
    <w:p>
      <w:pPr>
        <w:pStyle w:val="TextBody"/>
        <w:spacing w:before="240" w:after="0"/>
        <w:jc w:val="left"/>
        <w:rPr>
          <w:rFonts w:ascii="Times New Roman" w:hAnsi="Times New Roman"/>
          <w:sz w:val="20"/>
        </w:rPr>
      </w:pPr>
      <w:r>
        <w:rPr>
          <w:rFonts w:ascii="Times New Roman" w:hAnsi="Times New Roman"/>
          <w:sz w:val="20"/>
        </w:rPr>
        <w:t xml:space="preserve">The following schedule summarizes the impacts from the adoption of the new revenue recognition standard on the Companys consolidated balance sheet and consolidated statement of operations as of and for the year ended December 31,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735"/>
        <w:gridCol w:w="395"/>
        <w:gridCol w:w="140"/>
        <w:gridCol w:w="1178"/>
        <w:gridCol w:w="155"/>
        <w:gridCol w:w="350"/>
        <w:gridCol w:w="163"/>
        <w:gridCol w:w="1157"/>
        <w:gridCol w:w="60"/>
        <w:gridCol w:w="395"/>
        <w:gridCol w:w="140"/>
        <w:gridCol w:w="1178"/>
        <w:gridCol w:w="159"/>
      </w:tblGrid>
      <w:tr>
        <w:trPr/>
        <w:tc>
          <w:tcPr>
            <w:tcW w:w="473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3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916"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2018</w:t>
            </w:r>
          </w:p>
        </w:tc>
        <w:tc>
          <w:tcPr>
            <w:tcW w:w="159" w:type="dxa"/>
            <w:tcBorders/>
            <w:shd w:fill="auto" w:val="clear"/>
            <w:vAlign w:val="bottom"/>
          </w:tcPr>
          <w:p>
            <w:pPr>
              <w:pStyle w:val="TableContents"/>
              <w:spacing w:before="0" w:after="283"/>
              <w:rPr/>
            </w:pPr>
            <w:r>
              <w:rPr/>
              <w:t> </w:t>
            </w:r>
          </w:p>
        </w:tc>
      </w:tr>
      <w:tr>
        <w:trPr/>
        <w:tc>
          <w:tcPr>
            <w:tcW w:w="473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3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Adjustments</w:t>
            </w:r>
          </w:p>
        </w:tc>
        <w:tc>
          <w:tcPr>
            <w:tcW w:w="6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59" w:type="dxa"/>
            <w:tcBorders/>
            <w:shd w:fill="auto" w:val="clear"/>
            <w:vAlign w:val="bottom"/>
          </w:tcPr>
          <w:p>
            <w:pPr>
              <w:pStyle w:val="TableContents"/>
              <w:spacing w:before="0" w:after="283"/>
              <w:rPr/>
            </w:pPr>
            <w:r>
              <w:rPr/>
              <w:t> </w:t>
            </w:r>
          </w:p>
        </w:tc>
      </w:tr>
      <w:tr>
        <w:trPr/>
        <w:tc>
          <w:tcPr>
            <w:tcW w:w="4735"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Sheet</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8"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735" w:type="dxa"/>
            <w:tcBorders/>
            <w:shd w:fill="auto" w:val="clear"/>
          </w:tcPr>
          <w:p>
            <w:pPr>
              <w:pStyle w:val="TableContents"/>
              <w:spacing w:before="0" w:after="0"/>
              <w:rPr>
                <w:rFonts w:ascii="Times New Roman" w:hAnsi="Times New Roman"/>
                <w:sz w:val="20"/>
              </w:rPr>
            </w:pPr>
            <w:r>
              <w:rPr>
                <w:rFonts w:ascii="Times New Roman" w:hAnsi="Times New Roman"/>
                <w:sz w:val="20"/>
              </w:rPr>
              <w:t>Deferred costs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7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w:t>
            </w:r>
          </w:p>
        </w:tc>
        <w:tc>
          <w:tcPr>
            <w:tcW w:w="1157" w:type="dxa"/>
            <w:tcBorders/>
            <w:shd w:fill="auto" w:val="clear"/>
            <w:vAlign w:val="bottom"/>
          </w:tcPr>
          <w:p>
            <w:pPr>
              <w:pStyle w:val="TableContents"/>
              <w:spacing w:before="0" w:after="283"/>
              <w:jc w:val="right"/>
              <w:rPr/>
            </w:pPr>
            <w:r>
              <w:rPr/>
              <w:t>3,645,894</w:t>
            </w:r>
          </w:p>
        </w:tc>
        <w:tc>
          <w:tcPr>
            <w:tcW w:w="6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78" w:type="dxa"/>
            <w:tcBorders/>
            <w:shd w:fill="auto" w:val="clear"/>
            <w:vAlign w:val="bottom"/>
          </w:tcPr>
          <w:p>
            <w:pPr>
              <w:pStyle w:val="TableContents"/>
              <w:spacing w:before="0" w:after="283"/>
              <w:jc w:val="right"/>
              <w:rPr/>
            </w:pPr>
            <w:r>
              <w:rPr/>
              <w:t>3,645,894</w:t>
            </w:r>
          </w:p>
        </w:tc>
        <w:tc>
          <w:tcPr>
            <w:tcW w:w="159" w:type="dxa"/>
            <w:tcBorders/>
            <w:shd w:fill="auto" w:val="clear"/>
            <w:vAlign w:val="bottom"/>
          </w:tcPr>
          <w:p>
            <w:pPr>
              <w:pStyle w:val="TableContents"/>
              <w:spacing w:before="0" w:after="283"/>
              <w:rPr/>
            </w:pPr>
            <w:r>
              <w:rPr/>
              <w:t> </w:t>
            </w:r>
          </w:p>
        </w:tc>
      </w:tr>
      <w:tr>
        <w:trPr/>
        <w:tc>
          <w:tcPr>
            <w:tcW w:w="4735"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pPr>
            <w:r>
              <w:rPr/>
              <w:t>18,505,443</w:t>
            </w:r>
          </w:p>
        </w:tc>
        <w:tc>
          <w:tcPr>
            <w:tcW w:w="15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850,027</w:t>
            </w:r>
          </w:p>
        </w:tc>
        <w:tc>
          <w:tcPr>
            <w:tcW w:w="6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pPr>
            <w:r>
              <w:rPr/>
              <w:t>19,355,470</w:t>
            </w:r>
          </w:p>
        </w:tc>
        <w:tc>
          <w:tcPr>
            <w:tcW w:w="159" w:type="dxa"/>
            <w:tcBorders/>
            <w:shd w:fill="CCEEFF" w:val="clear"/>
            <w:vAlign w:val="bottom"/>
          </w:tcPr>
          <w:p>
            <w:pPr>
              <w:pStyle w:val="TableContents"/>
              <w:spacing w:before="0" w:after="283"/>
              <w:rPr/>
            </w:pPr>
            <w:r>
              <w:rPr/>
              <w:t> </w:t>
            </w:r>
          </w:p>
        </w:tc>
      </w:tr>
      <w:tr>
        <w:trPr/>
        <w:tc>
          <w:tcPr>
            <w:tcW w:w="4735"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asset (liability)</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735"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pPr>
            <w:r>
              <w:rPr/>
              <w:t>(54,907,774</w:t>
            </w:r>
          </w:p>
        </w:tc>
        <w:tc>
          <w:tcPr>
            <w:tcW w:w="15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2,795,867</w:t>
            </w:r>
          </w:p>
        </w:tc>
        <w:tc>
          <w:tcPr>
            <w:tcW w:w="6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pPr>
            <w:r>
              <w:rPr/>
              <w:t>(52,111,907</w:t>
            </w:r>
          </w:p>
        </w:tc>
        <w:tc>
          <w:tcPr>
            <w:tcW w:w="159"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261"/>
        <w:gridCol w:w="209"/>
        <w:gridCol w:w="149"/>
        <w:gridCol w:w="1185"/>
        <w:gridCol w:w="60"/>
        <w:gridCol w:w="209"/>
        <w:gridCol w:w="156"/>
        <w:gridCol w:w="1216"/>
        <w:gridCol w:w="157"/>
        <w:gridCol w:w="176"/>
        <w:gridCol w:w="149"/>
        <w:gridCol w:w="1112"/>
        <w:gridCol w:w="166"/>
      </w:tblGrid>
      <w:tr>
        <w:trPr/>
        <w:tc>
          <w:tcPr>
            <w:tcW w:w="526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526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569"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2018</w:t>
            </w:r>
          </w:p>
        </w:tc>
        <w:tc>
          <w:tcPr>
            <w:tcW w:w="166" w:type="dxa"/>
            <w:tcBorders/>
            <w:shd w:fill="auto" w:val="clear"/>
            <w:vAlign w:val="bottom"/>
          </w:tcPr>
          <w:p>
            <w:pPr>
              <w:pStyle w:val="TableContents"/>
              <w:spacing w:before="0" w:after="283"/>
              <w:rPr/>
            </w:pPr>
            <w:r>
              <w:rPr/>
              <w:t> </w:t>
            </w:r>
          </w:p>
        </w:tc>
      </w:tr>
      <w:tr>
        <w:trPr/>
        <w:tc>
          <w:tcPr>
            <w:tcW w:w="526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Adjustments</w:t>
            </w:r>
          </w:p>
        </w:tc>
        <w:tc>
          <w:tcPr>
            <w:tcW w:w="15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66" w:type="dxa"/>
            <w:tcBorders/>
            <w:shd w:fill="auto" w:val="clear"/>
            <w:vAlign w:val="bottom"/>
          </w:tcPr>
          <w:p>
            <w:pPr>
              <w:pStyle w:val="TableContents"/>
              <w:spacing w:before="0" w:after="283"/>
              <w:rPr/>
            </w:pPr>
            <w:r>
              <w:rPr/>
              <w:t> </w:t>
            </w:r>
          </w:p>
        </w:tc>
      </w:tr>
      <w:tr>
        <w:trPr>
          <w:trHeight w:val="120" w:hRule="atLeast"/>
        </w:trPr>
        <w:tc>
          <w:tcPr>
            <w:tcW w:w="5261" w:type="dxa"/>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c>
          <w:tcPr>
            <w:tcW w:w="1738"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5261" w:type="dxa"/>
            <w:tcBorders/>
            <w:shd w:fill="CCEEFF" w:val="clear"/>
          </w:tcPr>
          <w:p>
            <w:pPr>
              <w:pStyle w:val="TableContents"/>
              <w:spacing w:before="0" w:after="0"/>
              <w:rPr>
                <w:rFonts w:ascii="Times New Roman" w:hAnsi="Times New Roman"/>
                <w:b/>
                <w:sz w:val="20"/>
              </w:rPr>
            </w:pPr>
            <w:r>
              <w:rPr>
                <w:rFonts w:ascii="Times New Roman" w:hAnsi="Times New Roman"/>
                <w:b/>
                <w:sz w:val="20"/>
              </w:rPr>
              <w:t>Statement of Operations</w:t>
            </w:r>
          </w:p>
        </w:tc>
        <w:tc>
          <w:tcPr>
            <w:tcW w:w="2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sz w:val="4"/>
                <w:szCs w:val="4"/>
              </w:rPr>
            </w:pPr>
            <w:r>
              <w:rPr>
                <w:sz w:val="4"/>
                <w:szCs w:val="4"/>
              </w:rPr>
            </w:r>
          </w:p>
        </w:tc>
        <w:tc>
          <w:tcPr>
            <w:tcW w:w="1216"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112"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5261" w:type="dxa"/>
            <w:tcBorders/>
            <w:shd w:fill="auto" w:val="clear"/>
          </w:tcPr>
          <w:p>
            <w:pPr>
              <w:pStyle w:val="TableContents"/>
              <w:spacing w:before="0" w:after="0"/>
              <w:rPr>
                <w:rFonts w:ascii="Times New Roman" w:hAnsi="Times New Roman"/>
                <w:sz w:val="20"/>
              </w:rPr>
            </w:pPr>
            <w:r>
              <w:rPr>
                <w:rFonts w:ascii="Times New Roman" w:hAnsi="Times New Roman"/>
                <w:sz w:val="20"/>
              </w:rPr>
              <w:t>Revenues</w:t>
            </w:r>
          </w:p>
        </w:tc>
        <w:tc>
          <w:tcPr>
            <w:tcW w:w="2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185" w:type="dxa"/>
            <w:tcBorders/>
            <w:shd w:fill="auto" w:val="clear"/>
            <w:vAlign w:val="bottom"/>
          </w:tcPr>
          <w:p>
            <w:pPr>
              <w:pStyle w:val="TableContents"/>
              <w:spacing w:before="0" w:after="283"/>
              <w:jc w:val="right"/>
              <w:rPr/>
            </w:pPr>
            <w:r>
              <w:rPr/>
              <w:t>48,663,379</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w:t>
            </w:r>
          </w:p>
        </w:tc>
        <w:tc>
          <w:tcPr>
            <w:tcW w:w="1216" w:type="dxa"/>
            <w:tcBorders/>
            <w:shd w:fill="auto" w:val="clear"/>
            <w:vAlign w:val="bottom"/>
          </w:tcPr>
          <w:p>
            <w:pPr>
              <w:pStyle w:val="TableContents"/>
              <w:spacing w:before="0" w:after="283"/>
              <w:jc w:val="right"/>
              <w:rPr/>
            </w:pPr>
            <w:r>
              <w:rPr/>
              <w:t>(5,523,487</w:t>
            </w:r>
          </w:p>
        </w:tc>
        <w:tc>
          <w:tcPr>
            <w:tcW w:w="15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112" w:type="dxa"/>
            <w:tcBorders/>
            <w:shd w:fill="auto" w:val="clear"/>
            <w:vAlign w:val="bottom"/>
          </w:tcPr>
          <w:p>
            <w:pPr>
              <w:pStyle w:val="TableContents"/>
              <w:spacing w:before="0" w:after="283"/>
              <w:jc w:val="right"/>
              <w:rPr/>
            </w:pPr>
            <w:r>
              <w:rPr/>
              <w:t>43,139,892</w:t>
            </w:r>
          </w:p>
        </w:tc>
        <w:tc>
          <w:tcPr>
            <w:tcW w:w="166" w:type="dxa"/>
            <w:tcBorders/>
            <w:shd w:fill="auto" w:val="clear"/>
            <w:vAlign w:val="bottom"/>
          </w:tcPr>
          <w:p>
            <w:pPr>
              <w:pStyle w:val="TableContents"/>
              <w:spacing w:before="0" w:after="283"/>
              <w:rPr/>
            </w:pPr>
            <w:r>
              <w:rPr/>
              <w:t> </w:t>
            </w:r>
          </w:p>
        </w:tc>
      </w:tr>
      <w:tr>
        <w:trPr/>
        <w:tc>
          <w:tcPr>
            <w:tcW w:w="5261" w:type="dxa"/>
            <w:tcBorders/>
            <w:shd w:fill="CCEEFF" w:val="clear"/>
          </w:tcPr>
          <w:p>
            <w:pPr>
              <w:pStyle w:val="TableContents"/>
              <w:spacing w:before="0" w:after="0"/>
              <w:rPr>
                <w:rFonts w:ascii="Times New Roman" w:hAnsi="Times New Roman"/>
                <w:sz w:val="20"/>
              </w:rPr>
            </w:pPr>
            <w:r>
              <w:rPr>
                <w:rFonts w:ascii="Times New Roman" w:hAnsi="Times New Roman"/>
                <w:sz w:val="20"/>
              </w:rPr>
              <w:t>Other selling, general and administrative expenses</w:t>
            </w:r>
          </w:p>
        </w:tc>
        <w:tc>
          <w:tcPr>
            <w:tcW w:w="2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7,085,893</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(1,222,504</w:t>
            </w:r>
          </w:p>
        </w:tc>
        <w:tc>
          <w:tcPr>
            <w:tcW w:w="15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5,863,389</w:t>
            </w:r>
          </w:p>
        </w:tc>
        <w:tc>
          <w:tcPr>
            <w:tcW w:w="166" w:type="dxa"/>
            <w:tcBorders/>
            <w:shd w:fill="CCEEFF" w:val="clear"/>
            <w:vAlign w:val="bottom"/>
          </w:tcPr>
          <w:p>
            <w:pPr>
              <w:pStyle w:val="TableContents"/>
              <w:spacing w:before="0" w:after="283"/>
              <w:rPr/>
            </w:pPr>
            <w:r>
              <w:rPr/>
              <w:t> </w:t>
            </w:r>
          </w:p>
        </w:tc>
      </w:tr>
      <w:tr>
        <w:trPr/>
        <w:tc>
          <w:tcPr>
            <w:tcW w:w="5261" w:type="dxa"/>
            <w:tcBorders/>
            <w:shd w:fill="auto" w:val="clear"/>
          </w:tcPr>
          <w:p>
            <w:pPr>
              <w:pStyle w:val="TableContents"/>
              <w:spacing w:before="0" w:after="0"/>
              <w:rPr>
                <w:rFonts w:ascii="Times New Roman" w:hAnsi="Times New Roman"/>
                <w:sz w:val="20"/>
              </w:rPr>
            </w:pPr>
            <w:r>
              <w:rPr>
                <w:rFonts w:ascii="Times New Roman" w:hAnsi="Times New Roman"/>
                <w:sz w:val="20"/>
              </w:rPr>
              <w:t>Net income (loss)</w:t>
            </w:r>
          </w:p>
        </w:tc>
        <w:tc>
          <w:tcPr>
            <w:tcW w:w="2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3,757,885</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(4,300,983</w:t>
            </w:r>
          </w:p>
        </w:tc>
        <w:tc>
          <w:tcPr>
            <w:tcW w:w="15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(543,098</w:t>
            </w:r>
          </w:p>
        </w:tc>
        <w:tc>
          <w:tcPr>
            <w:tcW w:w="166"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Accumulated deficit as of January 1, 2018, included a decreasing cumulative-effect of $7,096,851 resulting from the adoption of ASC 606. The adoption of ASC 606 had no impact on total cash flows from operations.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4"/>
        <w:gridCol w:w="9691"/>
      </w:tblGrid>
      <w:tr>
        <w:trPr/>
        <w:tc>
          <w:tcPr>
            <w:tcW w:w="514" w:type="dxa"/>
            <w:tcBorders/>
            <w:shd w:fill="auto" w:val="clear"/>
          </w:tcPr>
          <w:p>
            <w:pPr>
              <w:pStyle w:val="TableContents"/>
              <w:spacing w:before="0" w:after="283"/>
              <w:jc w:val="left"/>
              <w:rPr>
                <w:b/>
              </w:rPr>
            </w:pPr>
            <w:r>
              <w:rPr>
                <w:b/>
              </w:rPr>
              <w:t>Note</w:t>
            </w:r>
          </w:p>
        </w:tc>
        <w:tc>
          <w:tcPr>
            <w:tcW w:w="9691" w:type="dxa"/>
            <w:tcBorders/>
            <w:shd w:fill="auto" w:val="clear"/>
          </w:tcPr>
          <w:p>
            <w:pPr>
              <w:pStyle w:val="TableContents"/>
              <w:spacing w:before="0" w:after="0"/>
              <w:jc w:val="left"/>
              <w:rPr/>
            </w:pPr>
            <w:r>
              <w:rPr/>
              <w:t> </w:t>
            </w:r>
            <w:r>
              <w:rPr>
                <w:rFonts w:ascii="Times New Roman" w:hAnsi="Times New Roman"/>
                <w:b/>
                <w:sz w:val="20"/>
              </w:rPr>
              <w:t xml:space="preserve">3:    Property and Equipment </w:t>
            </w:r>
          </w:p>
        </w:tc>
      </w:tr>
    </w:tbl>
    <w:p>
      <w:pPr>
        <w:pStyle w:val="TextBody"/>
        <w:spacing w:before="120" w:after="0"/>
        <w:jc w:val="left"/>
        <w:rPr>
          <w:rFonts w:ascii="Times New Roman" w:hAnsi="Times New Roman"/>
          <w:sz w:val="20"/>
        </w:rPr>
      </w:pPr>
      <w:r>
        <w:rPr>
          <w:rFonts w:ascii="Times New Roman" w:hAnsi="Times New Roman"/>
          <w:sz w:val="20"/>
        </w:rPr>
        <w:t xml:space="preserve">Property and equipment consists of the following as of December 31, 2019 and 2018: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559"/>
        <w:gridCol w:w="418"/>
        <w:gridCol w:w="140"/>
        <w:gridCol w:w="1192"/>
        <w:gridCol w:w="162"/>
        <w:gridCol w:w="418"/>
        <w:gridCol w:w="140"/>
        <w:gridCol w:w="1192"/>
        <w:gridCol w:w="167"/>
      </w:tblGrid>
      <w:tr>
        <w:trPr/>
        <w:tc>
          <w:tcPr>
            <w:tcW w:w="555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55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3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62"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3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67" w:type="dxa"/>
            <w:tcBorders/>
            <w:shd w:fill="auto" w:val="clear"/>
            <w:vAlign w:val="bottom"/>
          </w:tcPr>
          <w:p>
            <w:pPr>
              <w:pStyle w:val="TableContents"/>
              <w:spacing w:before="0" w:after="283"/>
              <w:rPr/>
            </w:pPr>
            <w:r>
              <w:rPr/>
              <w:t> </w:t>
            </w:r>
          </w:p>
        </w:tc>
      </w:tr>
      <w:tr>
        <w:trPr/>
        <w:tc>
          <w:tcPr>
            <w:tcW w:w="5559" w:type="dxa"/>
            <w:tcBorders/>
            <w:shd w:fill="CCEEFF" w:val="clear"/>
          </w:tcPr>
          <w:p>
            <w:pPr>
              <w:pStyle w:val="TableContents"/>
              <w:spacing w:before="0" w:after="0"/>
              <w:rPr>
                <w:rFonts w:ascii="Times New Roman" w:hAnsi="Times New Roman"/>
                <w:sz w:val="20"/>
              </w:rPr>
            </w:pPr>
            <w:r>
              <w:rPr>
                <w:rFonts w:ascii="Times New Roman" w:hAnsi="Times New Roman"/>
                <w:sz w:val="20"/>
              </w:rPr>
              <w:t>Computer hardware</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2" w:type="dxa"/>
            <w:tcBorders/>
            <w:shd w:fill="CCEEFF" w:val="clear"/>
            <w:vAlign w:val="bottom"/>
          </w:tcPr>
          <w:p>
            <w:pPr>
              <w:pStyle w:val="TableContents"/>
              <w:spacing w:before="0" w:after="283"/>
              <w:jc w:val="right"/>
              <w:rPr/>
            </w:pPr>
            <w:r>
              <w:rPr/>
              <w:t>1,428,524</w:t>
            </w:r>
          </w:p>
        </w:tc>
        <w:tc>
          <w:tcPr>
            <w:tcW w:w="162"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2" w:type="dxa"/>
            <w:tcBorders/>
            <w:shd w:fill="CCEEFF" w:val="clear"/>
            <w:vAlign w:val="bottom"/>
          </w:tcPr>
          <w:p>
            <w:pPr>
              <w:pStyle w:val="TableContents"/>
              <w:spacing w:before="0" w:after="283"/>
              <w:jc w:val="right"/>
              <w:rPr/>
            </w:pPr>
            <w:r>
              <w:rPr/>
              <w:t>2,147,005</w:t>
            </w:r>
          </w:p>
        </w:tc>
        <w:tc>
          <w:tcPr>
            <w:tcW w:w="167" w:type="dxa"/>
            <w:tcBorders/>
            <w:shd w:fill="CCEEFF" w:val="clear"/>
            <w:vAlign w:val="bottom"/>
          </w:tcPr>
          <w:p>
            <w:pPr>
              <w:pStyle w:val="TableContents"/>
              <w:spacing w:before="0" w:after="283"/>
              <w:rPr/>
            </w:pPr>
            <w:r>
              <w:rPr/>
              <w:t> </w:t>
            </w:r>
          </w:p>
        </w:tc>
      </w:tr>
      <w:tr>
        <w:trPr/>
        <w:tc>
          <w:tcPr>
            <w:tcW w:w="5559" w:type="dxa"/>
            <w:tcBorders/>
            <w:shd w:fill="auto" w:val="clear"/>
          </w:tcPr>
          <w:p>
            <w:pPr>
              <w:pStyle w:val="TableContents"/>
              <w:spacing w:before="0" w:after="0"/>
              <w:rPr>
                <w:rFonts w:ascii="Times New Roman" w:hAnsi="Times New Roman"/>
                <w:sz w:val="20"/>
              </w:rPr>
            </w:pPr>
            <w:r>
              <w:rPr>
                <w:rFonts w:ascii="Times New Roman" w:hAnsi="Times New Roman"/>
                <w:sz w:val="20"/>
              </w:rPr>
              <w:t>Purchased software</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2,636,373</w:t>
            </w:r>
          </w:p>
        </w:tc>
        <w:tc>
          <w:tcPr>
            <w:tcW w:w="162"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2,627,948</w:t>
            </w:r>
          </w:p>
        </w:tc>
        <w:tc>
          <w:tcPr>
            <w:tcW w:w="167" w:type="dxa"/>
            <w:tcBorders/>
            <w:shd w:fill="auto" w:val="clear"/>
            <w:vAlign w:val="bottom"/>
          </w:tcPr>
          <w:p>
            <w:pPr>
              <w:pStyle w:val="TableContents"/>
              <w:spacing w:before="0" w:after="283"/>
              <w:rPr/>
            </w:pPr>
            <w:r>
              <w:rPr/>
              <w:t> </w:t>
            </w:r>
          </w:p>
        </w:tc>
      </w:tr>
      <w:tr>
        <w:trPr/>
        <w:tc>
          <w:tcPr>
            <w:tcW w:w="5559" w:type="dxa"/>
            <w:tcBorders/>
            <w:shd w:fill="CCEEFF" w:val="clear"/>
          </w:tcPr>
          <w:p>
            <w:pPr>
              <w:pStyle w:val="TableContents"/>
              <w:spacing w:before="0" w:after="0"/>
              <w:rPr>
                <w:rFonts w:ascii="Times New Roman" w:hAnsi="Times New Roman"/>
                <w:sz w:val="20"/>
              </w:rPr>
            </w:pPr>
            <w:r>
              <w:rPr>
                <w:rFonts w:ascii="Times New Roman" w:hAnsi="Times New Roman"/>
                <w:sz w:val="20"/>
              </w:rPr>
              <w:t>Assets under capital lease</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7,833,996</w:t>
            </w:r>
          </w:p>
        </w:tc>
        <w:tc>
          <w:tcPr>
            <w:tcW w:w="162"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7,145,321</w:t>
            </w:r>
          </w:p>
        </w:tc>
        <w:tc>
          <w:tcPr>
            <w:tcW w:w="167" w:type="dxa"/>
            <w:tcBorders/>
            <w:shd w:fill="CCEEFF" w:val="clear"/>
            <w:vAlign w:val="bottom"/>
          </w:tcPr>
          <w:p>
            <w:pPr>
              <w:pStyle w:val="TableContents"/>
              <w:spacing w:before="0" w:after="283"/>
              <w:rPr/>
            </w:pPr>
            <w:r>
              <w:rPr/>
              <w:t> </w:t>
            </w:r>
          </w:p>
        </w:tc>
      </w:tr>
      <w:tr>
        <w:trPr/>
        <w:tc>
          <w:tcPr>
            <w:tcW w:w="5559" w:type="dxa"/>
            <w:tcBorders/>
            <w:shd w:fill="auto" w:val="clear"/>
          </w:tcPr>
          <w:p>
            <w:pPr>
              <w:pStyle w:val="TableContents"/>
              <w:spacing w:before="0" w:after="0"/>
              <w:rPr>
                <w:rFonts w:ascii="Times New Roman" w:hAnsi="Times New Roman"/>
                <w:sz w:val="20"/>
              </w:rPr>
            </w:pPr>
            <w:r>
              <w:rPr>
                <w:rFonts w:ascii="Times New Roman" w:hAnsi="Times New Roman"/>
                <w:sz w:val="20"/>
              </w:rPr>
              <w:t>Office furniture and equipment</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312,951</w:t>
            </w:r>
          </w:p>
        </w:tc>
        <w:tc>
          <w:tcPr>
            <w:tcW w:w="162"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312,951</w:t>
            </w:r>
          </w:p>
        </w:tc>
        <w:tc>
          <w:tcPr>
            <w:tcW w:w="167" w:type="dxa"/>
            <w:tcBorders/>
            <w:shd w:fill="auto" w:val="clear"/>
            <w:vAlign w:val="bottom"/>
          </w:tcPr>
          <w:p>
            <w:pPr>
              <w:pStyle w:val="TableContents"/>
              <w:spacing w:before="0" w:after="283"/>
              <w:rPr/>
            </w:pPr>
            <w:r>
              <w:rPr/>
              <w:t> </w:t>
            </w:r>
          </w:p>
        </w:tc>
      </w:tr>
      <w:tr>
        <w:trPr/>
        <w:tc>
          <w:tcPr>
            <w:tcW w:w="5559"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1,372,122</w:t>
            </w:r>
          </w:p>
        </w:tc>
        <w:tc>
          <w:tcPr>
            <w:tcW w:w="162"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1,364,821</w:t>
            </w:r>
          </w:p>
        </w:tc>
        <w:tc>
          <w:tcPr>
            <w:tcW w:w="167" w:type="dxa"/>
            <w:tcBorders/>
            <w:shd w:fill="CCEEFF" w:val="clear"/>
            <w:vAlign w:val="bottom"/>
          </w:tcPr>
          <w:p>
            <w:pPr>
              <w:pStyle w:val="TableContents"/>
              <w:spacing w:before="0" w:after="283"/>
              <w:rPr/>
            </w:pPr>
            <w:r>
              <w:rPr/>
              <w:t> </w:t>
            </w:r>
          </w:p>
        </w:tc>
      </w:tr>
      <w:tr>
        <w:trPr/>
        <w:tc>
          <w:tcPr>
            <w:tcW w:w="5559"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r>
        <w:trPr/>
        <w:tc>
          <w:tcPr>
            <w:tcW w:w="5559" w:type="dxa"/>
            <w:tcBorders/>
            <w:shd w:fill="auto" w:val="clea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13,583,966</w:t>
            </w:r>
          </w:p>
        </w:tc>
        <w:tc>
          <w:tcPr>
            <w:tcW w:w="162"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13,598,046</w:t>
            </w:r>
          </w:p>
        </w:tc>
        <w:tc>
          <w:tcPr>
            <w:tcW w:w="167" w:type="dxa"/>
            <w:tcBorders/>
            <w:shd w:fill="auto" w:val="clear"/>
            <w:vAlign w:val="bottom"/>
          </w:tcPr>
          <w:p>
            <w:pPr>
              <w:pStyle w:val="TableContents"/>
              <w:spacing w:before="0" w:after="283"/>
              <w:rPr/>
            </w:pPr>
            <w:r>
              <w:rPr/>
              <w:t> </w:t>
            </w:r>
          </w:p>
        </w:tc>
      </w:tr>
      <w:tr>
        <w:trPr/>
        <w:tc>
          <w:tcPr>
            <w:tcW w:w="5559"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depreciation</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(12,151,869</w:t>
            </w:r>
          </w:p>
        </w:tc>
        <w:tc>
          <w:tcPr>
            <w:tcW w:w="162"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(11,727,918</w:t>
            </w:r>
          </w:p>
        </w:tc>
        <w:tc>
          <w:tcPr>
            <w:tcW w:w="167" w:type="dxa"/>
            <w:tcBorders/>
            <w:shd w:fill="CCEEFF" w:val="clear"/>
            <w:vAlign w:val="bottom"/>
          </w:tcPr>
          <w:p>
            <w:pPr>
              <w:pStyle w:val="TableContents"/>
              <w:spacing w:before="0" w:after="283"/>
              <w:rPr/>
            </w:pPr>
            <w:r>
              <w:rPr/>
              <w:t>) </w:t>
            </w:r>
          </w:p>
        </w:tc>
      </w:tr>
      <w:tr>
        <w:trPr/>
        <w:tc>
          <w:tcPr>
            <w:tcW w:w="5559"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r>
        <w:trPr/>
        <w:tc>
          <w:tcPr>
            <w:tcW w:w="5559"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equipmentnet</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92" w:type="dxa"/>
            <w:tcBorders/>
            <w:shd w:fill="auto" w:val="clear"/>
            <w:vAlign w:val="bottom"/>
          </w:tcPr>
          <w:p>
            <w:pPr>
              <w:pStyle w:val="TableContents"/>
              <w:spacing w:before="0" w:after="283"/>
              <w:jc w:val="right"/>
              <w:rPr/>
            </w:pPr>
            <w:r>
              <w:rPr/>
              <w:t>1,432,097</w:t>
            </w:r>
          </w:p>
        </w:tc>
        <w:tc>
          <w:tcPr>
            <w:tcW w:w="162"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92" w:type="dxa"/>
            <w:tcBorders/>
            <w:shd w:fill="auto" w:val="clear"/>
            <w:vAlign w:val="bottom"/>
          </w:tcPr>
          <w:p>
            <w:pPr>
              <w:pStyle w:val="TableContents"/>
              <w:spacing w:before="0" w:after="283"/>
              <w:jc w:val="right"/>
              <w:rPr/>
            </w:pPr>
            <w:r>
              <w:rPr/>
              <w:t>1,870,128</w:t>
            </w:r>
          </w:p>
        </w:tc>
        <w:tc>
          <w:tcPr>
            <w:tcW w:w="167" w:type="dxa"/>
            <w:tcBorders/>
            <w:shd w:fill="auto" w:val="clear"/>
            <w:vAlign w:val="bottom"/>
          </w:tcPr>
          <w:p>
            <w:pPr>
              <w:pStyle w:val="TableContents"/>
              <w:spacing w:before="0" w:after="283"/>
              <w:rPr/>
            </w:pPr>
            <w:r>
              <w:rPr/>
              <w:t> </w:t>
            </w:r>
          </w:p>
        </w:tc>
      </w:tr>
      <w:tr>
        <w:trPr/>
        <w:tc>
          <w:tcPr>
            <w:tcW w:w="5559"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92"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92" w:type="dxa"/>
            <w:tcBorders/>
            <w:shd w:fill="auto" w:val="clear"/>
            <w:vAlign w:val="bottom"/>
          </w:tcPr>
          <w:p>
            <w:pPr>
              <w:pStyle w:val="TableContents"/>
              <w:pBdr>
                <w:top w:val="double" w:sz="6"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Depreciation expense incurred for the years December 31, 2019 and 2018, was $1,305,079 and $1,956,636, respectively.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1"/>
        <w:gridCol w:w="8164"/>
      </w:tblGrid>
      <w:tr>
        <w:trPr/>
        <w:tc>
          <w:tcPr>
            <w:tcW w:w="2041" w:type="dxa"/>
            <w:tcBorders/>
            <w:shd w:fill="auto" w:val="clear"/>
          </w:tcPr>
          <w:p>
            <w:pPr>
              <w:pStyle w:val="TableContents"/>
              <w:spacing w:before="0" w:after="283"/>
              <w:jc w:val="left"/>
              <w:rPr>
                <w:b/>
              </w:rPr>
            </w:pPr>
            <w:r>
              <w:rPr>
                <w:b/>
              </w:rPr>
              <w:t>Note 4:    Internally</w:t>
            </w:r>
          </w:p>
        </w:tc>
        <w:tc>
          <w:tcPr>
            <w:tcW w:w="816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Developed Software </w:t>
            </w:r>
          </w:p>
        </w:tc>
      </w:tr>
    </w:tbl>
    <w:p>
      <w:pPr>
        <w:pStyle w:val="TextBody"/>
        <w:spacing w:before="120" w:after="0"/>
        <w:jc w:val="left"/>
        <w:rPr>
          <w:rFonts w:ascii="Times New Roman" w:hAnsi="Times New Roman"/>
          <w:sz w:val="20"/>
        </w:rPr>
      </w:pPr>
      <w:r>
        <w:rPr>
          <w:rFonts w:ascii="Times New Roman" w:hAnsi="Times New Roman"/>
          <w:sz w:val="20"/>
        </w:rPr>
        <w:t xml:space="preserve">The Company has capitalized the following internally developed software as of December 31, 2019 and 2018: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636"/>
        <w:gridCol w:w="353"/>
        <w:gridCol w:w="148"/>
        <w:gridCol w:w="1217"/>
        <w:gridCol w:w="156"/>
        <w:gridCol w:w="353"/>
        <w:gridCol w:w="148"/>
        <w:gridCol w:w="1217"/>
        <w:gridCol w:w="160"/>
      </w:tblGrid>
      <w:tr>
        <w:trPr/>
        <w:tc>
          <w:tcPr>
            <w:tcW w:w="563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60" w:type="dxa"/>
            <w:tcBorders/>
            <w:shd w:fill="auto" w:val="clear"/>
            <w:vAlign w:val="bottom"/>
          </w:tcPr>
          <w:p>
            <w:pPr>
              <w:pStyle w:val="TableContents"/>
              <w:spacing w:before="0" w:after="283"/>
              <w:rPr/>
            </w:pPr>
            <w:r>
              <w:rPr/>
              <w:t> </w:t>
            </w:r>
          </w:p>
        </w:tc>
      </w:tr>
      <w:tr>
        <w:trPr/>
        <w:tc>
          <w:tcPr>
            <w:tcW w:w="5636" w:type="dxa"/>
            <w:tcBorders/>
            <w:shd w:fill="CCEEFF" w:val="clear"/>
          </w:tcPr>
          <w:p>
            <w:pPr>
              <w:pStyle w:val="TableContents"/>
              <w:spacing w:before="0" w:after="0"/>
              <w:rPr>
                <w:rFonts w:ascii="Times New Roman" w:hAnsi="Times New Roman"/>
                <w:sz w:val="20"/>
              </w:rPr>
            </w:pPr>
            <w:r>
              <w:rPr>
                <w:rFonts w:ascii="Times New Roman" w:hAnsi="Times New Roman"/>
                <w:sz w:val="20"/>
              </w:rPr>
              <w:t>Internal use software</w:t>
            </w:r>
          </w:p>
        </w:tc>
        <w:tc>
          <w:tcPr>
            <w:tcW w:w="3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217" w:type="dxa"/>
            <w:tcBorders/>
            <w:shd w:fill="CCEEFF" w:val="clear"/>
            <w:vAlign w:val="bottom"/>
          </w:tcPr>
          <w:p>
            <w:pPr>
              <w:pStyle w:val="TableContents"/>
              <w:spacing w:before="0" w:after="283"/>
              <w:jc w:val="right"/>
              <w:rPr/>
            </w:pPr>
            <w:r>
              <w:rPr/>
              <w:t>31,594,419</w:t>
            </w:r>
          </w:p>
        </w:tc>
        <w:tc>
          <w:tcPr>
            <w:tcW w:w="15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217" w:type="dxa"/>
            <w:tcBorders/>
            <w:shd w:fill="CCEEFF" w:val="clear"/>
            <w:vAlign w:val="bottom"/>
          </w:tcPr>
          <w:p>
            <w:pPr>
              <w:pStyle w:val="TableContents"/>
              <w:spacing w:before="0" w:after="283"/>
              <w:jc w:val="right"/>
              <w:rPr/>
            </w:pPr>
            <w:r>
              <w:rPr/>
              <w:t>30,302,966</w:t>
            </w:r>
          </w:p>
        </w:tc>
        <w:tc>
          <w:tcPr>
            <w:tcW w:w="160" w:type="dxa"/>
            <w:tcBorders/>
            <w:shd w:fill="CCEEFF" w:val="clear"/>
            <w:vAlign w:val="bottom"/>
          </w:tcPr>
          <w:p>
            <w:pPr>
              <w:pStyle w:val="TableContents"/>
              <w:spacing w:before="0" w:after="283"/>
              <w:rPr/>
            </w:pPr>
            <w:r>
              <w:rPr/>
              <w:t> </w:t>
            </w:r>
          </w:p>
        </w:tc>
      </w:tr>
      <w:tr>
        <w:trPr/>
        <w:tc>
          <w:tcPr>
            <w:tcW w:w="5636"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amortization</w:t>
            </w:r>
          </w:p>
        </w:tc>
        <w:tc>
          <w:tcPr>
            <w:tcW w:w="3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(22,034,539</w:t>
            </w:r>
          </w:p>
        </w:tc>
        <w:tc>
          <w:tcPr>
            <w:tcW w:w="15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(18,884,496</w:t>
            </w:r>
          </w:p>
        </w:tc>
        <w:tc>
          <w:tcPr>
            <w:tcW w:w="160" w:type="dxa"/>
            <w:tcBorders/>
            <w:shd w:fill="auto" w:val="clear"/>
            <w:vAlign w:val="bottom"/>
          </w:tcPr>
          <w:p>
            <w:pPr>
              <w:pStyle w:val="TableContents"/>
              <w:spacing w:before="0" w:after="283"/>
              <w:rPr/>
            </w:pPr>
            <w:r>
              <w:rPr/>
              <w:t>) </w:t>
            </w:r>
          </w:p>
        </w:tc>
      </w:tr>
      <w:tr>
        <w:trPr/>
        <w:tc>
          <w:tcPr>
            <w:tcW w:w="5636"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217"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21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36" w:type="dxa"/>
            <w:tcBorders/>
            <w:shd w:fill="CCEEFF" w:val="clear"/>
          </w:tcPr>
          <w:p>
            <w:pPr>
              <w:pStyle w:val="TableContents"/>
              <w:spacing w:before="0" w:after="0"/>
              <w:rPr>
                <w:rFonts w:ascii="Times New Roman" w:hAnsi="Times New Roman"/>
                <w:sz w:val="20"/>
              </w:rPr>
            </w:pPr>
            <w:r>
              <w:rPr>
                <w:rFonts w:ascii="Times New Roman" w:hAnsi="Times New Roman"/>
                <w:sz w:val="20"/>
              </w:rPr>
              <w:t>Internal use softwarenet</w:t>
            </w:r>
          </w:p>
        </w:tc>
        <w:tc>
          <w:tcPr>
            <w:tcW w:w="3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217" w:type="dxa"/>
            <w:tcBorders/>
            <w:shd w:fill="CCEEFF" w:val="clear"/>
            <w:vAlign w:val="bottom"/>
          </w:tcPr>
          <w:p>
            <w:pPr>
              <w:pStyle w:val="TableContents"/>
              <w:spacing w:before="0" w:after="283"/>
              <w:jc w:val="right"/>
              <w:rPr/>
            </w:pPr>
            <w:r>
              <w:rPr/>
              <w:t>9,559,880</w:t>
            </w:r>
          </w:p>
        </w:tc>
        <w:tc>
          <w:tcPr>
            <w:tcW w:w="15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217" w:type="dxa"/>
            <w:tcBorders/>
            <w:shd w:fill="CCEEFF" w:val="clear"/>
            <w:vAlign w:val="bottom"/>
          </w:tcPr>
          <w:p>
            <w:pPr>
              <w:pStyle w:val="TableContents"/>
              <w:spacing w:before="0" w:after="283"/>
              <w:jc w:val="right"/>
              <w:rPr/>
            </w:pPr>
            <w:r>
              <w:rPr/>
              <w:t>11,418,470</w:t>
            </w:r>
          </w:p>
        </w:tc>
        <w:tc>
          <w:tcPr>
            <w:tcW w:w="160" w:type="dxa"/>
            <w:tcBorders/>
            <w:shd w:fill="CCEEFF" w:val="clear"/>
            <w:vAlign w:val="bottom"/>
          </w:tcPr>
          <w:p>
            <w:pPr>
              <w:pStyle w:val="TableContents"/>
              <w:spacing w:before="0" w:after="283"/>
              <w:rPr/>
            </w:pPr>
            <w:r>
              <w:rPr/>
              <w:t> </w:t>
            </w:r>
          </w:p>
        </w:tc>
      </w:tr>
      <w:tr>
        <w:trPr/>
        <w:tc>
          <w:tcPr>
            <w:tcW w:w="5636"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217"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217"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Amortization expense for the years ended December 31, 2019 and 2018, was $5,502,205 and $6,318,091, respectively, and is included in depreciation and amortization expenses in the accompanying consolidated statements of operations and comprehensive income (loss). </w:t>
      </w:r>
    </w:p>
    <w:p>
      <w:pPr>
        <w:pStyle w:val="TextBody"/>
        <w:spacing w:before="360" w:after="0"/>
        <w:jc w:val="left"/>
        <w:rPr>
          <w:rFonts w:ascii="Times New Roman" w:hAnsi="Times New Roman"/>
          <w:b/>
          <w:sz w:val="20"/>
        </w:rPr>
      </w:pPr>
      <w:r>
        <w:rPr>
          <w:rFonts w:ascii="Times New Roman" w:hAnsi="Times New Roman"/>
          <w:b/>
          <w:sz w:val="20"/>
        </w:rPr>
        <w:t xml:space="preserve">Note 5:    Debt </w:t>
      </w:r>
    </w:p>
    <w:p>
      <w:pPr>
        <w:pStyle w:val="TextBody"/>
        <w:spacing w:before="120" w:after="0"/>
        <w:jc w:val="left"/>
        <w:rPr>
          <w:rFonts w:ascii="Times New Roman" w:hAnsi="Times New Roman"/>
          <w:b/>
          <w:sz w:val="20"/>
        </w:rPr>
      </w:pPr>
      <w:r>
        <w:rPr>
          <w:rFonts w:ascii="Times New Roman" w:hAnsi="Times New Roman"/>
          <w:b/>
          <w:sz w:val="20"/>
        </w:rPr>
        <w:t xml:space="preserve">Revolving Credit Facility </w:t>
      </w:r>
    </w:p>
    <w:p>
      <w:pPr>
        <w:pStyle w:val="TextBody"/>
        <w:spacing w:before="120" w:after="0"/>
        <w:jc w:val="left"/>
        <w:rPr>
          <w:rFonts w:ascii="Times New Roman" w:hAnsi="Times New Roman"/>
          <w:sz w:val="20"/>
        </w:rPr>
      </w:pPr>
      <w:r>
        <w:rPr>
          <w:rFonts w:ascii="Times New Roman" w:hAnsi="Times New Roman"/>
          <w:sz w:val="20"/>
        </w:rPr>
        <w:t xml:space="preserve">On September 26, 2016, the Company entered into a $37.5 million revolving credit facility with its senior lender (Amended Credit Facility). The Amended Credit Facility amended and restated the Companys then existing credit facility and provides the Company with revolving spend availability of up to $30 million under a commercial purchasing card facility and $7.5 million in formula-based revolving loan borrowings. Expenditures made using the purchasing card facility are payable monthly, are not subject to formula-based restrictions and do not bear interest if amounts outstanding are paid when due and in full. The Company utilizes its purchasing card facility for redemption purchases made from merchant partners as part of its service offerings to customers.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Borrowings under the revolving loan component are subject to eligible accounts receivable, as defined in the loan agreement, and bear interest at Prime plus two and one quarter percent. As of December 31, 2019 and 2018, $6.9 million and $7.5 million was outstanding under the revolving loan facility, respectively. In June 2019, the Company renewed its loan facility with its senior lender through May 31, 2020. The revolving loan facility was repaid in full in connection with the acquisition. </w:t>
      </w:r>
    </w:p>
    <w:p>
      <w:pPr>
        <w:pStyle w:val="TextBody"/>
        <w:spacing w:before="240" w:after="0"/>
        <w:jc w:val="left"/>
        <w:rPr>
          <w:rFonts w:ascii="Times New Roman" w:hAnsi="Times New Roman"/>
          <w:sz w:val="20"/>
        </w:rPr>
      </w:pPr>
      <w:r>
        <w:rPr>
          <w:rFonts w:ascii="Times New Roman" w:hAnsi="Times New Roman"/>
          <w:sz w:val="20"/>
        </w:rPr>
        <w:t xml:space="preserve">The Company is required to be in compliance with all covenants set forth in the agreement as of each monthly reporting date. The Company was in compliance with all debt covenants throughout 2019. </w:t>
      </w:r>
    </w:p>
    <w:p>
      <w:pPr>
        <w:pStyle w:val="TextBody"/>
        <w:spacing w:before="360" w:after="0"/>
        <w:jc w:val="left"/>
        <w:rPr>
          <w:rFonts w:ascii="Times New Roman" w:hAnsi="Times New Roman"/>
          <w:b/>
          <w:sz w:val="20"/>
        </w:rPr>
      </w:pPr>
      <w:r>
        <w:rPr>
          <w:rFonts w:ascii="Times New Roman" w:hAnsi="Times New Roman"/>
          <w:b/>
          <w:sz w:val="20"/>
        </w:rPr>
        <w:t xml:space="preserve">Subordinated Notes Payable </w:t>
      </w:r>
    </w:p>
    <w:p>
      <w:pPr>
        <w:pStyle w:val="TextBody"/>
        <w:spacing w:before="120" w:after="0"/>
        <w:jc w:val="left"/>
        <w:rPr>
          <w:rFonts w:ascii="Times New Roman" w:hAnsi="Times New Roman"/>
          <w:sz w:val="20"/>
        </w:rPr>
      </w:pPr>
      <w:r>
        <w:rPr>
          <w:rFonts w:ascii="Times New Roman" w:hAnsi="Times New Roman"/>
          <w:sz w:val="20"/>
        </w:rPr>
        <w:t xml:space="preserve">On June 19, 2015, the Company entered into a Venture Loan and Security agreement (Venture Loan) with a lender to issue up to $5 million in subordinated notes pursuant to which a $4 million note was issued at closing and a $1 million note was issued on December 30, 2015 (Original Subordinated Notes). </w:t>
      </w:r>
    </w:p>
    <w:p>
      <w:pPr>
        <w:pStyle w:val="TextBody"/>
        <w:spacing w:before="240" w:after="0"/>
        <w:jc w:val="left"/>
        <w:rPr>
          <w:rFonts w:ascii="Times New Roman" w:hAnsi="Times New Roman"/>
          <w:sz w:val="20"/>
        </w:rPr>
      </w:pPr>
      <w:r>
        <w:rPr>
          <w:rFonts w:ascii="Times New Roman" w:hAnsi="Times New Roman"/>
          <w:sz w:val="20"/>
        </w:rPr>
        <w:t xml:space="preserve">In October 2017, the Company increased the size of its venture loan arrangement with the lender by repaying all amounts outstanding under the Original Subordinated Notes and issuing two new notes totaling $10 million to the lender (2017 Subordinated Notes). The 2017 Subordinated Notes are secured by substantially all of the assets of the Company but are subordinate in priority to certain permitted indebtedness, as defined in the loan agreement, including amounts outstanding under the Amended Credit Facility. </w:t>
      </w:r>
    </w:p>
    <w:p>
      <w:pPr>
        <w:pStyle w:val="TextBody"/>
        <w:spacing w:before="240" w:after="0"/>
        <w:jc w:val="left"/>
        <w:rPr>
          <w:rFonts w:ascii="Times New Roman" w:hAnsi="Times New Roman"/>
          <w:sz w:val="20"/>
        </w:rPr>
      </w:pPr>
      <w:r>
        <w:rPr>
          <w:rFonts w:ascii="Times New Roman" w:hAnsi="Times New Roman"/>
          <w:sz w:val="20"/>
        </w:rPr>
        <w:t xml:space="preserve">In May 2019, the Company repaid all amounts outstanding under the 2017 Subordinated Notes and entered into a Venture Loan and Security Agreement with its subordinated lender (Modification Agreement) to increase the amount of borrowings by issuing three new notes totaling $15,000,000 (2019 Subordinated Notes), defer payment of principal until January 1, 2021, and amend the credit facilitys maturity date to June 1, 2023. $12,500,000 of 2019 Subordinated Notes was funded at closing and an additional $2,500,000 was funded in September 2019 upon achievement of an EBITDA milestone (Additional Draw). Borrowings under the 2019 Subordinated Notes bear interest at 11% per annum plus the amount by which one-month LIBOR exceeds 2.6%. In conjunction with this financing agreement, the Company issued warrants to the lender to purchase 50,000 shares of its common stock, of which 37,500 shares were exercisable at closing and 12,500 shares became exercisable upon the funding of the Additional Draw. The Company recorded a discount for the notes at issuance based upon the relative fair value of the warrants totaling $37,213 in 2019. </w:t>
      </w:r>
    </w:p>
    <w:p>
      <w:pPr>
        <w:pStyle w:val="TextBody"/>
        <w:spacing w:before="240" w:after="0"/>
        <w:jc w:val="left"/>
        <w:rPr>
          <w:rFonts w:ascii="Times New Roman" w:hAnsi="Times New Roman"/>
          <w:sz w:val="20"/>
        </w:rPr>
      </w:pPr>
      <w:r>
        <w:rPr>
          <w:rFonts w:ascii="Times New Roman" w:hAnsi="Times New Roman"/>
          <w:sz w:val="20"/>
        </w:rPr>
        <w:t xml:space="preserve">Borrowings outstanding under the Modification Agreement are payable monthly with an eighteen month interest only period followed by a thirty month amortization of principal and interest. In addition to interest and principal payments, the Company is required to pay $300,000 to the lender either at maturity, upon full repayment of the principal or upon demand by the lender in the event of default by the Company under the loan agreement (Final Payment). The Company is accruing the Final Payment over the term of the note as interest expense and has accrued a liability of $40,625 and $61,111 as of December 31, 2019 and 2018, respectively. As of December 31, 2019 and 2018, borrowings of $15,000,000 and $10,000,000 were outstanding on the Modification Agreement, respectively. </w:t>
      </w:r>
    </w:p>
    <w:p>
      <w:pPr>
        <w:pStyle w:val="TextBody"/>
        <w:spacing w:before="240" w:after="0"/>
        <w:jc w:val="left"/>
        <w:rPr>
          <w:rFonts w:ascii="Times New Roman" w:hAnsi="Times New Roman"/>
          <w:sz w:val="20"/>
        </w:rPr>
      </w:pPr>
      <w:r>
        <w:rPr>
          <w:rFonts w:ascii="Times New Roman" w:hAnsi="Times New Roman"/>
          <w:sz w:val="20"/>
        </w:rPr>
        <w:t xml:space="preserve">In connection with issuance of the Venture Loan, and the 2017 Subordinated Notes, the Company issued warrants to purchase 75,458 and 50,000 shares of the Companys common stock to the lender at an exercise price of $4.97 and $.01 per share, respectively. The Company recorded a discount for the notes at issuance based upon the relative fair value of the warrants totaling $156,458 and $85,057 in 2015 and 2017, respectively, and is amortizing the discount over the term of the notes as interest expense. </w:t>
      </w:r>
    </w:p>
    <w:p>
      <w:pPr>
        <w:pStyle w:val="TextBody"/>
        <w:spacing w:before="240" w:after="0"/>
        <w:jc w:val="left"/>
        <w:rPr>
          <w:rFonts w:ascii="Times New Roman" w:hAnsi="Times New Roman"/>
          <w:sz w:val="20"/>
        </w:rPr>
      </w:pPr>
      <w:r>
        <w:rPr>
          <w:rFonts w:ascii="Times New Roman" w:hAnsi="Times New Roman"/>
          <w:sz w:val="20"/>
        </w:rPr>
        <w:t xml:space="preserve">As of December 31, 2019, borrowings outstanding for the subordinated notes are reflected in the consolidated financial statements net of a discount of $37,213 and deferred financing costs of $133,920. As of December 31, 2018, borrowings outstanding for the subordinated notes are reflected in the consolidated financial statements net of a discount of $58,477 and deferred financing costs of $57,630.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is required to be in compliance with all covenants set forth in the agreement at each monthly reporting date. The Company was in compliance with all debt covenants throughout 2019. </w:t>
      </w:r>
    </w:p>
    <w:p>
      <w:pPr>
        <w:pStyle w:val="TextBody"/>
        <w:spacing w:before="360" w:after="0"/>
        <w:jc w:val="left"/>
        <w:rPr>
          <w:rFonts w:ascii="Times New Roman" w:hAnsi="Times New Roman"/>
          <w:b/>
          <w:sz w:val="20"/>
        </w:rPr>
      </w:pPr>
      <w:r>
        <w:rPr>
          <w:rFonts w:ascii="Times New Roman" w:hAnsi="Times New Roman"/>
          <w:b/>
          <w:sz w:val="20"/>
        </w:rPr>
        <w:t xml:space="preserve">Note 6:    Capital Leases </w:t>
      </w:r>
    </w:p>
    <w:p>
      <w:pPr>
        <w:pStyle w:val="TextBody"/>
        <w:spacing w:before="120" w:after="0"/>
        <w:jc w:val="left"/>
        <w:rPr>
          <w:rFonts w:ascii="Times New Roman" w:hAnsi="Times New Roman"/>
          <w:sz w:val="20"/>
        </w:rPr>
      </w:pPr>
      <w:r>
        <w:rPr>
          <w:rFonts w:ascii="Times New Roman" w:hAnsi="Times New Roman"/>
          <w:sz w:val="20"/>
        </w:rPr>
        <w:t xml:space="preserve">The Company leases certain assets under agreements that are classified as capital leases expiring through 2024. Accumulated depreciation as of December 31, 2019 and 2018, was approximately $7,130,904 and $6,328,581, respectively. Depreciation expense of assets under capital leases is included in depreciation and amortization expense in the accompanying consolidated statements of operations and comprehensive income (loss). </w:t>
      </w:r>
    </w:p>
    <w:p>
      <w:pPr>
        <w:pStyle w:val="TextBody"/>
        <w:spacing w:before="240" w:after="0"/>
        <w:jc w:val="left"/>
        <w:rPr>
          <w:rFonts w:ascii="Times New Roman" w:hAnsi="Times New Roman"/>
          <w:sz w:val="20"/>
        </w:rPr>
      </w:pPr>
      <w:r>
        <w:rPr>
          <w:rFonts w:ascii="Times New Roman" w:hAnsi="Times New Roman"/>
          <w:sz w:val="20"/>
        </w:rPr>
        <w:t xml:space="preserve">Future minimum lease payments pursuant to capital lease obligations as of December 31, 2019, are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7794"/>
        <w:gridCol w:w="393"/>
        <w:gridCol w:w="140"/>
        <w:gridCol w:w="892"/>
        <w:gridCol w:w="169"/>
      </w:tblGrid>
      <w:tr>
        <w:trPr/>
        <w:tc>
          <w:tcPr>
            <w:tcW w:w="779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794" w:type="dxa"/>
            <w:tcBorders/>
            <w:shd w:fill="CCEEFF" w:val="clear"/>
          </w:tcPr>
          <w:p>
            <w:pPr>
              <w:pStyle w:val="TableContents"/>
              <w:spacing w:before="0" w:after="0"/>
              <w:rPr>
                <w:rFonts w:ascii="Times New Roman" w:hAnsi="Times New Roman"/>
                <w:sz w:val="20"/>
              </w:rPr>
            </w:pPr>
            <w:r>
              <w:rPr>
                <w:rFonts w:ascii="Times New Roman" w:hAnsi="Times New Roman"/>
                <w:sz w:val="20"/>
              </w:rPr>
              <w:t>Year ending December 31,</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r>
      <w:tr>
        <w:trPr/>
        <w:tc>
          <w:tcPr>
            <w:tcW w:w="7794" w:type="dxa"/>
            <w:tcBorders/>
            <w:shd w:fill="auto" w:val="clear"/>
          </w:tcPr>
          <w:p>
            <w:pPr>
              <w:pStyle w:val="TableContents"/>
              <w:spacing w:before="0" w:after="0"/>
              <w:rPr>
                <w:rFonts w:ascii="Times New Roman" w:hAnsi="Times New Roman"/>
                <w:sz w:val="20"/>
              </w:rPr>
            </w:pPr>
            <w:r>
              <w:rPr>
                <w:rFonts w:ascii="Times New Roman" w:hAnsi="Times New Roman"/>
                <w:sz w:val="20"/>
              </w:rPr>
              <w:t>2020</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92" w:type="dxa"/>
            <w:tcBorders/>
            <w:shd w:fill="auto" w:val="clear"/>
            <w:vAlign w:val="bottom"/>
          </w:tcPr>
          <w:p>
            <w:pPr>
              <w:pStyle w:val="TableContents"/>
              <w:spacing w:before="0" w:after="283"/>
              <w:jc w:val="right"/>
              <w:rPr/>
            </w:pPr>
            <w:r>
              <w:rPr/>
              <w:t>422,755</w:t>
            </w:r>
          </w:p>
        </w:tc>
        <w:tc>
          <w:tcPr>
            <w:tcW w:w="169" w:type="dxa"/>
            <w:tcBorders/>
            <w:shd w:fill="auto" w:val="clear"/>
            <w:vAlign w:val="bottom"/>
          </w:tcPr>
          <w:p>
            <w:pPr>
              <w:pStyle w:val="TableContents"/>
              <w:spacing w:before="0" w:after="283"/>
              <w:rPr/>
            </w:pPr>
            <w:r>
              <w:rPr/>
              <w:t> </w:t>
            </w:r>
          </w:p>
        </w:tc>
      </w:tr>
      <w:tr>
        <w:trPr/>
        <w:tc>
          <w:tcPr>
            <w:tcW w:w="7794" w:type="dxa"/>
            <w:tcBorders/>
            <w:shd w:fill="CCEEFF" w:val="clear"/>
          </w:tcPr>
          <w:p>
            <w:pPr>
              <w:pStyle w:val="TableContents"/>
              <w:spacing w:before="0" w:after="0"/>
              <w:rPr>
                <w:rFonts w:ascii="Times New Roman" w:hAnsi="Times New Roman"/>
                <w:sz w:val="20"/>
              </w:rPr>
            </w:pPr>
            <w:r>
              <w:rPr>
                <w:rFonts w:ascii="Times New Roman" w:hAnsi="Times New Roman"/>
                <w:sz w:val="20"/>
              </w:rPr>
              <w:t>2021</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162,526</w:t>
            </w:r>
          </w:p>
        </w:tc>
        <w:tc>
          <w:tcPr>
            <w:tcW w:w="169" w:type="dxa"/>
            <w:tcBorders/>
            <w:shd w:fill="CCEEFF" w:val="clear"/>
            <w:vAlign w:val="bottom"/>
          </w:tcPr>
          <w:p>
            <w:pPr>
              <w:pStyle w:val="TableContents"/>
              <w:spacing w:before="0" w:after="283"/>
              <w:rPr/>
            </w:pPr>
            <w:r>
              <w:rPr/>
              <w:t> </w:t>
            </w:r>
          </w:p>
        </w:tc>
      </w:tr>
      <w:tr>
        <w:trPr/>
        <w:tc>
          <w:tcPr>
            <w:tcW w:w="7794" w:type="dxa"/>
            <w:tcBorders/>
            <w:shd w:fill="auto" w:val="clear"/>
          </w:tcPr>
          <w:p>
            <w:pPr>
              <w:pStyle w:val="TableContents"/>
              <w:spacing w:before="0" w:after="0"/>
              <w:rPr>
                <w:rFonts w:ascii="Times New Roman" w:hAnsi="Times New Roman"/>
                <w:sz w:val="20"/>
              </w:rPr>
            </w:pPr>
            <w:r>
              <w:rPr>
                <w:rFonts w:ascii="Times New Roman" w:hAnsi="Times New Roman"/>
                <w:sz w:val="20"/>
              </w:rPr>
              <w:t>2022</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162,526</w:t>
            </w:r>
          </w:p>
        </w:tc>
        <w:tc>
          <w:tcPr>
            <w:tcW w:w="169" w:type="dxa"/>
            <w:tcBorders/>
            <w:shd w:fill="auto" w:val="clear"/>
            <w:vAlign w:val="bottom"/>
          </w:tcPr>
          <w:p>
            <w:pPr>
              <w:pStyle w:val="TableContents"/>
              <w:spacing w:before="0" w:after="283"/>
              <w:rPr/>
            </w:pPr>
            <w:r>
              <w:rPr/>
              <w:t> </w:t>
            </w:r>
          </w:p>
        </w:tc>
      </w:tr>
      <w:tr>
        <w:trPr/>
        <w:tc>
          <w:tcPr>
            <w:tcW w:w="7794" w:type="dxa"/>
            <w:tcBorders/>
            <w:shd w:fill="CCEEFF" w:val="clear"/>
          </w:tcPr>
          <w:p>
            <w:pPr>
              <w:pStyle w:val="TableContents"/>
              <w:spacing w:before="0" w:after="0"/>
              <w:rPr>
                <w:rFonts w:ascii="Times New Roman" w:hAnsi="Times New Roman"/>
                <w:sz w:val="20"/>
              </w:rPr>
            </w:pPr>
            <w:r>
              <w:rPr>
                <w:rFonts w:ascii="Times New Roman" w:hAnsi="Times New Roman"/>
                <w:sz w:val="20"/>
              </w:rPr>
              <w:t>2023</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162,526</w:t>
            </w:r>
          </w:p>
        </w:tc>
        <w:tc>
          <w:tcPr>
            <w:tcW w:w="169" w:type="dxa"/>
            <w:tcBorders/>
            <w:shd w:fill="CCEEFF" w:val="clear"/>
            <w:vAlign w:val="bottom"/>
          </w:tcPr>
          <w:p>
            <w:pPr>
              <w:pStyle w:val="TableContents"/>
              <w:spacing w:before="0" w:after="283"/>
              <w:rPr/>
            </w:pPr>
            <w:r>
              <w:rPr/>
              <w:t> </w:t>
            </w:r>
          </w:p>
        </w:tc>
      </w:tr>
      <w:tr>
        <w:trPr/>
        <w:tc>
          <w:tcPr>
            <w:tcW w:w="7794" w:type="dxa"/>
            <w:tcBorders/>
            <w:shd w:fill="auto" w:val="clear"/>
          </w:tcPr>
          <w:p>
            <w:pPr>
              <w:pStyle w:val="TableContents"/>
              <w:spacing w:before="0" w:after="0"/>
              <w:rPr>
                <w:rFonts w:ascii="Times New Roman" w:hAnsi="Times New Roman"/>
                <w:sz w:val="20"/>
              </w:rPr>
            </w:pPr>
            <w:r>
              <w:rPr>
                <w:rFonts w:ascii="Times New Roman" w:hAnsi="Times New Roman"/>
                <w:sz w:val="20"/>
              </w:rPr>
              <w:t>2024</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81,263</w:t>
            </w:r>
          </w:p>
        </w:tc>
        <w:tc>
          <w:tcPr>
            <w:tcW w:w="169" w:type="dxa"/>
            <w:tcBorders/>
            <w:shd w:fill="auto" w:val="clear"/>
            <w:vAlign w:val="bottom"/>
          </w:tcPr>
          <w:p>
            <w:pPr>
              <w:pStyle w:val="TableContents"/>
              <w:spacing w:before="0" w:after="283"/>
              <w:rPr/>
            </w:pPr>
            <w:r>
              <w:rPr/>
              <w:t> </w:t>
            </w:r>
          </w:p>
        </w:tc>
      </w:tr>
      <w:tr>
        <w:trPr/>
        <w:tc>
          <w:tcPr>
            <w:tcW w:w="7794"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2"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7794" w:type="dxa"/>
            <w:tcBorders/>
            <w:shd w:fill="CCEEFF" w:val="clear"/>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991,596</w:t>
            </w:r>
          </w:p>
        </w:tc>
        <w:tc>
          <w:tcPr>
            <w:tcW w:w="169" w:type="dxa"/>
            <w:tcBorders/>
            <w:shd w:fill="CCEEFF" w:val="clear"/>
            <w:vAlign w:val="bottom"/>
          </w:tcPr>
          <w:p>
            <w:pPr>
              <w:pStyle w:val="TableContents"/>
              <w:spacing w:before="0" w:after="283"/>
              <w:rPr/>
            </w:pPr>
            <w:r>
              <w:rPr/>
              <w:t> </w:t>
            </w:r>
          </w:p>
        </w:tc>
      </w:tr>
      <w:tr>
        <w:trPr/>
        <w:tc>
          <w:tcPr>
            <w:tcW w:w="7794" w:type="dxa"/>
            <w:tcBorders/>
            <w:shd w:fill="auto" w:val="clear"/>
          </w:tcPr>
          <w:p>
            <w:pPr>
              <w:pStyle w:val="TableContents"/>
              <w:spacing w:before="0" w:after="0"/>
              <w:rPr>
                <w:rFonts w:ascii="Times New Roman" w:hAnsi="Times New Roman"/>
                <w:sz w:val="20"/>
              </w:rPr>
            </w:pPr>
            <w:r>
              <w:rPr>
                <w:rFonts w:ascii="Times New Roman" w:hAnsi="Times New Roman"/>
                <w:sz w:val="20"/>
              </w:rPr>
              <w:t>Less amount representing interest</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(136,466</w:t>
            </w:r>
          </w:p>
        </w:tc>
        <w:tc>
          <w:tcPr>
            <w:tcW w:w="169" w:type="dxa"/>
            <w:tcBorders/>
            <w:shd w:fill="auto" w:val="clear"/>
            <w:vAlign w:val="bottom"/>
          </w:tcPr>
          <w:p>
            <w:pPr>
              <w:pStyle w:val="TableContents"/>
              <w:spacing w:before="0" w:after="283"/>
              <w:rPr/>
            </w:pPr>
            <w:r>
              <w:rPr/>
              <w:t>) </w:t>
            </w:r>
          </w:p>
        </w:tc>
      </w:tr>
      <w:tr>
        <w:trPr/>
        <w:tc>
          <w:tcPr>
            <w:tcW w:w="7794"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2"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7794" w:type="dxa"/>
            <w:tcBorders/>
            <w:shd w:fill="CCEEFF" w:val="clear"/>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855,130</w:t>
            </w:r>
          </w:p>
        </w:tc>
        <w:tc>
          <w:tcPr>
            <w:tcW w:w="169" w:type="dxa"/>
            <w:tcBorders/>
            <w:shd w:fill="CCEEFF" w:val="clear"/>
            <w:vAlign w:val="bottom"/>
          </w:tcPr>
          <w:p>
            <w:pPr>
              <w:pStyle w:val="TableContents"/>
              <w:spacing w:before="0" w:after="283"/>
              <w:rPr/>
            </w:pPr>
            <w:r>
              <w:rPr/>
              <w:t> </w:t>
            </w:r>
          </w:p>
        </w:tc>
      </w:tr>
      <w:tr>
        <w:trPr/>
        <w:tc>
          <w:tcPr>
            <w:tcW w:w="7794" w:type="dxa"/>
            <w:tcBorders/>
            <w:shd w:fill="auto" w:val="clear"/>
          </w:tcPr>
          <w:p>
            <w:pPr>
              <w:pStyle w:val="TableContents"/>
              <w:spacing w:before="0" w:after="0"/>
              <w:rPr>
                <w:rFonts w:ascii="Times New Roman" w:hAnsi="Times New Roman"/>
                <w:sz w:val="20"/>
              </w:rPr>
            </w:pPr>
            <w:r>
              <w:rPr>
                <w:rFonts w:ascii="Times New Roman" w:hAnsi="Times New Roman"/>
                <w:sz w:val="20"/>
              </w:rPr>
              <w:t>Less current portion</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(356,280</w:t>
            </w:r>
          </w:p>
        </w:tc>
        <w:tc>
          <w:tcPr>
            <w:tcW w:w="169" w:type="dxa"/>
            <w:tcBorders/>
            <w:shd w:fill="auto" w:val="clear"/>
            <w:vAlign w:val="bottom"/>
          </w:tcPr>
          <w:p>
            <w:pPr>
              <w:pStyle w:val="TableContents"/>
              <w:spacing w:before="0" w:after="283"/>
              <w:rPr/>
            </w:pPr>
            <w:r>
              <w:rPr/>
              <w:t>) </w:t>
            </w:r>
          </w:p>
        </w:tc>
      </w:tr>
      <w:tr>
        <w:trPr/>
        <w:tc>
          <w:tcPr>
            <w:tcW w:w="7794"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2"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7794" w:type="dxa"/>
            <w:tcBorders/>
            <w:shd w:fill="CCEEFF" w:val="clear"/>
          </w:tcPr>
          <w:p>
            <w:pPr>
              <w:pStyle w:val="TableContents"/>
              <w:spacing w:before="0" w:after="0"/>
              <w:rPr>
                <w:rFonts w:ascii="Times New Roman" w:hAnsi="Times New Roman"/>
                <w:sz w:val="20"/>
              </w:rPr>
            </w:pPr>
            <w:r>
              <w:rPr>
                <w:rFonts w:ascii="Times New Roman" w:hAnsi="Times New Roman"/>
                <w:sz w:val="20"/>
              </w:rPr>
              <w:t>Long-term capital lease obligations</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2" w:type="dxa"/>
            <w:tcBorders/>
            <w:shd w:fill="CCEEFF" w:val="clear"/>
            <w:vAlign w:val="bottom"/>
          </w:tcPr>
          <w:p>
            <w:pPr>
              <w:pStyle w:val="TableContents"/>
              <w:spacing w:before="0" w:after="283"/>
              <w:jc w:val="right"/>
              <w:rPr/>
            </w:pPr>
            <w:r>
              <w:rPr/>
              <w:t>498,850</w:t>
            </w:r>
          </w:p>
        </w:tc>
        <w:tc>
          <w:tcPr>
            <w:tcW w:w="169" w:type="dxa"/>
            <w:tcBorders/>
            <w:shd w:fill="CCEEFF" w:val="clear"/>
            <w:vAlign w:val="bottom"/>
          </w:tcPr>
          <w:p>
            <w:pPr>
              <w:pStyle w:val="TableContents"/>
              <w:spacing w:before="0" w:after="283"/>
              <w:rPr/>
            </w:pPr>
            <w:r>
              <w:rPr/>
              <w:t> </w:t>
            </w:r>
          </w:p>
        </w:tc>
      </w:tr>
      <w:tr>
        <w:trPr/>
        <w:tc>
          <w:tcPr>
            <w:tcW w:w="7794"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2"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7:    Shareholders Equity </w:t>
      </w:r>
    </w:p>
    <w:p>
      <w:pPr>
        <w:pStyle w:val="TextBody"/>
        <w:spacing w:before="120" w:after="0"/>
        <w:jc w:val="left"/>
        <w:rPr>
          <w:rFonts w:ascii="Times New Roman" w:hAnsi="Times New Roman"/>
          <w:sz w:val="20"/>
        </w:rPr>
      </w:pPr>
      <w:r>
        <w:rPr>
          <w:rFonts w:ascii="Times New Roman" w:hAnsi="Times New Roman"/>
          <w:sz w:val="20"/>
        </w:rPr>
        <w:t xml:space="preserve">The Company is authorized to issue 11,000,000 shares of common stock with a par value of $0.001 per share, of which 5,103,434 shares are issued and outstanding as of December 31, 2019 and 2018. </w:t>
      </w:r>
    </w:p>
    <w:p>
      <w:pPr>
        <w:pStyle w:val="TextBody"/>
        <w:spacing w:before="240" w:after="0"/>
        <w:jc w:val="left"/>
        <w:rPr>
          <w:rFonts w:ascii="Times New Roman" w:hAnsi="Times New Roman"/>
          <w:sz w:val="20"/>
        </w:rPr>
      </w:pPr>
      <w:r>
        <w:rPr>
          <w:rFonts w:ascii="Times New Roman" w:hAnsi="Times New Roman"/>
          <w:sz w:val="20"/>
        </w:rPr>
        <w:t xml:space="preserve">All of the Companys 3,371,345 shares of authorized Series A redeemable preferred stock (Series A Shares) with a par value of $0.001 per share, is issued and outstanding as of December 31, 2019 and 2018. </w:t>
      </w:r>
    </w:p>
    <w:p>
      <w:pPr>
        <w:pStyle w:val="TextBody"/>
        <w:spacing w:before="240" w:after="0"/>
        <w:jc w:val="left"/>
        <w:rPr>
          <w:rFonts w:ascii="Times New Roman" w:hAnsi="Times New Roman"/>
          <w:sz w:val="20"/>
        </w:rPr>
      </w:pPr>
      <w:r>
        <w:rPr>
          <w:rFonts w:ascii="Times New Roman" w:hAnsi="Times New Roman"/>
          <w:sz w:val="20"/>
        </w:rPr>
        <w:t xml:space="preserve">On April 25, 2016, the Company issued 3,371,345 of its Series A Shares for proceeds of $35,000,000 (Series A Financing). The Series A Shares are reflected in the Companys financial statements at the original purchase price, net of professional services fees paid in connection with the Series A Financing of $2,789,530. In connection with this transaction, the Company made distributions to shareholders of the Company in the amount of $12,720,374 and compensatory payments to current and former employees of the Company of $5,341,813. </w:t>
      </w:r>
    </w:p>
    <w:p>
      <w:pPr>
        <w:pStyle w:val="TextBody"/>
        <w:spacing w:before="240" w:after="0"/>
        <w:jc w:val="left"/>
        <w:rPr>
          <w:rFonts w:ascii="Times New Roman" w:hAnsi="Times New Roman"/>
          <w:sz w:val="20"/>
        </w:rPr>
      </w:pPr>
      <w:r>
        <w:rPr>
          <w:rFonts w:ascii="Times New Roman" w:hAnsi="Times New Roman"/>
          <w:sz w:val="20"/>
        </w:rPr>
        <w:t xml:space="preserve">As part of the Series A Financing, the Company issued warrants with an exercise price of $.01 per share to purchase 126,119 shares of its common stock to two purchasers of its Series A Shares and converted a warrant issued to a service provider prior to the Series A Financing into 1,408,664 shares of its common stock in connection with the financing. The warrants issued to the two purchasers of its Series A Shares were allocated a relative fair value of $256,023. See also Footnote 8. </w:t>
      </w:r>
    </w:p>
    <w:p>
      <w:pPr>
        <w:pStyle w:val="TextBody"/>
        <w:spacing w:before="240" w:after="0"/>
        <w:jc w:val="left"/>
        <w:rPr>
          <w:rFonts w:ascii="Times New Roman" w:hAnsi="Times New Roman"/>
          <w:sz w:val="20"/>
        </w:rPr>
      </w:pPr>
      <w:r>
        <w:rPr>
          <w:rFonts w:ascii="Times New Roman" w:hAnsi="Times New Roman"/>
          <w:sz w:val="20"/>
        </w:rPr>
        <w:t xml:space="preserve">The Companys Series A Shares entitle the holders to a liquidation preference equivalent to their original issue price, as may be adjusted from time to time for certain events as defined in the various shareholder agreements, plus cumulative dividends of 6.0% of the original issue price. The holders of Series A Shares may at any time after issuance convert their shares into shares of the Companys common stock conversion price defined in the various shareholder agreements, which is subject to adjustment upon the occurrence of certain events. In addition, the Series A shareholders also possess weighted-average anti-dilution rights, the right to appoint a member to the Companys board of directors and other protective provisions customarily provided preferred shareholders in transactions of this type. The Series A shareholders also have the right to redeem their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from the Company five years from the date of issuance, subject to a vote by the holders then holding at least 60% of the Series A Shares at such time, at the fair value of the shares at such time. The Company is accreting the carrying value of the Series A Shares to the estimated redemption price over the period from issuance to the initial date which the shares may be redeemed. As of December 31, 2019, the accumulated dividends on the Series A Shares totaled approximately $7,735,000. </w:t>
      </w:r>
    </w:p>
    <w:p>
      <w:pPr>
        <w:pStyle w:val="TextBody"/>
        <w:spacing w:before="360" w:after="0"/>
        <w:jc w:val="left"/>
        <w:rPr>
          <w:rFonts w:ascii="Times New Roman" w:hAnsi="Times New Roman"/>
          <w:b/>
          <w:sz w:val="20"/>
        </w:rPr>
      </w:pPr>
      <w:r>
        <w:rPr>
          <w:rFonts w:ascii="Times New Roman" w:hAnsi="Times New Roman"/>
          <w:b/>
          <w:sz w:val="20"/>
        </w:rPr>
        <w:t xml:space="preserve">Note 8:    Warrants </w:t>
      </w:r>
    </w:p>
    <w:p>
      <w:pPr>
        <w:pStyle w:val="TextBody"/>
        <w:spacing w:before="120" w:after="0"/>
        <w:jc w:val="left"/>
        <w:rPr>
          <w:rFonts w:ascii="Times New Roman" w:hAnsi="Times New Roman"/>
          <w:sz w:val="20"/>
        </w:rPr>
      </w:pPr>
      <w:r>
        <w:rPr>
          <w:rFonts w:ascii="Times New Roman" w:hAnsi="Times New Roman"/>
          <w:sz w:val="20"/>
        </w:rPr>
        <w:t xml:space="preserve">The Company has issued common stock warrants to a service provider, a lender, and investors in connection with certain of its debt and equity financings. The Company accounts for the financing instrument (debt or equity instrument) and warrants separately and allocates the proceeds to the instrument and warrant on a relative fair value basis. </w:t>
      </w:r>
    </w:p>
    <w:p>
      <w:pPr>
        <w:pStyle w:val="TextBody"/>
        <w:spacing w:before="240" w:after="0"/>
        <w:jc w:val="left"/>
        <w:rPr>
          <w:rFonts w:ascii="Times New Roman" w:hAnsi="Times New Roman"/>
          <w:sz w:val="20"/>
        </w:rPr>
      </w:pPr>
      <w:r>
        <w:rPr>
          <w:rFonts w:ascii="Times New Roman" w:hAnsi="Times New Roman"/>
          <w:sz w:val="20"/>
        </w:rPr>
        <w:t xml:space="preserve">In connection with the issuance of the Original Subordinated Notes in June 2015, the Company issued warrants to the holder of the notes to purchase common stock ownership interests in its operating subsidiaries. In connection with the Series A Financing in April 2016, the warrants held by the lender were exchanged for a warrant to purchase 75,458 shares of common stock of B2S Holdings, the parent holding company created in connection with the Series A Financing. The warrants are fully exercisable, have an exercise price of $4.97 per share and expire in 2026. </w:t>
      </w:r>
    </w:p>
    <w:p>
      <w:pPr>
        <w:pStyle w:val="TextBody"/>
        <w:spacing w:before="240" w:after="0"/>
        <w:jc w:val="left"/>
        <w:rPr>
          <w:rFonts w:ascii="Times New Roman" w:hAnsi="Times New Roman"/>
          <w:sz w:val="20"/>
        </w:rPr>
      </w:pPr>
      <w:r>
        <w:rPr>
          <w:rFonts w:ascii="Times New Roman" w:hAnsi="Times New Roman"/>
          <w:sz w:val="20"/>
        </w:rPr>
        <w:t xml:space="preserve">In connection with its Series A Financing, the Company issued warrants to purchase 126,119 shares of its common stock at an exercise price of $.01 per share to two purchasers of its Series A Preferred shares. The warrants were allocated a relative fair value of $256,023 at the time of issuance. All of the warrants were exercised by the holders in November 2017. </w:t>
      </w:r>
    </w:p>
    <w:p>
      <w:pPr>
        <w:pStyle w:val="TextBody"/>
        <w:spacing w:before="240" w:after="0"/>
        <w:jc w:val="left"/>
        <w:rPr>
          <w:rFonts w:ascii="Times New Roman" w:hAnsi="Times New Roman"/>
          <w:sz w:val="20"/>
        </w:rPr>
      </w:pPr>
      <w:r>
        <w:rPr>
          <w:rFonts w:ascii="Times New Roman" w:hAnsi="Times New Roman"/>
          <w:sz w:val="20"/>
        </w:rPr>
        <w:t xml:space="preserve">In connection with the issuance of the 2017 Subordinated Notes in October 2017, the Company issued a warrant to the lender to purchase 50,000 shares of common stock at an exercise price of $0.01 per share. The Company allocated $85,057 of relative value to the warrant at issuance and recorded such amount as a discount to the notes issued. Such discount is being amortized to interest expense over the term of the 2017 Subordinated Notes. The warrant expires in 2027. </w:t>
      </w:r>
    </w:p>
    <w:p>
      <w:pPr>
        <w:pStyle w:val="TextBody"/>
        <w:spacing w:before="360" w:after="0"/>
        <w:jc w:val="left"/>
        <w:rPr>
          <w:rFonts w:ascii="Times New Roman" w:hAnsi="Times New Roman"/>
          <w:b/>
          <w:sz w:val="20"/>
        </w:rPr>
      </w:pPr>
      <w:r>
        <w:rPr>
          <w:rFonts w:ascii="Times New Roman" w:hAnsi="Times New Roman"/>
          <w:b/>
          <w:sz w:val="20"/>
        </w:rPr>
        <w:t xml:space="preserve">Note 9:    Employee Benefit Plans </w:t>
      </w:r>
    </w:p>
    <w:p>
      <w:pPr>
        <w:pStyle w:val="TextBody"/>
        <w:spacing w:before="120" w:after="0"/>
        <w:jc w:val="left"/>
        <w:rPr>
          <w:rFonts w:ascii="Times New Roman" w:hAnsi="Times New Roman"/>
          <w:b/>
          <w:sz w:val="20"/>
        </w:rPr>
      </w:pPr>
      <w:r>
        <w:rPr>
          <w:rFonts w:ascii="Times New Roman" w:hAnsi="Times New Roman"/>
          <w:b/>
          <w:sz w:val="20"/>
        </w:rPr>
        <w:t xml:space="preserve">Restricted Shares </w:t>
      </w:r>
    </w:p>
    <w:p>
      <w:pPr>
        <w:pStyle w:val="TextBody"/>
        <w:spacing w:before="120" w:after="0"/>
        <w:jc w:val="left"/>
        <w:rPr>
          <w:rFonts w:ascii="Times New Roman" w:hAnsi="Times New Roman"/>
          <w:sz w:val="20"/>
        </w:rPr>
      </w:pPr>
      <w:r>
        <w:rPr>
          <w:rFonts w:ascii="Times New Roman" w:hAnsi="Times New Roman"/>
          <w:sz w:val="20"/>
        </w:rPr>
        <w:t xml:space="preserve">On April 25, 2016, the Company granted 1,212,406 shares of restricted common shares to certain employees pursuant to stand-alone restricted share agreements. Under the terms of the restricted share agreements, the underlying shares vest only upon a change of control in the Company, as defined in the agreements. Because the holders of the associated restricted shares vest in such shares only upon a change of control in the Company, the Company has recognized no compensation cost for these awards in the accompanying financial statements. Generally, the term of the restricted share agreements are twelve years from the grant date and rights to award shares may be forfeited by the holder if such holders employment with the Company is terminated for defined reasons. As of December 31, 2019 and 2018, 1,181,889 restricted shares were outstanding. </w:t>
      </w:r>
    </w:p>
    <w:p>
      <w:pPr>
        <w:pStyle w:val="TextBody"/>
        <w:spacing w:before="360" w:after="0"/>
        <w:jc w:val="left"/>
        <w:rPr>
          <w:rFonts w:ascii="Times New Roman" w:hAnsi="Times New Roman"/>
          <w:b/>
          <w:sz w:val="20"/>
        </w:rPr>
      </w:pPr>
      <w:r>
        <w:rPr>
          <w:rFonts w:ascii="Times New Roman" w:hAnsi="Times New Roman"/>
          <w:b/>
          <w:sz w:val="20"/>
        </w:rPr>
        <w:t xml:space="preserve">Stock Incentive Plan </w:t>
      </w:r>
    </w:p>
    <w:p>
      <w:pPr>
        <w:pStyle w:val="TextBody"/>
        <w:spacing w:before="120" w:after="0"/>
        <w:jc w:val="left"/>
        <w:rPr>
          <w:rFonts w:ascii="Times New Roman" w:hAnsi="Times New Roman"/>
          <w:sz w:val="20"/>
        </w:rPr>
      </w:pPr>
      <w:r>
        <w:rPr>
          <w:rFonts w:ascii="Times New Roman" w:hAnsi="Times New Roman"/>
          <w:sz w:val="20"/>
        </w:rPr>
        <w:t xml:space="preserve">In connection with the Series A Financing, the Companys board of directors adopted the B2S Holdings, Inc. 2016 Stock Incentive Plan (2016 Plan). The 2016 Plan became effective on April 25, 2016, and has a term of ten years from the effective date unless terminated earlier by the Companys board of directors. The Company has reserved 204,052 shares of common stock for issuance pursuant to awards under the 2016 Plan. The 2016 Plan provides for the grant of Incentive Stock Options, Nonqualified Stock Options, Restricted Stock Awards, Deferred Stock Units and Stock Appreciation Rights to employees, directors and certain non-employees providing services to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determine associated stock compensation expense for awards, the fair value of a stock option is determined on the grant date using the Black-Scholes option pricing model. Expected volatility is based on the average historical volatility of similarly situated publicly traded business services companies. The expected term of the option granted represents the period of time that options are expected to be outstanding. The Company used the simplified method under relevant accounting standards to estimate the expected term of the options. The risk-free rate is based on U.S. Treasury yields in effect at the time of the grant for the expected term of the options. The Company accounts for forfeitures in the period they occur resulting in a reversal of all previously recognized compensation expense for awards forfeited. </w:t>
      </w:r>
    </w:p>
    <w:p>
      <w:pPr>
        <w:pStyle w:val="TextBody"/>
        <w:spacing w:before="240" w:after="0"/>
        <w:jc w:val="left"/>
        <w:rPr>
          <w:rFonts w:ascii="Times New Roman" w:hAnsi="Times New Roman"/>
          <w:sz w:val="20"/>
        </w:rPr>
      </w:pPr>
      <w:r>
        <w:rPr>
          <w:rFonts w:ascii="Times New Roman" w:hAnsi="Times New Roman"/>
          <w:sz w:val="20"/>
        </w:rPr>
        <w:t xml:space="preserve">There were no stock options grants made in 2019. Assumptions for stock option grants made in 2018 are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6528"/>
        <w:gridCol w:w="382"/>
        <w:gridCol w:w="522"/>
        <w:gridCol w:w="382"/>
        <w:gridCol w:w="60"/>
        <w:gridCol w:w="1231"/>
        <w:gridCol w:w="283"/>
      </w:tblGrid>
      <w:tr>
        <w:trPr/>
        <w:tc>
          <w:tcPr>
            <w:tcW w:w="652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65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522" w:type="dxa"/>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382" w:type="dxa"/>
            <w:tcBorders/>
            <w:shd w:fill="auto" w:val="clear"/>
            <w:vAlign w:val="bottom"/>
          </w:tcPr>
          <w:p>
            <w:pPr>
              <w:pStyle w:val="TableContents"/>
              <w:spacing w:before="0" w:after="283"/>
              <w:rPr/>
            </w:pPr>
            <w:r>
              <w:rPr/>
              <w:t>  </w:t>
            </w:r>
          </w:p>
        </w:tc>
        <w:tc>
          <w:tcPr>
            <w:tcW w:w="12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283" w:type="dxa"/>
            <w:tcBorders/>
            <w:shd w:fill="auto" w:val="clear"/>
            <w:vAlign w:val="bottom"/>
          </w:tcPr>
          <w:p>
            <w:pPr>
              <w:pStyle w:val="TableContents"/>
              <w:spacing w:before="0" w:after="283"/>
              <w:rPr/>
            </w:pPr>
            <w:r>
              <w:rPr/>
              <w:t> </w:t>
            </w:r>
          </w:p>
        </w:tc>
      </w:tr>
      <w:tr>
        <w:trPr/>
        <w:tc>
          <w:tcPr>
            <w:tcW w:w="6528" w:type="dxa"/>
            <w:tcBorders/>
            <w:shd w:fill="CCEEFF"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382"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center"/>
              <w:rPr/>
            </w:pPr>
            <w:r>
              <w:rPr/>
              <w:t>N/A</w:t>
            </w:r>
          </w:p>
        </w:tc>
        <w:tc>
          <w:tcPr>
            <w:tcW w:w="3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1.35 - 2.69</w:t>
            </w:r>
          </w:p>
        </w:tc>
        <w:tc>
          <w:tcPr>
            <w:tcW w:w="283" w:type="dxa"/>
            <w:tcBorders/>
            <w:shd w:fill="CCEEFF" w:val="clear"/>
            <w:vAlign w:val="bottom"/>
          </w:tcPr>
          <w:p>
            <w:pPr>
              <w:pStyle w:val="TableContents"/>
              <w:spacing w:before="0" w:after="283"/>
              <w:rPr/>
            </w:pPr>
            <w:r>
              <w:rPr/>
              <w:t>% </w:t>
            </w:r>
          </w:p>
        </w:tc>
      </w:tr>
      <w:tr>
        <w:trPr/>
        <w:tc>
          <w:tcPr>
            <w:tcW w:w="6528" w:type="dxa"/>
            <w:tcBorders/>
            <w:shd w:fill="auto" w:val="clear"/>
          </w:tcPr>
          <w:p>
            <w:pPr>
              <w:pStyle w:val="TableContents"/>
              <w:spacing w:before="0" w:after="0"/>
              <w:rPr>
                <w:rFonts w:ascii="Times New Roman" w:hAnsi="Times New Roman"/>
                <w:sz w:val="20"/>
              </w:rPr>
            </w:pPr>
            <w:r>
              <w:rPr>
                <w:rFonts w:ascii="Times New Roman" w:hAnsi="Times New Roman"/>
                <w:sz w:val="20"/>
              </w:rPr>
              <w:t>Volatility factor</w:t>
            </w:r>
          </w:p>
        </w:tc>
        <w:tc>
          <w:tcPr>
            <w:tcW w:w="382"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center"/>
              <w:rPr/>
            </w:pPr>
            <w:r>
              <w:rPr/>
              <w:t>N/A</w:t>
            </w:r>
          </w:p>
        </w:tc>
        <w:tc>
          <w:tcPr>
            <w:tcW w:w="3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66.84</w:t>
            </w:r>
          </w:p>
        </w:tc>
        <w:tc>
          <w:tcPr>
            <w:tcW w:w="283" w:type="dxa"/>
            <w:tcBorders/>
            <w:shd w:fill="auto" w:val="clear"/>
            <w:vAlign w:val="bottom"/>
          </w:tcPr>
          <w:p>
            <w:pPr>
              <w:pStyle w:val="TableContents"/>
              <w:spacing w:before="0" w:after="283"/>
              <w:rPr/>
            </w:pPr>
            <w:r>
              <w:rPr/>
              <w:t>% </w:t>
            </w:r>
          </w:p>
        </w:tc>
      </w:tr>
      <w:tr>
        <w:trPr/>
        <w:tc>
          <w:tcPr>
            <w:tcW w:w="6528" w:type="dxa"/>
            <w:tcBorders/>
            <w:shd w:fill="CCEEFF" w:val="clear"/>
          </w:tcPr>
          <w:p>
            <w:pPr>
              <w:pStyle w:val="TableContents"/>
              <w:spacing w:before="0" w:after="0"/>
              <w:rPr>
                <w:rFonts w:ascii="Times New Roman" w:hAnsi="Times New Roman"/>
                <w:sz w:val="20"/>
              </w:rPr>
            </w:pPr>
            <w:r>
              <w:rPr>
                <w:rFonts w:ascii="Times New Roman" w:hAnsi="Times New Roman"/>
                <w:sz w:val="20"/>
              </w:rPr>
              <w:t>Dividend yield</w:t>
            </w:r>
          </w:p>
        </w:tc>
        <w:tc>
          <w:tcPr>
            <w:tcW w:w="382"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center"/>
              <w:rPr/>
            </w:pPr>
            <w:r>
              <w:rPr/>
              <w:t>N/A</w:t>
            </w:r>
          </w:p>
        </w:tc>
        <w:tc>
          <w:tcPr>
            <w:tcW w:w="3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0.00</w:t>
            </w:r>
          </w:p>
        </w:tc>
        <w:tc>
          <w:tcPr>
            <w:tcW w:w="283" w:type="dxa"/>
            <w:tcBorders/>
            <w:shd w:fill="CCEEFF" w:val="clear"/>
            <w:vAlign w:val="bottom"/>
          </w:tcPr>
          <w:p>
            <w:pPr>
              <w:pStyle w:val="TableContents"/>
              <w:spacing w:before="0" w:after="283"/>
              <w:rPr/>
            </w:pPr>
            <w:r>
              <w:rPr/>
              <w:t>% </w:t>
            </w:r>
          </w:p>
        </w:tc>
      </w:tr>
      <w:tr>
        <w:trPr/>
        <w:tc>
          <w:tcPr>
            <w:tcW w:w="6528" w:type="dxa"/>
            <w:tcBorders/>
            <w:shd w:fill="auto" w:val="clear"/>
          </w:tcPr>
          <w:p>
            <w:pPr>
              <w:pStyle w:val="TableContents"/>
              <w:spacing w:before="0" w:after="0"/>
              <w:rPr>
                <w:rFonts w:ascii="Times New Roman" w:hAnsi="Times New Roman"/>
                <w:sz w:val="20"/>
              </w:rPr>
            </w:pPr>
            <w:r>
              <w:rPr>
                <w:rFonts w:ascii="Times New Roman" w:hAnsi="Times New Roman"/>
                <w:sz w:val="20"/>
              </w:rPr>
              <w:t>Expected life (years)</w:t>
            </w:r>
          </w:p>
        </w:tc>
        <w:tc>
          <w:tcPr>
            <w:tcW w:w="382"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center"/>
              <w:rPr/>
            </w:pPr>
            <w:r>
              <w:rPr/>
              <w:t>N/A</w:t>
            </w:r>
          </w:p>
        </w:tc>
        <w:tc>
          <w:tcPr>
            <w:tcW w:w="3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1.23 - 6.08</w:t>
            </w:r>
          </w:p>
        </w:tc>
        <w:tc>
          <w:tcPr>
            <w:tcW w:w="28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grant date fair value of units granted during the year ended December 31, 2019 and 2018, was $0 and $25,166, respectively.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information for outstanding awards as of December 31, 2019: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527"/>
        <w:gridCol w:w="425"/>
        <w:gridCol w:w="66"/>
        <w:gridCol w:w="884"/>
        <w:gridCol w:w="155"/>
        <w:gridCol w:w="425"/>
        <w:gridCol w:w="265"/>
        <w:gridCol w:w="826"/>
        <w:gridCol w:w="60"/>
        <w:gridCol w:w="425"/>
        <w:gridCol w:w="150"/>
        <w:gridCol w:w="1115"/>
        <w:gridCol w:w="65"/>
      </w:tblGrid>
      <w:tr>
        <w:trPr/>
        <w:tc>
          <w:tcPr>
            <w:tcW w:w="452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52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Incentive</w:t>
              <w:br/>
              <w:t>Units</w:t>
            </w:r>
          </w:p>
        </w:tc>
        <w:tc>
          <w:tcPr>
            <w:tcW w:w="15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Strike</w:t>
              <w:br/>
              <w:t>Price</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Remaining</w:t>
              <w:br/>
              <w:t>Contractual</w:t>
              <w:br/>
              <w:t>Term</w:t>
            </w:r>
          </w:p>
        </w:tc>
        <w:tc>
          <w:tcPr>
            <w:tcW w:w="65" w:type="dxa"/>
            <w:tcBorders/>
            <w:shd w:fill="auto" w:val="clear"/>
            <w:vAlign w:val="bottom"/>
          </w:tcPr>
          <w:p>
            <w:pPr>
              <w:pStyle w:val="TableContents"/>
              <w:spacing w:before="0" w:after="283"/>
              <w:rPr/>
            </w:pPr>
            <w:r>
              <w:rPr/>
              <w:t> </w:t>
            </w:r>
          </w:p>
        </w:tc>
      </w:tr>
      <w:tr>
        <w:trPr/>
        <w:tc>
          <w:tcPr>
            <w:tcW w:w="4527" w:type="dxa"/>
            <w:tcBorders/>
            <w:shd w:fill="CCEEFF" w:val="clear"/>
          </w:tcPr>
          <w:p>
            <w:pPr>
              <w:pStyle w:val="TableContents"/>
              <w:spacing w:before="0" w:after="0"/>
              <w:rPr>
                <w:rFonts w:ascii="Times New Roman" w:hAnsi="Times New Roman"/>
                <w:sz w:val="20"/>
              </w:rPr>
            </w:pPr>
            <w:r>
              <w:rPr>
                <w:rFonts w:ascii="Times New Roman" w:hAnsi="Times New Roman"/>
                <w:sz w:val="20"/>
              </w:rPr>
              <w:t>Units outstanding as of December 31, 2018</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120,000</w:t>
            </w:r>
          </w:p>
        </w:tc>
        <w:tc>
          <w:tcPr>
            <w:tcW w:w="15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w:t>
            </w:r>
          </w:p>
        </w:tc>
        <w:tc>
          <w:tcPr>
            <w:tcW w:w="826" w:type="dxa"/>
            <w:tcBorders/>
            <w:shd w:fill="CCEEFF" w:val="clear"/>
            <w:vAlign w:val="bottom"/>
          </w:tcPr>
          <w:p>
            <w:pPr>
              <w:pStyle w:val="TableContents"/>
              <w:spacing w:before="0" w:after="283"/>
              <w:jc w:val="right"/>
              <w:rPr/>
            </w:pPr>
            <w:r>
              <w:rPr/>
              <w:t>1.67</w:t>
            </w:r>
          </w:p>
        </w:tc>
        <w:tc>
          <w:tcPr>
            <w:tcW w:w="60"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527" w:type="dxa"/>
            <w:tcBorders/>
            <w:shd w:fill="auto" w:val="clear"/>
          </w:tcPr>
          <w:p>
            <w:pPr>
              <w:pStyle w:val="TableContents"/>
              <w:spacing w:before="0" w:after="0"/>
              <w:rPr>
                <w:rFonts w:ascii="Times New Roman" w:hAnsi="Times New Roman"/>
                <w:sz w:val="20"/>
              </w:rPr>
            </w:pPr>
            <w:r>
              <w:rPr>
                <w:rFonts w:ascii="Times New Roman" w:hAnsi="Times New Roman"/>
                <w:sz w:val="20"/>
              </w:rPr>
              <w:t>Granted</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4527" w:type="dxa"/>
            <w:tcBorders/>
            <w:shd w:fill="CCEEFF" w:val="clear"/>
          </w:tcPr>
          <w:p>
            <w:pPr>
              <w:pStyle w:val="TableContents"/>
              <w:spacing w:before="0" w:after="0"/>
              <w:rPr>
                <w:rFonts w:ascii="Times New Roman" w:hAnsi="Times New Roman"/>
                <w:sz w:val="20"/>
              </w:rPr>
            </w:pPr>
            <w:r>
              <w:rPr>
                <w:rFonts w:ascii="Times New Roman" w:hAnsi="Times New Roman"/>
                <w:sz w:val="20"/>
              </w:rPr>
              <w:t>Exercised</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(3,958</w:t>
            </w:r>
          </w:p>
        </w:tc>
        <w:tc>
          <w:tcPr>
            <w:tcW w:w="15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1.71</w:t>
            </w:r>
          </w:p>
        </w:tc>
        <w:tc>
          <w:tcPr>
            <w:tcW w:w="60"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11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527" w:type="dxa"/>
            <w:tcBorders/>
            <w:shd w:fill="auto" w:val="clear"/>
          </w:tcPr>
          <w:p>
            <w:pPr>
              <w:pStyle w:val="TableContents"/>
              <w:spacing w:before="0" w:after="0"/>
              <w:rPr>
                <w:rFonts w:ascii="Times New Roman" w:hAnsi="Times New Roman"/>
                <w:sz w:val="20"/>
              </w:rPr>
            </w:pPr>
            <w:r>
              <w:rPr>
                <w:rFonts w:ascii="Times New Roman" w:hAnsi="Times New Roman"/>
                <w:sz w:val="20"/>
              </w:rPr>
              <w:t>Cancelled or expired</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(21,042</w:t>
            </w:r>
          </w:p>
        </w:tc>
        <w:tc>
          <w:tcPr>
            <w:tcW w:w="15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1.71</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4527"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8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4527" w:type="dxa"/>
            <w:tcBorders/>
            <w:shd w:fill="CCEEFF" w:val="clear"/>
          </w:tcPr>
          <w:p>
            <w:pPr>
              <w:pStyle w:val="TableContents"/>
              <w:spacing w:before="0" w:after="0"/>
              <w:rPr>
                <w:rFonts w:ascii="Times New Roman" w:hAnsi="Times New Roman"/>
                <w:sz w:val="20"/>
              </w:rPr>
            </w:pPr>
            <w:r>
              <w:rPr>
                <w:rFonts w:ascii="Times New Roman" w:hAnsi="Times New Roman"/>
                <w:sz w:val="20"/>
              </w:rPr>
              <w:t>Units outstanding as of December 31, 2019</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95,000</w:t>
            </w:r>
          </w:p>
        </w:tc>
        <w:tc>
          <w:tcPr>
            <w:tcW w:w="15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w:t>
            </w:r>
          </w:p>
        </w:tc>
        <w:tc>
          <w:tcPr>
            <w:tcW w:w="826" w:type="dxa"/>
            <w:tcBorders/>
            <w:shd w:fill="CCEEFF" w:val="clear"/>
            <w:vAlign w:val="bottom"/>
          </w:tcPr>
          <w:p>
            <w:pPr>
              <w:pStyle w:val="TableContents"/>
              <w:spacing w:before="0" w:after="283"/>
              <w:jc w:val="right"/>
              <w:rPr/>
            </w:pPr>
            <w:r>
              <w:rPr/>
              <w:t>1.66</w:t>
            </w:r>
          </w:p>
        </w:tc>
        <w:tc>
          <w:tcPr>
            <w:tcW w:w="60"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9.14</w:t>
            </w:r>
          </w:p>
        </w:tc>
        <w:tc>
          <w:tcPr>
            <w:tcW w:w="65" w:type="dxa"/>
            <w:tcBorders/>
            <w:shd w:fill="CCEEFF" w:val="clear"/>
            <w:vAlign w:val="bottom"/>
          </w:tcPr>
          <w:p>
            <w:pPr>
              <w:pStyle w:val="TableContents"/>
              <w:spacing w:before="0" w:after="283"/>
              <w:rPr/>
            </w:pPr>
            <w:r>
              <w:rPr/>
              <w:t> </w:t>
            </w:r>
          </w:p>
        </w:tc>
      </w:tr>
      <w:tr>
        <w:trPr/>
        <w:tc>
          <w:tcPr>
            <w:tcW w:w="4527"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double" w:sz="6" w:space="1" w:color="000000"/>
              </w:pBdr>
              <w:spacing w:before="0" w:after="0"/>
              <w:rPr/>
            </w:pPr>
            <w:r>
              <w:rPr/>
              <w:t> </w:t>
            </w:r>
          </w:p>
        </w:tc>
        <w:tc>
          <w:tcPr>
            <w:tcW w:w="88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4527" w:type="dxa"/>
            <w:tcBorders/>
            <w:shd w:fill="auto" w:val="clear"/>
          </w:tcPr>
          <w:p>
            <w:pPr>
              <w:pStyle w:val="TableContents"/>
              <w:spacing w:before="0" w:after="0"/>
              <w:rPr>
                <w:rFonts w:ascii="Times New Roman" w:hAnsi="Times New Roman"/>
                <w:sz w:val="20"/>
              </w:rPr>
            </w:pPr>
            <w:r>
              <w:rPr>
                <w:rFonts w:ascii="Times New Roman" w:hAnsi="Times New Roman"/>
                <w:sz w:val="20"/>
              </w:rPr>
              <w:t>Units exercisable as of December 31, 2019</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75,250</w:t>
            </w:r>
          </w:p>
        </w:tc>
        <w:tc>
          <w:tcPr>
            <w:tcW w:w="15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w:t>
            </w:r>
          </w:p>
        </w:tc>
        <w:tc>
          <w:tcPr>
            <w:tcW w:w="826" w:type="dxa"/>
            <w:tcBorders/>
            <w:shd w:fill="auto" w:val="clear"/>
            <w:vAlign w:val="bottom"/>
          </w:tcPr>
          <w:p>
            <w:pPr>
              <w:pStyle w:val="TableContents"/>
              <w:spacing w:before="0" w:after="283"/>
              <w:jc w:val="right"/>
              <w:rPr/>
            </w:pPr>
            <w:r>
              <w:rPr/>
              <w:t>1.69</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8.93</w:t>
            </w:r>
          </w:p>
        </w:tc>
        <w:tc>
          <w:tcPr>
            <w:tcW w:w="65" w:type="dxa"/>
            <w:tcBorders/>
            <w:shd w:fill="auto" w:val="clear"/>
            <w:vAlign w:val="bottom"/>
          </w:tcPr>
          <w:p>
            <w:pPr>
              <w:pStyle w:val="TableContents"/>
              <w:spacing w:before="0" w:after="283"/>
              <w:rPr/>
            </w:pPr>
            <w:r>
              <w:rPr/>
              <w:t> </w:t>
            </w:r>
          </w:p>
        </w:tc>
      </w:tr>
      <w:tr>
        <w:trPr/>
        <w:tc>
          <w:tcPr>
            <w:tcW w:w="4527"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8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rFonts w:ascii="Times New Roman" w:hAnsi="Times New Roman"/>
          <w:sz w:val="20"/>
        </w:rPr>
      </w:pPr>
      <w:r>
        <w:rPr>
          <w:rFonts w:ascii="Times New Roman" w:hAnsi="Times New Roman"/>
          <w:sz w:val="20"/>
        </w:rPr>
        <w:t xml:space="preserve">A summary of the status of the Companys nonvested awards as of December 31, 2019, is presented below: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6324"/>
        <w:gridCol w:w="361"/>
        <w:gridCol w:w="69"/>
        <w:gridCol w:w="924"/>
        <w:gridCol w:w="155"/>
        <w:gridCol w:w="361"/>
        <w:gridCol w:w="258"/>
        <w:gridCol w:w="873"/>
        <w:gridCol w:w="63"/>
      </w:tblGrid>
      <w:tr>
        <w:trPr/>
        <w:tc>
          <w:tcPr>
            <w:tcW w:w="632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32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Nonvested Units</w:t>
            </w:r>
          </w:p>
        </w:tc>
        <w:tc>
          <w:tcPr>
            <w:tcW w:w="361" w:type="dxa"/>
            <w:tcBorders/>
            <w:shd w:fill="auto" w:val="clear"/>
            <w:vAlign w:val="bottom"/>
          </w:tcPr>
          <w:p>
            <w:pPr>
              <w:pStyle w:val="TableContents"/>
              <w:spacing w:before="0" w:after="283"/>
              <w:rPr/>
            </w:pPr>
            <w:r>
              <w:rPr/>
              <w:t>  </w:t>
            </w:r>
          </w:p>
        </w:tc>
        <w:tc>
          <w:tcPr>
            <w:tcW w:w="9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Incentive</w:t>
              <w:br/>
              <w:t>Units</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Grant</w:t>
              <w:br/>
              <w:t>Date Fair</w:t>
              <w:br/>
              <w:t>Value</w:t>
            </w:r>
          </w:p>
        </w:tc>
        <w:tc>
          <w:tcPr>
            <w:tcW w:w="63" w:type="dxa"/>
            <w:tcBorders/>
            <w:shd w:fill="auto" w:val="clear"/>
            <w:vAlign w:val="bottom"/>
          </w:tcPr>
          <w:p>
            <w:pPr>
              <w:pStyle w:val="TableContents"/>
              <w:spacing w:before="0" w:after="283"/>
              <w:rPr/>
            </w:pPr>
            <w:r>
              <w:rPr/>
              <w:t> </w:t>
            </w:r>
          </w:p>
        </w:tc>
      </w:tr>
      <w:tr>
        <w:trPr/>
        <w:tc>
          <w:tcPr>
            <w:tcW w:w="6324" w:type="dxa"/>
            <w:tcBorders/>
            <w:shd w:fill="CCEEFF" w:val="clear"/>
          </w:tcPr>
          <w:p>
            <w:pPr>
              <w:pStyle w:val="TableContents"/>
              <w:spacing w:before="0" w:after="0"/>
              <w:rPr>
                <w:rFonts w:ascii="Times New Roman" w:hAnsi="Times New Roman"/>
                <w:sz w:val="20"/>
              </w:rPr>
            </w:pPr>
            <w:r>
              <w:rPr>
                <w:rFonts w:ascii="Times New Roman" w:hAnsi="Times New Roman"/>
                <w:sz w:val="20"/>
              </w:rPr>
              <w:t>Nonvested units at December 31, 2018</w:t>
            </w:r>
          </w:p>
        </w:tc>
        <w:tc>
          <w:tcPr>
            <w:tcW w:w="36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53,908</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0.83</w:t>
            </w:r>
          </w:p>
        </w:tc>
        <w:tc>
          <w:tcPr>
            <w:tcW w:w="63" w:type="dxa"/>
            <w:tcBorders/>
            <w:shd w:fill="CCEEFF" w:val="clear"/>
            <w:vAlign w:val="bottom"/>
          </w:tcPr>
          <w:p>
            <w:pPr>
              <w:pStyle w:val="TableContents"/>
              <w:spacing w:before="0" w:after="283"/>
              <w:rPr/>
            </w:pPr>
            <w:r>
              <w:rPr/>
              <w:t> </w:t>
            </w:r>
          </w:p>
        </w:tc>
      </w:tr>
      <w:tr>
        <w:trPr/>
        <w:tc>
          <w:tcPr>
            <w:tcW w:w="6324" w:type="dxa"/>
            <w:tcBorders/>
            <w:shd w:fill="auto" w:val="clear"/>
          </w:tcPr>
          <w:p>
            <w:pPr>
              <w:pStyle w:val="TableContents"/>
              <w:spacing w:before="0" w:after="0"/>
              <w:rPr>
                <w:rFonts w:ascii="Times New Roman" w:hAnsi="Times New Roman"/>
                <w:sz w:val="20"/>
              </w:rPr>
            </w:pPr>
            <w:r>
              <w:rPr>
                <w:rFonts w:ascii="Times New Roman" w:hAnsi="Times New Roman"/>
                <w:sz w:val="20"/>
              </w:rPr>
              <w:t>Granted</w:t>
            </w:r>
          </w:p>
        </w:tc>
        <w:tc>
          <w:tcPr>
            <w:tcW w:w="36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6324" w:type="dxa"/>
            <w:tcBorders/>
            <w:shd w:fill="CCEEFF" w:val="clear"/>
          </w:tcPr>
          <w:p>
            <w:pPr>
              <w:pStyle w:val="TableContents"/>
              <w:spacing w:before="0" w:after="0"/>
              <w:rPr>
                <w:rFonts w:ascii="Times New Roman" w:hAnsi="Times New Roman"/>
                <w:sz w:val="20"/>
              </w:rPr>
            </w:pPr>
            <w:r>
              <w:rPr>
                <w:rFonts w:ascii="Times New Roman" w:hAnsi="Times New Roman"/>
                <w:sz w:val="20"/>
              </w:rPr>
              <w:t>Vested</w:t>
            </w:r>
          </w:p>
        </w:tc>
        <w:tc>
          <w:tcPr>
            <w:tcW w:w="36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(13,116</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0.83</w:t>
            </w:r>
          </w:p>
        </w:tc>
        <w:tc>
          <w:tcPr>
            <w:tcW w:w="63" w:type="dxa"/>
            <w:tcBorders/>
            <w:shd w:fill="CCEEFF" w:val="clear"/>
            <w:vAlign w:val="bottom"/>
          </w:tcPr>
          <w:p>
            <w:pPr>
              <w:pStyle w:val="TableContents"/>
              <w:spacing w:before="0" w:after="283"/>
              <w:rPr/>
            </w:pPr>
            <w:r>
              <w:rPr/>
              <w:t> </w:t>
            </w:r>
          </w:p>
        </w:tc>
      </w:tr>
      <w:tr>
        <w:trPr/>
        <w:tc>
          <w:tcPr>
            <w:tcW w:w="6324" w:type="dxa"/>
            <w:tcBorders/>
            <w:shd w:fill="auto" w:val="clear"/>
          </w:tcPr>
          <w:p>
            <w:pPr>
              <w:pStyle w:val="TableContents"/>
              <w:spacing w:before="0" w:after="0"/>
              <w:rPr>
                <w:rFonts w:ascii="Times New Roman" w:hAnsi="Times New Roman"/>
                <w:sz w:val="20"/>
              </w:rPr>
            </w:pPr>
            <w:r>
              <w:rPr>
                <w:rFonts w:ascii="Times New Roman" w:hAnsi="Times New Roman"/>
                <w:sz w:val="20"/>
              </w:rPr>
              <w:t>Cancelled or expired</w:t>
            </w:r>
          </w:p>
        </w:tc>
        <w:tc>
          <w:tcPr>
            <w:tcW w:w="36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(21,042</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0.43</w:t>
            </w:r>
          </w:p>
        </w:tc>
        <w:tc>
          <w:tcPr>
            <w:tcW w:w="63" w:type="dxa"/>
            <w:tcBorders/>
            <w:shd w:fill="auto" w:val="clear"/>
            <w:vAlign w:val="bottom"/>
          </w:tcPr>
          <w:p>
            <w:pPr>
              <w:pStyle w:val="TableContents"/>
              <w:spacing w:before="0" w:after="283"/>
              <w:rPr/>
            </w:pPr>
            <w:r>
              <w:rPr/>
              <w:t> </w:t>
            </w:r>
          </w:p>
        </w:tc>
      </w:tr>
      <w:tr>
        <w:trPr/>
        <w:tc>
          <w:tcPr>
            <w:tcW w:w="6324"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324" w:type="dxa"/>
            <w:tcBorders/>
            <w:shd w:fill="CCEEFF" w:val="clear"/>
          </w:tcPr>
          <w:p>
            <w:pPr>
              <w:pStyle w:val="TableContents"/>
              <w:spacing w:before="0" w:after="0"/>
              <w:rPr>
                <w:rFonts w:ascii="Times New Roman" w:hAnsi="Times New Roman"/>
                <w:sz w:val="20"/>
              </w:rPr>
            </w:pPr>
            <w:r>
              <w:rPr>
                <w:rFonts w:ascii="Times New Roman" w:hAnsi="Times New Roman"/>
                <w:sz w:val="20"/>
              </w:rPr>
              <w:t>Nonvested units at December 31, 2019</w:t>
            </w:r>
          </w:p>
        </w:tc>
        <w:tc>
          <w:tcPr>
            <w:tcW w:w="36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19,750</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0.96</w:t>
            </w:r>
          </w:p>
        </w:tc>
        <w:tc>
          <w:tcPr>
            <w:tcW w:w="63" w:type="dxa"/>
            <w:tcBorders/>
            <w:shd w:fill="CCEEFF" w:val="clear"/>
            <w:vAlign w:val="bottom"/>
          </w:tcPr>
          <w:p>
            <w:pPr>
              <w:pStyle w:val="TableContents"/>
              <w:spacing w:before="0" w:after="283"/>
              <w:rPr/>
            </w:pPr>
            <w:r>
              <w:rPr/>
              <w:t> </w:t>
            </w:r>
          </w:p>
        </w:tc>
      </w:tr>
      <w:tr>
        <w:trPr/>
        <w:tc>
          <w:tcPr>
            <w:tcW w:w="6324"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double" w:sz="6" w:space="1" w:color="000000"/>
              </w:pBdr>
              <w:spacing w:before="0" w:after="0"/>
              <w:rPr/>
            </w:pPr>
            <w:r>
              <w:rPr/>
              <w:t> </w:t>
            </w:r>
          </w:p>
        </w:tc>
        <w:tc>
          <w:tcPr>
            <w:tcW w:w="92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pBdr>
                <w:top w:val="double" w:sz="6" w:space="1" w:color="000000"/>
              </w:pBdr>
              <w:spacing w:before="0" w:after="0"/>
              <w:rPr/>
            </w:pPr>
            <w:r>
              <w:rPr/>
              <w:t> </w:t>
            </w:r>
          </w:p>
        </w:tc>
        <w:tc>
          <w:tcPr>
            <w:tcW w:w="873"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2019, there was $18,953 of unrecognized compensation to be recognized over a weighted-average period of 9.97 years. </w:t>
      </w:r>
    </w:p>
    <w:p>
      <w:pPr>
        <w:pStyle w:val="TextBody"/>
        <w:spacing w:before="360" w:after="0"/>
        <w:jc w:val="left"/>
        <w:rPr>
          <w:rFonts w:ascii="Times New Roman" w:hAnsi="Times New Roman"/>
          <w:b/>
          <w:sz w:val="20"/>
        </w:rPr>
      </w:pPr>
      <w:r>
        <w:rPr>
          <w:rFonts w:ascii="Times New Roman" w:hAnsi="Times New Roman"/>
          <w:b/>
          <w:sz w:val="20"/>
        </w:rPr>
        <w:t xml:space="preserve">Defined Contribution Plan </w:t>
      </w:r>
    </w:p>
    <w:p>
      <w:pPr>
        <w:pStyle w:val="TextBody"/>
        <w:spacing w:before="120" w:after="0"/>
        <w:jc w:val="left"/>
        <w:rPr>
          <w:rFonts w:ascii="Times New Roman" w:hAnsi="Times New Roman"/>
          <w:sz w:val="20"/>
        </w:rPr>
      </w:pPr>
      <w:r>
        <w:rPr>
          <w:rFonts w:ascii="Times New Roman" w:hAnsi="Times New Roman"/>
          <w:sz w:val="20"/>
        </w:rPr>
        <w:t xml:space="preserve">Substantially all of the Companys employees may participate in a defined contribution plan, offered by the Company, that complies with Section 401(k) of the Internal Revenue Code (401(k) Plan). The Company matches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100% of each participants voluntary contributions, subject to a maximum contribution of 4% of the participants compensation. Matching contributions are at the election of the Company and are subject to change at any time. Participants vest immediately in their contributions to the 401(k) Plan. For the years ended December 31, 2019 and 2018, total expense under this plan was $617,317 and $665,972, respectively. </w:t>
      </w:r>
    </w:p>
    <w:p>
      <w:pPr>
        <w:pStyle w:val="TextBody"/>
        <w:spacing w:before="360" w:after="0"/>
        <w:jc w:val="left"/>
        <w:rPr>
          <w:rFonts w:ascii="Times New Roman" w:hAnsi="Times New Roman"/>
          <w:b/>
          <w:sz w:val="20"/>
        </w:rPr>
      </w:pPr>
      <w:r>
        <w:rPr>
          <w:rFonts w:ascii="Times New Roman" w:hAnsi="Times New Roman"/>
          <w:b/>
          <w:sz w:val="20"/>
        </w:rPr>
        <w:t xml:space="preserve">Note 10:    Income Taxes </w:t>
      </w:r>
    </w:p>
    <w:p>
      <w:pPr>
        <w:pStyle w:val="TextBody"/>
        <w:spacing w:before="120" w:after="0"/>
        <w:jc w:val="left"/>
        <w:rPr>
          <w:rFonts w:ascii="Times New Roman" w:hAnsi="Times New Roman"/>
          <w:sz w:val="20"/>
        </w:rPr>
      </w:pPr>
      <w:r>
        <w:rPr>
          <w:rFonts w:ascii="Times New Roman" w:hAnsi="Times New Roman"/>
          <w:sz w:val="20"/>
        </w:rPr>
        <w:t xml:space="preserve">The provision for income taxes is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7411"/>
        <w:gridCol w:w="415"/>
        <w:gridCol w:w="152"/>
        <w:gridCol w:w="360"/>
        <w:gridCol w:w="60"/>
        <w:gridCol w:w="415"/>
        <w:gridCol w:w="152"/>
        <w:gridCol w:w="360"/>
        <w:gridCol w:w="63"/>
      </w:tblGrid>
      <w:tr>
        <w:trPr/>
        <w:tc>
          <w:tcPr>
            <w:tcW w:w="74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5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5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63" w:type="dxa"/>
            <w:tcBorders/>
            <w:shd w:fill="auto" w:val="clear"/>
            <w:vAlign w:val="bottom"/>
          </w:tcPr>
          <w:p>
            <w:pPr>
              <w:pStyle w:val="TableContents"/>
              <w:spacing w:before="0" w:after="283"/>
              <w:rPr/>
            </w:pPr>
            <w:r>
              <w:rPr/>
              <w:t> </w:t>
            </w:r>
          </w:p>
        </w:tc>
      </w:tr>
      <w:tr>
        <w:trPr/>
        <w:tc>
          <w:tcPr>
            <w:tcW w:w="7411" w:type="dxa"/>
            <w:tcBorders/>
            <w:shd w:fill="CCEEFF" w:val="clear"/>
          </w:tcPr>
          <w:p>
            <w:pPr>
              <w:pStyle w:val="TableContents"/>
              <w:spacing w:before="0" w:after="0"/>
              <w:rPr>
                <w:rFonts w:ascii="Times New Roman" w:hAnsi="Times New Roman"/>
                <w:sz w:val="20"/>
              </w:rPr>
            </w:pPr>
            <w:r>
              <w:rPr>
                <w:rFonts w:ascii="Times New Roman" w:hAnsi="Times New Roman"/>
                <w:sz w:val="20"/>
              </w:rPr>
              <w:t>Current expense</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7411" w:type="dxa"/>
            <w:tcBorders/>
            <w:shd w:fill="auto" w:val="clear"/>
          </w:tcPr>
          <w:p>
            <w:pPr>
              <w:pStyle w:val="TableContents"/>
              <w:spacing w:before="0" w:after="0"/>
              <w:rPr>
                <w:rFonts w:ascii="Times New Roman" w:hAnsi="Times New Roman"/>
                <w:sz w:val="20"/>
              </w:rPr>
            </w:pPr>
            <w:r>
              <w:rPr>
                <w:rFonts w:ascii="Times New Roman" w:hAnsi="Times New Roman"/>
                <w:sz w:val="20"/>
              </w:rPr>
              <w:t>Federal</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7411" w:type="dxa"/>
            <w:tcBorders/>
            <w:shd w:fill="CCEEFF" w:val="clear"/>
          </w:tcPr>
          <w:p>
            <w:pPr>
              <w:pStyle w:val="TableContents"/>
              <w:spacing w:before="0" w:after="0"/>
              <w:rPr>
                <w:rFonts w:ascii="Times New Roman" w:hAnsi="Times New Roman"/>
                <w:sz w:val="20"/>
              </w:rPr>
            </w:pPr>
            <w:r>
              <w:rPr>
                <w:rFonts w:ascii="Times New Roman" w:hAnsi="Times New Roman"/>
                <w:sz w:val="20"/>
              </w:rPr>
              <w:t>State</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7411" w:type="dxa"/>
            <w:tcBorders/>
            <w:shd w:fill="auto" w:val="clear"/>
          </w:tcPr>
          <w:p>
            <w:pPr>
              <w:pStyle w:val="TableContents"/>
              <w:spacing w:before="0" w:after="0"/>
              <w:rPr>
                <w:rFonts w:ascii="Times New Roman" w:hAnsi="Times New Roman"/>
                <w:sz w:val="20"/>
              </w:rPr>
            </w:pPr>
            <w:r>
              <w:rPr>
                <w:rFonts w:ascii="Times New Roman" w:hAnsi="Times New Roman"/>
                <w:sz w:val="20"/>
              </w:rPr>
              <w:t>Foreign</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741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3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36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7411" w:type="dxa"/>
            <w:tcBorders/>
            <w:shd w:fill="CCEEFF" w:val="clear"/>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741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36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360"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7411" w:type="dxa"/>
            <w:tcBorders/>
            <w:shd w:fill="auto" w:val="clear"/>
          </w:tcPr>
          <w:p>
            <w:pPr>
              <w:pStyle w:val="TableContents"/>
              <w:spacing w:before="0" w:after="0"/>
              <w:rPr>
                <w:rFonts w:ascii="Times New Roman" w:hAnsi="Times New Roman"/>
                <w:sz w:val="20"/>
              </w:rPr>
            </w:pPr>
            <w:r>
              <w:rPr>
                <w:rFonts w:ascii="Times New Roman" w:hAnsi="Times New Roman"/>
                <w:sz w:val="20"/>
              </w:rPr>
              <w:t>Deferred expense</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7411" w:type="dxa"/>
            <w:tcBorders/>
            <w:shd w:fill="CCEEFF" w:val="clear"/>
          </w:tcPr>
          <w:p>
            <w:pPr>
              <w:pStyle w:val="TableContents"/>
              <w:spacing w:before="0" w:after="0"/>
              <w:rPr>
                <w:rFonts w:ascii="Times New Roman" w:hAnsi="Times New Roman"/>
                <w:sz w:val="20"/>
              </w:rPr>
            </w:pPr>
            <w:r>
              <w:rPr>
                <w:rFonts w:ascii="Times New Roman" w:hAnsi="Times New Roman"/>
                <w:sz w:val="20"/>
              </w:rPr>
              <w:t>Federal</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7411" w:type="dxa"/>
            <w:tcBorders/>
            <w:shd w:fill="auto" w:val="clear"/>
          </w:tcPr>
          <w:p>
            <w:pPr>
              <w:pStyle w:val="TableContents"/>
              <w:spacing w:before="0" w:after="0"/>
              <w:rPr>
                <w:rFonts w:ascii="Times New Roman" w:hAnsi="Times New Roman"/>
                <w:sz w:val="20"/>
              </w:rPr>
            </w:pPr>
            <w:r>
              <w:rPr>
                <w:rFonts w:ascii="Times New Roman" w:hAnsi="Times New Roman"/>
                <w:sz w:val="20"/>
              </w:rPr>
              <w:t>State</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7411" w:type="dxa"/>
            <w:tcBorders/>
            <w:shd w:fill="CCEEFF" w:val="clear"/>
          </w:tcPr>
          <w:p>
            <w:pPr>
              <w:pStyle w:val="TableContents"/>
              <w:spacing w:before="0" w:after="0"/>
              <w:rPr>
                <w:rFonts w:ascii="Times New Roman" w:hAnsi="Times New Roman"/>
                <w:sz w:val="20"/>
              </w:rPr>
            </w:pPr>
            <w:r>
              <w:rPr>
                <w:rFonts w:ascii="Times New Roman" w:hAnsi="Times New Roman"/>
                <w:sz w:val="20"/>
              </w:rPr>
              <w:t>Foreign</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741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3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36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7411" w:type="dxa"/>
            <w:tcBorders/>
            <w:shd w:fill="auto" w:val="clea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741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3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36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7411"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741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36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360"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Companys income tax expense for the years ended December 31, 2019 and 2018, differs from the expected expense based upon the federal statutory rate primarily due to foreign taxes, permanent differences, and changes in the valuation allowance. </w:t>
      </w:r>
    </w:p>
    <w:p>
      <w:pPr>
        <w:pStyle w:val="TextBody"/>
        <w:spacing w:before="240" w:after="0"/>
        <w:jc w:val="left"/>
        <w:rPr>
          <w:rFonts w:ascii="Times New Roman" w:hAnsi="Times New Roman"/>
          <w:sz w:val="20"/>
        </w:rPr>
      </w:pPr>
      <w:r>
        <w:rPr>
          <w:rFonts w:ascii="Times New Roman" w:hAnsi="Times New Roman"/>
          <w:sz w:val="20"/>
        </w:rPr>
        <w:t xml:space="preserve">As of December 31, 2019 and 2018, the Companys deferred tax assets and liabilities consisted of the effect of temporary differences attributable to the following: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568"/>
        <w:gridCol w:w="421"/>
        <w:gridCol w:w="140"/>
        <w:gridCol w:w="1186"/>
        <w:gridCol w:w="161"/>
        <w:gridCol w:w="421"/>
        <w:gridCol w:w="140"/>
        <w:gridCol w:w="1186"/>
        <w:gridCol w:w="165"/>
      </w:tblGrid>
      <w:tr>
        <w:trPr/>
        <w:tc>
          <w:tcPr>
            <w:tcW w:w="5568"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556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3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6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3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65"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 (liabilities):</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8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86"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rPr/>
        <w:tc>
          <w:tcPr>
            <w:tcW w:w="5568" w:type="dxa"/>
            <w:tcBorders/>
            <w:shd w:fill="auto" w:val="clear"/>
          </w:tcPr>
          <w:p>
            <w:pPr>
              <w:pStyle w:val="TableContents"/>
              <w:spacing w:before="0" w:after="0"/>
              <w:rPr>
                <w:rFonts w:ascii="Times New Roman" w:hAnsi="Times New Roman"/>
                <w:sz w:val="20"/>
              </w:rPr>
            </w:pPr>
            <w:r>
              <w:rPr>
                <w:rFonts w:ascii="Times New Roman" w:hAnsi="Times New Roman"/>
                <w:sz w:val="20"/>
              </w:rPr>
              <w:t>Intangible asset</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86" w:type="dxa"/>
            <w:tcBorders/>
            <w:shd w:fill="auto" w:val="clear"/>
            <w:vAlign w:val="bottom"/>
          </w:tcPr>
          <w:p>
            <w:pPr>
              <w:pStyle w:val="TableContents"/>
              <w:spacing w:before="0" w:after="283"/>
              <w:jc w:val="right"/>
              <w:rPr/>
            </w:pPr>
            <w:r>
              <w:rPr/>
              <w:t>6,409,022</w:t>
            </w:r>
          </w:p>
        </w:tc>
        <w:tc>
          <w:tcPr>
            <w:tcW w:w="16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86" w:type="dxa"/>
            <w:tcBorders/>
            <w:shd w:fill="auto" w:val="clear"/>
            <w:vAlign w:val="bottom"/>
          </w:tcPr>
          <w:p>
            <w:pPr>
              <w:pStyle w:val="TableContents"/>
              <w:spacing w:before="0" w:after="283"/>
              <w:jc w:val="right"/>
              <w:rPr/>
            </w:pPr>
            <w:r>
              <w:rPr/>
              <w:t>6,940,862</w:t>
            </w:r>
          </w:p>
        </w:tc>
        <w:tc>
          <w:tcPr>
            <w:tcW w:w="165"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revenues, net</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1,476,592</w:t>
            </w:r>
          </w:p>
        </w:tc>
        <w:tc>
          <w:tcPr>
            <w:tcW w:w="16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1,722,671</w:t>
            </w:r>
          </w:p>
        </w:tc>
        <w:tc>
          <w:tcPr>
            <w:tcW w:w="165"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0"/>
              <w:rPr>
                <w:rFonts w:ascii="Times New Roman" w:hAnsi="Times New Roman"/>
                <w:sz w:val="20"/>
              </w:rPr>
            </w:pPr>
            <w:r>
              <w:rPr>
                <w:rFonts w:ascii="Times New Roman" w:hAnsi="Times New Roman"/>
                <w:sz w:val="20"/>
              </w:rPr>
              <w:t>Net operating loss carryforwards</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5,913,637</w:t>
            </w:r>
          </w:p>
        </w:tc>
        <w:tc>
          <w:tcPr>
            <w:tcW w:w="16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5,744,514</w:t>
            </w:r>
          </w:p>
        </w:tc>
        <w:tc>
          <w:tcPr>
            <w:tcW w:w="165"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0"/>
              <w:rPr>
                <w:rFonts w:ascii="Times New Roman" w:hAnsi="Times New Roman"/>
                <w:sz w:val="20"/>
              </w:rPr>
            </w:pPr>
            <w:r>
              <w:rPr>
                <w:rFonts w:ascii="Times New Roman" w:hAnsi="Times New Roman"/>
                <w:sz w:val="20"/>
              </w:rPr>
              <w:t>Capitalized software development costs</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(2,915,046</w:t>
            </w:r>
          </w:p>
        </w:tc>
        <w:tc>
          <w:tcPr>
            <w:tcW w:w="16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(2,462,286</w:t>
            </w:r>
          </w:p>
        </w:tc>
        <w:tc>
          <w:tcPr>
            <w:tcW w:w="165"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711,279</w:t>
            </w:r>
          </w:p>
        </w:tc>
        <w:tc>
          <w:tcPr>
            <w:tcW w:w="16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995,921</w:t>
            </w:r>
          </w:p>
        </w:tc>
        <w:tc>
          <w:tcPr>
            <w:tcW w:w="165"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0"/>
              <w:rPr>
                <w:rFonts w:ascii="Times New Roman" w:hAnsi="Times New Roman"/>
                <w:sz w:val="20"/>
              </w:rPr>
            </w:pPr>
            <w:r>
              <w:rPr>
                <w:rFonts w:ascii="Times New Roman" w:hAnsi="Times New Roman"/>
                <w:sz w:val="20"/>
              </w:rPr>
              <w:t>Fixed assets</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(159,455</w:t>
            </w:r>
          </w:p>
        </w:tc>
        <w:tc>
          <w:tcPr>
            <w:tcW w:w="16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(201,653</w:t>
            </w:r>
          </w:p>
        </w:tc>
        <w:tc>
          <w:tcPr>
            <w:tcW w:w="165"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0"/>
              <w:rPr>
                <w:rFonts w:ascii="Times New Roman" w:hAnsi="Times New Roman"/>
                <w:sz w:val="20"/>
              </w:rPr>
            </w:pPr>
            <w:r>
              <w:rPr>
                <w:rFonts w:ascii="Times New Roman" w:hAnsi="Times New Roman"/>
                <w:sz w:val="20"/>
              </w:rPr>
              <w:t>Allowance for doubtful accounts</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21,667</w:t>
            </w:r>
          </w:p>
        </w:tc>
        <w:tc>
          <w:tcPr>
            <w:tcW w:w="16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56,067</w:t>
            </w:r>
          </w:p>
        </w:tc>
        <w:tc>
          <w:tcPr>
            <w:tcW w:w="165" w:type="dxa"/>
            <w:tcBorders/>
            <w:shd w:fill="auto" w:val="clear"/>
            <w:vAlign w:val="bottom"/>
          </w:tcPr>
          <w:p>
            <w:pPr>
              <w:pStyle w:val="TableContents"/>
              <w:spacing w:before="0" w:after="283"/>
              <w:rPr/>
            </w:pPr>
            <w:r>
              <w:rPr/>
              <w:t> </w:t>
            </w:r>
          </w:p>
        </w:tc>
      </w:tr>
      <w:tr>
        <w:trPr/>
        <w:tc>
          <w:tcPr>
            <w:tcW w:w="5568"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8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86"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556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 - net</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11,457,696</w:t>
            </w:r>
          </w:p>
        </w:tc>
        <w:tc>
          <w:tcPr>
            <w:tcW w:w="16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12,796,096</w:t>
            </w:r>
          </w:p>
        </w:tc>
        <w:tc>
          <w:tcPr>
            <w:tcW w:w="165"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0"/>
              <w:rPr>
                <w:rFonts w:ascii="Times New Roman" w:hAnsi="Times New Roman"/>
                <w:sz w:val="20"/>
              </w:rPr>
            </w:pPr>
            <w:r>
              <w:rPr>
                <w:rFonts w:ascii="Times New Roman" w:hAnsi="Times New Roman"/>
                <w:sz w:val="20"/>
              </w:rPr>
              <w:t>Valuation allowance</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(11,457,696</w:t>
            </w:r>
          </w:p>
        </w:tc>
        <w:tc>
          <w:tcPr>
            <w:tcW w:w="16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(12,796,096</w:t>
            </w:r>
          </w:p>
        </w:tc>
        <w:tc>
          <w:tcPr>
            <w:tcW w:w="165" w:type="dxa"/>
            <w:tcBorders/>
            <w:shd w:fill="auto" w:val="clear"/>
            <w:vAlign w:val="bottom"/>
          </w:tcPr>
          <w:p>
            <w:pPr>
              <w:pStyle w:val="TableContents"/>
              <w:spacing w:before="0" w:after="283"/>
              <w:rPr/>
            </w:pPr>
            <w:r>
              <w:rPr/>
              <w:t>) </w:t>
            </w:r>
          </w:p>
        </w:tc>
      </w:tr>
      <w:tr>
        <w:trPr/>
        <w:tc>
          <w:tcPr>
            <w:tcW w:w="5568"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8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86"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556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taxes - net</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8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8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5568"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86"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86" w:type="dxa"/>
            <w:tcBorders/>
            <w:shd w:fill="auto" w:val="clear"/>
            <w:vAlign w:val="bottom"/>
          </w:tcPr>
          <w:p>
            <w:pPr>
              <w:pStyle w:val="TableContents"/>
              <w:pBdr>
                <w:top w:val="double" w:sz="6"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2019, the Company had approximately $29,500,000 of U.S. federal and state and foreign net operating loss carryforwards (NOL), that begin to expire in 2026. The Company has not calculated usage limitations of the net operating loss carryforwards associated with the ownership change pursuant to Section 382 of the Federal Internal Revenue Code. </w:t>
      </w:r>
    </w:p>
    <w:p>
      <w:pPr>
        <w:pStyle w:val="TextBody"/>
        <w:spacing w:before="240" w:after="0"/>
        <w:jc w:val="left"/>
        <w:rPr>
          <w:rFonts w:ascii="Times New Roman" w:hAnsi="Times New Roman"/>
          <w:sz w:val="20"/>
        </w:rPr>
      </w:pPr>
      <w:r>
        <w:rPr>
          <w:rFonts w:ascii="Times New Roman" w:hAnsi="Times New Roman"/>
          <w:sz w:val="20"/>
        </w:rPr>
        <w:t xml:space="preserve">In assessing the realization of deferred tax assets, the Company considers whether it is more likely than not that some portion or all of the deferred tax assets will be realized. The ultimate realization of the deferred tax assets is dependent upon the generation of future taxable income during the periods in which those temporary differences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become deductible. Management considers the scheduled reversal of deferred tax liabilities, projected future taxable income and tax strategies in making this assessment. Based upon this assessment, the Company has recorded a valuation allowance for the entire amount of net deferred tax assets which exist at December 31, 2019 and 2018. </w:t>
      </w:r>
    </w:p>
    <w:p>
      <w:pPr>
        <w:pStyle w:val="TextBody"/>
        <w:spacing w:before="240" w:after="0"/>
        <w:jc w:val="left"/>
        <w:rPr>
          <w:rFonts w:ascii="Times New Roman" w:hAnsi="Times New Roman"/>
          <w:sz w:val="20"/>
        </w:rPr>
      </w:pPr>
      <w:r>
        <w:rPr>
          <w:rFonts w:ascii="Times New Roman" w:hAnsi="Times New Roman"/>
          <w:sz w:val="20"/>
        </w:rPr>
        <w:t xml:space="preserve">The Company applies the provisions of the FASB accounting standard for uncertainty in income taxes related to unrecognized tax benefits and determined no accrual was necessary for unrecognized tax benefits based on the Companys tax positions, including all years subject to examination, except as noted in the following paragraph. The Company files income tax returns in U.S. federal and various state jurisdictions, as well as Canadian federal and provincial jurisdictions. The Company is subject to U.S. federal, state and local, as well as Canadian tax examinations by relevant authorities for years 2016 through 2018. </w:t>
      </w:r>
    </w:p>
    <w:p>
      <w:pPr>
        <w:pStyle w:val="TextBody"/>
        <w:spacing w:before="240" w:after="0"/>
        <w:jc w:val="left"/>
        <w:rPr>
          <w:rFonts w:ascii="Times New Roman" w:hAnsi="Times New Roman"/>
          <w:sz w:val="20"/>
        </w:rPr>
      </w:pPr>
      <w:r>
        <w:rPr>
          <w:rFonts w:ascii="Times New Roman" w:hAnsi="Times New Roman"/>
          <w:sz w:val="20"/>
        </w:rPr>
        <w:t xml:space="preserve">The Company incurred no interest or penalties related to income taxes during the years ended December 31, 2019 and 2018. </w:t>
      </w:r>
    </w:p>
    <w:p>
      <w:pPr>
        <w:pStyle w:val="TextBody"/>
        <w:spacing w:before="360" w:after="0"/>
        <w:jc w:val="left"/>
        <w:rPr>
          <w:rFonts w:ascii="Times New Roman" w:hAnsi="Times New Roman"/>
          <w:b/>
          <w:sz w:val="20"/>
        </w:rPr>
      </w:pPr>
      <w:r>
        <w:rPr>
          <w:rFonts w:ascii="Times New Roman" w:hAnsi="Times New Roman"/>
          <w:b/>
          <w:sz w:val="20"/>
        </w:rPr>
        <w:t xml:space="preserve">Note 11:    Operating Leases </w:t>
      </w:r>
    </w:p>
    <w:p>
      <w:pPr>
        <w:pStyle w:val="TextBody"/>
        <w:spacing w:before="120" w:after="0"/>
        <w:jc w:val="left"/>
        <w:rPr>
          <w:rFonts w:ascii="Times New Roman" w:hAnsi="Times New Roman"/>
          <w:sz w:val="20"/>
        </w:rPr>
      </w:pPr>
      <w:r>
        <w:rPr>
          <w:rFonts w:ascii="Times New Roman" w:hAnsi="Times New Roman"/>
          <w:sz w:val="20"/>
        </w:rPr>
        <w:t xml:space="preserve">The Company leases office facilities under the terms of various operating leases expiring through 2023. Several of these leases include escalation clauses for adjusting rentals. For the years ended December 31, 2019, rent expense under these lease agreements was $893,870 and $981,644, respectively. </w:t>
      </w:r>
    </w:p>
    <w:p>
      <w:pPr>
        <w:pStyle w:val="TextBody"/>
        <w:spacing w:before="240" w:after="0"/>
        <w:jc w:val="left"/>
        <w:rPr>
          <w:rFonts w:ascii="Times New Roman" w:hAnsi="Times New Roman"/>
          <w:sz w:val="20"/>
        </w:rPr>
      </w:pPr>
      <w:r>
        <w:rPr>
          <w:rFonts w:ascii="Times New Roman" w:hAnsi="Times New Roman"/>
          <w:sz w:val="20"/>
        </w:rPr>
        <w:t xml:space="preserve">At December 31, 2019, aggregate minimum lease payments on operating leases with original or remaining terms in excess of one year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6840"/>
        <w:gridCol w:w="445"/>
        <w:gridCol w:w="143"/>
        <w:gridCol w:w="1081"/>
        <w:gridCol w:w="63"/>
      </w:tblGrid>
      <w:tr>
        <w:trPr/>
        <w:tc>
          <w:tcPr>
            <w:tcW w:w="684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840" w:type="dxa"/>
            <w:tcBorders/>
            <w:shd w:fill="CCEEFF" w:val="clear"/>
          </w:tcPr>
          <w:p>
            <w:pPr>
              <w:pStyle w:val="TableContents"/>
              <w:spacing w:before="0" w:after="0"/>
              <w:rPr>
                <w:rFonts w:ascii="Times New Roman" w:hAnsi="Times New Roman"/>
                <w:sz w:val="20"/>
              </w:rPr>
            </w:pPr>
            <w:r>
              <w:rPr>
                <w:rFonts w:ascii="Times New Roman" w:hAnsi="Times New Roman"/>
                <w:sz w:val="20"/>
              </w:rPr>
              <w:t>2020</w:t>
            </w:r>
          </w:p>
        </w:tc>
        <w:tc>
          <w:tcPr>
            <w:tcW w:w="4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w:t>
            </w:r>
          </w:p>
        </w:tc>
        <w:tc>
          <w:tcPr>
            <w:tcW w:w="1081" w:type="dxa"/>
            <w:tcBorders/>
            <w:shd w:fill="CCEEFF" w:val="clear"/>
            <w:vAlign w:val="bottom"/>
          </w:tcPr>
          <w:p>
            <w:pPr>
              <w:pStyle w:val="TableContents"/>
              <w:spacing w:before="0" w:after="283"/>
              <w:jc w:val="right"/>
              <w:rPr/>
            </w:pPr>
            <w:r>
              <w:rPr/>
              <w:t>1,119,154</w:t>
            </w:r>
          </w:p>
        </w:tc>
        <w:tc>
          <w:tcPr>
            <w:tcW w:w="63" w:type="dxa"/>
            <w:tcBorders/>
            <w:shd w:fill="CCEEFF" w:val="clear"/>
            <w:vAlign w:val="bottom"/>
          </w:tcPr>
          <w:p>
            <w:pPr>
              <w:pStyle w:val="TableContents"/>
              <w:spacing w:before="0" w:after="283"/>
              <w:rPr/>
            </w:pPr>
            <w:r>
              <w:rPr/>
              <w:t> </w:t>
            </w:r>
          </w:p>
        </w:tc>
      </w:tr>
      <w:tr>
        <w:trPr/>
        <w:tc>
          <w:tcPr>
            <w:tcW w:w="6840" w:type="dxa"/>
            <w:tcBorders/>
            <w:shd w:fill="auto" w:val="clear"/>
          </w:tcPr>
          <w:p>
            <w:pPr>
              <w:pStyle w:val="TableContents"/>
              <w:spacing w:before="0" w:after="0"/>
              <w:rPr>
                <w:rFonts w:ascii="Times New Roman" w:hAnsi="Times New Roman"/>
                <w:sz w:val="20"/>
              </w:rPr>
            </w:pPr>
            <w:r>
              <w:rPr>
                <w:rFonts w:ascii="Times New Roman" w:hAnsi="Times New Roman"/>
                <w:sz w:val="20"/>
              </w:rPr>
              <w:t>2021</w:t>
            </w:r>
          </w:p>
        </w:tc>
        <w:tc>
          <w:tcPr>
            <w:tcW w:w="4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598,880</w:t>
            </w:r>
          </w:p>
        </w:tc>
        <w:tc>
          <w:tcPr>
            <w:tcW w:w="63" w:type="dxa"/>
            <w:tcBorders/>
            <w:shd w:fill="auto" w:val="clear"/>
            <w:vAlign w:val="bottom"/>
          </w:tcPr>
          <w:p>
            <w:pPr>
              <w:pStyle w:val="TableContents"/>
              <w:spacing w:before="0" w:after="283"/>
              <w:rPr/>
            </w:pPr>
            <w:r>
              <w:rPr/>
              <w:t> </w:t>
            </w:r>
          </w:p>
        </w:tc>
      </w:tr>
      <w:tr>
        <w:trPr/>
        <w:tc>
          <w:tcPr>
            <w:tcW w:w="6840" w:type="dxa"/>
            <w:tcBorders/>
            <w:shd w:fill="CCEEFF" w:val="clear"/>
          </w:tcPr>
          <w:p>
            <w:pPr>
              <w:pStyle w:val="TableContents"/>
              <w:spacing w:before="0" w:after="0"/>
              <w:rPr>
                <w:rFonts w:ascii="Times New Roman" w:hAnsi="Times New Roman"/>
                <w:sz w:val="20"/>
              </w:rPr>
            </w:pPr>
            <w:r>
              <w:rPr>
                <w:rFonts w:ascii="Times New Roman" w:hAnsi="Times New Roman"/>
                <w:sz w:val="20"/>
              </w:rPr>
              <w:t>2022</w:t>
            </w:r>
          </w:p>
        </w:tc>
        <w:tc>
          <w:tcPr>
            <w:tcW w:w="4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609,603</w:t>
            </w:r>
          </w:p>
        </w:tc>
        <w:tc>
          <w:tcPr>
            <w:tcW w:w="63" w:type="dxa"/>
            <w:tcBorders/>
            <w:shd w:fill="CCEEFF" w:val="clear"/>
            <w:vAlign w:val="bottom"/>
          </w:tcPr>
          <w:p>
            <w:pPr>
              <w:pStyle w:val="TableContents"/>
              <w:spacing w:before="0" w:after="283"/>
              <w:rPr/>
            </w:pPr>
            <w:r>
              <w:rPr/>
              <w:t> </w:t>
            </w:r>
          </w:p>
        </w:tc>
      </w:tr>
      <w:tr>
        <w:trPr/>
        <w:tc>
          <w:tcPr>
            <w:tcW w:w="6840" w:type="dxa"/>
            <w:tcBorders/>
            <w:shd w:fill="auto" w:val="clear"/>
          </w:tcPr>
          <w:p>
            <w:pPr>
              <w:pStyle w:val="TableContents"/>
              <w:spacing w:before="0" w:after="0"/>
              <w:rPr>
                <w:rFonts w:ascii="Times New Roman" w:hAnsi="Times New Roman"/>
                <w:sz w:val="20"/>
              </w:rPr>
            </w:pPr>
            <w:r>
              <w:rPr>
                <w:rFonts w:ascii="Times New Roman" w:hAnsi="Times New Roman"/>
                <w:sz w:val="20"/>
              </w:rPr>
              <w:t>2023</w:t>
            </w:r>
          </w:p>
        </w:tc>
        <w:tc>
          <w:tcPr>
            <w:tcW w:w="4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204,094</w:t>
            </w:r>
          </w:p>
        </w:tc>
        <w:tc>
          <w:tcPr>
            <w:tcW w:w="63" w:type="dxa"/>
            <w:tcBorders/>
            <w:shd w:fill="auto" w:val="clear"/>
            <w:vAlign w:val="bottom"/>
          </w:tcPr>
          <w:p>
            <w:pPr>
              <w:pStyle w:val="TableContents"/>
              <w:spacing w:before="0" w:after="283"/>
              <w:rPr/>
            </w:pPr>
            <w:r>
              <w:rPr/>
              <w:t> </w:t>
            </w:r>
          </w:p>
        </w:tc>
      </w:tr>
      <w:tr>
        <w:trPr/>
        <w:tc>
          <w:tcPr>
            <w:tcW w:w="6840"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1081"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840"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4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w:t>
            </w:r>
          </w:p>
        </w:tc>
        <w:tc>
          <w:tcPr>
            <w:tcW w:w="1081" w:type="dxa"/>
            <w:tcBorders/>
            <w:shd w:fill="CCEEFF" w:val="clear"/>
            <w:vAlign w:val="bottom"/>
          </w:tcPr>
          <w:p>
            <w:pPr>
              <w:pStyle w:val="TableContents"/>
              <w:spacing w:before="0" w:after="283"/>
              <w:jc w:val="right"/>
              <w:rPr/>
            </w:pPr>
            <w:r>
              <w:rPr/>
              <w:t>2,531,731</w:t>
            </w:r>
          </w:p>
        </w:tc>
        <w:tc>
          <w:tcPr>
            <w:tcW w:w="63" w:type="dxa"/>
            <w:tcBorders/>
            <w:shd w:fill="CCEEFF" w:val="clear"/>
            <w:vAlign w:val="bottom"/>
          </w:tcPr>
          <w:p>
            <w:pPr>
              <w:pStyle w:val="TableContents"/>
              <w:spacing w:before="0" w:after="283"/>
              <w:rPr/>
            </w:pPr>
            <w:r>
              <w:rPr/>
              <w:t> </w:t>
            </w:r>
          </w:p>
        </w:tc>
      </w:tr>
      <w:tr>
        <w:trPr/>
        <w:tc>
          <w:tcPr>
            <w:tcW w:w="6840"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0"/>
              <w:rPr/>
            </w:pPr>
            <w:r>
              <w:rPr/>
              <w:t> </w:t>
            </w:r>
          </w:p>
        </w:tc>
        <w:tc>
          <w:tcPr>
            <w:tcW w:w="1081"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Deferred rent expense under office leases was $799,413 and $1,115,261 as of December 31, 2019 and 2018, respectively, and is included in deferred rent expense in the accompanying consolidated balance sheets. The deferred rent expense is being amortized over the life of the associated office lease or asset, whichever is shorter. </w:t>
      </w:r>
    </w:p>
    <w:p>
      <w:pPr>
        <w:pStyle w:val="TextBody"/>
        <w:spacing w:before="360" w:after="0"/>
        <w:jc w:val="left"/>
        <w:rPr>
          <w:rFonts w:ascii="Times New Roman" w:hAnsi="Times New Roman"/>
          <w:b/>
          <w:sz w:val="20"/>
        </w:rPr>
      </w:pPr>
      <w:r>
        <w:rPr>
          <w:rFonts w:ascii="Times New Roman" w:hAnsi="Times New Roman"/>
          <w:b/>
          <w:sz w:val="20"/>
        </w:rPr>
        <w:t xml:space="preserve">Note 12:    Contingencies </w:t>
      </w:r>
    </w:p>
    <w:p>
      <w:pPr>
        <w:pStyle w:val="TextBody"/>
        <w:spacing w:before="120" w:after="0"/>
        <w:jc w:val="left"/>
        <w:rPr>
          <w:rFonts w:ascii="Times New Roman" w:hAnsi="Times New Roman"/>
          <w:sz w:val="20"/>
        </w:rPr>
      </w:pPr>
      <w:r>
        <w:rPr>
          <w:rFonts w:ascii="Times New Roman" w:hAnsi="Times New Roman"/>
          <w:sz w:val="20"/>
        </w:rPr>
        <w:t xml:space="preserve">During 2014 and 2015, the Company accrued a liability of approximately $2 million by reducing revenues during that period as an estimate of a liability for certain undetermined contractual arrangements. The amounts recorded are classified as a current liability at December 31, 2019 and 2018, pending the ultimate resolution of this matter. </w:t>
      </w:r>
    </w:p>
    <w:p>
      <w:pPr>
        <w:pStyle w:val="TextBody"/>
        <w:spacing w:before="240" w:after="0"/>
        <w:jc w:val="left"/>
        <w:rPr>
          <w:rFonts w:ascii="Times New Roman" w:hAnsi="Times New Roman"/>
          <w:sz w:val="20"/>
        </w:rPr>
      </w:pPr>
      <w:r>
        <w:rPr>
          <w:rFonts w:ascii="Times New Roman" w:hAnsi="Times New Roman"/>
          <w:sz w:val="20"/>
        </w:rPr>
        <w:t xml:space="preserve">In the ordinary course of business, the Company has been, and may in the future be put on notice by a third party for claims pursuant to contractual obligations, alleged infringement of a proprietary right or other claims. In general, the resolution of any such matter could be material to the Companys financial condition or cash flows, or both, or could otherwise adversely affect the Companys operating results. The Company makes a provision for a liability relating to such claims when it is both probable that a liability has been incurred and the amount of the loss can be reasonably estimated. As of December 31, 2019 and 2018, there were no such matters for which the Company had recorded a liability associated with any anticipated loss. </w:t>
      </w:r>
    </w:p>
    <w:p>
      <w:pPr>
        <w:pStyle w:val="TextBody"/>
        <w:spacing w:before="360" w:after="0"/>
        <w:jc w:val="left"/>
        <w:rPr>
          <w:rFonts w:ascii="Times New Roman" w:hAnsi="Times New Roman"/>
          <w:b/>
          <w:sz w:val="20"/>
        </w:rPr>
      </w:pPr>
      <w:r>
        <w:rPr>
          <w:rFonts w:ascii="Times New Roman" w:hAnsi="Times New Roman"/>
          <w:b/>
          <w:sz w:val="20"/>
        </w:rPr>
        <w:t xml:space="preserve">Note 13:    Litigation </w:t>
      </w:r>
    </w:p>
    <w:p>
      <w:pPr>
        <w:pStyle w:val="TextBody"/>
        <w:spacing w:before="120" w:after="0"/>
        <w:jc w:val="left"/>
        <w:rPr>
          <w:rFonts w:ascii="Times New Roman" w:hAnsi="Times New Roman"/>
          <w:sz w:val="20"/>
        </w:rPr>
      </w:pPr>
      <w:r>
        <w:rPr>
          <w:rFonts w:ascii="Times New Roman" w:hAnsi="Times New Roman"/>
          <w:sz w:val="20"/>
        </w:rPr>
        <w:t xml:space="preserve">The Company is from time to time a party to legal proceedings, which arise in the ordinary course of business. The Company is not currently involved in any litigation, in which the outcome would, in managements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judgment based on information currently available, have a material adverse effect on the consolidated results of operations or financial condition of the Company. </w:t>
      </w:r>
    </w:p>
    <w:p>
      <w:pPr>
        <w:pStyle w:val="TextBody"/>
        <w:spacing w:before="240" w:after="0"/>
        <w:jc w:val="left"/>
        <w:rPr>
          <w:rFonts w:ascii="Times New Roman" w:hAnsi="Times New Roman"/>
          <w:sz w:val="20"/>
        </w:rPr>
      </w:pPr>
      <w:r>
        <w:rPr>
          <w:rFonts w:ascii="Times New Roman" w:hAnsi="Times New Roman"/>
          <w:sz w:val="20"/>
        </w:rPr>
        <w:t xml:space="preserve">On June 27, 2018, the Company settled a dispute it had with a counter-party to an agreement by agreeing to accept a one-time payment in the amount of $3 million from such party in exchange for the Company agreeing to release certain claims against such party. The Company received the payment in August 2018 and such amount is included in Settlement in the accompanying Consolidated Statements of Operations and Comprehensive Income (Loss). </w:t>
      </w:r>
    </w:p>
    <w:p>
      <w:pPr>
        <w:pStyle w:val="TextBody"/>
        <w:spacing w:before="240" w:after="0"/>
        <w:jc w:val="center"/>
        <w:rPr>
          <w:rFonts w:ascii="Times New Roman" w:hAnsi="Times New Roman"/>
          <w:sz w:val="20"/>
        </w:rPr>
      </w:pPr>
      <w:r>
        <w:rPr>
          <w:rFonts w:ascii="Times New Roman" w:hAnsi="Times New Roman"/>
          <w:sz w:val="20"/>
        </w:rPr>
        <w:t xml:space="preserve">* *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31" w:name="toc108105_43"/>
      <w:bookmarkStart w:id="132" w:name="anacov1"/>
      <w:bookmarkEnd w:id="131"/>
      <w:bookmarkEnd w:id="132"/>
      <w:r>
        <w:rPr>
          <w:rFonts w:ascii="Times New Roman" w:hAnsi="Times New Roman"/>
          <w:b/>
          <w:sz w:val="20"/>
        </w:rPr>
        <w:t xml:space="preserve">Annex A-1 </w:t>
      </w:r>
    </w:p>
    <w:p>
      <w:pPr>
        <w:pStyle w:val="TextBody"/>
        <w:spacing w:before="240" w:after="0"/>
        <w:jc w:val="right"/>
        <w:rPr>
          <w:rFonts w:ascii="Times New Roman" w:hAnsi="Times New Roman"/>
          <w:b/>
          <w:sz w:val="20"/>
        </w:rPr>
      </w:pPr>
      <w:r>
        <w:rPr>
          <w:rFonts w:ascii="Times New Roman" w:hAnsi="Times New Roman"/>
          <w:b/>
          <w:sz w:val="20"/>
        </w:rPr>
        <w:t xml:space="preserve">EXECUTION VERSION </w:t>
      </w:r>
    </w:p>
    <w:p>
      <w:pPr>
        <w:pStyle w:val="TextBody"/>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spacing w:before="240" w:after="0"/>
        <w:jc w:val="center"/>
        <w:rPr>
          <w:rFonts w:ascii="Times New Roman" w:hAnsi="Times New Roman"/>
          <w:sz w:val="20"/>
        </w:rPr>
      </w:pPr>
      <w:r>
        <w:rPr>
          <w:rFonts w:ascii="Times New Roman" w:hAnsi="Times New Roman"/>
          <w:sz w:val="20"/>
        </w:rPr>
        <w:t xml:space="preserve">by and among </w:t>
      </w:r>
    </w:p>
    <w:p>
      <w:pPr>
        <w:pStyle w:val="TextBody"/>
        <w:spacing w:before="240" w:after="0"/>
        <w:jc w:val="center"/>
        <w:rPr>
          <w:rFonts w:ascii="Times New Roman" w:hAnsi="Times New Roman"/>
          <w:sz w:val="20"/>
        </w:rPr>
      </w:pPr>
      <w:r>
        <w:rPr>
          <w:rFonts w:ascii="Times New Roman" w:hAnsi="Times New Roman"/>
          <w:sz w:val="20"/>
        </w:rPr>
        <w:t xml:space="preserve">VPC Impact Acquisition Holdings, </w:t>
      </w:r>
    </w:p>
    <w:p>
      <w:pPr>
        <w:pStyle w:val="TextBody"/>
        <w:spacing w:before="240" w:after="0"/>
        <w:jc w:val="center"/>
        <w:rPr>
          <w:rFonts w:ascii="Times New Roman" w:hAnsi="Times New Roman"/>
          <w:sz w:val="20"/>
        </w:rPr>
      </w:pPr>
      <w:r>
        <w:rPr>
          <w:rFonts w:ascii="Times New Roman" w:hAnsi="Times New Roman"/>
          <w:sz w:val="20"/>
        </w:rPr>
        <w:t xml:space="preserve">Pylon Merger Company LLC </w:t>
      </w:r>
    </w:p>
    <w:p>
      <w:pPr>
        <w:pStyle w:val="TextBody"/>
        <w:spacing w:before="240" w:after="0"/>
        <w:jc w:val="center"/>
        <w:rPr>
          <w:rFonts w:ascii="Times New Roman" w:hAnsi="Times New Roman"/>
          <w:sz w:val="20"/>
        </w:rPr>
      </w:pPr>
      <w:r>
        <w:rPr>
          <w:rFonts w:ascii="Times New Roman" w:hAnsi="Times New Roman"/>
          <w:sz w:val="20"/>
        </w:rPr>
        <w:t xml:space="preserve">and </w:t>
      </w:r>
    </w:p>
    <w:p>
      <w:pPr>
        <w:pStyle w:val="TextBody"/>
        <w:spacing w:before="240" w:after="0"/>
        <w:jc w:val="center"/>
        <w:rPr>
          <w:rFonts w:ascii="Times New Roman" w:hAnsi="Times New Roman"/>
          <w:sz w:val="20"/>
        </w:rPr>
      </w:pPr>
      <w:r>
        <w:rPr>
          <w:rFonts w:ascii="Times New Roman" w:hAnsi="Times New Roman"/>
          <w:sz w:val="20"/>
        </w:rPr>
        <w:t xml:space="preserve">Bakkt Holdings, LLC </w:t>
      </w:r>
    </w:p>
    <w:p>
      <w:pPr>
        <w:pStyle w:val="TextBody"/>
        <w:spacing w:before="240" w:after="0"/>
        <w:jc w:val="center"/>
        <w:rPr>
          <w:rFonts w:ascii="Times New Roman" w:hAnsi="Times New Roman"/>
          <w:sz w:val="20"/>
        </w:rPr>
      </w:pPr>
      <w:r>
        <w:rPr>
          <w:rFonts w:ascii="Times New Roman" w:hAnsi="Times New Roman"/>
          <w:sz w:val="20"/>
        </w:rPr>
        <w:t xml:space="preserve">Dated January 11, 2021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60"/>
        <w:gridCol w:w="107"/>
        <w:gridCol w:w="8121"/>
        <w:gridCol w:w="120"/>
        <w:gridCol w:w="60"/>
        <w:gridCol w:w="474"/>
        <w:gridCol w:w="63"/>
      </w:tblGrid>
      <w:tr>
        <w:trPr/>
        <w:tc>
          <w:tcPr>
            <w:tcW w:w="12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81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2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34" w:type="dxa"/>
            <w:gridSpan w:val="2"/>
            <w:tcBorders/>
            <w:shd w:fill="auto" w:val="cle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ARTICLE I</w:t>
            </w:r>
          </w:p>
        </w:tc>
        <w:tc>
          <w:tcPr>
            <w:tcW w:w="63"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CLOSING TRANSACTIONS; THE MERGER</w:t>
            </w:r>
          </w:p>
        </w:tc>
        <w:tc>
          <w:tcPr>
            <w:tcW w:w="63" w:type="dxa"/>
            <w:tcBorders/>
            <w:shd w:fill="auto" w:val="clear"/>
          </w:tcPr>
          <w:p>
            <w:pPr>
              <w:pStyle w:val="TableContents"/>
              <w:spacing w:before="0" w:after="0"/>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1.1</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Closing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1.2</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Merger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1.3</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Location and Date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1.4</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Effective Time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1.5</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Effects of Merger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1.6</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Organizational Documents of Surviving Company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A-4</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1.7</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Directors, Managers and Officers of Surviving Company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A-4</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1.8</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Certain Closing Deliveries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A-4</w:t>
            </w:r>
          </w:p>
        </w:tc>
        <w:tc>
          <w:tcPr>
            <w:tcW w:w="6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ARTICLE II</w:t>
            </w:r>
          </w:p>
        </w:tc>
        <w:tc>
          <w:tcPr>
            <w:tcW w:w="63"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EFFECT OF THE DOMESTICATION AND MERGER</w:t>
            </w:r>
          </w:p>
        </w:tc>
        <w:tc>
          <w:tcPr>
            <w:tcW w:w="63" w:type="dxa"/>
            <w:tcBorders/>
            <w:shd w:fill="auto" w:val="clear"/>
          </w:tcPr>
          <w:p>
            <w:pPr>
              <w:pStyle w:val="TableContents"/>
              <w:spacing w:before="0" w:after="0"/>
              <w:rPr/>
            </w:pPr>
            <w:r>
              <w:rPr/>
              <w:t> </w:t>
            </w:r>
          </w:p>
        </w:tc>
      </w:tr>
      <w:tr>
        <w:trPr>
          <w:trHeight w:val="120" w:hRule="atLeast"/>
        </w:trPr>
        <w:tc>
          <w:tcPr>
            <w:tcW w:w="1260"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17" w:type="dxa"/>
            <w:gridSpan w:val="4"/>
            <w:tcBorders/>
            <w:shd w:fill="auto" w:val="clear"/>
            <w:vAlign w:val="center"/>
          </w:tcPr>
          <w:p>
            <w:pPr>
              <w:pStyle w:val="TableContents"/>
              <w:spacing w:before="0" w:after="283"/>
              <w:rPr>
                <w:sz w:val="4"/>
                <w:szCs w:val="4"/>
              </w:rPr>
            </w:pPr>
            <w:r>
              <w:rPr>
                <w:sz w:val="4"/>
                <w:szCs w:val="4"/>
              </w:rPr>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2.1</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Actions to Effect Domestication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A-5</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2.2</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Effect of Domestication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A-5</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2.3</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Merger and Closing Payments; Effect on Equity Interests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A-6</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2.4</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Treatment of Bakkt Incentive Plan Awards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A-7</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2.5</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Treatment of Bakkt Opco Warrants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A-8</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2.6</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Exchange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A-8</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2.7</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Closing Statement; Determination of Available Cash</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A-9</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2.8</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Withholding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A-9</w:t>
            </w:r>
          </w:p>
        </w:tc>
        <w:tc>
          <w:tcPr>
            <w:tcW w:w="6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ARTICLE III</w:t>
            </w:r>
          </w:p>
        </w:tc>
        <w:tc>
          <w:tcPr>
            <w:tcW w:w="63"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REPRESENTATIONS AND WARRANTIES OF BAKKT OPCO</w:t>
            </w:r>
          </w:p>
        </w:tc>
        <w:tc>
          <w:tcPr>
            <w:tcW w:w="63" w:type="dxa"/>
            <w:tcBorders/>
            <w:shd w:fill="auto" w:val="clear"/>
          </w:tcPr>
          <w:p>
            <w:pPr>
              <w:pStyle w:val="TableContents"/>
              <w:spacing w:before="0" w:after="0"/>
              <w:rPr/>
            </w:pPr>
            <w:r>
              <w:rPr/>
              <w:t> </w:t>
            </w:r>
          </w:p>
        </w:tc>
      </w:tr>
      <w:tr>
        <w:trPr>
          <w:trHeight w:val="120" w:hRule="atLeast"/>
        </w:trPr>
        <w:tc>
          <w:tcPr>
            <w:tcW w:w="1260"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17" w:type="dxa"/>
            <w:gridSpan w:val="4"/>
            <w:tcBorders/>
            <w:shd w:fill="auto" w:val="clear"/>
            <w:vAlign w:val="center"/>
          </w:tcPr>
          <w:p>
            <w:pPr>
              <w:pStyle w:val="TableContents"/>
              <w:spacing w:before="0" w:after="283"/>
              <w:rPr>
                <w:sz w:val="4"/>
                <w:szCs w:val="4"/>
              </w:rPr>
            </w:pPr>
            <w:r>
              <w:rPr>
                <w:sz w:val="4"/>
                <w:szCs w:val="4"/>
              </w:rPr>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Due Organization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A-9</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3.2</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Authorization; No Conflict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A-10</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3.3</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Capitalization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A-11</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3.4</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A-11</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3.5</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Absence of Changes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A-12</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3.6</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Real Property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3.7</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Assets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3.8</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Taxes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3.9</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Employee Benefit Plans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A-15</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3.10</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Labor Matters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A-16</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3.11</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Compliance; Permits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A-17</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3.12</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Legal Proceedings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A-18</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3.13</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Contracts and Commitments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A-18</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3.14</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Intellectual Property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A-19</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3.15</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Data Privacy and IT Systems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A-20</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3.16</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Insurance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A-21</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3.17</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Environmental Matters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A-22</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3.18</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Brokers and Agents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A-22</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3.19</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Transactions with Related Parties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A-22</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3.20</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Regulatory Matters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A-22</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3.21</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Board Recommendation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A-23</w:t>
            </w:r>
          </w:p>
        </w:tc>
        <w:tc>
          <w:tcPr>
            <w:tcW w:w="63" w:type="dxa"/>
            <w:tcBorders/>
            <w:shd w:fill="auto" w:val="clear"/>
            <w:vAlign w:val="bottom"/>
          </w:tcPr>
          <w:p>
            <w:pPr>
              <w:pStyle w:val="TableContents"/>
              <w:spacing w:before="0" w:after="283"/>
              <w:rPr/>
            </w:pPr>
            <w:r>
              <w:rPr/>
              <w:t> </w:t>
            </w:r>
          </w:p>
        </w:tc>
      </w:tr>
      <w:tr>
        <w:trPr/>
        <w:tc>
          <w:tcPr>
            <w:tcW w:w="1260" w:type="dxa"/>
            <w:tcBorders/>
            <w:shd w:fill="auto" w:val="clear"/>
          </w:tcPr>
          <w:p>
            <w:pPr>
              <w:pStyle w:val="TableContents"/>
              <w:spacing w:before="0" w:after="0"/>
              <w:rPr>
                <w:rFonts w:ascii="Times New Roman" w:hAnsi="Times New Roman"/>
                <w:sz w:val="20"/>
              </w:rPr>
            </w:pPr>
            <w:r>
              <w:rPr>
                <w:rFonts w:ascii="Times New Roman" w:hAnsi="Times New Roman"/>
                <w:sz w:val="20"/>
              </w:rPr>
              <w:t>Section 3.22</w:t>
            </w:r>
          </w:p>
        </w:tc>
        <w:tc>
          <w:tcPr>
            <w:tcW w:w="107" w:type="dxa"/>
            <w:tcBorders/>
            <w:shd w:fill="auto" w:val="clear"/>
            <w:vAlign w:val="bottom"/>
          </w:tcPr>
          <w:p>
            <w:pPr>
              <w:pStyle w:val="TableContents"/>
              <w:spacing w:before="0" w:after="283"/>
              <w:rPr/>
            </w:pPr>
            <w:r>
              <w:rPr/>
              <w:t> </w:t>
            </w:r>
          </w:p>
        </w:tc>
        <w:tc>
          <w:tcPr>
            <w:tcW w:w="8121" w:type="dxa"/>
            <w:tcBorders/>
            <w:shd w:fill="auto" w:val="clear"/>
            <w:vAlign w:val="bottom"/>
          </w:tcPr>
          <w:p>
            <w:pPr>
              <w:pStyle w:val="TableContents"/>
              <w:spacing w:before="0" w:after="283"/>
              <w:rPr/>
            </w:pPr>
            <w:r>
              <w:rPr/>
              <w:t>No Other VIH or Merger Sub Representations or Warranties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A-23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A-i</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274"/>
        <w:gridCol w:w="108"/>
        <w:gridCol w:w="8140"/>
        <w:gridCol w:w="121"/>
        <w:gridCol w:w="60"/>
        <w:gridCol w:w="439"/>
        <w:gridCol w:w="63"/>
      </w:tblGrid>
      <w:tr>
        <w:trPr/>
        <w:tc>
          <w:tcPr>
            <w:tcW w:w="127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8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ARTICLE IV</w:t>
            </w:r>
          </w:p>
        </w:tc>
        <w:tc>
          <w:tcPr>
            <w:tcW w:w="63"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REPRESENTATIONS AND WARRANTIES OF VIH AND MERGER SUB</w:t>
            </w:r>
          </w:p>
        </w:tc>
        <w:tc>
          <w:tcPr>
            <w:tcW w:w="63" w:type="dxa"/>
            <w:tcBorders/>
            <w:shd w:fill="auto" w:val="clear"/>
          </w:tcPr>
          <w:p>
            <w:pPr>
              <w:pStyle w:val="TableContents"/>
              <w:spacing w:before="0" w:after="0"/>
              <w:rPr/>
            </w:pPr>
            <w:r>
              <w:rPr/>
              <w:t> </w:t>
            </w:r>
          </w:p>
        </w:tc>
      </w:tr>
      <w:tr>
        <w:trPr>
          <w:trHeight w:val="120" w:hRule="atLeast"/>
        </w:trPr>
        <w:tc>
          <w:tcPr>
            <w:tcW w:w="1274" w:type="dxa"/>
            <w:tcBorders/>
            <w:shd w:fill="auto" w:val="clear"/>
            <w:vAlign w:val="center"/>
          </w:tcPr>
          <w:p>
            <w:pPr>
              <w:pStyle w:val="TableContents"/>
              <w:spacing w:before="0" w:after="283"/>
              <w:rPr>
                <w:sz w:val="4"/>
                <w:szCs w:val="4"/>
              </w:rPr>
            </w:pPr>
            <w:r>
              <w:rPr>
                <w:sz w:val="4"/>
                <w:szCs w:val="4"/>
              </w:rPr>
            </w:r>
          </w:p>
        </w:tc>
        <w:tc>
          <w:tcPr>
            <w:tcW w:w="8248"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Due Organization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A-24</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4.2</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Authorization; No Conflict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A-24</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4.3</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Capitalization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A-25</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4.4</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Merger Sub</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A-25</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4.5</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Special Purpose Acquisition Company; Absence of Changes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A-26</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4.6</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Taxes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A-26</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4.7</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Brokers and Agents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4.8</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Financing</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4.9</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Legal Proceedings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4.10</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Compliance; Permits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4.11</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SEC Filings and VIH Financials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4.12</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National Stock Exchange</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A-28</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4.13</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Board Recommendation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4.14</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Trust Account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4.15</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Insurance</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4.16</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Intellectual Property</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4.17</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Agreements, Contracts and Commitments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4.18</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Title to Property</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A-30</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4.19</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Employee Matters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A-30</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4.20</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Regulatory Matters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A-30</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4.21</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Investment Company Act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A-30</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4.22</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PIPE Financing</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A-30</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4.23</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Due Diligence Investigation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A-31</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4.24</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No Other Bakkt Opco Representations or Warranties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A-31</w:t>
            </w:r>
          </w:p>
        </w:tc>
        <w:tc>
          <w:tcPr>
            <w:tcW w:w="6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ARTICLE V</w:t>
            </w:r>
          </w:p>
        </w:tc>
        <w:tc>
          <w:tcPr>
            <w:tcW w:w="63"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283"/>
              <w:jc w:val="center"/>
              <w:rPr/>
            </w:pPr>
            <w:r>
              <w:rPr/>
              <w:t>PRE-CLOSING COVENANTS</w:t>
            </w:r>
          </w:p>
        </w:tc>
        <w:tc>
          <w:tcPr>
            <w:tcW w:w="63" w:type="dxa"/>
            <w:tcBorders/>
            <w:shd w:fill="auto" w:val="clear"/>
          </w:tcPr>
          <w:p>
            <w:pPr>
              <w:pStyle w:val="TableContents"/>
              <w:spacing w:before="0" w:after="0"/>
              <w:rPr/>
            </w:pPr>
            <w:r>
              <w:rPr/>
              <w:t> </w:t>
            </w:r>
          </w:p>
        </w:tc>
      </w:tr>
      <w:tr>
        <w:trPr>
          <w:trHeight w:val="120" w:hRule="atLeast"/>
        </w:trPr>
        <w:tc>
          <w:tcPr>
            <w:tcW w:w="1274" w:type="dxa"/>
            <w:tcBorders/>
            <w:shd w:fill="auto" w:val="clear"/>
            <w:vAlign w:val="center"/>
          </w:tcPr>
          <w:p>
            <w:pPr>
              <w:pStyle w:val="TableContents"/>
              <w:spacing w:before="0" w:after="283"/>
              <w:rPr>
                <w:sz w:val="4"/>
                <w:szCs w:val="4"/>
              </w:rPr>
            </w:pPr>
            <w:r>
              <w:rPr>
                <w:sz w:val="4"/>
                <w:szCs w:val="4"/>
              </w:rPr>
            </w:r>
          </w:p>
        </w:tc>
        <w:tc>
          <w:tcPr>
            <w:tcW w:w="8248"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Conduct of Business of Bakkt Opco</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A-32</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5.2</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Conduct of Business of VIH</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A-34</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5.3</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Access to Information; Confidential Information.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A-35</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5.4</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Notification of Certain Matters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5.5</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Cause Conditions to be Satisfied</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5.6</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PIPE Financing</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5.7</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Governmental Consents and Filing of Notices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A-37</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5.8</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Registration Statement; VIH Shareholder Meeting; Information Statement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A-38</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5.9</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Disclosure Information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A-40</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5.10</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Securities Listing</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A-41</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5.11</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No Solicitation</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A-41</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5.12</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Post-Closing Board of Directors and Executive Officers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A-42</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5.13</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Trust Account Disbursement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A-43</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5.14</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Section 16</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A-43</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5.15</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Third-Party Consents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A-43</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5.16</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Unpaid Expenses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A-43</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5.17</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No Trading</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A-43</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5.18</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Advice of Changes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A-43</w:t>
            </w:r>
          </w:p>
        </w:tc>
        <w:tc>
          <w:tcPr>
            <w:tcW w:w="63" w:type="dxa"/>
            <w:tcBorders/>
            <w:shd w:fill="auto" w:val="clear"/>
            <w:vAlign w:val="bottom"/>
          </w:tcPr>
          <w:p>
            <w:pPr>
              <w:pStyle w:val="TableContents"/>
              <w:spacing w:before="0" w:after="283"/>
              <w:rPr/>
            </w:pPr>
            <w:r>
              <w:rPr/>
              <w:t> </w:t>
            </w:r>
          </w:p>
        </w:tc>
      </w:tr>
      <w:tr>
        <w:trPr/>
        <w:tc>
          <w:tcPr>
            <w:tcW w:w="1274" w:type="dxa"/>
            <w:tcBorders/>
            <w:shd w:fill="auto" w:val="clear"/>
          </w:tcPr>
          <w:p>
            <w:pPr>
              <w:pStyle w:val="TableContents"/>
              <w:spacing w:before="0" w:after="0"/>
              <w:rPr>
                <w:rFonts w:ascii="Times New Roman" w:hAnsi="Times New Roman"/>
                <w:sz w:val="20"/>
              </w:rPr>
            </w:pPr>
            <w:r>
              <w:rPr>
                <w:rFonts w:ascii="Times New Roman" w:hAnsi="Times New Roman"/>
                <w:sz w:val="20"/>
              </w:rPr>
              <w:t>Section 5.19</w:t>
            </w:r>
          </w:p>
        </w:tc>
        <w:tc>
          <w:tcPr>
            <w:tcW w:w="108" w:type="dxa"/>
            <w:tcBorders/>
            <w:shd w:fill="auto" w:val="clear"/>
            <w:vAlign w:val="bottom"/>
          </w:tcPr>
          <w:p>
            <w:pPr>
              <w:pStyle w:val="TableContents"/>
              <w:spacing w:before="0" w:after="283"/>
              <w:rPr/>
            </w:pPr>
            <w:r>
              <w:rPr/>
              <w:t> </w:t>
            </w:r>
          </w:p>
        </w:tc>
        <w:tc>
          <w:tcPr>
            <w:tcW w:w="8140" w:type="dxa"/>
            <w:tcBorders/>
            <w:shd w:fill="auto" w:val="clear"/>
            <w:vAlign w:val="bottom"/>
          </w:tcPr>
          <w:p>
            <w:pPr>
              <w:pStyle w:val="TableContents"/>
              <w:spacing w:before="0" w:after="283"/>
              <w:rPr/>
            </w:pPr>
            <w:r>
              <w:rPr/>
              <w:t>Cooperation Agreement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A-44</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A-ii</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389"/>
        <w:gridCol w:w="107"/>
        <w:gridCol w:w="8026"/>
        <w:gridCol w:w="120"/>
        <w:gridCol w:w="60"/>
        <w:gridCol w:w="439"/>
        <w:gridCol w:w="64"/>
      </w:tblGrid>
      <w:tr>
        <w:trPr/>
        <w:tc>
          <w:tcPr>
            <w:tcW w:w="138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80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ARTICLE VI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OTHER COVENANTS</w:t>
            </w:r>
          </w:p>
        </w:tc>
        <w:tc>
          <w:tcPr>
            <w:tcW w:w="64" w:type="dxa"/>
            <w:tcBorders/>
            <w:shd w:fill="auto" w:val="clear"/>
          </w:tcPr>
          <w:p>
            <w:pPr>
              <w:pStyle w:val="TableContents"/>
              <w:spacing w:before="0" w:after="0"/>
              <w:rPr/>
            </w:pPr>
            <w:r>
              <w:rPr/>
              <w:t> </w:t>
            </w:r>
          </w:p>
        </w:tc>
      </w:tr>
      <w:tr>
        <w:trPr>
          <w:trHeight w:val="120" w:hRule="atLeast"/>
        </w:trPr>
        <w:tc>
          <w:tcPr>
            <w:tcW w:w="1389" w:type="dxa"/>
            <w:tcBorders/>
            <w:shd w:fill="auto" w:val="clear"/>
            <w:vAlign w:val="center"/>
          </w:tcPr>
          <w:p>
            <w:pPr>
              <w:pStyle w:val="TableContents"/>
              <w:spacing w:before="0" w:after="283"/>
              <w:rPr>
                <w:sz w:val="4"/>
                <w:szCs w:val="4"/>
              </w:rPr>
            </w:pPr>
            <w:r>
              <w:rPr>
                <w:sz w:val="4"/>
                <w:szCs w:val="4"/>
              </w:rPr>
            </w:r>
          </w:p>
        </w:tc>
        <w:tc>
          <w:tcPr>
            <w:tcW w:w="8133"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6.1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Tax Matters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A-44</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6.2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Further Assurances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A-45</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6.3</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Indemnification, Exculpation and Insurance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A-45</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6.4</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Equity Incentive Plan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A-46</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6.5</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Shareholder Litigation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A-46</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ARTICLE VII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CONDITIONS PRECEDENT</w:t>
            </w:r>
          </w:p>
        </w:tc>
        <w:tc>
          <w:tcPr>
            <w:tcW w:w="64" w:type="dxa"/>
            <w:tcBorders/>
            <w:shd w:fill="auto" w:val="clear"/>
          </w:tcPr>
          <w:p>
            <w:pPr>
              <w:pStyle w:val="TableContents"/>
              <w:spacing w:before="0" w:after="0"/>
              <w:rPr/>
            </w:pPr>
            <w:r>
              <w:rPr/>
              <w:t> </w:t>
            </w:r>
          </w:p>
        </w:tc>
      </w:tr>
      <w:tr>
        <w:trPr>
          <w:trHeight w:val="120" w:hRule="atLeast"/>
        </w:trPr>
        <w:tc>
          <w:tcPr>
            <w:tcW w:w="1389" w:type="dxa"/>
            <w:tcBorders/>
            <w:shd w:fill="auto" w:val="clear"/>
            <w:vAlign w:val="center"/>
          </w:tcPr>
          <w:p>
            <w:pPr>
              <w:pStyle w:val="TableContents"/>
              <w:spacing w:before="0" w:after="283"/>
              <w:rPr>
                <w:sz w:val="4"/>
                <w:szCs w:val="4"/>
              </w:rPr>
            </w:pPr>
            <w:r>
              <w:rPr>
                <w:sz w:val="4"/>
                <w:szCs w:val="4"/>
              </w:rPr>
            </w:r>
          </w:p>
        </w:tc>
        <w:tc>
          <w:tcPr>
            <w:tcW w:w="8133"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7.1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Conditions Precedent to Obligations of VIH, Merger Sub and Bakkt Opco</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A-46</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7.2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Conditions Precedent to Obligations of VIH and Merger Sub</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A-47</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7.3</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Conditions Precedent to Obligations of Bakkt Opco</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A-47</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7.4</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Frustration of Closing Conditions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A-48</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ARTICLE VIII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TERMINATION</w:t>
            </w:r>
          </w:p>
        </w:tc>
        <w:tc>
          <w:tcPr>
            <w:tcW w:w="64" w:type="dxa"/>
            <w:tcBorders/>
            <w:shd w:fill="auto" w:val="clear"/>
          </w:tcPr>
          <w:p>
            <w:pPr>
              <w:pStyle w:val="TableContents"/>
              <w:spacing w:before="0" w:after="0"/>
              <w:rPr/>
            </w:pPr>
            <w:r>
              <w:rPr/>
              <w:t> </w:t>
            </w:r>
          </w:p>
        </w:tc>
      </w:tr>
      <w:tr>
        <w:trPr>
          <w:trHeight w:val="120" w:hRule="atLeast"/>
        </w:trPr>
        <w:tc>
          <w:tcPr>
            <w:tcW w:w="1389" w:type="dxa"/>
            <w:tcBorders/>
            <w:shd w:fill="auto" w:val="clear"/>
            <w:vAlign w:val="center"/>
          </w:tcPr>
          <w:p>
            <w:pPr>
              <w:pStyle w:val="TableContents"/>
              <w:spacing w:before="0" w:after="283"/>
              <w:rPr>
                <w:sz w:val="4"/>
                <w:szCs w:val="4"/>
              </w:rPr>
            </w:pPr>
            <w:r>
              <w:rPr>
                <w:sz w:val="4"/>
                <w:szCs w:val="4"/>
              </w:rPr>
            </w:r>
          </w:p>
        </w:tc>
        <w:tc>
          <w:tcPr>
            <w:tcW w:w="8133"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8.1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Termination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A-49</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8.2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Effect of Termination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A-50</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ARTICLE IX</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283"/>
              <w:jc w:val="center"/>
              <w:rPr/>
            </w:pPr>
            <w:r>
              <w:rPr/>
              <w:t>NO SURVIVAL; WAIVERS; GUARANTY</w:t>
            </w:r>
          </w:p>
        </w:tc>
        <w:tc>
          <w:tcPr>
            <w:tcW w:w="64" w:type="dxa"/>
            <w:tcBorders/>
            <w:shd w:fill="auto" w:val="clear"/>
          </w:tcPr>
          <w:p>
            <w:pPr>
              <w:pStyle w:val="TableContents"/>
              <w:spacing w:before="0" w:after="0"/>
              <w:rPr/>
            </w:pPr>
            <w:r>
              <w:rPr/>
              <w:t> </w:t>
            </w:r>
          </w:p>
        </w:tc>
      </w:tr>
      <w:tr>
        <w:trPr>
          <w:trHeight w:val="120" w:hRule="atLeast"/>
        </w:trPr>
        <w:tc>
          <w:tcPr>
            <w:tcW w:w="1389" w:type="dxa"/>
            <w:tcBorders/>
            <w:shd w:fill="auto" w:val="clear"/>
            <w:vAlign w:val="center"/>
          </w:tcPr>
          <w:p>
            <w:pPr>
              <w:pStyle w:val="TableContents"/>
              <w:spacing w:before="0" w:after="283"/>
              <w:rPr>
                <w:sz w:val="4"/>
                <w:szCs w:val="4"/>
              </w:rPr>
            </w:pPr>
            <w:r>
              <w:rPr>
                <w:sz w:val="4"/>
                <w:szCs w:val="4"/>
              </w:rPr>
            </w:r>
          </w:p>
        </w:tc>
        <w:tc>
          <w:tcPr>
            <w:tcW w:w="8133"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9.1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No Survival; Waivers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A-50</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9.2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Trust Account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A-51</w:t>
            </w:r>
          </w:p>
        </w:tc>
        <w:tc>
          <w:tcPr>
            <w:tcW w:w="64" w:type="dxa"/>
            <w:tcBorders/>
            <w:shd w:fill="auto" w:val="clear"/>
            <w:vAlign w:val="bottom"/>
          </w:tcPr>
          <w:p>
            <w:pPr>
              <w:pStyle w:val="TableContents"/>
              <w:spacing w:before="0" w:after="283"/>
              <w:rPr/>
            </w:pPr>
            <w:r>
              <w:rPr/>
              <w:t> </w:t>
            </w:r>
          </w:p>
        </w:tc>
      </w:tr>
      <w:tr>
        <w:trPr/>
        <w:tc>
          <w:tcPr>
            <w:tcW w:w="10141" w:type="dxa"/>
            <w:gridSpan w:val="6"/>
            <w:tcBorders/>
            <w:shd w:fill="auto" w:val="clear"/>
            <w:vAlign w:val="bottom"/>
          </w:tcPr>
          <w:p>
            <w:pPr>
              <w:pStyle w:val="TableContents"/>
              <w:spacing w:before="0" w:after="283"/>
              <w:jc w:val="center"/>
              <w:rPr>
                <w:sz w:val="20"/>
              </w:rPr>
            </w:pPr>
            <w:r>
              <w:rPr>
                <w:sz w:val="20"/>
              </w:rPr>
              <w:t>ARTICLE X</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vAlign w:val="bottom"/>
          </w:tcPr>
          <w:p>
            <w:pPr>
              <w:pStyle w:val="TableContents"/>
              <w:spacing w:before="0" w:after="283"/>
              <w:jc w:val="center"/>
              <w:rPr>
                <w:sz w:val="20"/>
              </w:rPr>
            </w:pPr>
            <w:r>
              <w:rPr>
                <w:sz w:val="20"/>
              </w:rPr>
              <w:t>DEFINITIONS</w:t>
            </w:r>
          </w:p>
        </w:tc>
        <w:tc>
          <w:tcPr>
            <w:tcW w:w="64" w:type="dxa"/>
            <w:tcBorders/>
            <w:shd w:fill="auto" w:val="clear"/>
            <w:vAlign w:val="bottom"/>
          </w:tcPr>
          <w:p>
            <w:pPr>
              <w:pStyle w:val="TableContents"/>
              <w:spacing w:before="0" w:after="283"/>
              <w:rPr/>
            </w:pPr>
            <w:r>
              <w:rPr/>
              <w:t> </w:t>
            </w:r>
          </w:p>
        </w:tc>
      </w:tr>
      <w:tr>
        <w:trPr>
          <w:trHeight w:val="120" w:hRule="atLeast"/>
        </w:trPr>
        <w:tc>
          <w:tcPr>
            <w:tcW w:w="1389" w:type="dxa"/>
            <w:tcBorders/>
            <w:shd w:fill="auto" w:val="clear"/>
            <w:vAlign w:val="center"/>
          </w:tcPr>
          <w:p>
            <w:pPr>
              <w:pStyle w:val="TableContents"/>
              <w:spacing w:before="0" w:after="283"/>
              <w:rPr>
                <w:sz w:val="4"/>
                <w:szCs w:val="4"/>
              </w:rPr>
            </w:pPr>
            <w:r>
              <w:rPr>
                <w:sz w:val="4"/>
                <w:szCs w:val="4"/>
              </w:rPr>
            </w:r>
          </w:p>
        </w:tc>
        <w:tc>
          <w:tcPr>
            <w:tcW w:w="8133"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Specific 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A-53</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Accounting Terms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A-63</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10.3</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Usage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A-63</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10.4</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Index of Defined Terms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A-64</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vAlign w:val="bottom"/>
          </w:tcPr>
          <w:p>
            <w:pPr>
              <w:pStyle w:val="TableContents"/>
              <w:spacing w:before="0" w:after="283"/>
              <w:jc w:val="center"/>
              <w:rPr>
                <w:sz w:val="20"/>
              </w:rPr>
            </w:pPr>
            <w:r>
              <w:rPr>
                <w:sz w:val="20"/>
              </w:rPr>
              <w:t>ARTICLE XI</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vAlign w:val="bottom"/>
          </w:tcPr>
          <w:p>
            <w:pPr>
              <w:pStyle w:val="TableContents"/>
              <w:spacing w:before="0" w:after="283"/>
              <w:jc w:val="center"/>
              <w:rPr>
                <w:sz w:val="20"/>
              </w:rPr>
            </w:pPr>
            <w:r>
              <w:rPr>
                <w:sz w:val="20"/>
              </w:rPr>
              <w:t>GENERAL</w:t>
            </w:r>
          </w:p>
        </w:tc>
        <w:tc>
          <w:tcPr>
            <w:tcW w:w="64" w:type="dxa"/>
            <w:tcBorders/>
            <w:shd w:fill="auto" w:val="clear"/>
            <w:vAlign w:val="bottom"/>
          </w:tcPr>
          <w:p>
            <w:pPr>
              <w:pStyle w:val="TableContents"/>
              <w:spacing w:before="0" w:after="283"/>
              <w:rPr/>
            </w:pPr>
            <w:r>
              <w:rPr/>
              <w:t> </w:t>
            </w:r>
          </w:p>
        </w:tc>
      </w:tr>
      <w:tr>
        <w:trPr>
          <w:trHeight w:val="120" w:hRule="atLeast"/>
        </w:trPr>
        <w:tc>
          <w:tcPr>
            <w:tcW w:w="1389" w:type="dxa"/>
            <w:tcBorders/>
            <w:shd w:fill="auto" w:val="clear"/>
            <w:vAlign w:val="center"/>
          </w:tcPr>
          <w:p>
            <w:pPr>
              <w:pStyle w:val="TableContents"/>
              <w:spacing w:before="0" w:after="283"/>
              <w:rPr>
                <w:sz w:val="4"/>
                <w:szCs w:val="4"/>
              </w:rPr>
            </w:pPr>
            <w:r>
              <w:rPr>
                <w:sz w:val="4"/>
                <w:szCs w:val="4"/>
              </w:rPr>
            </w:r>
          </w:p>
        </w:tc>
        <w:tc>
          <w:tcPr>
            <w:tcW w:w="8133" w:type="dxa"/>
            <w:gridSpan w:val="2"/>
            <w:tcBorders/>
            <w:shd w:fill="auto" w:val="clear"/>
            <w:vAlign w:val="center"/>
          </w:tcPr>
          <w:p>
            <w:pPr>
              <w:pStyle w:val="TableContents"/>
              <w:spacing w:before="0" w:after="283"/>
              <w:rPr>
                <w:sz w:val="4"/>
                <w:szCs w:val="4"/>
              </w:rPr>
            </w:pPr>
            <w:r>
              <w:rPr>
                <w:sz w:val="4"/>
                <w:szCs w:val="4"/>
              </w:rPr>
            </w:r>
          </w:p>
        </w:tc>
        <w:tc>
          <w:tcPr>
            <w:tcW w:w="683" w:type="dxa"/>
            <w:gridSpan w:val="4"/>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Notices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A-66</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Entire Agreement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A-67</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11.3</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Successors and Assigns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A-67</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11.4</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A-67</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11.5</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Expenses and Fees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A-67</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11.6</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Governing Law</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A-68</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11.7</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Submission to Jurisdiction; WAIVER OF JURY TRIAL</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A-68</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11.8</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Specific Performance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A-68</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11.9</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Severability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A-68</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11.10</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Amendment;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A-68</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11.11</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Absence of Third Party Beneficiary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A-68</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11.12</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Mutual Drafting</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A-69</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11.13</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Further Representations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A-69</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11.14</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Waiver of Conflicts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A-69</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11.15</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Currency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A-70</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11.16</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No Recourse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A-70</w:t>
            </w:r>
          </w:p>
        </w:tc>
        <w:tc>
          <w:tcPr>
            <w:tcW w:w="64" w:type="dxa"/>
            <w:tcBorders/>
            <w:shd w:fill="auto" w:val="clear"/>
            <w:vAlign w:val="bottom"/>
          </w:tcPr>
          <w:p>
            <w:pPr>
              <w:pStyle w:val="TableContents"/>
              <w:spacing w:before="0" w:after="283"/>
              <w:rPr/>
            </w:pPr>
            <w:r>
              <w:rPr/>
              <w:t> </w:t>
            </w:r>
          </w:p>
        </w:tc>
      </w:tr>
      <w:tr>
        <w:trPr/>
        <w:tc>
          <w:tcPr>
            <w:tcW w:w="1389" w:type="dxa"/>
            <w:tcBorders/>
            <w:shd w:fill="auto" w:val="clear"/>
          </w:tcPr>
          <w:p>
            <w:pPr>
              <w:pStyle w:val="TableContents"/>
              <w:spacing w:before="0" w:after="0"/>
              <w:rPr>
                <w:rFonts w:ascii="Times New Roman" w:hAnsi="Times New Roman"/>
                <w:sz w:val="20"/>
              </w:rPr>
            </w:pPr>
            <w:r>
              <w:rPr>
                <w:rFonts w:ascii="Times New Roman" w:hAnsi="Times New Roman"/>
                <w:sz w:val="20"/>
              </w:rPr>
              <w:t>Section 11.17</w:t>
            </w:r>
          </w:p>
        </w:tc>
        <w:tc>
          <w:tcPr>
            <w:tcW w:w="107" w:type="dxa"/>
            <w:tcBorders/>
            <w:shd w:fill="auto" w:val="clear"/>
            <w:vAlign w:val="bottom"/>
          </w:tcPr>
          <w:p>
            <w:pPr>
              <w:pStyle w:val="TableContents"/>
              <w:spacing w:before="0" w:after="283"/>
              <w:rPr/>
            </w:pPr>
            <w:r>
              <w:rPr/>
              <w:t> </w:t>
            </w:r>
          </w:p>
        </w:tc>
        <w:tc>
          <w:tcPr>
            <w:tcW w:w="8026" w:type="dxa"/>
            <w:tcBorders/>
            <w:shd w:fill="auto" w:val="clear"/>
            <w:vAlign w:val="bottom"/>
          </w:tcPr>
          <w:p>
            <w:pPr>
              <w:pStyle w:val="TableContents"/>
              <w:spacing w:before="0" w:after="283"/>
              <w:rPr/>
            </w:pPr>
            <w:r>
              <w:rPr/>
              <w:t>Made Available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A-71</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A-iii</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25"/>
        <w:gridCol w:w="203"/>
        <w:gridCol w:w="8677"/>
      </w:tblGrid>
      <w:tr>
        <w:trPr/>
        <w:tc>
          <w:tcPr>
            <w:tcW w:w="132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677"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u w:val="single"/>
              </w:rPr>
            </w:pPr>
            <w:r>
              <w:rPr>
                <w:u w:val="single"/>
              </w:rPr>
              <w:t>Exhibit A</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Surviving Company LLC Agreement</w:t>
            </w:r>
          </w:p>
        </w:tc>
      </w:tr>
      <w:tr>
        <w:trPr/>
        <w:tc>
          <w:tcPr>
            <w:tcW w:w="1325" w:type="dxa"/>
            <w:tcBorders/>
            <w:shd w:fill="auto" w:val="clear"/>
          </w:tcPr>
          <w:p>
            <w:pPr>
              <w:pStyle w:val="TableContents"/>
              <w:spacing w:before="0" w:after="283"/>
              <w:rPr>
                <w:u w:val="single"/>
              </w:rPr>
            </w:pPr>
            <w:r>
              <w:rPr>
                <w:u w:val="single"/>
              </w:rPr>
              <w:t>Exhibit B</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Exchange Agreement</w:t>
            </w:r>
          </w:p>
        </w:tc>
      </w:tr>
      <w:tr>
        <w:trPr/>
        <w:tc>
          <w:tcPr>
            <w:tcW w:w="1325" w:type="dxa"/>
            <w:tcBorders/>
            <w:shd w:fill="auto" w:val="clear"/>
          </w:tcPr>
          <w:p>
            <w:pPr>
              <w:pStyle w:val="TableContents"/>
              <w:spacing w:before="0" w:after="283"/>
              <w:rPr>
                <w:u w:val="single"/>
              </w:rPr>
            </w:pPr>
            <w:r>
              <w:rPr>
                <w:u w:val="single"/>
              </w:rPr>
              <w:t>Exhibit C</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Tax Receivable Agreement</w:t>
            </w:r>
          </w:p>
        </w:tc>
      </w:tr>
      <w:tr>
        <w:trPr/>
        <w:tc>
          <w:tcPr>
            <w:tcW w:w="1325" w:type="dxa"/>
            <w:tcBorders/>
            <w:shd w:fill="auto" w:val="clear"/>
          </w:tcPr>
          <w:p>
            <w:pPr>
              <w:pStyle w:val="TableContents"/>
              <w:spacing w:before="0" w:after="283"/>
              <w:rPr>
                <w:u w:val="single"/>
              </w:rPr>
            </w:pPr>
            <w:r>
              <w:rPr>
                <w:u w:val="single"/>
              </w:rPr>
              <w:t>Exhibit D</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Registration Rights Agreement</w:t>
            </w:r>
          </w:p>
        </w:tc>
      </w:tr>
      <w:tr>
        <w:trPr/>
        <w:tc>
          <w:tcPr>
            <w:tcW w:w="1325" w:type="dxa"/>
            <w:tcBorders/>
            <w:shd w:fill="auto" w:val="clear"/>
          </w:tcPr>
          <w:p>
            <w:pPr>
              <w:pStyle w:val="TableContents"/>
              <w:spacing w:before="0" w:after="283"/>
              <w:rPr>
                <w:u w:val="single"/>
              </w:rPr>
            </w:pPr>
            <w:r>
              <w:rPr>
                <w:u w:val="single"/>
              </w:rPr>
              <w:t>Exhibit E</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Voting Agreement</w:t>
            </w:r>
          </w:p>
        </w:tc>
      </w:tr>
      <w:tr>
        <w:trPr/>
        <w:tc>
          <w:tcPr>
            <w:tcW w:w="1325" w:type="dxa"/>
            <w:tcBorders/>
            <w:shd w:fill="auto" w:val="clear"/>
          </w:tcPr>
          <w:p>
            <w:pPr>
              <w:pStyle w:val="TableContents"/>
              <w:spacing w:before="0" w:after="283"/>
              <w:rPr>
                <w:u w:val="single"/>
              </w:rPr>
            </w:pPr>
            <w:r>
              <w:rPr>
                <w:u w:val="single"/>
              </w:rPr>
              <w:t>Exhibit F</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Stockholders Agreement</w:t>
            </w:r>
          </w:p>
        </w:tc>
      </w:tr>
      <w:tr>
        <w:trPr/>
        <w:tc>
          <w:tcPr>
            <w:tcW w:w="1325" w:type="dxa"/>
            <w:tcBorders/>
            <w:shd w:fill="auto" w:val="clear"/>
          </w:tcPr>
          <w:p>
            <w:pPr>
              <w:pStyle w:val="TableContents"/>
              <w:spacing w:before="0" w:after="283"/>
              <w:rPr>
                <w:u w:val="single"/>
              </w:rPr>
            </w:pPr>
            <w:r>
              <w:rPr>
                <w:u w:val="single"/>
              </w:rPr>
              <w:t>Exhibit G</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Bakkt Pubco Charter</w:t>
            </w:r>
          </w:p>
        </w:tc>
      </w:tr>
      <w:tr>
        <w:trPr/>
        <w:tc>
          <w:tcPr>
            <w:tcW w:w="1325" w:type="dxa"/>
            <w:tcBorders/>
            <w:shd w:fill="auto" w:val="clear"/>
          </w:tcPr>
          <w:p>
            <w:pPr>
              <w:pStyle w:val="TableContents"/>
              <w:spacing w:before="0" w:after="283"/>
              <w:rPr>
                <w:u w:val="single"/>
              </w:rPr>
            </w:pPr>
            <w:r>
              <w:rPr>
                <w:u w:val="single"/>
              </w:rPr>
              <w:t>Exhibit H</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Bakkt Pubco Bylaws</w:t>
            </w:r>
          </w:p>
        </w:tc>
      </w:tr>
      <w:tr>
        <w:trPr/>
        <w:tc>
          <w:tcPr>
            <w:tcW w:w="1325" w:type="dxa"/>
            <w:tcBorders/>
            <w:shd w:fill="auto" w:val="clear"/>
          </w:tcPr>
          <w:p>
            <w:pPr>
              <w:pStyle w:val="TableContents"/>
              <w:spacing w:before="0" w:after="283"/>
              <w:rPr>
                <w:u w:val="single"/>
              </w:rPr>
            </w:pPr>
            <w:r>
              <w:rPr>
                <w:u w:val="single"/>
              </w:rPr>
              <w:t>Exhibit I</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Equity Incentive Plan</w:t>
            </w:r>
          </w:p>
        </w:tc>
      </w:tr>
      <w:tr>
        <w:trPr/>
        <w:tc>
          <w:tcPr>
            <w:tcW w:w="1325" w:type="dxa"/>
            <w:tcBorders/>
            <w:shd w:fill="auto" w:val="clear"/>
          </w:tcPr>
          <w:p>
            <w:pPr>
              <w:pStyle w:val="TableContents"/>
              <w:spacing w:before="0" w:after="283"/>
              <w:rPr>
                <w:u w:val="single"/>
              </w:rPr>
            </w:pPr>
            <w:r>
              <w:rPr>
                <w:u w:val="single"/>
              </w:rPr>
              <w:t>Exhibit J</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Support Agreement</w:t>
            </w:r>
          </w:p>
        </w:tc>
      </w:tr>
      <w:tr>
        <w:trPr/>
        <w:tc>
          <w:tcPr>
            <w:tcW w:w="1325" w:type="dxa"/>
            <w:tcBorders/>
            <w:shd w:fill="auto" w:val="clear"/>
          </w:tcPr>
          <w:p>
            <w:pPr>
              <w:pStyle w:val="TableContents"/>
              <w:spacing w:before="0" w:after="283"/>
              <w:rPr>
                <w:u w:val="single"/>
              </w:rPr>
            </w:pPr>
            <w:r>
              <w:rPr>
                <w:u w:val="single"/>
              </w:rPr>
              <w:t>Exhibit K</w:t>
            </w:r>
          </w:p>
        </w:tc>
        <w:tc>
          <w:tcPr>
            <w:tcW w:w="203"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283"/>
              <w:rPr/>
            </w:pPr>
            <w:r>
              <w:rPr/>
              <w:t>Form of Certificate of Merger</w:t>
            </w:r>
          </w:p>
        </w:tc>
      </w:tr>
    </w:tbl>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A-iv</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33" w:name="toc108105_431"/>
      <w:bookmarkEnd w:id="133"/>
      <w:r>
        <w:rPr>
          <w:rFonts w:ascii="Times New Roman" w:hAnsi="Times New Roman"/>
          <w:sz w:val="20"/>
        </w:rPr>
        <w:t xml:space="preserve">AGREEMENT AND PLAN OF MERGER </w:t>
      </w:r>
    </w:p>
    <w:p>
      <w:pPr>
        <w:pStyle w:val="TextBody"/>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made and entered into as of January 11, 2021, by and among VPC Impact Acquisition Holdings, a Cayman Islands exempted company (</w:t>
      </w:r>
      <w:r>
        <w:rPr>
          <w:rFonts w:ascii="Times New Roman" w:hAnsi="Times New Roman"/>
          <w:sz w:val="20"/>
          <w:u w:val="single"/>
        </w:rPr>
        <w:t>VIH</w:t>
      </w:r>
      <w:r>
        <w:rPr>
          <w:rFonts w:ascii="Times New Roman" w:hAnsi="Times New Roman"/>
          <w:sz w:val="20"/>
        </w:rPr>
        <w:t>), Pylon Merger Company LLC, a Delaware limited liability company and wholly-owned subsidiary of VIH (</w:t>
      </w:r>
      <w:r>
        <w:rPr>
          <w:rFonts w:ascii="Times New Roman" w:hAnsi="Times New Roman"/>
          <w:sz w:val="20"/>
          <w:u w:val="single"/>
        </w:rPr>
        <w:t>Merger Sub</w:t>
      </w:r>
      <w:r>
        <w:rPr>
          <w:rFonts w:ascii="Times New Roman" w:hAnsi="Times New Roman"/>
          <w:sz w:val="20"/>
        </w:rPr>
        <w:t>), and Bakkt Holdings, LLC, a Delaware limited liability company (</w:t>
      </w:r>
      <w:r>
        <w:rPr>
          <w:rFonts w:ascii="Times New Roman" w:hAnsi="Times New Roman"/>
          <w:sz w:val="20"/>
          <w:u w:val="single"/>
        </w:rPr>
        <w:t>Bakkt Opco</w:t>
      </w:r>
      <w:r>
        <w:rPr>
          <w:rFonts w:ascii="Times New Roman" w:hAnsi="Times New Roman"/>
          <w:sz w:val="20"/>
        </w:rPr>
        <w:t>). VIH, Merger Sub and Bakkt Opco may be referred to herein, collectively, as the </w:t>
      </w:r>
      <w:r>
        <w:rPr>
          <w:rFonts w:ascii="Times New Roman" w:hAnsi="Times New Roman"/>
          <w:sz w:val="20"/>
          <w:u w:val="single"/>
        </w:rPr>
        <w:t>Parties</w:t>
      </w:r>
      <w:r>
        <w:rPr>
          <w:rFonts w:ascii="Times New Roman" w:hAnsi="Times New Roman"/>
          <w:sz w:val="20"/>
        </w:rPr>
        <w:t> and, individually, as a </w:t>
      </w:r>
      <w:r>
        <w:rPr>
          <w:rFonts w:ascii="Times New Roman" w:hAnsi="Times New Roman"/>
          <w:sz w:val="20"/>
          <w:u w:val="single"/>
        </w:rPr>
        <w:t>Party</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 w:hAnsi="Times New Roman"/>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 xml:space="preserve">WHEREAS, VIH is a blank check company formed in the Cayman Islands for the purpose of effecting a merger, capital stock exchange, asset acquisition, stock purchase, reorganization or similar business combination with one or more businesses; </w:t>
      </w:r>
    </w:p>
    <w:p>
      <w:pPr>
        <w:pStyle w:val="TextBody"/>
        <w:spacing w:before="240" w:after="0"/>
        <w:jc w:val="left"/>
        <w:rPr>
          <w:rFonts w:ascii="Times New Roman" w:hAnsi="Times New Roman"/>
          <w:sz w:val="20"/>
        </w:rPr>
      </w:pPr>
      <w:r>
        <w:rPr>
          <w:rFonts w:ascii="Times New Roman" w:hAnsi="Times New Roman"/>
          <w:sz w:val="20"/>
        </w:rPr>
        <w:t>WHEREAS, upon the terms and subject to the conditions hereof, (a) immediately prior to the Effective Time, VIH will effect the transfer by way of continuation of VIH from the Cayman Islands to the State of Delaware VIH in accordance with the applicable provisions of the Companies Act (2020 Revision) of the Cayman Islands (the </w:t>
      </w:r>
      <w:r>
        <w:rPr>
          <w:rFonts w:ascii="Times New Roman" w:hAnsi="Times New Roman"/>
          <w:sz w:val="20"/>
          <w:u w:val="single"/>
        </w:rPr>
        <w:t>Companies Act</w:t>
      </w:r>
      <w:r>
        <w:rPr>
          <w:rFonts w:ascii="Times New Roman" w:hAnsi="Times New Roman"/>
          <w:sz w:val="20"/>
        </w:rPr>
        <w:t>) and a continuation of VIH by way of domestication under Section 388 of the General Corporation Law of the State of Delaware (as amended, the </w:t>
      </w:r>
      <w:r>
        <w:rPr>
          <w:rFonts w:ascii="Times New Roman" w:hAnsi="Times New Roman"/>
          <w:sz w:val="20"/>
          <w:u w:val="single"/>
        </w:rPr>
        <w:t>DGCL</w:t>
      </w:r>
      <w:r>
        <w:rPr>
          <w:rFonts w:ascii="Times New Roman" w:hAnsi="Times New Roman"/>
          <w:sz w:val="20"/>
        </w:rPr>
        <w:t>) and be renamed Bakkt Holdings, Inc. (such renaming, the </w:t>
      </w:r>
      <w:r>
        <w:rPr>
          <w:rFonts w:ascii="Times New Roman" w:hAnsi="Times New Roman"/>
          <w:sz w:val="20"/>
          <w:u w:val="single"/>
        </w:rPr>
        <w:t>Name Change</w:t>
      </w:r>
      <w:r>
        <w:rPr>
          <w:rFonts w:ascii="Times New Roman" w:hAnsi="Times New Roman"/>
          <w:sz w:val="20"/>
        </w:rPr>
        <w:t>) (with the resulting corporation being referred to herein as </w:t>
      </w:r>
      <w:r>
        <w:rPr>
          <w:rFonts w:ascii="Times New Roman" w:hAnsi="Times New Roman"/>
          <w:sz w:val="20"/>
          <w:u w:val="single"/>
        </w:rPr>
        <w:t>Bakkt Pubco</w:t>
      </w:r>
      <w:r>
        <w:rPr>
          <w:rFonts w:ascii="Times New Roman" w:hAnsi="Times New Roman"/>
          <w:sz w:val="20"/>
        </w:rPr>
        <w:t>) (such deregistration and domestication, including all matters necessary or ancillary in order to effect such domestication, including the filing of the certificate of corporate domestication and the Bakkt Pubco Charter, the </w:t>
      </w:r>
      <w:r>
        <w:rPr>
          <w:rFonts w:ascii="Times New Roman" w:hAnsi="Times New Roman"/>
          <w:sz w:val="20"/>
          <w:u w:val="single"/>
        </w:rPr>
        <w:t>Domestication</w:t>
      </w:r>
      <w:r>
        <w:rPr>
          <w:rFonts w:ascii="Times New Roman" w:hAnsi="Times New Roman"/>
          <w:sz w:val="20"/>
        </w:rPr>
        <w:t>) and (b) at the Effective Time, Merger Sub will merge with and into Bakkt Opco (the </w:t>
      </w:r>
      <w:r>
        <w:rPr>
          <w:rFonts w:ascii="Times New Roman" w:hAnsi="Times New Roman"/>
          <w:sz w:val="20"/>
          <w:u w:val="single"/>
        </w:rPr>
        <w:t>Merger</w:t>
      </w:r>
      <w:r>
        <w:rPr>
          <w:rFonts w:ascii="Times New Roman" w:hAnsi="Times New Roman"/>
          <w:sz w:val="20"/>
        </w:rPr>
        <w:t>) with Bakkt Opco being the surviving limited liability company (with the surviving company being referred to herein as </w:t>
      </w:r>
      <w:r>
        <w:rPr>
          <w:rFonts w:ascii="Times New Roman" w:hAnsi="Times New Roman"/>
          <w:sz w:val="20"/>
          <w:u w:val="single"/>
        </w:rPr>
        <w:t>Surviving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following the Domestication, the holders of VIH Warrants shall, pursuant to the terms of such VIH Warrants, have the right to purchase and receive, upon the basis of, and upon terms and conditions specified in, such VIH Warrants and in lieu of the VIH Class A Shares immediately theretofore purchasable and receivable upon the exercise of rights represented thereby, the number of Bakkt Pubco Class A Shares receivable in connection with the Domestication that the holder of such VIH Warrants would have received if such holder had exercised its VIH Warrant(s) immediately prior to the Domestication (the VIH Warrants, so converted, are referred to as the </w:t>
      </w:r>
      <w:r>
        <w:rPr>
          <w:rFonts w:ascii="Times New Roman" w:hAnsi="Times New Roman"/>
          <w:sz w:val="20"/>
          <w:u w:val="single"/>
        </w:rPr>
        <w:t>Bakkt Pubco Warrants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board of directors of VIH (</w:t>
      </w:r>
      <w:r>
        <w:rPr>
          <w:rFonts w:ascii="Times New Roman" w:hAnsi="Times New Roman"/>
          <w:sz w:val="20"/>
          <w:u w:val="single"/>
        </w:rPr>
        <w:t>VIH Board</w:t>
      </w:r>
      <w:r>
        <w:rPr>
          <w:rFonts w:ascii="Times New Roman" w:hAnsi="Times New Roman"/>
          <w:sz w:val="20"/>
        </w:rPr>
        <w:t>) has unanimously approved this Agreement, the Transaction Documents to which VIH is or will be a party, the consummation of the transactions contemplated by this Agreement and the Transaction Documents to which VIH is or will be a party, including the Domestication, the Merger, the issuance of the Bakkt Pubco Class A Shares and the Bakkt Pubco Class V Shares in connection with the Merger, and the PIPE Financing, and the adoption and approval of the Equity Incentive Plan (all such transactions, as well as the other transactions contemplated by this Agreement and the other Transaction Documents, collectively, the </w:t>
      </w:r>
      <w:r>
        <w:rPr>
          <w:rFonts w:ascii="Times New Roman" w:hAnsi="Times New Roman"/>
          <w:sz w:val="20"/>
          <w:u w:val="single"/>
        </w:rPr>
        <w:t>Transactions</w:t>
      </w:r>
      <w:r>
        <w:rPr>
          <w:rFonts w:ascii="Times New Roman" w:hAnsi="Times New Roman"/>
          <w:sz w:val="20"/>
        </w:rPr>
        <w:t xml:space="preserve">), in accordance with the Companies Act, the DGCL and the Organizational Documents of VIH; </w:t>
      </w:r>
    </w:p>
    <w:p>
      <w:pPr>
        <w:pStyle w:val="TextBody"/>
        <w:spacing w:before="120" w:after="0"/>
        <w:jc w:val="left"/>
        <w:rPr>
          <w:rFonts w:ascii="Times New Roman" w:hAnsi="Times New Roman"/>
          <w:sz w:val="20"/>
        </w:rPr>
      </w:pPr>
      <w:r>
        <w:rPr>
          <w:rFonts w:ascii="Times New Roman" w:hAnsi="Times New Roman"/>
          <w:sz w:val="20"/>
        </w:rPr>
        <w:t xml:space="preserve">WHEREAS, the VIH Board has unanimously (a) determined that the Transactions are advisable and in the best interests of VIH, (b) resolved to submit this Agreement to VIH Shareholders for their approval and (c) resolved to recommend adoption and approval of this Agreement and the Domestication, the Merger, the issuance of the Bakkt Pubco Class A Shares and the Bakkt Pubco Class V Shares, and the Equity Incentive Plan by VIH Shareholders; </w:t>
      </w:r>
    </w:p>
    <w:p>
      <w:pPr>
        <w:pStyle w:val="TextBody"/>
        <w:spacing w:before="240" w:after="0"/>
        <w:jc w:val="left"/>
        <w:rPr>
          <w:rFonts w:ascii="Times New Roman" w:hAnsi="Times New Roman"/>
          <w:sz w:val="20"/>
        </w:rPr>
      </w:pPr>
      <w:r>
        <w:rPr>
          <w:rFonts w:ascii="Times New Roman" w:hAnsi="Times New Roman"/>
          <w:sz w:val="20"/>
        </w:rPr>
        <w:t xml:space="preserve">WHEREAS, contemporaneously with the execution and delivery of this Agreement, VIH, in its capacity as the sole member of Merger Sub, has approved this Agreement and approved the consummation of the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Transactions to which Merger Sub is or will be a party, including the Merger, in accordance with the Delaware Limited Liability Company Act (as amended, the </w:t>
      </w:r>
      <w:r>
        <w:rPr>
          <w:rFonts w:ascii="Times New Roman" w:hAnsi="Times New Roman"/>
          <w:sz w:val="20"/>
          <w:u w:val="single"/>
        </w:rPr>
        <w:t>DLLCA</w:t>
      </w:r>
      <w:r>
        <w:rPr>
          <w:rFonts w:ascii="Times New Roman" w:hAnsi="Times New Roman"/>
          <w:sz w:val="20"/>
        </w:rPr>
        <w:t xml:space="preserve">) and the Organizational Documents of Merger Sub pursuant to which Merger Sub obtained the Merger Sub Equity Holders Approval; </w:t>
      </w:r>
    </w:p>
    <w:p>
      <w:pPr>
        <w:pStyle w:val="TextBody"/>
        <w:spacing w:before="240" w:after="0"/>
        <w:jc w:val="left"/>
        <w:rPr>
          <w:rFonts w:ascii="Times New Roman" w:hAnsi="Times New Roman"/>
          <w:sz w:val="20"/>
        </w:rPr>
      </w:pPr>
      <w:r>
        <w:rPr>
          <w:rFonts w:ascii="Times New Roman" w:hAnsi="Times New Roman"/>
          <w:sz w:val="20"/>
        </w:rPr>
        <w:t xml:space="preserve">WHEREAS, the Board of Managers of Bakkt Opco has unanimously (a) determined that this Agreement and the Transactions, including the Merger are advisable and in the best interests of the Bakkt Equity Holders, (b) approved this Agreement and approved the consummation of the Transactions to which Bakkt Opco is or will be a party, and the consummation of the transactions contemplated by this Agreement and the Transaction Documents, including the Merger, (c) resolved to submit this Agreement, the Transaction Documents, the Merger and the other Transactions to the Bakkt Equity Holders for their adoption and approval and (d) resolved to recommend the adoption and approval of this Agreement, the Transaction Documents, the Merger and the other Transactions by the Bakkt Equity Holders; </w:t>
      </w:r>
    </w:p>
    <w:p>
      <w:pPr>
        <w:pStyle w:val="TextBody"/>
        <w:spacing w:before="240" w:after="0"/>
        <w:jc w:val="left"/>
        <w:rPr>
          <w:rFonts w:ascii="Times New Roman" w:hAnsi="Times New Roman"/>
          <w:sz w:val="20"/>
        </w:rPr>
      </w:pPr>
      <w:r>
        <w:rPr>
          <w:rFonts w:ascii="Times New Roman" w:hAnsi="Times New Roman"/>
          <w:sz w:val="20"/>
        </w:rPr>
        <w:t>WHEREAS, as a material inducement to VIHs and Merger Subs willingness to enter into this Agreement, (a) promptly (but in any event within twenty-four (24) hours) after the execution and delivery of this Agreement, the Majority Bakkt Equity Holder is entering into a Support Agreement (collectively, the </w:t>
      </w:r>
      <w:r>
        <w:rPr>
          <w:rFonts w:ascii="Times New Roman" w:hAnsi="Times New Roman"/>
          <w:sz w:val="20"/>
          <w:u w:val="single"/>
        </w:rPr>
        <w:t>Initial Bakkt Equity Holder Support Agreement</w:t>
      </w:r>
      <w:r>
        <w:rPr>
          <w:rFonts w:ascii="Times New Roman" w:hAnsi="Times New Roman"/>
          <w:sz w:val="20"/>
        </w:rPr>
        <w:t>) and (b) promptly (but in any event within seven (7) days) after the execution and delivery of this Agreement, the Bakkt Equity Holders holding, together with persons delivering the Initial Bakkt Equity Holders Support Agreement, sufficient Bakkt Interests to obtain the Bakkt Equity Holders Approval (the Bakkt Equity Holders holding sufficient Bakkt Interests to obtain the Bakkt Equity Holders Approval, collectively the </w:t>
      </w:r>
      <w:r>
        <w:rPr>
          <w:rFonts w:ascii="Times New Roman" w:hAnsi="Times New Roman"/>
          <w:sz w:val="20"/>
          <w:u w:val="single"/>
        </w:rPr>
        <w:t>Requisite Bakkt Equity Holders</w:t>
      </w:r>
      <w:r>
        <w:rPr>
          <w:rFonts w:ascii="Times New Roman" w:hAnsi="Times New Roman"/>
          <w:sz w:val="20"/>
        </w:rPr>
        <w:t>), will enter into a Joinder Agreement (the </w:t>
      </w:r>
      <w:r>
        <w:rPr>
          <w:rFonts w:ascii="Times New Roman" w:hAnsi="Times New Roman"/>
          <w:sz w:val="20"/>
          <w:u w:val="single"/>
        </w:rPr>
        <w:t>Joinder</w:t>
      </w:r>
      <w:r>
        <w:rPr>
          <w:rFonts w:ascii="Times New Roman" w:hAnsi="Times New Roman"/>
          <w:sz w:val="20"/>
        </w:rPr>
        <w:t>) agreeing to become a party to such Initial Bakkt Equity Holder Support Agreement in the form attached to such Initial Bakkt Equity Holder Support Agreement (the Joinder, together with the Initial Bakkt Equity Holder Support Agreement, the </w:t>
      </w:r>
      <w:r>
        <w:rPr>
          <w:rFonts w:ascii="Times New Roman" w:hAnsi="Times New Roman"/>
          <w:sz w:val="20"/>
          <w:u w:val="single"/>
        </w:rPr>
        <w:t>Support Agreements</w:t>
      </w:r>
      <w:r>
        <w:rPr>
          <w:rFonts w:ascii="Times New Roman" w:hAnsi="Times New Roman"/>
          <w:sz w:val="20"/>
        </w:rPr>
        <w:t xml:space="preserve">), in each case in the form attached hereto as </w:t>
      </w:r>
      <w:r>
        <w:rPr>
          <w:rFonts w:ascii="Times New Roman" w:hAnsi="Times New Roman"/>
          <w:sz w:val="20"/>
          <w:u w:val="single"/>
        </w:rPr>
        <w:t>Exhibit J</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contemporaneously with the execution and delivery of this Agreement, VIH Sponsor has entered into a letter agreement with VIH and Bakkt Opco (the </w:t>
      </w:r>
      <w:r>
        <w:rPr>
          <w:rFonts w:ascii="Times New Roman" w:hAnsi="Times New Roman"/>
          <w:sz w:val="20"/>
          <w:u w:val="single"/>
        </w:rPr>
        <w:t>VIH Sponsor Letter</w:t>
      </w:r>
      <w:r>
        <w:rPr>
          <w:rFonts w:ascii="Times New Roman" w:hAnsi="Times New Roman"/>
          <w:sz w:val="20"/>
        </w:rPr>
        <w:t>) pursuant to which, subject to the terms and conditions set forth therein, at and conditioned upon the Closing, (a) VIH Sponsor has agreed to waive the anti-dilution rights set forth in Article 17.3 of VIHs Amended and Restated Memorandum and Articles of Association (the </w:t>
      </w:r>
      <w:r>
        <w:rPr>
          <w:rFonts w:ascii="Times New Roman" w:hAnsi="Times New Roman"/>
          <w:sz w:val="20"/>
          <w:u w:val="single"/>
        </w:rPr>
        <w:t>VIH Memorandum and Articles</w:t>
      </w:r>
      <w:r>
        <w:rPr>
          <w:rFonts w:ascii="Times New Roman" w:hAnsi="Times New Roman"/>
          <w:sz w:val="20"/>
        </w:rPr>
        <w:t xml:space="preserve">) with respect to the VIH Class B Shares owned by VIH Sponsor that may be triggered from the PIPE Financing, the Merger and/or the other transactions contemplated hereunder, (b) VIH Sponsor has agreed to the provisions set forth in </w:t>
      </w:r>
      <w:r>
        <w:rPr>
          <w:rFonts w:ascii="Times New Roman" w:hAnsi="Times New Roman"/>
          <w:sz w:val="20"/>
          <w:u w:val="single"/>
        </w:rPr>
        <w:t>Section 5.11</w:t>
      </w:r>
      <w:r>
        <w:rPr>
          <w:rFonts w:ascii="Times New Roman" w:hAnsi="Times New Roman"/>
          <w:sz w:val="20"/>
        </w:rPr>
        <w:t xml:space="preserve">, and (c) VIH Sponsor has agreed to vote all VIH Class B Shares held by it in favor of the adoption and approval of this Agreement and the other Voting Matters; </w:t>
      </w:r>
    </w:p>
    <w:p>
      <w:pPr>
        <w:pStyle w:val="TextBody"/>
        <w:spacing w:before="120" w:after="0"/>
        <w:jc w:val="left"/>
        <w:rPr>
          <w:rFonts w:ascii="Times New Roman" w:hAnsi="Times New Roman"/>
          <w:sz w:val="20"/>
        </w:rPr>
      </w:pPr>
      <w:r>
        <w:rPr>
          <w:rFonts w:ascii="Times New Roman" w:hAnsi="Times New Roman"/>
          <w:sz w:val="20"/>
        </w:rPr>
        <w:t>WHEREAS, concurrently with the execution and delivery of this Agreement, VIH has entered into Subscription Agreements (the </w:t>
      </w:r>
      <w:r>
        <w:rPr>
          <w:rFonts w:ascii="Times New Roman" w:hAnsi="Times New Roman"/>
          <w:sz w:val="20"/>
          <w:u w:val="single"/>
        </w:rPr>
        <w:t>PIPE Subscription Agreements</w:t>
      </w:r>
      <w:r>
        <w:rPr>
          <w:rFonts w:ascii="Times New Roman" w:hAnsi="Times New Roman"/>
          <w:sz w:val="20"/>
        </w:rPr>
        <w:t>) with certain investors (</w:t>
      </w:r>
      <w:r>
        <w:rPr>
          <w:rFonts w:ascii="Times New Roman" w:hAnsi="Times New Roman"/>
          <w:sz w:val="20"/>
          <w:u w:val="single"/>
        </w:rPr>
        <w:t>PIPE Investors</w:t>
      </w:r>
      <w:r>
        <w:rPr>
          <w:rFonts w:ascii="Times New Roman" w:hAnsi="Times New Roman"/>
          <w:sz w:val="20"/>
        </w:rPr>
        <w:t>) pursuant to which such investors have agreed, subject to the terms and conditions set forth therein, to subscribe for and purchase, at the Closing, up to 32,500,000 Bakkt Pubco Class A Shares at $10.00 per share in cash, for aggregate gross proceeds to VIH of up to $325,000,000 (the </w:t>
      </w:r>
      <w:r>
        <w:rPr>
          <w:rFonts w:ascii="Times New Roman" w:hAnsi="Times New Roman"/>
          <w:sz w:val="20"/>
          <w:u w:val="single"/>
        </w:rPr>
        <w:t>PIPE Financing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VIH and VIH Sponsor entered into that certain Registration Rights Agreement, dated as of September 22, 2020 (the </w:t>
      </w:r>
      <w:r>
        <w:rPr>
          <w:rFonts w:ascii="Times New Roman" w:hAnsi="Times New Roman"/>
          <w:sz w:val="20"/>
          <w:u w:val="single"/>
        </w:rPr>
        <w:t>Original RRA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Bakkt Pubco, certain of the Bakkt Equity Holders, VIH Sponsor and certain other parties thereto will, concurrently with the Closing, enter into a registration rights, substantially in the form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sz w:val="20"/>
          <w:u w:val="single"/>
        </w:rPr>
        <w:t>Registration Rights Agreement</w:t>
      </w:r>
      <w:r>
        <w:rPr>
          <w:rFonts w:ascii="Times New Roman" w:hAnsi="Times New Roman"/>
          <w:sz w:val="20"/>
        </w:rPr>
        <w:t xml:space="preserve">), and in connection with the execution of the Registration Rights Agreement, the parties to the Original RRA desire to terminate the Original RRA and replace it with the Registration Rights Agreement; and </w:t>
      </w:r>
    </w:p>
    <w:p>
      <w:pPr>
        <w:pStyle w:val="TextBody"/>
        <w:spacing w:before="240" w:after="0"/>
        <w:jc w:val="left"/>
        <w:rPr>
          <w:rFonts w:ascii="Times New Roman" w:hAnsi="Times New Roman"/>
          <w:sz w:val="20"/>
        </w:rPr>
      </w:pPr>
      <w:r>
        <w:rPr>
          <w:rFonts w:ascii="Times New Roman" w:hAnsi="Times New Roman"/>
          <w:sz w:val="20"/>
        </w:rPr>
        <w:t xml:space="preserve">WHEREAS, as a condition to the consummation of the Transactions and in accordance with the terms hereof and Article 51 of the VIH Memorandum and Articles, VIH shall provide an opportunity to its shareholders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have their shares of VIH Class A Shares redeemed for the consideration, and on the terms and subject to the conditions and limitations, set forth in this Agreement and the VIH Memorandum and Articles.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240" w:after="0"/>
        <w:jc w:val="center"/>
        <w:rPr>
          <w:rFonts w:ascii="Times New Roman" w:hAnsi="Times New Roman"/>
          <w:b/>
          <w:sz w:val="20"/>
        </w:rPr>
      </w:pPr>
      <w:r>
        <w:rPr>
          <w:rFonts w:ascii="Times New Roman" w:hAnsi="Times New Roman"/>
          <w:b/>
          <w:sz w:val="20"/>
        </w:rPr>
        <w:t xml:space="preserve">CLOSING TRANSACTIONS; THE MERGER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Closing Transactions</w:t>
      </w:r>
      <w:r>
        <w:rPr>
          <w:rFonts w:ascii="Times New Roman" w:hAnsi="Times New Roman"/>
          <w:sz w:val="20"/>
        </w:rPr>
        <w:t xml:space="preserve">. At the Closing, the parties shall cause the consummation of the following transactions in the following order, in each case, conditional upon each transaction having been consummated, upon the terms and subject to the conditions of this Agreement: (i) VIH Sponsor shall waive the anti-dilution rights set forth in Article 17.3 of the VIH Memorandum and Articles with respect to the VIH Class B Shares that may result from the PIPE Financing, the Merger and/or the other transactions contemplated hereunder, in each case, pursuant to and in accordance with the terms of the VIH Sponsor Letter; (ii) VIH shall consummate the Domestication; (iii) the PIPE Investors and VIH shall consummate the PIPE Financing; and (iv) the Certificate of Merger shall be executed, delivered, and filed in accordance with </w:t>
      </w:r>
      <w:r>
        <w:rPr>
          <w:rFonts w:ascii="Times New Roman" w:hAnsi="Times New Roman"/>
          <w:sz w:val="20"/>
          <w:u w:val="single"/>
        </w:rPr>
        <w:t>Section 1.4</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Merger</w:t>
      </w:r>
      <w:r>
        <w:rPr>
          <w:rFonts w:ascii="Times New Roman" w:hAnsi="Times New Roman"/>
          <w:sz w:val="20"/>
        </w:rPr>
        <w:t xml:space="preserve">. Upon the terms and subject to the conditions hereof, at the Effective Time, Merger Sub shall be merged with and into Bakkt Opco in accordance with Section 18-209 of the DLLCA, whereupon the separate limited liability company existence of Merger Sub shall cease, and Bakkt Opco shall continue as the surviving limited liability company in the Merger. Any reference in this Agreement to Bakkt Opco for periods from and after the Effective Time will be deemed to include Surviving Company.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Location and Date</w:t>
      </w:r>
      <w:r>
        <w:rPr>
          <w:rFonts w:ascii="Times New Roman" w:hAnsi="Times New Roman"/>
          <w:sz w:val="20"/>
        </w:rPr>
        <w:t>. The consummation of the transactions contemplated by this Agreement, including the Transactions (the </w:t>
      </w:r>
      <w:r>
        <w:rPr>
          <w:rFonts w:ascii="Times New Roman" w:hAnsi="Times New Roman"/>
          <w:sz w:val="20"/>
          <w:u w:val="single"/>
        </w:rPr>
        <w:t>Closing</w:t>
      </w:r>
      <w:r>
        <w:rPr>
          <w:rFonts w:ascii="Times New Roman" w:hAnsi="Times New Roman"/>
          <w:sz w:val="20"/>
        </w:rPr>
        <w:t xml:space="preserve">), shall take place (a) electronically by remote mutual exchange of signatures and documents commencing as promptly as reasonably practicable (and in any event no later than 8:00 a.m., Eastern Time, on the fifth (5th) Business Day) following the date on which all conditions to the Closing set forth in </w:t>
      </w:r>
      <w:r>
        <w:rPr>
          <w:rFonts w:ascii="Times New Roman" w:hAnsi="Times New Roman"/>
          <w:sz w:val="20"/>
          <w:u w:val="single"/>
        </w:rPr>
        <w:t>Article VII</w:t>
      </w:r>
      <w:r>
        <w:rPr>
          <w:rFonts w:ascii="Times New Roman" w:hAnsi="Times New Roman"/>
          <w:sz w:val="20"/>
        </w:rPr>
        <w:t xml:space="preserve"> shall have been satisfied or waived to the extent such conditions can be waived in accordance with applicable Law (other than those that by their terms are not contemplated to be satisfied until the time of the Closing, but subject to the fulfillment or waiver of such conditions at the time of the Closing) or (b) such other place, date or time as VIH and Bakkt Opco may mutually agree in writing. The date on which the Closing actually occurs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Effective Time</w:t>
      </w:r>
      <w:r>
        <w:rPr>
          <w:rFonts w:ascii="Times New Roman" w:hAnsi="Times New Roman"/>
          <w:sz w:val="20"/>
        </w:rPr>
        <w:t xml:space="preserve">. In connection with the Closing, on the Closing Date, VIH and Bakkt Opco shall cause a certificate of merger, in the form attached hereto as </w:t>
      </w:r>
      <w:r>
        <w:rPr>
          <w:rFonts w:ascii="Times New Roman" w:hAnsi="Times New Roman"/>
          <w:sz w:val="20"/>
          <w:u w:val="single"/>
        </w:rPr>
        <w:t>Exhibit K</w:t>
      </w:r>
      <w:r>
        <w:rPr>
          <w:rFonts w:ascii="Times New Roman" w:hAnsi="Times New Roman"/>
          <w:sz w:val="20"/>
        </w:rPr>
        <w:t xml:space="preserve"> (the </w:t>
      </w:r>
      <w:r>
        <w:rPr>
          <w:rFonts w:ascii="Times New Roman" w:hAnsi="Times New Roman"/>
          <w:sz w:val="20"/>
          <w:u w:val="single"/>
        </w:rPr>
        <w:t>Certificate of Merger</w:t>
      </w:r>
      <w:r>
        <w:rPr>
          <w:rFonts w:ascii="Times New Roman" w:hAnsi="Times New Roman"/>
          <w:sz w:val="20"/>
        </w:rPr>
        <w:t>), to be executed, acknowledged and filed with the Office of the Secretary of State of the State of Delaware in accordance with the applicable provisions of the DLLCA. The Merger shall become effective at such time as the Certificate of Merger is duly filed with and accepted by the Office of the Secretary of State of the State of Delaware, unless VIH and Bakkt Opco shall agree and specify a subsequent date or time (the time at which the Merger becomes effective, the </w:t>
      </w:r>
      <w:r>
        <w:rPr>
          <w:rFonts w:ascii="Times New Roman" w:hAnsi="Times New Roman"/>
          <w:sz w:val="20"/>
          <w:u w:val="single"/>
        </w:rPr>
        <w:t>Effective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Effects of Merger</w:t>
      </w:r>
      <w:r>
        <w:rPr>
          <w:rFonts w:ascii="Times New Roman" w:hAnsi="Times New Roman"/>
          <w:sz w:val="20"/>
        </w:rPr>
        <w:t xml:space="preserve">. The Merger will have the effects provided in this Agreement and the applicable provisions of the DLLCA. Without limiting the generality of the foregoing, and subject thereto, at the Effective Time, all the property, rights, privileges, agreements, powers and franchises, debts, liabilities, duties and obligations of Merger Sub and Bakkt Opco shall become the property, rights, privileges, agreements, powers and franchises, debts, liabilities, duties and obligations of the Surviving Company, which shall include the assumption by the Surviving Company of any and all agreements, covenants, duties and obligations of Merger Sub and the Surviving Company set forth in this Agreement to be performed after the Effective Time.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Organizational Documents of Surviving Company</w:t>
      </w:r>
      <w:r>
        <w:rPr>
          <w:rFonts w:ascii="Times New Roman" w:hAnsi="Times New Roman"/>
          <w:sz w:val="20"/>
        </w:rPr>
        <w:t xml:space="preserve">. At the Effective Time, the certificate of formation of Bakkt Opco as of the date hereof shall become the certificate of formation of Surviving Company and the limited liability company agreement of Bakkt Opco shall be amended and restated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Surviving Company LLC Agreement</w:t>
      </w:r>
      <w:r>
        <w:rPr>
          <w:rFonts w:ascii="Times New Roman" w:hAnsi="Times New Roman"/>
          <w:sz w:val="20"/>
        </w:rPr>
        <w:t xml:space="preserve">), which shall become the limited liability company agreement of the Surviving Company, in each case until thereafter amended in accordance with the DLLCA and as provided in such certificate of formation or limited liability company agreement, as applicable. </w:t>
      </w:r>
    </w:p>
    <w:p>
      <w:pPr>
        <w:pStyle w:val="TextBody"/>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Directors, Managers and Officers of Surviving Company</w:t>
      </w:r>
      <w:r>
        <w:rPr>
          <w:rFonts w:ascii="Times New Roman" w:hAnsi="Times New Roman"/>
          <w:sz w:val="20"/>
        </w:rPr>
        <w:t xml:space="preserve">. Except as provided in </w:t>
      </w:r>
      <w:r>
        <w:rPr>
          <w:rFonts w:ascii="Times New Roman" w:hAnsi="Times New Roman"/>
          <w:sz w:val="20"/>
          <w:u w:val="single"/>
        </w:rPr>
        <w:t>Section 5.12(b)</w:t>
      </w:r>
      <w:r>
        <w:rPr>
          <w:rFonts w:ascii="Times New Roman" w:hAnsi="Times New Roman"/>
          <w:sz w:val="20"/>
        </w:rPr>
        <w:t xml:space="preserve">, the officers of Bakkt Opco immediately prior to the Closing shall, from and after the Effective Time, become officers of Surviving Company until their successors shall have been duly elected, appointed or qualified or until their earlier death, resignation or removal in accordance with the Organizational Documents of Surviving Company and applicable Law. From and after the Effective Time, the sole manager of the Surviving Company shall be Bakkt Pubco, which shall be the sole managing member of Surviving Company (and all members of the Board of Managers of Bakkt Opco immediately prior to the Effective Time shall resign or be removed as of the Effective Time), until the Organizational Documents of Surviving Company are thereafter amended in accordance with the DLLCA and as provided in such Organizational Documents. </w:t>
      </w:r>
    </w:p>
    <w:p>
      <w:pPr>
        <w:pStyle w:val="TextBody"/>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Certain Closing Deliveries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At the Closing, on the terms and conditions set forth in this Agreement, Bakkt Pubco shall deliver to Bakkt Opco: </w:t>
      </w:r>
    </w:p>
    <w:p>
      <w:pPr>
        <w:pStyle w:val="TextBody"/>
        <w:spacing w:before="120" w:after="0"/>
        <w:jc w:val="left"/>
        <w:rPr>
          <w:rFonts w:ascii="Times New Roman" w:hAnsi="Times New Roman"/>
          <w:sz w:val="20"/>
        </w:rPr>
      </w:pPr>
      <w:r>
        <w:rPr>
          <w:rFonts w:ascii="Times New Roman" w:hAnsi="Times New Roman"/>
          <w:sz w:val="20"/>
        </w:rPr>
        <w:t xml:space="preserve">(i) a copy of the Surviving Company LLC Agreement, duly executed by Bakkt Pubco; </w:t>
      </w:r>
    </w:p>
    <w:p>
      <w:pPr>
        <w:pStyle w:val="TextBody"/>
        <w:spacing w:before="120" w:after="0"/>
        <w:jc w:val="left"/>
        <w:rPr>
          <w:rFonts w:ascii="Times New Roman" w:hAnsi="Times New Roman"/>
          <w:sz w:val="20"/>
        </w:rPr>
      </w:pPr>
      <w:r>
        <w:rPr>
          <w:rFonts w:ascii="Times New Roman" w:hAnsi="Times New Roman"/>
          <w:sz w:val="20"/>
        </w:rPr>
        <w:t xml:space="preserve">(ii) a copy of the Exchange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Exchange Agreement</w:t>
      </w:r>
      <w:r>
        <w:rPr>
          <w:rFonts w:ascii="Times New Roman" w:hAnsi="Times New Roman"/>
          <w:sz w:val="20"/>
        </w:rPr>
        <w:t xml:space="preserve">), duly executed by Bakkt Pubco; </w:t>
      </w:r>
    </w:p>
    <w:p>
      <w:pPr>
        <w:pStyle w:val="TextBody"/>
        <w:spacing w:before="120" w:after="0"/>
        <w:jc w:val="left"/>
        <w:rPr>
          <w:rFonts w:ascii="Times New Roman" w:hAnsi="Times New Roman"/>
          <w:sz w:val="20"/>
        </w:rPr>
      </w:pPr>
      <w:r>
        <w:rPr>
          <w:rFonts w:ascii="Times New Roman" w:hAnsi="Times New Roman"/>
          <w:sz w:val="20"/>
        </w:rPr>
        <w:t xml:space="preserve">(iii) a copy of the Tax Receivable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Tax Receivable Agreement</w:t>
      </w:r>
      <w:r>
        <w:rPr>
          <w:rFonts w:ascii="Times New Roman" w:hAnsi="Times New Roman"/>
          <w:sz w:val="20"/>
        </w:rPr>
        <w:t xml:space="preserve">), duly executed by Bakkt Pubco; </w:t>
      </w:r>
    </w:p>
    <w:p>
      <w:pPr>
        <w:pStyle w:val="TextBody"/>
        <w:spacing w:before="120" w:after="0"/>
        <w:jc w:val="left"/>
        <w:rPr>
          <w:rFonts w:ascii="Times New Roman" w:hAnsi="Times New Roman"/>
          <w:sz w:val="20"/>
        </w:rPr>
      </w:pPr>
      <w:r>
        <w:rPr>
          <w:rFonts w:ascii="Times New Roman" w:hAnsi="Times New Roman"/>
          <w:sz w:val="20"/>
        </w:rPr>
        <w:t xml:space="preserve">(iv) a copy of the Registration Rights Agreement, duly executed by Bakkt Pubco; </w:t>
      </w:r>
    </w:p>
    <w:p>
      <w:pPr>
        <w:pStyle w:val="TextBody"/>
        <w:spacing w:before="120" w:after="0"/>
        <w:jc w:val="left"/>
        <w:rPr>
          <w:rFonts w:ascii="Times New Roman" w:hAnsi="Times New Roman"/>
          <w:sz w:val="20"/>
        </w:rPr>
      </w:pPr>
      <w:r>
        <w:rPr>
          <w:rFonts w:ascii="Times New Roman" w:hAnsi="Times New Roman"/>
          <w:sz w:val="20"/>
        </w:rPr>
        <w:t xml:space="preserve">(v) a copy of the Voting Agreement in the form of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sz w:val="20"/>
          <w:u w:val="single"/>
        </w:rPr>
        <w:t>Voting Agreement</w:t>
      </w:r>
      <w:r>
        <w:rPr>
          <w:rFonts w:ascii="Times New Roman" w:hAnsi="Times New Roman"/>
          <w:sz w:val="20"/>
        </w:rPr>
        <w:t xml:space="preserve">), duly executed by Bakkt Pubco; </w:t>
      </w:r>
    </w:p>
    <w:p>
      <w:pPr>
        <w:pStyle w:val="TextBody"/>
        <w:spacing w:before="120" w:after="0"/>
        <w:jc w:val="left"/>
        <w:rPr>
          <w:rFonts w:ascii="Times New Roman" w:hAnsi="Times New Roman"/>
          <w:sz w:val="20"/>
        </w:rPr>
      </w:pPr>
      <w:r>
        <w:rPr>
          <w:rFonts w:ascii="Times New Roman" w:hAnsi="Times New Roman"/>
          <w:sz w:val="20"/>
        </w:rPr>
        <w:t xml:space="preserve">(vi) a copy of the Stockholders Agreement in the form of </w:t>
      </w:r>
      <w:r>
        <w:rPr>
          <w:rFonts w:ascii="Times New Roman" w:hAnsi="Times New Roman"/>
          <w:sz w:val="20"/>
          <w:u w:val="single"/>
        </w:rPr>
        <w:t>Exhibit F</w:t>
      </w:r>
      <w:r>
        <w:rPr>
          <w:rFonts w:ascii="Times New Roman" w:hAnsi="Times New Roman"/>
          <w:sz w:val="20"/>
        </w:rPr>
        <w:t xml:space="preserve"> (the </w:t>
      </w:r>
      <w:r>
        <w:rPr>
          <w:rFonts w:ascii="Times New Roman" w:hAnsi="Times New Roman"/>
          <w:sz w:val="20"/>
          <w:u w:val="single"/>
        </w:rPr>
        <w:t>Stockholders Agreement</w:t>
      </w:r>
      <w:r>
        <w:rPr>
          <w:rFonts w:ascii="Times New Roman" w:hAnsi="Times New Roman"/>
          <w:sz w:val="20"/>
        </w:rPr>
        <w:t xml:space="preserve">), duly executed by Bakkt Pubco and VIH Sponsor; and </w:t>
      </w:r>
    </w:p>
    <w:p>
      <w:pPr>
        <w:pStyle w:val="TextBody"/>
        <w:spacing w:before="120" w:after="0"/>
        <w:jc w:val="left"/>
        <w:rPr>
          <w:rFonts w:ascii="Times New Roman" w:hAnsi="Times New Roman"/>
          <w:sz w:val="20"/>
        </w:rPr>
      </w:pPr>
      <w:r>
        <w:rPr>
          <w:rFonts w:ascii="Times New Roman" w:hAnsi="Times New Roman"/>
          <w:sz w:val="20"/>
        </w:rPr>
        <w:t xml:space="preserve">(vii) a certificate, dated as of the Closing Date and duly executed by an authorized officer of Bakkt Pubco, certifying that the conditions set forth in each of </w:t>
      </w:r>
      <w:r>
        <w:rPr>
          <w:rFonts w:ascii="Times New Roman" w:hAnsi="Times New Roman"/>
          <w:sz w:val="20"/>
          <w:u w:val="single"/>
        </w:rPr>
        <w:t>Section 7.3(a)</w:t>
      </w:r>
      <w:r>
        <w:rPr>
          <w:rFonts w:ascii="Times New Roman" w:hAnsi="Times New Roman"/>
          <w:sz w:val="20"/>
        </w:rPr>
        <w:t xml:space="preserve">, </w:t>
      </w:r>
      <w:r>
        <w:rPr>
          <w:rFonts w:ascii="Times New Roman" w:hAnsi="Times New Roman"/>
          <w:sz w:val="20"/>
          <w:u w:val="single"/>
        </w:rPr>
        <w:t>Section 7.3(b)</w:t>
      </w:r>
      <w:r>
        <w:rPr>
          <w:rFonts w:ascii="Times New Roman" w:hAnsi="Times New Roman"/>
          <w:sz w:val="20"/>
        </w:rPr>
        <w:t xml:space="preserve"> and </w:t>
      </w:r>
      <w:r>
        <w:rPr>
          <w:rFonts w:ascii="Times New Roman" w:hAnsi="Times New Roman"/>
          <w:sz w:val="20"/>
          <w:u w:val="single"/>
        </w:rPr>
        <w:t>Section 7.3(c)</w:t>
      </w:r>
      <w:r>
        <w:rPr>
          <w:rFonts w:ascii="Times New Roman" w:hAnsi="Times New Roman"/>
          <w:sz w:val="20"/>
        </w:rPr>
        <w:t xml:space="preserve"> have been satisfied. </w:t>
      </w:r>
    </w:p>
    <w:p>
      <w:pPr>
        <w:pStyle w:val="TextBody"/>
        <w:spacing w:before="240" w:after="0"/>
        <w:jc w:val="left"/>
        <w:rPr>
          <w:rFonts w:ascii="Times New Roman" w:hAnsi="Times New Roman"/>
          <w:sz w:val="20"/>
        </w:rPr>
      </w:pPr>
      <w:r>
        <w:rPr>
          <w:rFonts w:ascii="Times New Roman" w:hAnsi="Times New Roman"/>
          <w:sz w:val="20"/>
        </w:rPr>
        <w:t xml:space="preserve">(b) At the Closing, on the terms and conditions set forth in this Agreement, Bakkt Opco shall deliver to Bakkt Pubco: </w:t>
      </w:r>
    </w:p>
    <w:p>
      <w:pPr>
        <w:pStyle w:val="TextBody"/>
        <w:spacing w:before="120" w:after="0"/>
        <w:jc w:val="left"/>
        <w:rPr>
          <w:rFonts w:ascii="Times New Roman" w:hAnsi="Times New Roman"/>
          <w:sz w:val="20"/>
        </w:rPr>
      </w:pPr>
      <w:r>
        <w:rPr>
          <w:rFonts w:ascii="Times New Roman" w:hAnsi="Times New Roman"/>
          <w:sz w:val="20"/>
        </w:rPr>
        <w:t xml:space="preserve">(i) a copy of the Surviving Company LLC Agreement, duly executed by the Requisite Bakkt Equity Holders (which shall include, without limitation, the holders of a majority in interest of the Surviving Company Common Units (other than Bakkt Pubco)); </w:t>
      </w:r>
    </w:p>
    <w:p>
      <w:pPr>
        <w:pStyle w:val="TextBody"/>
        <w:spacing w:before="120" w:after="0"/>
        <w:jc w:val="left"/>
        <w:rPr>
          <w:rFonts w:ascii="Times New Roman" w:hAnsi="Times New Roman"/>
          <w:sz w:val="20"/>
        </w:rPr>
      </w:pPr>
      <w:r>
        <w:rPr>
          <w:rFonts w:ascii="Times New Roman" w:hAnsi="Times New Roman"/>
          <w:sz w:val="20"/>
        </w:rPr>
        <w:t xml:space="preserve">(ii) a copy of the Exchange Agreement, duly executed by the Requisite Bakkt Equity Holders (which shall include, without limitation, the holders of a majority in interest of the Surviving Company Common Units (other than Bakkt Pubco)); </w:t>
      </w:r>
    </w:p>
    <w:p>
      <w:pPr>
        <w:pStyle w:val="TextBody"/>
        <w:spacing w:before="120" w:after="0"/>
        <w:jc w:val="left"/>
        <w:rPr>
          <w:rFonts w:ascii="Times New Roman" w:hAnsi="Times New Roman"/>
          <w:sz w:val="20"/>
        </w:rPr>
      </w:pPr>
      <w:r>
        <w:rPr>
          <w:rFonts w:ascii="Times New Roman" w:hAnsi="Times New Roman"/>
          <w:sz w:val="20"/>
        </w:rPr>
        <w:t xml:space="preserve">(iii) a copy of the Tax Receivable Agreement, duly executed by the Requisite Bakkt Equity Holders (which shall include, without limitation, the holders of a majority in interest of the Surviving Company Common Units (other than Bakkt Pubco)); </w:t>
      </w:r>
    </w:p>
    <w:p>
      <w:pPr>
        <w:pStyle w:val="TextBody"/>
        <w:spacing w:before="120" w:after="0"/>
        <w:jc w:val="left"/>
        <w:rPr>
          <w:rFonts w:ascii="Times New Roman" w:hAnsi="Times New Roman"/>
          <w:sz w:val="20"/>
        </w:rPr>
      </w:pPr>
      <w:r>
        <w:rPr>
          <w:rFonts w:ascii="Times New Roman" w:hAnsi="Times New Roman"/>
          <w:sz w:val="20"/>
        </w:rPr>
        <w:t xml:space="preserve">(iv) manager resignation letters, in the form reasonably agreed to by VIH and Bakkt Opco, duly executed by each manager on the Board of Managers of Bakkt Opco;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 a copy of the Voting Agreement, duly executed by the Majority Bakkt Equity Holder; </w:t>
      </w:r>
    </w:p>
    <w:p>
      <w:pPr>
        <w:pStyle w:val="TextBody"/>
        <w:spacing w:before="120" w:after="0"/>
        <w:jc w:val="left"/>
        <w:rPr>
          <w:rFonts w:ascii="Times New Roman" w:hAnsi="Times New Roman"/>
          <w:sz w:val="20"/>
        </w:rPr>
      </w:pPr>
      <w:r>
        <w:rPr>
          <w:rFonts w:ascii="Times New Roman" w:hAnsi="Times New Roman"/>
          <w:sz w:val="20"/>
        </w:rPr>
        <w:t xml:space="preserve">(vi) a certificate, dated as of the Closing Date and duly executed by an authorized officer of Bakkt Opco, certifying that the conditions set forth in each of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spacing w:before="120" w:after="0"/>
        <w:jc w:val="left"/>
        <w:rPr>
          <w:rFonts w:ascii="Times New Roman" w:hAnsi="Times New Roman"/>
          <w:sz w:val="20"/>
        </w:rPr>
      </w:pPr>
      <w:r>
        <w:rPr>
          <w:rFonts w:ascii="Times New Roman" w:hAnsi="Times New Roman"/>
          <w:sz w:val="20"/>
        </w:rPr>
        <w:t xml:space="preserve">(vii) a copy of the Stockholders Agreement, duly executed by the Requisite Bakkt Equity Holders (which shall include, without limitation, the holders of a majority in interest of the Surviving Company Common Units (other than Bakkt Pubco)); </w:t>
      </w:r>
    </w:p>
    <w:p>
      <w:pPr>
        <w:pStyle w:val="TextBody"/>
        <w:spacing w:before="120" w:after="0"/>
        <w:jc w:val="left"/>
        <w:rPr>
          <w:rFonts w:ascii="Times New Roman" w:hAnsi="Times New Roman"/>
          <w:sz w:val="20"/>
        </w:rPr>
      </w:pPr>
      <w:r>
        <w:rPr>
          <w:rFonts w:ascii="Times New Roman" w:hAnsi="Times New Roman"/>
          <w:sz w:val="20"/>
        </w:rPr>
        <w:t xml:space="preserve">(viii) a certificate from the Secretary of State of the State of Delaware, dated within ten (10) Business Days prior to the Closing Date, certifying that Bakkt Opco is in good standing; </w:t>
      </w:r>
    </w:p>
    <w:p>
      <w:pPr>
        <w:pStyle w:val="TextBody"/>
        <w:spacing w:before="120" w:after="0"/>
        <w:jc w:val="left"/>
        <w:rPr>
          <w:rFonts w:ascii="Times New Roman" w:hAnsi="Times New Roman"/>
          <w:sz w:val="20"/>
        </w:rPr>
      </w:pPr>
      <w:r>
        <w:rPr>
          <w:rFonts w:ascii="Times New Roman" w:hAnsi="Times New Roman"/>
          <w:sz w:val="20"/>
        </w:rPr>
        <w:t xml:space="preserve">(ix) the PCAOB Financial Statements; and </w:t>
      </w:r>
    </w:p>
    <w:p>
      <w:pPr>
        <w:pStyle w:val="TextBody"/>
        <w:spacing w:before="120" w:after="0"/>
        <w:jc w:val="left"/>
        <w:rPr>
          <w:rFonts w:ascii="Times New Roman" w:hAnsi="Times New Roman"/>
          <w:sz w:val="20"/>
        </w:rPr>
      </w:pPr>
      <w:r>
        <w:rPr>
          <w:rFonts w:ascii="Times New Roman" w:hAnsi="Times New Roman"/>
          <w:sz w:val="20"/>
        </w:rPr>
        <w:t xml:space="preserve">(x) a copy of the Registration Rights Agreement, duly executed by the Requisite Bakkt Equity Holders (which shall include, without limitation, the holders of a majority in interest of the Surviving Company Common Units (other than Bakkt Pubco)).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240" w:after="0"/>
        <w:jc w:val="center"/>
        <w:rPr>
          <w:rFonts w:ascii="Times New Roman" w:hAnsi="Times New Roman"/>
          <w:b/>
          <w:sz w:val="20"/>
        </w:rPr>
      </w:pPr>
      <w:r>
        <w:rPr>
          <w:rFonts w:ascii="Times New Roman" w:hAnsi="Times New Roman"/>
          <w:b/>
          <w:sz w:val="20"/>
        </w:rPr>
        <w:t xml:space="preserve">EFFECT OF THE DOMESTICATION AND MERGER </w:t>
      </w:r>
    </w:p>
    <w:p>
      <w:pPr>
        <w:pStyle w:val="TextBody"/>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Actions to Effect Domestication</w:t>
      </w:r>
      <w:r>
        <w:rPr>
          <w:rFonts w:ascii="Times New Roman" w:hAnsi="Times New Roman"/>
          <w:sz w:val="20"/>
        </w:rPr>
        <w:t xml:space="preserve">. Immediately prior to the Effective Time, subject to obtaining the VIH Shareholders Approval: </w:t>
      </w:r>
    </w:p>
    <w:p>
      <w:pPr>
        <w:pStyle w:val="TextBody"/>
        <w:spacing w:before="120" w:after="0"/>
        <w:jc w:val="left"/>
        <w:rPr>
          <w:rFonts w:ascii="Times New Roman" w:hAnsi="Times New Roman"/>
          <w:sz w:val="20"/>
        </w:rPr>
      </w:pPr>
      <w:r>
        <w:rPr>
          <w:rFonts w:ascii="Times New Roman" w:hAnsi="Times New Roman"/>
          <w:sz w:val="20"/>
        </w:rPr>
        <w:t xml:space="preserve">(a) VIH shall attend to and effect all filings, including with the Registrar of Companies in the Cayman Islands, as required under the Companies Act to effect the Domestication; </w:t>
      </w:r>
    </w:p>
    <w:p>
      <w:pPr>
        <w:pStyle w:val="TextBody"/>
        <w:spacing w:before="120" w:after="0"/>
        <w:jc w:val="left"/>
        <w:rPr>
          <w:rFonts w:ascii="Times New Roman" w:hAnsi="Times New Roman"/>
          <w:sz w:val="20"/>
        </w:rPr>
      </w:pPr>
      <w:r>
        <w:rPr>
          <w:rFonts w:ascii="Times New Roman" w:hAnsi="Times New Roman"/>
          <w:sz w:val="20"/>
        </w:rPr>
        <w:t xml:space="preserve">(b) VIH shall duly execute and file a certificate of corporate domestication with the Office of the Secretary of State of the State of Delaware; </w:t>
      </w:r>
    </w:p>
    <w:p>
      <w:pPr>
        <w:pStyle w:val="TextBody"/>
        <w:spacing w:before="120" w:after="0"/>
        <w:jc w:val="left"/>
        <w:rPr>
          <w:rFonts w:ascii="Times New Roman" w:hAnsi="Times New Roman"/>
          <w:sz w:val="20"/>
        </w:rPr>
      </w:pPr>
      <w:r>
        <w:rPr>
          <w:rFonts w:ascii="Times New Roman" w:hAnsi="Times New Roman"/>
          <w:sz w:val="20"/>
        </w:rPr>
        <w:t xml:space="preserve">(c) VIH shall duly execute and file a certificate of incorporation with the Secretary of State of the State of Delaware in the form of the certificate of incorporation attached hereto as </w:t>
      </w:r>
      <w:r>
        <w:rPr>
          <w:rFonts w:ascii="Times New Roman" w:hAnsi="Times New Roman"/>
          <w:sz w:val="20"/>
          <w:u w:val="single"/>
        </w:rPr>
        <w:t>Exhibit G</w:t>
      </w:r>
      <w:r>
        <w:rPr>
          <w:rFonts w:ascii="Times New Roman" w:hAnsi="Times New Roman"/>
          <w:sz w:val="20"/>
        </w:rPr>
        <w:t xml:space="preserve"> (the </w:t>
      </w:r>
      <w:r>
        <w:rPr>
          <w:rFonts w:ascii="Times New Roman" w:hAnsi="Times New Roman"/>
          <w:sz w:val="20"/>
          <w:u w:val="single"/>
        </w:rPr>
        <w:t>Bakkt Pubco Charter</w:t>
      </w:r>
      <w:r>
        <w:rPr>
          <w:rFonts w:ascii="Times New Roman" w:hAnsi="Times New Roman"/>
          <w:sz w:val="20"/>
        </w:rPr>
        <w:t xml:space="preserve">), effective as of immediately prior to the Effective Time, which shall be the certificate of incorporation of Bakkt Pubco until thereafter amended in accordance with the DGCL and as provided in such certificate of incorporation; </w:t>
      </w:r>
    </w:p>
    <w:p>
      <w:pPr>
        <w:pStyle w:val="TextBody"/>
        <w:spacing w:before="120" w:after="0"/>
        <w:jc w:val="left"/>
        <w:rPr>
          <w:rFonts w:ascii="Times New Roman" w:hAnsi="Times New Roman"/>
          <w:sz w:val="20"/>
        </w:rPr>
      </w:pPr>
      <w:r>
        <w:rPr>
          <w:rFonts w:ascii="Times New Roman" w:hAnsi="Times New Roman"/>
          <w:sz w:val="20"/>
        </w:rPr>
        <w:t xml:space="preserve">(d) Bakkt Pubco shall adopt bylaws in the form of the bylaws attached hereto as </w:t>
      </w:r>
      <w:r>
        <w:rPr>
          <w:rFonts w:ascii="Times New Roman" w:hAnsi="Times New Roman"/>
          <w:sz w:val="20"/>
          <w:u w:val="single"/>
        </w:rPr>
        <w:t>Exhibit H</w:t>
      </w:r>
      <w:r>
        <w:rPr>
          <w:rFonts w:ascii="Times New Roman" w:hAnsi="Times New Roman"/>
          <w:sz w:val="20"/>
        </w:rPr>
        <w:t xml:space="preserve"> (the </w:t>
      </w:r>
      <w:r>
        <w:rPr>
          <w:rFonts w:ascii="Times New Roman" w:hAnsi="Times New Roman"/>
          <w:sz w:val="20"/>
          <w:u w:val="single"/>
        </w:rPr>
        <w:t>Bakkt Pubco Bylaws</w:t>
      </w:r>
      <w:r>
        <w:rPr>
          <w:rFonts w:ascii="Times New Roman" w:hAnsi="Times New Roman"/>
          <w:sz w:val="20"/>
        </w:rPr>
        <w:t xml:space="preserve">), effective as of immediately prior to the Effective Time, which shall be the bylaws of Bakkt Pubco until thereafter amended in accordance with the DGCL, the Bakkt Pubco Charter and as provided in such Bakkt Pubco Bylaws; and </w:t>
      </w:r>
    </w:p>
    <w:p>
      <w:pPr>
        <w:pStyle w:val="TextBody"/>
        <w:spacing w:before="120" w:after="0"/>
        <w:jc w:val="left"/>
        <w:rPr>
          <w:rFonts w:ascii="Times New Roman" w:hAnsi="Times New Roman"/>
          <w:sz w:val="20"/>
        </w:rPr>
      </w:pPr>
      <w:r>
        <w:rPr>
          <w:rFonts w:ascii="Times New Roman" w:hAnsi="Times New Roman"/>
          <w:sz w:val="20"/>
        </w:rPr>
        <w:t xml:space="preserve">(e) VIH shall take any other action reasonably necessary to consummate the Domestication in accordance with the applicable provisions of the DGCL and the Companies Act, in each case such that the Domestication shall become effective prior to the Effective Time. Upon the reasonable request of VIH, Bakkt Opco shall execute, acknowledge and deliver all such instruments and documents and shall take all such other actions reasonably required to consummate and make effective the Domestication, including, without limitation, in respect of the Name Change, executing a consent for the use of a similar corporate name or similar document. </w:t>
      </w:r>
    </w:p>
    <w:p>
      <w:pPr>
        <w:pStyle w:val="TextBody"/>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Effect of Domestication</w:t>
      </w:r>
      <w:r>
        <w:rPr>
          <w:rFonts w:ascii="Times New Roman" w:hAnsi="Times New Roman"/>
          <w:sz w:val="20"/>
        </w:rPr>
        <w:t xml:space="preserve">. Upon the Domestication, subject to consummation of the Merger and effective as of immediately prior to the Effective Time, by virtue of the Domestication and without any action on the part of VIH, any VIH Shareholder or any other Person: </w:t>
      </w:r>
    </w:p>
    <w:p>
      <w:pPr>
        <w:pStyle w:val="TextBody"/>
        <w:spacing w:before="120" w:after="0"/>
        <w:jc w:val="left"/>
        <w:rPr>
          <w:rFonts w:ascii="Times New Roman" w:hAnsi="Times New Roman"/>
          <w:sz w:val="20"/>
        </w:rPr>
      </w:pPr>
      <w:r>
        <w:rPr>
          <w:rFonts w:ascii="Times New Roman" w:hAnsi="Times New Roman"/>
          <w:sz w:val="20"/>
        </w:rPr>
        <w:t xml:space="preserve">(a) Each VIH Public Unit issued and outstanding immediately prior to the Domestication shall be separated into its component share of VIH Class A Share and VIH Warrant;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(i) Each VIH Class A Share issued and outstanding immediately prior to the Domestication shall remain outstanding and shall be automatically converted into one (1) Bakkt Pubco Class A Share and (ii) the transfer books of VIH and Bakkt Pubco shall record such conversion;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VIH Class A Share owned by Public Stockholders who have validly elected to redeem their shares in connection with the Redemption shall entitle the holder thereof to receive only cash in an amount equal to the Redemption Price as provided for in the Trust Agreement and the VIH Memorandum and Articles. </w:t>
      </w:r>
    </w:p>
    <w:p>
      <w:pPr>
        <w:pStyle w:val="TextBody"/>
        <w:spacing w:before="120" w:after="0"/>
        <w:jc w:val="left"/>
        <w:rPr>
          <w:rFonts w:ascii="Times New Roman" w:hAnsi="Times New Roman"/>
          <w:sz w:val="20"/>
        </w:rPr>
      </w:pPr>
      <w:r>
        <w:rPr>
          <w:rFonts w:ascii="Times New Roman" w:hAnsi="Times New Roman"/>
          <w:sz w:val="20"/>
        </w:rPr>
        <w:t xml:space="preserve">(c) (i) Each VIH Class B Share issued and outstanding immediately prior to the Domestication shall be automatically converted into one (1) Bakkt Pubco Class A Share, (ii) the transfer books of VIH and Bakkt Pubco shall record such conversion and (iii) all rights in respect of all VIH Class B Shares shall cease to exist, other than the right to receive the Bakkt Pubco Class A Shares in accordance with this </w:t>
      </w:r>
      <w:r>
        <w:rPr>
          <w:rFonts w:ascii="Times New Roman" w:hAnsi="Times New Roman"/>
          <w:sz w:val="20"/>
          <w:u w:val="single"/>
        </w:rPr>
        <w:t>Section 2.2(c)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(d) Each of the VIH Warrants shall be automatically converted into one (1) Bakkt Pubco Warrant. </w:t>
      </w:r>
    </w:p>
    <w:p>
      <w:pPr>
        <w:pStyle w:val="TextBody"/>
        <w:spacing w:before="120" w:after="0"/>
        <w:jc w:val="left"/>
        <w:rPr>
          <w:rFonts w:ascii="Times New Roman" w:hAnsi="Times New Roman"/>
          <w:sz w:val="20"/>
        </w:rPr>
      </w:pPr>
      <w:r>
        <w:rPr>
          <w:rFonts w:ascii="Times New Roman" w:hAnsi="Times New Roman"/>
          <w:sz w:val="20"/>
        </w:rPr>
        <w:t xml:space="preserve">(e) Any reference in this Agreement to VIH Class A Shares and VIH Class B Shares, collectively, for periods from and after the Domestication will be deemed to include the Bakkt Pubco Class A Shares. Notwithstanding anything to the contrary contained in this Agreement, the parties acknowledge and agree that the Domestication will occur immediately prior to the Merger for Tax and all other purposes. For the avoidance of doubt, any reference in this Agreement to Bakkt Pubco for periods prior to the Domestication shall mean VIH and any reference in this Agreement to VIH for periods from and after the Domestication shall mean Bakkt Pubco. </w:t>
      </w:r>
    </w:p>
    <w:p>
      <w:pPr>
        <w:pStyle w:val="TextBody"/>
        <w:spacing w:before="12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Merger and Closing Payments; Effect on Equity Interests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At the Closing, Bakkt Pubco shall: </w:t>
      </w:r>
    </w:p>
    <w:p>
      <w:pPr>
        <w:pStyle w:val="TextBody"/>
        <w:spacing w:before="120" w:after="0"/>
        <w:jc w:val="left"/>
        <w:rPr>
          <w:rFonts w:ascii="Times New Roman" w:hAnsi="Times New Roman"/>
          <w:sz w:val="20"/>
        </w:rPr>
      </w:pPr>
      <w:r>
        <w:rPr>
          <w:rFonts w:ascii="Times New Roman" w:hAnsi="Times New Roman"/>
          <w:sz w:val="20"/>
        </w:rPr>
        <w:t xml:space="preserve">(i) pay, as applicable, directly to each Person to whom Bakkt Transaction Expenses or VIH Transaction Expenses are owed, all sums necessary and sufficient to fully pay, discharge and satisfy all such Bakkt Transaction Expenses or VIH Transaction Expenses, in each case as reflected on the Closing Statement; </w:t>
      </w:r>
    </w:p>
    <w:p>
      <w:pPr>
        <w:pStyle w:val="TextBody"/>
        <w:spacing w:before="120" w:after="0"/>
        <w:jc w:val="left"/>
        <w:rPr>
          <w:rFonts w:ascii="Times New Roman" w:hAnsi="Times New Roman"/>
          <w:sz w:val="20"/>
        </w:rPr>
      </w:pPr>
      <w:r>
        <w:rPr>
          <w:rFonts w:ascii="Times New Roman" w:hAnsi="Times New Roman"/>
          <w:sz w:val="20"/>
        </w:rPr>
        <w:t xml:space="preserve">(ii) pay, by wire transfer of immediately available funds, to Bakkt Opco (to such account or accounts of Bakkt Opco as Bakkt Opco shall designate in writing to VIH not less than two (2) Business Days prior to the Closing Date) the amount of Bakkt Transaction Expenses paid prior to Closing, as reflected on the Closing Statement; and </w:t>
      </w:r>
    </w:p>
    <w:p>
      <w:pPr>
        <w:pStyle w:val="TextBody"/>
        <w:spacing w:before="120" w:after="0"/>
        <w:jc w:val="left"/>
        <w:rPr>
          <w:rFonts w:ascii="Times New Roman" w:hAnsi="Times New Roman"/>
          <w:sz w:val="20"/>
        </w:rPr>
      </w:pPr>
      <w:r>
        <w:rPr>
          <w:rFonts w:ascii="Times New Roman" w:hAnsi="Times New Roman"/>
          <w:sz w:val="20"/>
        </w:rPr>
        <w:t xml:space="preserve">(iii) pay, by wire transfer of immediately available funds, to Bakkt Opco (to such account or accounts of Bakkt Opco as Bakkt Opco shall designate in writing to VIH not less than two (2) Business Days prior to the Closing Date), an amount equal to the Available Cash. </w:t>
      </w:r>
    </w:p>
    <w:p>
      <w:pPr>
        <w:pStyle w:val="TextBody"/>
        <w:spacing w:before="120" w:after="0"/>
        <w:jc w:val="left"/>
        <w:rPr>
          <w:rFonts w:ascii="Times New Roman" w:hAnsi="Times New Roman"/>
          <w:sz w:val="20"/>
        </w:rPr>
      </w:pPr>
      <w:r>
        <w:rPr>
          <w:rFonts w:ascii="Times New Roman" w:hAnsi="Times New Roman"/>
          <w:sz w:val="20"/>
        </w:rPr>
        <w:t xml:space="preserve">(b) At the Effective Time, by virtue of the Merger and without any action on the part of Bakkt Pubco, Merger Sub, Bakkt Opco or any of the Bakkt Equity Holders: </w:t>
      </w:r>
    </w:p>
    <w:p>
      <w:pPr>
        <w:pStyle w:val="TextBody"/>
        <w:spacing w:before="120" w:after="0"/>
        <w:jc w:val="left"/>
        <w:rPr>
          <w:rFonts w:ascii="Times New Roman" w:hAnsi="Times New Roman"/>
          <w:sz w:val="20"/>
        </w:rPr>
      </w:pPr>
      <w:r>
        <w:rPr>
          <w:rFonts w:ascii="Times New Roman" w:hAnsi="Times New Roman"/>
          <w:sz w:val="20"/>
        </w:rPr>
        <w:t>(i) all issued and outstanding Bakkt Interests held by Bakkt Opco or any of its Subsidiaries (the </w:t>
      </w:r>
      <w:r>
        <w:rPr>
          <w:rFonts w:ascii="Times New Roman" w:hAnsi="Times New Roman"/>
          <w:sz w:val="20"/>
          <w:u w:val="single"/>
        </w:rPr>
        <w:t>Excluded Bakkt Interests</w:t>
      </w:r>
      <w:r>
        <w:rPr>
          <w:rFonts w:ascii="Times New Roman" w:hAnsi="Times New Roman"/>
          <w:sz w:val="20"/>
        </w:rPr>
        <w:t xml:space="preserve">) shall be automatically cancelled and no consideration shall be issued or paid in respect thereof; </w:t>
      </w:r>
    </w:p>
    <w:p>
      <w:pPr>
        <w:pStyle w:val="TextBody"/>
        <w:spacing w:before="120" w:after="0"/>
        <w:jc w:val="left"/>
        <w:rPr>
          <w:rFonts w:ascii="Times New Roman" w:hAnsi="Times New Roman"/>
          <w:sz w:val="20"/>
        </w:rPr>
      </w:pPr>
      <w:r>
        <w:rPr>
          <w:rFonts w:ascii="Times New Roman" w:hAnsi="Times New Roman"/>
          <w:sz w:val="20"/>
        </w:rPr>
        <w:t>(ii) the Bakkt Interests held by each Bakkt Equity Holder (other than the Excluded Bakkt Interests) shall be converted into the right to receive (the </w:t>
      </w:r>
      <w:r>
        <w:rPr>
          <w:rFonts w:ascii="Times New Roman" w:hAnsi="Times New Roman"/>
          <w:sz w:val="20"/>
          <w:u w:val="single"/>
        </w:rPr>
        <w:t>Merger Consideration</w:t>
      </w:r>
      <w:r>
        <w:rPr>
          <w:rFonts w:ascii="Times New Roman" w:hAnsi="Times New Roman"/>
          <w:sz w:val="20"/>
        </w:rPr>
        <w:t>) from Surviving Company and from Bakkt Pubco the number of Surviving Company Common Units and the number of validly issued, fully paid and nonassessable Bakkt Pubco Class V Shares, respectively, that such Bakkt Equity Holder would be entitled to receive if the Aggregate Merger Consideration were distributed by Bakkt Opco in a Deemed Liquidation consistent with the illustrative calculation (which assumes that the Effective Time occurred on the date hereof) set forth in Section 2.3(b)(ii) of the Bakkt Disclosure Letter (the </w:t>
      </w:r>
      <w:r>
        <w:rPr>
          <w:rFonts w:ascii="Times New Roman" w:hAnsi="Times New Roman"/>
          <w:sz w:val="20"/>
          <w:u w:val="single"/>
        </w:rPr>
        <w:t>Illustrative Merger Consideration Spreadsheet</w:t>
      </w:r>
      <w:r>
        <w:rPr>
          <w:rFonts w:ascii="Times New Roman" w:hAnsi="Times New Roman"/>
          <w:sz w:val="20"/>
        </w:rPr>
        <w:t>), which Illustrative Merger Consideration Spreadsheet shall be updated by Bakkt Opco as of the Effective Time (the </w:t>
      </w:r>
      <w:r>
        <w:rPr>
          <w:rFonts w:ascii="Times New Roman" w:hAnsi="Times New Roman"/>
          <w:sz w:val="20"/>
          <w:u w:val="single"/>
        </w:rPr>
        <w:t>Final Merger Consideration Spreadsheet</w:t>
      </w:r>
      <w:r>
        <w:rPr>
          <w:rFonts w:ascii="Times New Roman" w:hAnsi="Times New Roman"/>
          <w:sz w:val="20"/>
        </w:rPr>
        <w:t xml:space="preserve">) to reflect any transfers of interests prior to the Effective Time in accordance with the Bakkt Opco LLC Agreement or other applicable events;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(iii) each holder of Surviving Company Common Units acquired pursuant to the foregoing </w:t>
      </w:r>
      <w:r>
        <w:rPr>
          <w:rFonts w:ascii="Times New Roman" w:hAnsi="Times New Roman"/>
          <w:sz w:val="20"/>
          <w:u w:val="single"/>
        </w:rPr>
        <w:t>clause (ii)</w:t>
      </w:r>
      <w:r>
        <w:rPr>
          <w:rFonts w:ascii="Times New Roman" w:hAnsi="Times New Roman"/>
          <w:sz w:val="20"/>
        </w:rPr>
        <w:t xml:space="preserve"> shall automatically be deemed to continue as a member of Surviving Company with respect to such Surviving Company Common Units; and </w:t>
      </w:r>
    </w:p>
    <w:p>
      <w:pPr>
        <w:pStyle w:val="TextBody"/>
        <w:spacing w:before="120" w:after="0"/>
        <w:jc w:val="left"/>
        <w:rPr>
          <w:rFonts w:ascii="Times New Roman" w:hAnsi="Times New Roman"/>
          <w:sz w:val="20"/>
        </w:rPr>
      </w:pPr>
      <w:r>
        <w:rPr>
          <w:rFonts w:ascii="Times New Roman" w:hAnsi="Times New Roman"/>
          <w:sz w:val="20"/>
        </w:rPr>
        <w:t xml:space="preserve">(iv) the limited liability company interests of Merger Sub shall be converted into a number of Surviving Company Common Units equal to the number of Bakkt Pubco Class A Shares outstanding as of immediately prior to the Effective Time (after giving effect to the Domestication, the consummation of the PIPE Financing and the Redemption), and Bakkt Pubco, as the sole holder thereof, shall automatically be admitted as a member, and the managing member, of Surviving Company in accordance with the terms of the Surviving Company LLC Agreement. </w:t>
      </w:r>
    </w:p>
    <w:p>
      <w:pPr>
        <w:pStyle w:val="TextBody"/>
        <w:spacing w:before="120" w:after="0"/>
        <w:jc w:val="left"/>
        <w:rPr>
          <w:rFonts w:ascii="Times New Roman" w:hAnsi="Times New Roman"/>
          <w:sz w:val="20"/>
        </w:rPr>
      </w:pPr>
      <w:r>
        <w:rPr>
          <w:rFonts w:ascii="Times New Roman" w:hAnsi="Times New Roman"/>
          <w:sz w:val="20"/>
        </w:rPr>
        <w:t xml:space="preserve">(c) As of the Effective Time, the Bakkt Interests (other than the Excluded Bakkt Interests) shall no longer be outstanding and shall automatically be cancelled and cease to exist, and each holder of such Bakkt Interests (other than the Excluded Bakkt Interests) shall cease to have any rights with respect thereto, except for the right of such holder to receive a portion of the Merger Consideration in accordance with the terms hereof. </w:t>
      </w:r>
    </w:p>
    <w:p>
      <w:pPr>
        <w:pStyle w:val="TextBody"/>
        <w:spacing w:before="120" w:after="0"/>
        <w:jc w:val="left"/>
        <w:rPr>
          <w:rFonts w:ascii="Times New Roman" w:hAnsi="Times New Roman"/>
          <w:sz w:val="20"/>
        </w:rPr>
      </w:pPr>
      <w:r>
        <w:rPr>
          <w:rFonts w:ascii="Times New Roman" w:hAnsi="Times New Roman"/>
          <w:sz w:val="20"/>
        </w:rPr>
        <w:t xml:space="preserve">(d) For the avoidance of doubt, the aggregate consideration to be received in respect of the Merger by (or otherwise allocated to, in the case of </w:t>
      </w:r>
      <w:r>
        <w:rPr>
          <w:rFonts w:ascii="Times New Roman" w:hAnsi="Times New Roman"/>
          <w:sz w:val="20"/>
          <w:u w:val="single"/>
        </w:rPr>
        <w:t>Section 2.5</w:t>
      </w:r>
      <w:r>
        <w:rPr>
          <w:rFonts w:ascii="Times New Roman" w:hAnsi="Times New Roman"/>
          <w:sz w:val="20"/>
        </w:rPr>
        <w:t xml:space="preserve">) all of the Bakkt Equity Holders pursuant to this </w:t>
      </w:r>
      <w:r>
        <w:rPr>
          <w:rFonts w:ascii="Times New Roman" w:hAnsi="Times New Roman"/>
          <w:sz w:val="20"/>
          <w:u w:val="single"/>
        </w:rPr>
        <w:t>Section 2.3</w:t>
      </w:r>
      <w:r>
        <w:rPr>
          <w:rFonts w:ascii="Times New Roman" w:hAnsi="Times New Roman"/>
          <w:sz w:val="20"/>
        </w:rPr>
        <w:t xml:space="preserve">, pursuant to </w:t>
      </w:r>
      <w:r>
        <w:rPr>
          <w:rFonts w:ascii="Times New Roman" w:hAnsi="Times New Roman"/>
          <w:sz w:val="20"/>
          <w:u w:val="single"/>
        </w:rPr>
        <w:t>Section 2.4</w:t>
      </w:r>
      <w:r>
        <w:rPr>
          <w:rFonts w:ascii="Times New Roman" w:hAnsi="Times New Roman"/>
          <w:sz w:val="20"/>
        </w:rPr>
        <w:t xml:space="preserve">, and any holders of Bakkt Opco Warrants pursuant to </w:t>
      </w:r>
      <w:r>
        <w:rPr>
          <w:rFonts w:ascii="Times New Roman" w:hAnsi="Times New Roman"/>
          <w:sz w:val="20"/>
          <w:u w:val="single"/>
        </w:rPr>
        <w:t>Section 2.5</w:t>
      </w:r>
      <w:r>
        <w:rPr>
          <w:rFonts w:ascii="Times New Roman" w:hAnsi="Times New Roman"/>
          <w:sz w:val="20"/>
        </w:rPr>
        <w:t xml:space="preserve"> shall be equal to (and in no event shall exceed) the Aggregate Merger Consideration. </w:t>
      </w:r>
    </w:p>
    <w:p>
      <w:pPr>
        <w:pStyle w:val="TextBody"/>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Treatment of Bakkt Incentive Plan Awards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At the Effective Time, in accordance with </w:t>
      </w:r>
      <w:r>
        <w:rPr>
          <w:rFonts w:ascii="Times New Roman" w:hAnsi="Times New Roman"/>
          <w:sz w:val="20"/>
          <w:u w:val="single"/>
        </w:rPr>
        <w:t>Section 2.3(b)(ii)</w:t>
      </w:r>
      <w:r>
        <w:rPr>
          <w:rFonts w:ascii="Times New Roman" w:hAnsi="Times New Roman"/>
          <w:sz w:val="20"/>
        </w:rPr>
        <w:t xml:space="preserve">, the Bakkt Opco Incentive Units held by Bakkt Management shall be converted into the right to receive the Merger Consideration as set forth on the Final Merger Consideration Spreadsheet; </w:t>
      </w:r>
      <w:r>
        <w:rPr>
          <w:rFonts w:ascii="Times New Roman" w:hAnsi="Times New Roman"/>
          <w:sz w:val="20"/>
          <w:u w:val="single"/>
        </w:rPr>
        <w:t>provided</w:t>
      </w:r>
      <w:r>
        <w:rPr>
          <w:rFonts w:ascii="Times New Roman" w:hAnsi="Times New Roman"/>
          <w:sz w:val="20"/>
        </w:rPr>
        <w:t xml:space="preserve">, without limiting the generality of the foregoing, that the Merger Consideration in respect of such Bakkt Opco Incentive Units (and the corresponding interests in Bakkt Management held by Participants (as defined in the Bakkt Equity Incentive Plan) under the Bakkt Equity Incentive Plan) shall vest in three equal installments, with one third vesting at the Effective Time, one third vesting on the first anniversary of the Effective Time, and one third vesting on the second anniversary of the Effective Time, as if the Transactions constituted an IPO under the Bakkt Equity Incentive Plan;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 Participant is terminated without Cause (as defined in the Bakkt Equity Incentive Plan) within two years following the Effective Time, the Merger Consideration in respect of all then unvested Bakkt Opco Incentive Units and corresponding interests in Bakkt Management relating to such Participant shall immediately vest in full. </w:t>
      </w:r>
    </w:p>
    <w:p>
      <w:pPr>
        <w:pStyle w:val="TextBody"/>
        <w:spacing w:before="120" w:after="0"/>
        <w:jc w:val="left"/>
        <w:rPr>
          <w:rFonts w:ascii="Times New Roman" w:hAnsi="Times New Roman"/>
          <w:sz w:val="20"/>
        </w:rPr>
      </w:pPr>
      <w:r>
        <w:rPr>
          <w:rFonts w:ascii="Times New Roman" w:hAnsi="Times New Roman"/>
          <w:sz w:val="20"/>
        </w:rPr>
        <w:t xml:space="preserve">(b) At the Effective Time, each Participation Unit shall be treated as if the Transactions constituted an IPO under the Bakkt Equity Incentive Plan, with one third vesting at the Effective Time, one third vesting on the first anniversary of the Effective Time, and one third vesting on the second anniversary of the Effective Time; </w:t>
      </w:r>
      <w:r>
        <w:rPr>
          <w:rFonts w:ascii="Times New Roman" w:hAnsi="Times New Roman"/>
          <w:sz w:val="20"/>
          <w:u w:val="single"/>
        </w:rPr>
        <w:t>provided</w:t>
      </w:r>
      <w:r>
        <w:rPr>
          <w:rFonts w:ascii="Times New Roman" w:hAnsi="Times New Roman"/>
          <w:sz w:val="20"/>
        </w:rPr>
        <w:t xml:space="preserve">, that if a Participant is terminated without Cause (as defined in the Bakkt Equity Incentive Plan) within two years following the Effective Time, all then unvested Participation Units shall immediately vest in full. Any Participation Unit that vests in accordance with the preceding sentence shall experience a Participation Unit Payment Event (as defined in the Bakkt Equity Incentive Plan) on the date of vesting and shall be treated (including with respect to the date and amount of payment in respect thereto) as if a Participation Unit Payment Event has occurred; </w:t>
      </w:r>
      <w:r>
        <w:rPr>
          <w:rFonts w:ascii="Times New Roman" w:hAnsi="Times New Roman"/>
          <w:sz w:val="20"/>
          <w:u w:val="single"/>
        </w:rPr>
        <w:t>provided</w:t>
      </w:r>
      <w:r>
        <w:rPr>
          <w:rFonts w:ascii="Times New Roman" w:hAnsi="Times New Roman"/>
          <w:sz w:val="20"/>
        </w:rPr>
        <w:t xml:space="preserve">, that with respect to Participation Units that vest on the first and second anniversary of the Effective Time (or earlier upon a termination without Cause), the amount that would be payable upon a Participation Unit Payment Event occurring on such date shall be adjusted to reflect a notional investment in Bakkt Pubco Class A Shares in the principal amount equal to the amount that would have been payable had all such Participation Units experienced a Participation Unit Payment Event at the Effective Time, made as of the Effective Time and held through such Participation Unit Payment Event;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Participation Unit that vests after the date that is six months after the day the Closing occurs may be settled with Bakkt Pubco Class A Shares or Awards (as defined in the Equity Incentive Plan, based on the trading value of the Bakkt Pubco Class A Shares as of the close of business of the date of settlement), in each case equivalent in value on the day of settlement to the amount that otherwise would be payable in accordance with this </w:t>
      </w:r>
      <w:r>
        <w:rPr>
          <w:rFonts w:ascii="Times New Roman" w:hAnsi="Times New Roman"/>
          <w:sz w:val="20"/>
          <w:u w:val="single"/>
        </w:rPr>
        <w:t>Section 2.4(b)</w:t>
      </w:r>
      <w:r>
        <w:rPr>
          <w:rFonts w:ascii="Times New Roman" w:hAnsi="Times New Roman"/>
          <w:sz w:val="20"/>
        </w:rPr>
        <w:t xml:space="preserve"> in cash.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 The administrator under the Bakkt Equity Incentive Plan has determined that the treatment of Bakkt Opco Incentive Units (and the corresponding interests in Bakkt Management) and Participation Units set forth in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2.4(b)</w:t>
      </w:r>
      <w:r>
        <w:rPr>
          <w:rFonts w:ascii="Times New Roman" w:hAnsi="Times New Roman"/>
          <w:sz w:val="20"/>
        </w:rPr>
        <w:t xml:space="preserve"> is an equitable treatment contemplated and required by Section 4(c) of the Bakkt Equity Incentive Plan in order to provide participants the intended benefits of their awards under the Bakkt Equity Incentive Plan. Prior to the Closing, Bakkt Opco shall provide a written notification to all Participants under the Bakkt Equity Incentive Plan summarizing the effect the Transaction will have on Bakkt Opco Incentive Units (and the corresponding interests in Bakkt Management) and Participation Units pursuant to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2.4(b)</w:t>
      </w:r>
      <w:r>
        <w:rPr>
          <w:rFonts w:ascii="Times New Roman" w:hAnsi="Times New Roman"/>
          <w:sz w:val="20"/>
        </w:rPr>
        <w:t xml:space="preserve">. Bakkt Opco will provide the form of such written notification to VIH and its counsel at least two (2) Business Days prior to the distribution to the Participants and shall reasonably review and consider in good faith the reasonable comments of VIH and its counsel for inclusion into such written notification. </w:t>
      </w:r>
    </w:p>
    <w:p>
      <w:pPr>
        <w:pStyle w:val="TextBody"/>
        <w:spacing w:before="120" w:after="0"/>
        <w:jc w:val="left"/>
        <w:rPr>
          <w:rFonts w:ascii="Times New Roman" w:hAnsi="Times New Roman"/>
          <w:sz w:val="20"/>
        </w:rPr>
      </w:pPr>
      <w:r>
        <w:rPr>
          <w:rFonts w:ascii="Times New Roman" w:hAnsi="Times New Roman"/>
          <w:sz w:val="20"/>
        </w:rPr>
        <w:t xml:space="preserve">(d) Bakkt Opco shall take all necessary actions to effect the treatment of Bakkt Opco Incentive Units (and the corresponding interests in Bakkt Management) and Participation Units pursuant to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2.4(b)</w:t>
      </w:r>
      <w:r>
        <w:rPr>
          <w:rFonts w:ascii="Times New Roman" w:hAnsi="Times New Roman"/>
          <w:sz w:val="20"/>
        </w:rPr>
        <w:t xml:space="preserve"> in accordance with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2.4(b)</w:t>
      </w:r>
      <w:r>
        <w:rPr>
          <w:rFonts w:ascii="Times New Roman" w:hAnsi="Times New Roman"/>
          <w:sz w:val="20"/>
        </w:rPr>
        <w:t xml:space="preserve"> and the Bakkt Equity Incentive Plan and the applicable award agreements (as modified by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2.4(b)</w:t>
      </w:r>
      <w:r>
        <w:rPr>
          <w:rFonts w:ascii="Times New Roman" w:hAnsi="Times New Roman"/>
          <w:sz w:val="20"/>
        </w:rPr>
        <w:t xml:space="preserve">). The Board of Managers of Bakkt Opco shall amend the Bakkt Equity Incentive Plan and take all other necessary actions, effective as of immediately prior to the Closing, in order to (i) cancel the remaining unallocated Equity Interests under the Bakkt Equity Incentive Plan and provide that Equity Interests in respect of Bakkt Opco Incentive Units and Participation Units that for any reason become re-eligible for future issuance, shall be cancelled, and (ii) provide that no new Bakkt Opco Incentive Units or Participation Units will be granted under the Bakkt Equity Incentive Plan. Bakkt Opco will provide such amendments to the Bakkt Equity Incentive Plan to VIH and its counsel at least two (2) Business Days prior to adoption and shall reasonably review and consider in good faith the reasonable comments of VIH and its counsel for inclusion in such amendments. </w:t>
      </w:r>
    </w:p>
    <w:p>
      <w:pPr>
        <w:pStyle w:val="TextBody"/>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Treatment of Bakkt Opco Warrants</w:t>
      </w:r>
      <w:r>
        <w:rPr>
          <w:rFonts w:ascii="Times New Roman" w:hAnsi="Times New Roman"/>
          <w:sz w:val="20"/>
        </w:rPr>
        <w:t xml:space="preserve">. At the Effective Time, in accordance with </w:t>
      </w:r>
      <w:r>
        <w:rPr>
          <w:rFonts w:ascii="Times New Roman" w:hAnsi="Times New Roman"/>
          <w:sz w:val="20"/>
          <w:u w:val="single"/>
        </w:rPr>
        <w:t>Section 2.3(b)(ii)</w:t>
      </w:r>
      <w:r>
        <w:rPr>
          <w:rFonts w:ascii="Times New Roman" w:hAnsi="Times New Roman"/>
          <w:sz w:val="20"/>
        </w:rPr>
        <w:t>, each warrant to purchase Bakkt Interests (each, a </w:t>
      </w:r>
      <w:r>
        <w:rPr>
          <w:rFonts w:ascii="Times New Roman" w:hAnsi="Times New Roman"/>
          <w:sz w:val="20"/>
          <w:u w:val="single"/>
        </w:rPr>
        <w:t>Bakkt Opco Warrant</w:t>
      </w:r>
      <w:r>
        <w:rPr>
          <w:rFonts w:ascii="Times New Roman" w:hAnsi="Times New Roman"/>
          <w:sz w:val="20"/>
        </w:rPr>
        <w:t xml:space="preserve">) shall be converted into the right to receive, upon exercise thereof and payment of the exercise price therefor, from Surviving Company and from Bakkt Pubco the number Warrant Interests set forth opposite such warrant holders name on the Final Merger Consideration Spreadsheet. The Merger shall not constitute an IPO or a Liquidity Event, each as defined in the applicable Bakkt Opco Warrant. Upon exercise of a Bakkt Opco Warrant, the holder thereof shall be obligated to execute and become a party to the Surviving Company LLC Agreement, the Exchange Agreement, the Tax Receivables Agreement, the Stockholders Agreement and the Registration Rights Agreement. </w:t>
      </w:r>
    </w:p>
    <w:p>
      <w:pPr>
        <w:pStyle w:val="TextBody"/>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Exchange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Promptly following the date hereof, Bakkt Opco shall mail to each Bakkt Equity Holder (i) a letter of transmittal in the form agreed to by VIH and Bakkt Opco (the </w:t>
      </w:r>
      <w:r>
        <w:rPr>
          <w:rFonts w:ascii="Times New Roman" w:hAnsi="Times New Roman"/>
          <w:sz w:val="20"/>
          <w:u w:val="single"/>
        </w:rPr>
        <w:t>Letter of Transmittal</w:t>
      </w:r>
      <w:r>
        <w:rPr>
          <w:rFonts w:ascii="Times New Roman" w:hAnsi="Times New Roman"/>
          <w:sz w:val="20"/>
        </w:rPr>
        <w:t xml:space="preserve">) and (ii) instructions for delivering the Letter of Transmittal in exchange for the Merger Consideration in accordance with this Agreement and the Final Merger Consideration Spreadsheet, as well as a request to have such Bakkt Equity Holder deliver an executed Letter of Transmittal to Bakkt Opco no less than ten (10) Business Days prior to the estimated Closing Date. Upon delivery of such Letter of Transmittal duly completed and validly executed in accordance with the instructions thereto, such Bakkt Equity Holder shall be entitled to receive in exchange therefor the Merger Consideration to which such Bakkt Equity Holder is entitled. Bakkt Opco shall provide VIH with a copy of each Letter of Transmittal it receives promptly after receipt thereof. Until delivery of a Letter of Transmittal as contemplated by this </w:t>
      </w:r>
      <w:r>
        <w:rPr>
          <w:rFonts w:ascii="Times New Roman" w:hAnsi="Times New Roman"/>
          <w:sz w:val="20"/>
          <w:u w:val="single"/>
        </w:rPr>
        <w:t>Section 2.6</w:t>
      </w:r>
      <w:r>
        <w:rPr>
          <w:rFonts w:ascii="Times New Roman" w:hAnsi="Times New Roman"/>
          <w:sz w:val="20"/>
        </w:rPr>
        <w:t xml:space="preserve">, each Bakkt Interest shall be deemed after the Effective Time to represent only the right to receive the Merger Consideration payable in respect thereof in accordance with the Final Merger Consideration Spreadsheet. Upon receipt of an executed Letter of Transmittal from a Bakkt Equity Holder, Bakkt Pubco shall direct Bakkt Pubcos transfer agent to note the ownership in the transfer agents books and records of the Bakkt Pubco Class V Shares issuable to such Bakkt Equity Holders as Merger Consideration. </w:t>
      </w:r>
    </w:p>
    <w:p>
      <w:pPr>
        <w:pStyle w:val="TextBody"/>
        <w:spacing w:before="120" w:after="0"/>
        <w:jc w:val="left"/>
        <w:rPr>
          <w:rFonts w:ascii="Times New Roman" w:hAnsi="Times New Roman"/>
          <w:sz w:val="20"/>
        </w:rPr>
      </w:pPr>
      <w:r>
        <w:rPr>
          <w:rFonts w:ascii="Times New Roman" w:hAnsi="Times New Roman"/>
          <w:sz w:val="20"/>
        </w:rPr>
        <w:t xml:space="preserve">(b) The Merger Consideration issued and paid upon the delivery for exchange of Bakkt Interests in accordance with the terms of this </w:t>
      </w:r>
      <w:r>
        <w:rPr>
          <w:rFonts w:ascii="Times New Roman" w:hAnsi="Times New Roman"/>
          <w:sz w:val="20"/>
          <w:u w:val="single"/>
        </w:rPr>
        <w:t>Article II</w:t>
      </w:r>
      <w:r>
        <w:rPr>
          <w:rFonts w:ascii="Times New Roman" w:hAnsi="Times New Roman"/>
          <w:sz w:val="20"/>
        </w:rPr>
        <w:t xml:space="preserve"> shall be deemed to have been issued and paid in full satisfaction of all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rights pertaining to the Bakkt Interests formerly outstanding. At the Effective Time, the membership transfer books of Bakkt Opco shall be closed and there shall be no further registration of transfers of the Bakkt Interests that were outstanding immediately prior to the Effective Time. If, after the Effective Time, Bakkt Interests are presented to Bakkt Pubco for transfer, such Bakkt Interests shall be cancelled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(c) Notwithstanding anything to the contrary contained herein, no certificates or scrip representing fractional Bakkt Pubco Class V Shares or Surviving Company Common Units shall be issued upon the delivery of the Merger Consideration to the Bakkt Equity Holders, and such fractional share interests shall not entitle the owner thereof to vote or to any other rights of a VIH Shareholder or member of the Surviving Company. No payment shall be made with respect to fractional Surviving Company Common Units or Bakkt Pubco Class V Shares, and the number thereof shall be rounded down to the nearest whole number. </w:t>
      </w:r>
    </w:p>
    <w:p>
      <w:pPr>
        <w:pStyle w:val="TextBody"/>
        <w:spacing w:before="120" w:after="0"/>
        <w:jc w:val="left"/>
        <w:rPr>
          <w:rFonts w:ascii="Times New Roman" w:hAnsi="Times New Roman"/>
          <w:sz w:val="20"/>
        </w:rPr>
      </w:pPr>
      <w:r>
        <w:rPr>
          <w:rFonts w:ascii="Times New Roman" w:hAnsi="Times New Roman"/>
          <w:sz w:val="20"/>
        </w:rPr>
        <w:t xml:space="preserve">(d) None of VIH, Surviving Company, Bakkt Pubco or any other Person shall be liable to any Person in respect of Bakkt Pubco Class V Shares or Surviving Company Common Units (or any dividends or other distributions with respect thereto) or cash (if applicable) properly delivered to a public official pursuant to any applicable abandoned property, escheat or similar Law. </w:t>
      </w:r>
    </w:p>
    <w:p>
      <w:pPr>
        <w:pStyle w:val="TextBody"/>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Closing Statement; Determination of Available Cash</w:t>
      </w:r>
      <w:r>
        <w:rPr>
          <w:rFonts w:ascii="Times New Roman" w:hAnsi="Times New Roman"/>
          <w:sz w:val="20"/>
        </w:rPr>
        <w:t>. On the date the right of Redemption expires, Bakkt Opco and VIH shall jointly prepare and deliver a statement (the </w:t>
      </w:r>
      <w:r>
        <w:rPr>
          <w:rFonts w:ascii="Times New Roman" w:hAnsi="Times New Roman"/>
          <w:sz w:val="20"/>
          <w:u w:val="single"/>
        </w:rPr>
        <w:t>Closing Statement</w:t>
      </w:r>
      <w:r>
        <w:rPr>
          <w:rFonts w:ascii="Times New Roman" w:hAnsi="Times New Roman"/>
          <w:sz w:val="20"/>
        </w:rPr>
        <w:t xml:space="preserve">) that sets forth the Parties good faith determination of the Available Cash and the components thereof, including the amount of funds available in the Trust Account following the Redemption, the gross proceeds of the PIPE Financing, the Bakkt Transaction Expenses, the VIH Transaction Expenses and a determination as to whether Available Cash is at least equal to the Minimum Available Cash. </w:t>
      </w:r>
    </w:p>
    <w:p>
      <w:pPr>
        <w:pStyle w:val="TextBody"/>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Withholding Rights</w:t>
      </w:r>
      <w:r>
        <w:rPr>
          <w:rFonts w:ascii="Times New Roman" w:hAnsi="Times New Roman"/>
          <w:sz w:val="20"/>
        </w:rPr>
        <w:t xml:space="preserve">. VIH (or Bakkt Pubco) and Bakkt Opco (or Surviving Company) (and any of their respective Representatives) shall be entitled to deduct and withhold (or cause to be deducted and withheld) from any amount otherwise payable under this Agreement such amounts as are required to be deducted or withheld with respect to the making of such payment under the Code or any other provision of applicable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relevant payor will (a) provide written notice to the relevant payee at least ten (10) days prior to any such deduction or withholding (other than with respect to compensatory payments, if any) and (b) use commercially reasonable efforts to cooperate with the relevant payee prior to the making of such deductions and withholding payments to determine whether any such deductions or withholding payments (other than with respect to compensatory payments, if any) are required under applicable Law and in obtaining any available exemption or reduction of, or otherwise minimizing to the extent permitted by applicable Law, such deduction and withholding. To the extent that such withheld amounts are paid over to or deposited with the applicable Governmental Authority, such withheld amounts shall be treated for all purposes of this Agreement as having been paid to the Person in respect of which such deduction and withholding were made.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240" w:after="0"/>
        <w:jc w:val="center"/>
        <w:rPr>
          <w:rFonts w:ascii="Times New Roman" w:hAnsi="Times New Roman"/>
          <w:b/>
          <w:sz w:val="20"/>
        </w:rPr>
      </w:pPr>
      <w:r>
        <w:rPr>
          <w:rFonts w:ascii="Times New Roman" w:hAnsi="Times New Roman"/>
          <w:b/>
          <w:sz w:val="20"/>
        </w:rPr>
        <w:t xml:space="preserve">REPRESENTATIONS AND WARRANTIES OF BAKKT OPCO </w:t>
      </w:r>
    </w:p>
    <w:p>
      <w:pPr>
        <w:pStyle w:val="TextBody"/>
        <w:spacing w:before="120" w:after="0"/>
        <w:jc w:val="left"/>
        <w:rPr>
          <w:rFonts w:ascii="Times New Roman" w:hAnsi="Times New Roman"/>
          <w:sz w:val="20"/>
        </w:rPr>
      </w:pPr>
      <w:r>
        <w:rPr>
          <w:rFonts w:ascii="Times New Roman" w:hAnsi="Times New Roman"/>
          <w:sz w:val="20"/>
        </w:rPr>
        <w:t>Bakkt Opco makes the following representations and warranties to VIH and Merger Sub as of the date of this Agreement and as of the Closing, except as disclosed by Bakkt Opco in the written Bakkt Disclosure Letter provided to VIH dated as of the date of this Agreement (the </w:t>
      </w:r>
      <w:r>
        <w:rPr>
          <w:rFonts w:ascii="Times New Roman" w:hAnsi="Times New Roman"/>
          <w:sz w:val="20"/>
          <w:u w:val="single"/>
        </w:rPr>
        <w:t>Bakkt Disclosure Letter</w:t>
      </w:r>
      <w:r>
        <w:rPr>
          <w:rFonts w:ascii="Times New Roman" w:hAnsi="Times New Roman"/>
          <w:sz w:val="20"/>
        </w:rPr>
        <w:t xml:space="preserve">), which shall be arranged in sections and subsections corresponding to the numbered and lettered sections and subsections contained in this </w:t>
      </w:r>
      <w:r>
        <w:rPr>
          <w:rFonts w:ascii="Times New Roman" w:hAnsi="Times New Roman"/>
          <w:sz w:val="20"/>
          <w:u w:val="single"/>
        </w:rPr>
        <w:t>Article III</w:t>
      </w:r>
      <w:r>
        <w:rPr>
          <w:rFonts w:ascii="Times New Roman" w:hAnsi="Times New Roman"/>
          <w:sz w:val="20"/>
        </w:rPr>
        <w:t xml:space="preserve">. The disclosure in any section or subsection of the Bakkt Disclosure Letter corresponding to any section or subsection of this </w:t>
      </w:r>
      <w:r>
        <w:rPr>
          <w:rFonts w:ascii="Times New Roman" w:hAnsi="Times New Roman"/>
          <w:sz w:val="20"/>
          <w:u w:val="single"/>
        </w:rPr>
        <w:t>Article III</w:t>
      </w:r>
      <w:r>
        <w:rPr>
          <w:rFonts w:ascii="Times New Roman" w:hAnsi="Times New Roman"/>
          <w:sz w:val="20"/>
        </w:rPr>
        <w:t xml:space="preserve"> shall qualify other sections and subsections in this </w:t>
      </w:r>
      <w:r>
        <w:rPr>
          <w:rFonts w:ascii="Times New Roman" w:hAnsi="Times New Roman"/>
          <w:sz w:val="20"/>
          <w:u w:val="single"/>
        </w:rPr>
        <w:t>Article III</w:t>
      </w:r>
      <w:r>
        <w:rPr>
          <w:rFonts w:ascii="Times New Roman" w:hAnsi="Times New Roman"/>
          <w:sz w:val="20"/>
        </w:rPr>
        <w:t xml:space="preserve"> so long as its relevance to such other section or subsection of this </w:t>
      </w:r>
      <w:r>
        <w:rPr>
          <w:rFonts w:ascii="Times New Roman" w:hAnsi="Times New Roman"/>
          <w:sz w:val="20"/>
          <w:u w:val="single"/>
        </w:rPr>
        <w:t>Article III</w:t>
      </w:r>
      <w:r>
        <w:rPr>
          <w:rFonts w:ascii="Times New Roman" w:hAnsi="Times New Roman"/>
          <w:sz w:val="20"/>
        </w:rPr>
        <w:t xml:space="preserve"> is reasonably clear on the face of the information disclosed therein. </w:t>
      </w:r>
    </w:p>
    <w:p>
      <w:pPr>
        <w:pStyle w:val="TextBody"/>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Due Organization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Bakkt Opco is duly organized, validly existing and in good standing under the Laws of the jurisdiction of its formation and has all necessary limited liability company or other power and authority to carry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its business as is currently conducted. Except as would not be materially adverse to Bakkt Opco and its Subsidiaries, taken as a whole, Bakkt Opco is duly licensed or qualified to do business and is in good standing in each jurisdiction in which the operation of its business as currently conducted makes such licensing or qualification necessary. </w:t>
      </w:r>
    </w:p>
    <w:p>
      <w:pPr>
        <w:pStyle w:val="TextBody"/>
        <w:spacing w:before="120" w:after="0"/>
        <w:jc w:val="left"/>
        <w:rPr>
          <w:rFonts w:ascii="Times New Roman" w:hAnsi="Times New Roman"/>
          <w:sz w:val="20"/>
        </w:rPr>
      </w:pPr>
      <w:r>
        <w:rPr>
          <w:rFonts w:ascii="Times New Roman" w:hAnsi="Times New Roman"/>
          <w:sz w:val="20"/>
        </w:rPr>
        <w:t xml:space="preserve">(b) Except as would not be materially adverse to Bakkt Opco and its Subsidiaries, taken as a whole, each of the Subsidiaries of Bakkt Opco is duly organized, validly existing and in good standing under the Laws of the jurisdiction of its formation, has all necessary limited liability company or other power and authority to carry on its business as is currently conducted and is duly licensed or qualified to do business and is in good standing in each jurisdiction in which the operation of its business as currently conducted makes such licensing or qualification necessary. Each of Bakkt Opco and its Subsidiaries are not in violation of any provision of their respective Organizational Documents in any material respect. </w:t>
      </w:r>
    </w:p>
    <w:p>
      <w:pPr>
        <w:pStyle w:val="TextBody"/>
        <w:spacing w:before="240" w:after="0"/>
        <w:jc w:val="left"/>
        <w:rPr>
          <w:rFonts w:ascii="Times New Roman" w:hAnsi="Times New Roman"/>
          <w:sz w:val="20"/>
        </w:rPr>
      </w:pPr>
      <w:r>
        <w:rPr>
          <w:rFonts w:ascii="Times New Roman" w:hAnsi="Times New Roman"/>
          <w:sz w:val="20"/>
        </w:rPr>
        <w:t xml:space="preserve">(c) Section 3.1(c) of the Bakkt Disclosure Letter lists for each of Bakkt Opco and its Subsidiaries the jurisdiction of organization, all jurisdictions in which it is so qualified to conduct business and all names other than its legal name under which it does business. Bakkt Opco has provided or made available to VIH accurate and complete copies of the Organizational Documents of Bakkt Opco and each of its Subsidiaries as amended to date and as currently in effect. </w:t>
      </w:r>
    </w:p>
    <w:p>
      <w:pPr>
        <w:pStyle w:val="TextBody"/>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Authorization; No Conflict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Bakkt Opco has full limited liability company power and authority to enter into this Agreement and the Transaction Documents to which it is a party, to carry out its obligations hereunder and thereunder and to consummate the Transactions. The execution and delivery by Bakkt Opco of this Agreement and the Transaction Documents to which it is a party, the performance by Bakkt Opco of its obligations hereunder and thereunder and the consummation by Bakkt Opco of the Transactions have been duly authorized by all requisite limited liability company action on the part of Bakkt Opco. This Agreement has been duly and validly executed and delivered by Bakkt Opco, and (assuming due authorization, execution and delivery by any other applicable parties thereto) constitutes, or upon such delivery constitutes, a legal, valid and binding obligation of Bakkt Opco enforceable against Bakkt Opco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(the </w:t>
      </w:r>
      <w:r>
        <w:rPr>
          <w:rFonts w:ascii="Times New Roman" w:hAnsi="Times New Roman"/>
          <w:sz w:val="20"/>
          <w:u w:val="single"/>
        </w:rPr>
        <w:t>Enforcement Exceptions</w:t>
      </w:r>
      <w:r>
        <w:rPr>
          <w:rFonts w:ascii="Times New Roman" w:hAnsi="Times New Roman"/>
          <w:sz w:val="20"/>
        </w:rPr>
        <w:t xml:space="preserve">). Bakkt Opcos Board of Managers, unanimously and in accordance with Bakkt Opcos Organizational Documents: (i) determined that this Agreement, the Transaction Documents and the Merger and the other Transactions are advisable, fair to, and in the best interests of, Bakkt Opco and its members, (ii) approved this Agreement, the Transactions and the Merger and the other Transactions in accordance with the DLLCA, (iii) directed that this Agreement be submitted to Bakkt Opcos members for adoption and (iv) recommended that Bakkt Opcos members adopt this Agreement. The Bakkt Equity Holders Approval constitutes the requisite vote of the holders of Bakkt Interests to adopt and approve this Agreement, the Transaction Documents, the Merger and the other Transactions in accordance with the DLLCA and Bakkt Opcos Organizational Documents. </w:t>
      </w:r>
    </w:p>
    <w:p>
      <w:pPr>
        <w:pStyle w:val="TextBody"/>
        <w:spacing w:before="120" w:after="0"/>
        <w:jc w:val="left"/>
        <w:rPr>
          <w:rFonts w:ascii="Times New Roman" w:hAnsi="Times New Roman"/>
          <w:sz w:val="20"/>
        </w:rPr>
      </w:pPr>
      <w:r>
        <w:rPr>
          <w:rFonts w:ascii="Times New Roman" w:hAnsi="Times New Roman"/>
          <w:sz w:val="20"/>
        </w:rPr>
        <w:t xml:space="preserve">(b) Except the required Regulatory Filings, or as otherwise set forth on Section 3.2(b) of the Bakkt Disclosure Letter, the execution, delivery and performance of this Agreement and the Transaction Documents by Bakkt Opco and its Subsidiaries, and the consummation of the Transactions, do not and will not, with or without notice, lapse of time or both: (i) conflict with or result in a breach or violation of the Organizational Documents of Bakkt Opco or any of its Subsidiaries; (ii) require any material consent, waiver, approval, declaration or authorization of, or notice to or filing with, any Governmental Authority; or (iii) 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of the properties or assets of Bakkt Opco or any of its Subsidiaries under, give any Person the right to declare a default, exercise any remedy, claim a rebate, chargeback or penalty, accelerate the maturity or performance under, or require any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consent, waiver, approval, notice, filing, declaration or authorization under, any Material Contract or any material Permit necessary to, in each case in all material respects, lawfully conduct its business as presently conducted, and to own, lease and operate its assets and properties (each a </w:t>
      </w:r>
      <w:r>
        <w:rPr>
          <w:rFonts w:ascii="Times New Roman" w:hAnsi="Times New Roman"/>
          <w:sz w:val="20"/>
          <w:u w:val="single"/>
        </w:rPr>
        <w:t>Material Permit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Capitalization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Section 3.3(a) of the Bakkt Disclosure Letter sets forth a correct and complete list of all of the issued and outstanding, or reserved for issuance, limited liability company interests or other Equity Interests of Bakkt Opco and each of its Subsidiaries set forth on Section 3.1(c) of the Bakkt Disclosure Letter and the holders thereof. All outstanding Equity Interests in Bakkt Opco and each of its Subsidiaries (i) have been duly authorized and validly issued, (ii) with respect to the Subsidiaries of Bakkt Opco that are corporations, are fully paid and nonassessable, (iii) were not issued in violation of (or subject to) any preemptive rights (including any preemptive rights set forth in the Organizational Documents of Bakkt Opco or such Subsidiary, as applicable), rights of first refusal or similar rights and (iv) are owned free and clear of any Liens other than those created or imposed (x) under Bakkt Opcos or any of its Subsidiaries Organizational Documents, as applicable, (y) under applicable securities Laws or (z) except to the extent Bakkt Opco has actual knowledge (without having conducted any investigation or inquiry) thereof, by Persons other than the Majority Bakkt Equity Holder, Bakkt Opco or any of Bakkt Opcos Subsidiaries. Except as set forth in Section 3.3(a) of the Bakkt Disclosure Letter there are no options, warrants, equity securities, calls, rights, commitments or agreements (including agreements for convertible equity securities) to which Bakkt Opco or any of its Subsidiaries is a party or by which Bakkt Opco or any of its Subsidiaries is bound obligating Bakkt Opco or such Subsidiary, as applicable, to issue, exchange, transfer, deliver or sell, or cause to be issued, exchanged, transferred, delivered or sold additional Equity Interests of Bakkt Opco or any of its Subsidiaries or obligating the Bakkt Opco or any of its Subsidiaries to enter into any commitment or agreement containing such obligation. As a result of the consummation of the Transactions, except as expressly contemplated by this Agreement and the Transaction Documents, no Equity Interests of Bakkt Opco or any of its Subsidiaries are issuable. </w:t>
      </w:r>
    </w:p>
    <w:p>
      <w:pPr>
        <w:pStyle w:val="TextBody"/>
        <w:spacing w:before="120" w:after="0"/>
        <w:jc w:val="left"/>
        <w:rPr>
          <w:rFonts w:ascii="Times New Roman" w:hAnsi="Times New Roman"/>
          <w:sz w:val="20"/>
        </w:rPr>
      </w:pPr>
      <w:r>
        <w:rPr>
          <w:rFonts w:ascii="Times New Roman" w:hAnsi="Times New Roman"/>
          <w:sz w:val="20"/>
        </w:rPr>
        <w:t xml:space="preserve">(b) All of the issued and outstanding Equity Interests of Bakkt Opco and its Subsidiaries have been granted, offered, sold and issued in material compliance with all applicable securities Laws. Except as set forth in the Organizational Documents of Bakkt Opco or its Subsidiaries, as applicable, there are no voting trusts, proxies, shareholder agreements or any other agreements or understandings with respect to the voting of the Equity Interests of Bakkt Opco or its Subsidiaries. Except as set forth in the Organizational Documents of Bakkt Opco or its Subsidiaries, as applicable, there are no outstanding contractual obligations of Bakkt Opco or any of its Subsidiaries to repurchase, redeem or otherwise acquire any Equity Interests of Bakkt Opco or any of its Subsidiaries, nor has Bakkt Opco or any of its Subsidiaries granted any registration rights to any Person with respect to any Equity Interests of Bakkt Opco or any of its Subsidiaries. As a result of the consummation of the Transactions, except as expressly contemplated by this Agreement and the Transaction Documents, no rights in connection with any interests, warrants, rights, options or other securities of Bakkt Opco or any of its Subsidiaries accelerate or otherwise become triggered (whether as to vesting, exercisability, convertibility or otherwise). </w:t>
      </w:r>
    </w:p>
    <w:p>
      <w:pPr>
        <w:pStyle w:val="TextBody"/>
        <w:spacing w:before="120" w:after="0"/>
        <w:jc w:val="left"/>
        <w:rPr>
          <w:rFonts w:ascii="Times New Roman" w:hAnsi="Times New Roman"/>
          <w:sz w:val="20"/>
        </w:rPr>
      </w:pPr>
      <w:r>
        <w:rPr>
          <w:rFonts w:ascii="Times New Roman" w:hAnsi="Times New Roman"/>
          <w:sz w:val="20"/>
        </w:rPr>
        <w:t xml:space="preserve">(c) Except as set forth on Section 3.3(c) of the Bakkt Disclosure Letter, neither Bakkt Opco nor any of its Subsidiaries owns any Equity Interest in any Person (other than Bakkt Opco or one of its Subsidiaries), nor are such parties a participant in any joint venture, partnership, limited liability company, trust, association or other noncorporate entity (other than Bakkt Opco or any of its Subsidiaries). There are no outstanding contractual obligations of Bakkt Opco or any of its Subsidiaries to make any investment (in the form of a loan, capital contribution or otherwise) in, any other Person. </w:t>
      </w:r>
    </w:p>
    <w:p>
      <w:pPr>
        <w:pStyle w:val="TextBody"/>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Section 3.4(a) of the Bakkt Disclosure Letter sets forth the true, correct and complete copies of the following financial statements (collectively, the </w:t>
      </w:r>
      <w:r>
        <w:rPr>
          <w:rFonts w:ascii="Times New Roman" w:hAnsi="Times New Roman"/>
          <w:sz w:val="20"/>
          <w:u w:val="single"/>
        </w:rPr>
        <w:t>Financial Statements</w:t>
      </w:r>
      <w:r>
        <w:rPr>
          <w:rFonts w:ascii="Times New Roman" w:hAnsi="Times New Roman"/>
          <w:sz w:val="20"/>
        </w:rPr>
        <w:t xml:space="preserve">): (i) each of Bakkt Opcos audited consolidated financial statements consisting of the consolidated balance sheets as of December 31, 2019 and December 31, 2018, respectively, and the related statements of income, statements of members equity and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statements of cash flows for period beginning upon the formation of Bakkt Opco on July 31, 2018 (the </w:t>
      </w:r>
      <w:r>
        <w:rPr>
          <w:rFonts w:ascii="Times New Roman" w:hAnsi="Times New Roman"/>
          <w:sz w:val="20"/>
          <w:u w:val="single"/>
        </w:rPr>
        <w:t>Formation Date</w:t>
      </w:r>
      <w:r>
        <w:rPr>
          <w:rFonts w:ascii="Times New Roman" w:hAnsi="Times New Roman"/>
          <w:sz w:val="20"/>
        </w:rPr>
        <w:t>) through December 31, 2018 and the year ended December 31, 2019; and (ii) Bakkt Opcos unaudited consolidated balance sheet as of November 30, 2020 (the </w:t>
      </w:r>
      <w:r>
        <w:rPr>
          <w:rFonts w:ascii="Times New Roman" w:hAnsi="Times New Roman"/>
          <w:sz w:val="20"/>
          <w:u w:val="single"/>
        </w:rPr>
        <w:t>Most Recent Balance Sheet Date</w:t>
      </w:r>
      <w:r>
        <w:rPr>
          <w:rFonts w:ascii="Times New Roman" w:hAnsi="Times New Roman"/>
          <w:sz w:val="20"/>
        </w:rPr>
        <w:t xml:space="preserve">) and the related statement of income and statement of cash flows for the eleven (11) months then ended. Subject, in the case of unaudited interim period financial statements, to the absence of footnotes and normal recurring year-end audit adjustments applied consistent with past practice, none of which are or would be material, individually or in the aggregate, the Financial Statements (including the notes thereto) and the PCAOB Financial Statements will, when delivered to VIH pursuant to </w:t>
      </w:r>
      <w:r>
        <w:rPr>
          <w:rFonts w:ascii="Times New Roman" w:hAnsi="Times New Roman"/>
          <w:sz w:val="20"/>
          <w:u w:val="single"/>
        </w:rPr>
        <w:t>Section 5.9(b)</w:t>
      </w:r>
      <w:r>
        <w:rPr>
          <w:rFonts w:ascii="Times New Roman" w:hAnsi="Times New Roman"/>
          <w:sz w:val="20"/>
        </w:rPr>
        <w:t>: (i) have been prepared from the Books and Records of Bakkt Opco and its Subsidiaries and (except as may be indicated in the notes thereto)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in accordance with past practices throughout the periods covered thereby, and (ii) fairly present in all material respects the consolidated financial condition and results of operations and cash flows of Bakkt Opco and its Subsidiaries as of the dates, and for the periods, indicated thereon. Since the Most Recent Balance Sheet Date, there have been no material changes in the accounting policies of the Bakkt Opco or any of its Subsidiaries and no revaluation of the Bakkt Opcos or any of its Subsidiaries properties or assets. None of Bakkt Opco or any of its Subsidiaries are subject to the reporting requirements of Section 13(a) or 15(d) of the Exchange Act. The PCAOB Financial Statements, when delivered by VIH for inclusion in the Registration Statement, including the Proxy Statement, for filing with the SEC following the date of this Agreement in accordance with </w:t>
      </w:r>
      <w:r>
        <w:rPr>
          <w:rFonts w:ascii="Times New Roman" w:hAnsi="Times New Roman"/>
          <w:sz w:val="20"/>
          <w:u w:val="single"/>
        </w:rPr>
        <w:t>Section 5.9(b)</w:t>
      </w:r>
      <w:r>
        <w:rPr>
          <w:rFonts w:ascii="Times New Roman" w:hAnsi="Times New Roman"/>
          <w:sz w:val="20"/>
        </w:rPr>
        <w:t xml:space="preserve">, will comply in all material respects with the applicable accounting requirements and with the rules and regulations of the SEC and the Securities Act in effect as of such date. </w:t>
      </w:r>
    </w:p>
    <w:p>
      <w:pPr>
        <w:pStyle w:val="TextBody"/>
        <w:spacing w:before="120" w:after="0"/>
        <w:jc w:val="left"/>
        <w:rPr>
          <w:rFonts w:ascii="Times New Roman" w:hAnsi="Times New Roman"/>
          <w:sz w:val="20"/>
        </w:rPr>
      </w:pPr>
      <w:r>
        <w:rPr>
          <w:rFonts w:ascii="Times New Roman" w:hAnsi="Times New Roman"/>
          <w:sz w:val="20"/>
        </w:rPr>
        <w:t xml:space="preserve">(b) The independent auditor for Bakkt Opco, with respect to its report as will be included in the PCAOB Financial Statements, is an independent registered public accounting firm within the meaning of the Securities Act and the applicable rules and regulations adopted by the SEC and, with respect to the PCAOB Financial Statements, the PCAOB. </w:t>
      </w:r>
    </w:p>
    <w:p>
      <w:pPr>
        <w:pStyle w:val="TextBody"/>
        <w:spacing w:before="120" w:after="0"/>
        <w:jc w:val="left"/>
        <w:rPr>
          <w:rFonts w:ascii="Times New Roman" w:hAnsi="Times New Roman"/>
          <w:sz w:val="20"/>
        </w:rPr>
      </w:pPr>
      <w:r>
        <w:rPr>
          <w:rFonts w:ascii="Times New Roman" w:hAnsi="Times New Roman"/>
          <w:sz w:val="20"/>
        </w:rPr>
        <w:t xml:space="preserve">(c) Bakkt Opco and its Subsidiaries maintain, in all material respects, accurate and complete books and records reflecting the assets and Liabilities of Bakkt Opco and its Subsidiaries and maintain, in all material respects, proper and adequate internal accounting controls that are designed to provide reasonable assurance that (i) transactions are executed with managements authorization and (ii) transactions are recorded as necessary to permit preparation of the financial statements of Bakkt Opco and its Subsidiaries and to maintain accountability for Bakkt Opcos and its Subsidiaries assets and Liabilities. Neither Bakkt Opco nor any of its Subsidiaries has been subject to or involved in any fraud that involves management or other employees who have a significant role in the internal controls over financial reporting of Bakkt Opco or any of its Subsidiaries. From the Formation Date, neither Bakkt Opco nor any of its Subsidiaries has received any adverse material written complaint, allegation, assertion or claim regarding the accounting or auditing practices, procedures or methodologies of Bakkt Opco or any of its Subsidiaries or their internal accounting controls. Neither Bakkt Opco nor any of its Subsidiaries have any Bakkt Indebtedness other than the Bakkt Indebtedness as set forth on Section 3.4(c) of the Bakkt Disclosure Letter, and in such amounts (including principal and any accrued but unpaid interest), as set forth on Section 3.4(c) of the Bakkt Disclosure Letter. </w:t>
      </w:r>
    </w:p>
    <w:p>
      <w:pPr>
        <w:pStyle w:val="TextBody"/>
        <w:spacing w:before="120" w:after="0"/>
        <w:jc w:val="left"/>
        <w:rPr>
          <w:rFonts w:ascii="Times New Roman" w:hAnsi="Times New Roman"/>
          <w:sz w:val="20"/>
        </w:rPr>
      </w:pPr>
      <w:r>
        <w:rPr>
          <w:rFonts w:ascii="Times New Roman" w:hAnsi="Times New Roman"/>
          <w:sz w:val="20"/>
        </w:rPr>
        <w:t>(d) Except as set forth on Section 3.4(d) of the Bakkt Disclosure Letter, Bakkt Opco and its Subsidiaries do not have any material liabilities or obligations (whether accrued, absolute, contingent, unknown or otherwise) of the type required to be accrued on or reserved against in a consolidated balance sheet prepared in accordance with GAAP (collectively, </w:t>
      </w:r>
      <w:r>
        <w:rPr>
          <w:rFonts w:ascii="Times New Roman" w:hAnsi="Times New Roman"/>
          <w:sz w:val="20"/>
          <w:u w:val="single"/>
        </w:rPr>
        <w:t>Liabilities</w:t>
      </w:r>
      <w:r>
        <w:rPr>
          <w:rFonts w:ascii="Times New Roman" w:hAnsi="Times New Roman"/>
          <w:sz w:val="20"/>
        </w:rPr>
        <w:t xml:space="preserve">), except (i) Liabilities accrued on or reserved against in the Most Recent Balance Sheet or disclosed in the notes thereto or in the notes to the other Financial Statements, (ii) Liabilities that have arisen since the date of the Most Recent Balance Sheet in the ordinary course of business, (iii) Liabilities incurred in connection with the Transactions, and (iv) Liabilities disclosed on another section of the Bakkt Disclosure Letter. </w:t>
      </w:r>
    </w:p>
    <w:p>
      <w:pPr>
        <w:pStyle w:val="TextBody"/>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Absence of Changes</w:t>
      </w:r>
      <w:r>
        <w:rPr>
          <w:rFonts w:ascii="Times New Roman" w:hAnsi="Times New Roman"/>
          <w:sz w:val="20"/>
        </w:rPr>
        <w:t xml:space="preserve">. Since the Most Recent Balance Sheet Date, except for any actions expressly contemplated by this Agreement (including under </w:t>
      </w:r>
      <w:r>
        <w:rPr>
          <w:rFonts w:ascii="Times New Roman" w:hAnsi="Times New Roman"/>
          <w:sz w:val="20"/>
          <w:u w:val="single"/>
        </w:rPr>
        <w:t>Section 5.1</w:t>
      </w:r>
      <w:r>
        <w:rPr>
          <w:rFonts w:ascii="Times New Roman" w:hAnsi="Times New Roman"/>
          <w:sz w:val="20"/>
        </w:rPr>
        <w:t xml:space="preserve">), the Transaction Documents or the Transactions, (a) Bakkt Opco and each of its Subsidiaries has conducted its business in the ordinary course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business in all material respects, (b) there has not been any event, action or omission that, if taken or omitted during the period from the date of this Agreement through the Effective Time, would constitute a violation of </w:t>
      </w:r>
      <w:r>
        <w:rPr>
          <w:rFonts w:ascii="Times New Roman" w:hAnsi="Times New Roman"/>
          <w:sz w:val="20"/>
          <w:u w:val="single"/>
        </w:rPr>
        <w:t>Section 5.1</w:t>
      </w:r>
      <w:r>
        <w:rPr>
          <w:rFonts w:ascii="Times New Roman" w:hAnsi="Times New Roman"/>
          <w:sz w:val="20"/>
        </w:rPr>
        <w:t xml:space="preserve">, and (c) there has not been any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Real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Neither Bakkt Opco nor any of its Subsidiaries owns or has owned since the Formation Date, any Real Property. Neither Bakkt Opco nor any of its Subsidiaries is a party to any Real Property Lease other than the Bakkt Leased Real Property set forth in Section 3.6(b) of the Bakkt Disclosure Letter. </w:t>
      </w:r>
    </w:p>
    <w:p>
      <w:pPr>
        <w:pStyle w:val="TextBody"/>
        <w:spacing w:before="120" w:after="0"/>
        <w:jc w:val="left"/>
        <w:rPr>
          <w:rFonts w:ascii="Times New Roman" w:hAnsi="Times New Roman"/>
          <w:sz w:val="20"/>
        </w:rPr>
      </w:pPr>
      <w:r>
        <w:rPr>
          <w:rFonts w:ascii="Times New Roman" w:hAnsi="Times New Roman"/>
          <w:sz w:val="20"/>
        </w:rPr>
        <w:t xml:space="preserve">(b) Section 3.6(b) of the Bakkt Disclosure Letter sets forth a correct and complete listing of all Bakkt Leased Real Property (including street address, lessor and lessee). Except as would not be material to Bakkt Opco and its Subsidiaries, taken as a whole, either Bakkt Opco or its Subsidiaries, as applicable, has a valid leasehold interest to the leasehold estate in the Bakkt Leased Real Property granted to Bakkt Opco or such Subsidiary, as applicable, pursuant to the applicable Real Property Lease (subject to Permitted Liens), a true and correct copy of which (including all material amendments and modifications thereof or material waivers thereto) has been provided or made available to VIH prior to the date hereof. Except as set forth on Section 3.6(b) of the Bakkt Disclosure Letter, there are no parties other than Bakkt Opco and/or its Subsidiaries in possession of or having the right to use or occupy any portion of the Bakkt Leased Real Property, and, to the knowledge of the Bakkt Opco, no Contract grants any Person (other than Bakkt Opco and its Subsidiaries) the right of use or occupancy of any portion of the Bakkt Leased Real Property. </w:t>
      </w:r>
    </w:p>
    <w:p>
      <w:pPr>
        <w:pStyle w:val="TextBody"/>
        <w:spacing w:before="120" w:after="0"/>
        <w:jc w:val="left"/>
        <w:rPr>
          <w:rFonts w:ascii="Times New Roman" w:hAnsi="Times New Roman"/>
          <w:sz w:val="20"/>
        </w:rPr>
      </w:pPr>
      <w:r>
        <w:rPr>
          <w:rFonts w:ascii="Times New Roman" w:hAnsi="Times New Roman"/>
          <w:sz w:val="20"/>
        </w:rPr>
        <w:t xml:space="preserve">(c) To the knowledge of Bakkt Opco, there are no pending or threatened condemnation proceedings, lawsuits or administrative actions relating to any portion of the Bakkt Real Property, nor has Bakkt Opco or any of its Subsidiaries received notice of any pending or threatened special assessment proceedings affecting any portion of the Bakkt Real Property. </w:t>
      </w:r>
    </w:p>
    <w:p>
      <w:pPr>
        <w:pStyle w:val="TextBody"/>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would not be materially adverse to Bakkt Opco and its Subsidiaries, taken as a whole, (i) Bakkt Opco and its Subsidiaries, collectively, have good and valid title to, or a valid leasehold interest in, all of the assets, properties, and rights owned or leased by, or otherwise used in the business of, Bakkt Opco and its Subsidiaries, free and clear of all Liens (other than Permitted Liens) and (ii) all of the tangible assets, properties and rights owned by Bakkt Opco and its Subsidiaries have been maintained in a reasonably prudent manner and are in good operating condition and repair, ordinary wear and tear excepted and are located on the Bakkt Leased Real Property. None of Bakkt Opco or any of its Subsidiaries is the subject of any bankruptcy, dissolution, liquidation, reorganization or similar proceeding. </w:t>
      </w:r>
    </w:p>
    <w:p>
      <w:pPr>
        <w:pStyle w:val="TextBody"/>
        <w:spacing w:before="120" w:after="0"/>
        <w:jc w:val="left"/>
        <w:rPr>
          <w:rFonts w:ascii="Times New Roman" w:hAnsi="Times New Roman"/>
          <w:sz w:val="20"/>
        </w:rPr>
      </w:pPr>
      <w:r>
        <w:rPr>
          <w:rFonts w:ascii="Times New Roman" w:hAnsi="Times New Roman"/>
          <w:sz w:val="20"/>
        </w:rPr>
        <w:t xml:space="preserve">(b) The assets, properties and rights owned or leased by, or otherwise used in the business of, Bakkt Opco and its Subsidiaries, collectively with the assets and services provided to Bakkt Pubco and Bakkt Opco and its Subsidiaries under the Contracts set forth on Section 3.19 of the Bakkt Disclosure Letter, constitute all of the material assets necessary to conduct the business of the Bakkt Opco and its Subsidiaries immediately after the Closing, in all material respects, as it has been operated for the previous six (6) months. </w:t>
      </w:r>
    </w:p>
    <w:p>
      <w:pPr>
        <w:pStyle w:val="TextBody"/>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Bakkt Opco is treated as a partnership for U.S. federal income tax purposes and will be so classified for all periods through and including the Closing Date, and at all times since its formation, Bakkt Opco has been treated either as an entity disregarded as separate from its owner or as a partnership for U.S. federal income tax purposes. Except as set forth on Section 3.8(a) of the Bakkt Disclosure Letter, each of Bakkt Opcos Subsidiaries is, and at all times since its formation has been, treated as a disregarded entity for U.S. federal income tax purposes and will be so classified for all periods through and including the Closing Date. </w:t>
      </w:r>
    </w:p>
    <w:p>
      <w:pPr>
        <w:pStyle w:val="TextBody"/>
        <w:spacing w:before="120" w:after="0"/>
        <w:jc w:val="left"/>
        <w:rPr>
          <w:rFonts w:ascii="Times New Roman" w:hAnsi="Times New Roman"/>
          <w:sz w:val="20"/>
        </w:rPr>
      </w:pPr>
      <w:r>
        <w:rPr>
          <w:rFonts w:ascii="Times New Roman" w:hAnsi="Times New Roman"/>
          <w:sz w:val="20"/>
        </w:rPr>
        <w:t xml:space="preserve">(b) Except as set forth on Section 3.8(b) of the Bakkt Disclosure Letter, each of Bakkt Opco and its Subsidiaries has timely filed (taking into account applicable extensions) all material Tax Returns that it was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required to file and such Tax Returns are correct and complete in all material respects. Neither Bakkt Opco nor any of its Subsidiaries is currently the beneficiary of any extension of time within which to file any material Tax Return other than extensions of time to file Tax Returns obtained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(c) Except as set forth on Section 3.8(c) of the Bakkt Disclosure Letter, all material Taxes and all material Tax liabilities of Bakkt Opco and its Subsidiaries that are due and payable have been timely paid in full to the appropriate taxing authorities. Any such Taxes or Tax liabilities that relate to a Pre-Closing Tax Period that are not yet due and payable (i) for periods covered by the Financial Statements have been properly accrued and adequately disclosed on the Financial Statements in accordance with GAAP, and (ii) for periods not covered by the Financial Statements have been properly accrued on the books and records of Bakkt Opco and its Subsidiaries in accordance with GAAP. </w:t>
      </w:r>
    </w:p>
    <w:p>
      <w:pPr>
        <w:pStyle w:val="TextBody"/>
        <w:spacing w:before="120" w:after="0"/>
        <w:jc w:val="left"/>
        <w:rPr>
          <w:rFonts w:ascii="Times New Roman" w:hAnsi="Times New Roman"/>
          <w:sz w:val="20"/>
        </w:rPr>
      </w:pPr>
      <w:r>
        <w:rPr>
          <w:rFonts w:ascii="Times New Roman" w:hAnsi="Times New Roman"/>
          <w:sz w:val="20"/>
        </w:rPr>
        <w:t xml:space="preserve">(d) Except as set forth on Section 3.8(d) of the Bakkt Disclosure Letter, Bakkt Opco and each of its Subsidiaries have withheld or collected all material Taxes required by Law to have been withheld or collected and, to the extent required, timely paid over such Taxes to the appropriate Governmental Authorities. </w:t>
      </w:r>
    </w:p>
    <w:p>
      <w:pPr>
        <w:pStyle w:val="TextBody"/>
        <w:spacing w:before="120" w:after="0"/>
        <w:jc w:val="left"/>
        <w:rPr>
          <w:rFonts w:ascii="Times New Roman" w:hAnsi="Times New Roman"/>
          <w:sz w:val="20"/>
        </w:rPr>
      </w:pPr>
      <w:r>
        <w:rPr>
          <w:rFonts w:ascii="Times New Roman" w:hAnsi="Times New Roman"/>
          <w:sz w:val="20"/>
        </w:rPr>
        <w:t xml:space="preserve">(e) Except as set forth on Section 3.8(e) of the Bakkt Disclosure Letter, neither Bakkt Opco nor any of its Subsidiaries is currently, nor has been within the past three (3) years, the subject of any material Tax Proceeding by any Governmental Authority and no such Tax Proceeding is pending or, to the knowledge of Bakkt Opco or its Subsidiaries, threatened or contemplated. </w:t>
      </w:r>
    </w:p>
    <w:p>
      <w:pPr>
        <w:pStyle w:val="TextBody"/>
        <w:spacing w:before="120" w:after="0"/>
        <w:jc w:val="left"/>
        <w:rPr>
          <w:rFonts w:ascii="Times New Roman" w:hAnsi="Times New Roman"/>
          <w:sz w:val="20"/>
        </w:rPr>
      </w:pPr>
      <w:r>
        <w:rPr>
          <w:rFonts w:ascii="Times New Roman" w:hAnsi="Times New Roman"/>
          <w:sz w:val="20"/>
        </w:rPr>
        <w:t xml:space="preserve">(f) Except as set forth on Section 3.8(f) of the Bakkt Disclosure Letter, neither Bakkt Opco nor any of its Subsidiaries has waived any statute of limitations with respect to material Taxes or agreed to extend the period for assessment or collection of any material Taxes, which waiver or extension is still in effect. Neither Bakkt Opco nor any of its Subsidiaries is presently contesting a material Tax liability of Bakkt Opco or such Subsidiary, as applicable, before any taxing authority or other Governmental Authority. </w:t>
      </w:r>
    </w:p>
    <w:p>
      <w:pPr>
        <w:pStyle w:val="TextBody"/>
        <w:spacing w:before="120" w:after="0"/>
        <w:jc w:val="left"/>
        <w:rPr>
          <w:rFonts w:ascii="Times New Roman" w:hAnsi="Times New Roman"/>
          <w:sz w:val="20"/>
        </w:rPr>
      </w:pPr>
      <w:r>
        <w:rPr>
          <w:rFonts w:ascii="Times New Roman" w:hAnsi="Times New Roman"/>
          <w:sz w:val="20"/>
        </w:rPr>
        <w:t xml:space="preserve">(g) There are no Liens for Taxes upon the assets of Bakkt Opco or any of its Subsidiaries other than Permitted Liens. </w:t>
      </w:r>
    </w:p>
    <w:p>
      <w:pPr>
        <w:pStyle w:val="TextBody"/>
        <w:spacing w:before="120" w:after="0"/>
        <w:jc w:val="left"/>
        <w:rPr>
          <w:rFonts w:ascii="Times New Roman" w:hAnsi="Times New Roman"/>
          <w:sz w:val="20"/>
        </w:rPr>
      </w:pPr>
      <w:r>
        <w:rPr>
          <w:rFonts w:ascii="Times New Roman" w:hAnsi="Times New Roman"/>
          <w:sz w:val="20"/>
        </w:rPr>
        <w:t xml:space="preserve">(h) Except as set forth on Section 3.8(h) of the Bakkt Disclosure Letter, no written claim has been made within the past three (3) years by any taxing authority in a jurisdiction where Bakkt Opco or any of its Subsidiaries does not file Tax Returns that Bakkt Opco or such Subsidiary, as applicable, is or may be subject to material taxation by that jurisdiction. </w:t>
      </w:r>
    </w:p>
    <w:p>
      <w:pPr>
        <w:pStyle w:val="TextBody"/>
        <w:spacing w:before="120" w:after="0"/>
        <w:jc w:val="left"/>
        <w:rPr>
          <w:rFonts w:ascii="Times New Roman" w:hAnsi="Times New Roman"/>
          <w:sz w:val="20"/>
        </w:rPr>
      </w:pPr>
      <w:r>
        <w:rPr>
          <w:rFonts w:ascii="Times New Roman" w:hAnsi="Times New Roman"/>
          <w:sz w:val="20"/>
        </w:rPr>
        <w:t xml:space="preserve">(i) Except as set forth on Section 3.8(i) of the Bakkt Disclosure Letter, neither Bakkt Opco nor any of its Subsidiaries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Bakkt Opco or any of its Subsidiaries pursuant to Section 481 of the Code or any similar provision of the Code or the corresponding Tax Laws of any nation, state or locality. </w:t>
      </w:r>
    </w:p>
    <w:p>
      <w:pPr>
        <w:pStyle w:val="TextBody"/>
        <w:spacing w:before="120" w:after="0"/>
        <w:jc w:val="left"/>
        <w:rPr>
          <w:rFonts w:ascii="Times New Roman" w:hAnsi="Times New Roman"/>
          <w:sz w:val="20"/>
        </w:rPr>
      </w:pPr>
      <w:r>
        <w:rPr>
          <w:rFonts w:ascii="Times New Roman" w:hAnsi="Times New Roman"/>
          <w:sz w:val="20"/>
        </w:rPr>
        <w:t xml:space="preserve">(j) Neither Bakkt Opco nor any of its Subsidiaries has any Liabilities for material Taxes of any other Person (other than Bakkt Opco or any of its Subsidiaries) as a successor or transferee, by Contract, by operation of Law, or otherwise (other than pursuant to any Commercial Tax Agreement). Neither Bakkt Opco nor any of its Subsidiaries is party to or bound by any Tax Sharing Agreement. </w:t>
      </w:r>
    </w:p>
    <w:p>
      <w:pPr>
        <w:pStyle w:val="TextBody"/>
        <w:spacing w:before="120" w:after="0"/>
        <w:jc w:val="left"/>
        <w:rPr>
          <w:rFonts w:ascii="Times New Roman" w:hAnsi="Times New Roman"/>
          <w:sz w:val="20"/>
        </w:rPr>
      </w:pPr>
      <w:r>
        <w:rPr>
          <w:rFonts w:ascii="Times New Roman" w:hAnsi="Times New Roman"/>
          <w:sz w:val="20"/>
        </w:rPr>
        <w:t xml:space="preserve">(k) Neither Bakkt Opco nor any of its Subsidiaries has engaged in a listed transaction within the meaning of Treasury Regulations Section 1.6011-4(b). </w:t>
      </w:r>
    </w:p>
    <w:p>
      <w:pPr>
        <w:pStyle w:val="TextBody"/>
        <w:spacing w:before="120" w:after="0"/>
        <w:jc w:val="left"/>
        <w:rPr>
          <w:rFonts w:ascii="Times New Roman" w:hAnsi="Times New Roman"/>
          <w:sz w:val="20"/>
        </w:rPr>
      </w:pPr>
      <w:r>
        <w:rPr>
          <w:rFonts w:ascii="Times New Roman" w:hAnsi="Times New Roman"/>
          <w:sz w:val="20"/>
        </w:rPr>
        <w:t xml:space="preserve">(l) No election has been made under Treasury Regulation Section 301.9100-22 (or any similar provision of state, local, or non-U.S. Laws) with respect to Bakkt Opco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Notwithstanding any other provision in this Agreement, the representations and warranties in this </w:t>
      </w:r>
      <w:r>
        <w:rPr>
          <w:rFonts w:ascii="Times New Roman" w:hAnsi="Times New Roman"/>
          <w:sz w:val="20"/>
          <w:u w:val="single"/>
        </w:rPr>
        <w:t>Section 3.8</w:t>
      </w:r>
      <w:r>
        <w:rPr>
          <w:rFonts w:ascii="Times New Roman" w:hAnsi="Times New Roman"/>
          <w:sz w:val="20"/>
        </w:rPr>
        <w:t xml:space="preserve"> and </w:t>
      </w:r>
      <w:r>
        <w:rPr>
          <w:rFonts w:ascii="Times New Roman" w:hAnsi="Times New Roman"/>
          <w:sz w:val="20"/>
          <w:u w:val="single"/>
        </w:rPr>
        <w:t>Section 3.9</w:t>
      </w:r>
      <w:r>
        <w:rPr>
          <w:rFonts w:ascii="Times New Roman" w:hAnsi="Times New Roman"/>
          <w:sz w:val="20"/>
        </w:rPr>
        <w:t xml:space="preserve"> are the only representations and warranties of Bakkt Opco with respect to Tax matters.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Employee Benefit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Section 3.9(a) of the Bakkt Disclosure Letter sets forth a complete list of each material Bakkt Benefit Plan, Bakkt Benefit Arrangement and Parent Benefit Plan. With respect to each material Bakkt Benefit Plan, Bakkt Benefit Arrangement and Parent Benefit Plan, Bakkt Opco has made available to VIH, to the extent applicable, true, complete and correct copies of (A) such Bakkt Benefit Plan, Bakkt Benefit Arrangement and Parent Benefit Plan (or, if not written, a written summary of its material terms) and all plan documents, trust agreements, insurance Contracts or other funding vehicles and all amendments thereto, (B) the most recent summary plan descriptions, including any summary of material modifications, (C) the three (3) most recent annual reports (Form 5500 series) filed with the Internal Revenue Service (</w:t>
      </w:r>
      <w:r>
        <w:rPr>
          <w:rFonts w:ascii="Times New Roman" w:hAnsi="Times New Roman"/>
          <w:sz w:val="20"/>
          <w:u w:val="single"/>
        </w:rPr>
        <w:t>IRS</w:t>
      </w:r>
      <w:r>
        <w:rPr>
          <w:rFonts w:ascii="Times New Roman" w:hAnsi="Times New Roman"/>
          <w:sz w:val="20"/>
        </w:rPr>
        <w:t>) with respect to such Bakkt Benefit Plan, Bakkt Benefit Arrangement and Parent Benefit Plan, (D) the most recent actuarial report or other financial statement relating to such Bakkt Benefit Plan, Bakkt Benefit Arrangement and Parent Benefit Plan, (E) the most recent determination or opinion letter, if any, issued by the IRS with respect to such Bakkt Benefit Plan, Bakkt Benefit Arrangement and Parent Benefit Plan and any pending request for such a determination letter and (F) all material correspondence to or from the IRS, the United States Department of Labor (</w:t>
      </w:r>
      <w:r>
        <w:rPr>
          <w:rFonts w:ascii="Times New Roman" w:hAnsi="Times New Roman"/>
          <w:sz w:val="20"/>
          <w:u w:val="single"/>
        </w:rPr>
        <w:t>DOL</w:t>
      </w:r>
      <w:r>
        <w:rPr>
          <w:rFonts w:ascii="Times New Roman" w:hAnsi="Times New Roman"/>
          <w:sz w:val="20"/>
        </w:rPr>
        <w:t xml:space="preserve">), the Pension Benefit Guaranty Corporation or any other Governmental Authority received in the last three (3) years with respect to such Bakkt Benefit Plan, Bakkt Benefit Arrangement or Parent Benefit Plan. </w:t>
      </w:r>
    </w:p>
    <w:p>
      <w:pPr>
        <w:pStyle w:val="TextBody"/>
        <w:spacing w:before="120" w:after="0"/>
        <w:jc w:val="left"/>
        <w:rPr>
          <w:rFonts w:ascii="Times New Roman" w:hAnsi="Times New Roman"/>
          <w:sz w:val="20"/>
        </w:rPr>
      </w:pPr>
      <w:r>
        <w:rPr>
          <w:rFonts w:ascii="Times New Roman" w:hAnsi="Times New Roman"/>
          <w:sz w:val="20"/>
        </w:rPr>
        <w:t>(b) Each Qualified Plan has received a favorable determination letter, or is the subject of a favorable advisory or opinion letter as to its qualification, issued by the IRS to the effect that such plan is qualified and the trust related thereto is exempt from federal income taxes under Sections 401(a) and 501(a), respectively, of the Code, and, to the knowledge of Bakkt Opco, no act or omission in the operation of such plan has occurred that would reasonably be expected to adversely affect its qualified status. Each Bakkt Benefit Plan and each Bakkt Benefit Arrangement has been administered in all material respects in accordance with its terms and with all applicable Laws, including ERISA, the Code, the Patient Protection and Affordable Care Act (</w:t>
      </w:r>
      <w:r>
        <w:rPr>
          <w:rFonts w:ascii="Times New Roman" w:hAnsi="Times New Roman"/>
          <w:sz w:val="20"/>
          <w:u w:val="single"/>
        </w:rPr>
        <w:t>ACA</w:t>
      </w:r>
      <w:r>
        <w:rPr>
          <w:rFonts w:ascii="Times New Roman" w:hAnsi="Times New Roman"/>
          <w:sz w:val="20"/>
        </w:rPr>
        <w:t xml:space="preserve">) and the Health Insurance Portability and Accountability Act. Neither Bakkt Opco nor any of its Subsidiaries is liable for any penalty or excise taxes assessable under ACA. Each individual classified as an independent contractor or other non-employee classification by Bakkt Opco or any of its Subsidiaries has been properly classified for purposes of participation and benefit accrual under each Bakkt Benefit Plan and Bakkt Benefit Arrangement, except as would not be materially adverse to Bakkt Opco and its Subsidiaries, taken as a whole. No Bakkt Benefit Plan or Bakkt Benefit Arrangement is maintained outside the jurisdiction of the United States or covers any employees or other service providers of Bakkt Opco or any of its Subsidiaries who reside or work outside of the United States. </w:t>
      </w:r>
    </w:p>
    <w:p>
      <w:pPr>
        <w:pStyle w:val="TextBody"/>
        <w:spacing w:before="120" w:after="0"/>
        <w:jc w:val="left"/>
        <w:rPr>
          <w:rFonts w:ascii="Times New Roman" w:hAnsi="Times New Roman"/>
          <w:sz w:val="20"/>
        </w:rPr>
      </w:pPr>
      <w:r>
        <w:rPr>
          <w:rFonts w:ascii="Times New Roman" w:hAnsi="Times New Roman"/>
          <w:sz w:val="20"/>
        </w:rPr>
        <w:t xml:space="preserve">(c) Neither Bakkt Opco nor any of its Subsidiaries has, from the Formation Date maintained, sponsored or been required to contribute to any Pension Plan or Multiemployer Plan. There are no current or contingent Liabilities that would be imposed upon Bakkt Opco or any of its Subsidiaries with respect to any Pension Plan or Multiemployer Plan maintained or previously maintained by an ERISA Affiliate or former ERISA Affiliate. </w:t>
      </w:r>
    </w:p>
    <w:p>
      <w:pPr>
        <w:pStyle w:val="TextBody"/>
        <w:spacing w:before="120" w:after="0"/>
        <w:jc w:val="left"/>
        <w:rPr>
          <w:rFonts w:ascii="Times New Roman" w:hAnsi="Times New Roman"/>
          <w:sz w:val="20"/>
        </w:rPr>
      </w:pPr>
      <w:r>
        <w:rPr>
          <w:rFonts w:ascii="Times New Roman" w:hAnsi="Times New Roman"/>
          <w:sz w:val="20"/>
        </w:rPr>
        <w:t xml:space="preserve">(d) Neither Bakkt Opco, any Bakkt Benefit Plan or Bakkt Benefit Arrangement, nor, to the knowledge of Bakkt Opco, any trustee, administrator or other third-party fiduciary and/or party-in-interest thereof, has engaged in any breach of fiduciary responsibility or any prohibited transaction (as such term is defined in Section 406 of ERISA or Section 4975 of the Code) to which Section 406 of ERISA or Section 4975 of the Code applies and which would subject Bakkt Opco or any ERISA Affiliate to the tax or penalty on prohibited transactions imposed by Section 4975 of the Code, which, assuming the taxable period of such transaction expired as of the date hereof, would be materially adverse to Bakkt Opco and its Subsidiaries, taken as a whole. </w:t>
      </w:r>
    </w:p>
    <w:p>
      <w:pPr>
        <w:pStyle w:val="TextBody"/>
        <w:spacing w:before="120" w:after="0"/>
        <w:jc w:val="left"/>
        <w:rPr>
          <w:rFonts w:ascii="Times New Roman" w:hAnsi="Times New Roman"/>
          <w:sz w:val="20"/>
        </w:rPr>
      </w:pPr>
      <w:r>
        <w:rPr>
          <w:rFonts w:ascii="Times New Roman" w:hAnsi="Times New Roman"/>
          <w:sz w:val="20"/>
        </w:rPr>
        <w:t xml:space="preserve">(e) There are no pending or, to the knowledge of Bakkt Opco, threatened Action or claims by, on behalf of, against or relating to any Bakkt Benefit Plan or Bakkt Benefit Arrangement (including any such claims against any fiduciary of any such Bakkt Benefit Plan or Bakkt Benefit Arrangement) or trust related thereto, which would be materially adverse to Bakkt Opco or its Subsidiaries, taken as a whole. No Bakkt Benefit Plan or Bakkt Benefit Arrangement has received notice of an audit or examination by any Governmental Authority (including the IRS and the DOL) from such Governmental Authority. </w:t>
      </w:r>
    </w:p>
    <w:p>
      <w:pPr>
        <w:pStyle w:val="TextBody"/>
        <w:spacing w:before="120" w:after="0"/>
        <w:jc w:val="left"/>
        <w:rPr>
          <w:rFonts w:ascii="Times New Roman" w:hAnsi="Times New Roman"/>
          <w:sz w:val="20"/>
        </w:rPr>
      </w:pPr>
      <w:r>
        <w:rPr>
          <w:rFonts w:ascii="Times New Roman" w:hAnsi="Times New Roman"/>
          <w:sz w:val="20"/>
        </w:rPr>
        <w:t xml:space="preserve">(f) No Bakkt Benefit Plan or Bakkt Benefit Arrangement contains any provision or is subject to any Law that, as a result of the Transactions or upon related, concurrent, or subsequent employment termination,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would require or provide any payment or compensation that would constitute an excess parachute payment under Section 280G of the Code. No Bakkt Benefit Plan or Bakkt Benefit Arrangement contains any provision or is subject to any Law that would promise or provide any tax gross ups or tax indemnification under Sections 280G or 409A of the Code. </w:t>
      </w:r>
    </w:p>
    <w:p>
      <w:pPr>
        <w:pStyle w:val="TextBody"/>
        <w:spacing w:before="120" w:after="0"/>
        <w:jc w:val="left"/>
        <w:rPr>
          <w:rFonts w:ascii="Times New Roman" w:hAnsi="Times New Roman"/>
          <w:sz w:val="20"/>
        </w:rPr>
      </w:pPr>
      <w:r>
        <w:rPr>
          <w:rFonts w:ascii="Times New Roman" w:hAnsi="Times New Roman"/>
          <w:sz w:val="20"/>
        </w:rPr>
        <w:t xml:space="preserve">(g) Except as expressly contemplated by this Agreement and the Transaction Documents,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severance or other compensation payable to any Person who is or has been an employee of or independent contractor to Bakkt Opco or one of its Subsidiaries (other than salaries, wages, or bonuses payable in the ordinary course of business) to increase or become due to any such Person, (ii) accelerate the time of payment, accrual, vesting, or funding of, creation of, or other rights in respect of any rights of any Person to benefits under any Bakkt Benefit Plan or Bakkt Benefit Arrangement, (iii) result in forgiveness of indebtedness with respect to any employee of Bakkt Opco or one of its Subsidiaries or (iv) trigger any funding obligation under any Bakkt Benefit Plan or Bakkt Benefit Arrangement. </w:t>
      </w:r>
    </w:p>
    <w:p>
      <w:pPr>
        <w:pStyle w:val="TextBody"/>
        <w:spacing w:before="120" w:after="0"/>
        <w:jc w:val="left"/>
        <w:rPr>
          <w:rFonts w:ascii="Times New Roman" w:hAnsi="Times New Roman"/>
          <w:sz w:val="20"/>
        </w:rPr>
      </w:pPr>
      <w:r>
        <w:rPr>
          <w:rFonts w:ascii="Times New Roman" w:hAnsi="Times New Roman"/>
          <w:sz w:val="20"/>
        </w:rPr>
        <w:t xml:space="preserve">(h) No Bakkt Benefit Plan or Bakkt Benefit Arrangement provides for post-employment medical, surgical, hospitalization, death or similar benefits (whether or not insured) for employees or former employees of Bakkt Opco or any Subsidiary, other than as required by COBRA or other applicable Laws, and none of Bakkt Opco or any of its Subsidiaries has any obligation to provide such benefits. </w:t>
      </w:r>
    </w:p>
    <w:p>
      <w:pPr>
        <w:pStyle w:val="TextBody"/>
        <w:spacing w:before="120" w:after="0"/>
        <w:jc w:val="left"/>
        <w:rPr>
          <w:rFonts w:ascii="Times New Roman" w:hAnsi="Times New Roman"/>
          <w:sz w:val="20"/>
        </w:rPr>
      </w:pPr>
      <w:r>
        <w:rPr>
          <w:rFonts w:ascii="Times New Roman" w:hAnsi="Times New Roman"/>
          <w:sz w:val="20"/>
        </w:rPr>
        <w:t xml:space="preserve">(i) The Bakkt Benefit Plans and Bakkt Benefit Arrangements have been documented and administered in accordance with Section 409A of the Code in all material respects. </w:t>
      </w:r>
    </w:p>
    <w:p>
      <w:pPr>
        <w:pStyle w:val="TextBody"/>
        <w:spacing w:before="120" w:after="0"/>
        <w:jc w:val="left"/>
        <w:rPr>
          <w:rFonts w:ascii="Times New Roman" w:hAnsi="Times New Roman"/>
          <w:sz w:val="20"/>
        </w:rPr>
      </w:pPr>
      <w:r>
        <w:rPr>
          <w:rFonts w:ascii="Times New Roman" w:hAnsi="Times New Roman"/>
          <w:sz w:val="20"/>
        </w:rPr>
        <w:t xml:space="preserve">(j) Each Parent Benefit Plan has been administered in all material respects in accordance with its terms and with all applicable Laws, except as would be materially adverse to Bakkt Opco and its Subsidiaries, taken as a whole. </w:t>
      </w:r>
    </w:p>
    <w:p>
      <w:pPr>
        <w:pStyle w:val="TextBody"/>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Labor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There are no material unresolved labor controversies (including unresolved grievances or discrimination claims) that are pending or, to the knowledge of Bakkt Opco, threatened between Bakkt Opco or one of its Subsidiaries and Persons who are or have been employees of Bakkt Opco or one of its Subsidiaries. </w:t>
      </w:r>
    </w:p>
    <w:p>
      <w:pPr>
        <w:pStyle w:val="TextBody"/>
        <w:spacing w:before="120" w:after="0"/>
        <w:jc w:val="left"/>
        <w:rPr>
          <w:rFonts w:ascii="Times New Roman" w:hAnsi="Times New Roman"/>
          <w:sz w:val="20"/>
        </w:rPr>
      </w:pPr>
      <w:r>
        <w:rPr>
          <w:rFonts w:ascii="Times New Roman" w:hAnsi="Times New Roman"/>
          <w:sz w:val="20"/>
        </w:rPr>
        <w:t xml:space="preserve">(b) Except as set forth in Section 3.10(b) of the Bakkt Disclosure Letter, (i) neither Bakkt Opco nor any of its Subsidiaries is a party to or bound by any collective bargaining agreement, trade union agreement, works council, or employee representative agreement, (ii) no such agreement is currently being negotiated, requested by, or is under discussion by Bakkt Opco or any of its Subsidiaries with, any employee or employee representative body, and (iii) there is no effort by or on behalf of any labor union or other collective labor organization to organize or represent any employees of Bakkt Opco or any of its Subsidiaries, and there have been no such efforts since the Formation Date, and no such organizing effort is threatened, and (iv) there are no representation or certification proceedings or petitions seeking a representation proceeding pending, threatened in writing, or to the knowledge of the Bakkt Opco, otherwise threatened to be brought or filed with the National Labor Relations Board or any other applicable labor relations authority. In the past three (3) years, there has been no actual or, to the knowledge of Bakkt Opco, threatened strike, slowdown, work stoppage, labor organization activity, lockout or other material labor dispute or similar activity against or affecting Bakkt Opco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(c) Bakkt Opco and each of its Subsidiaries is and have been for the past three (3) years, in compliance in all material respects with all applicable Laws respecting employment and employment practices, terms and conditions of employment, health and safety and wages and hours, and other Laws relating to discrimination, disability, labor relations, hours of work, payment of wages and overtime wages, payment for leave, pay equity, immigration, workers compensation, working conditions, employee scheduling, occupational safety and health, family and medical leave, and employee terminations, and has not received written or, to the knowledge of Bakkt Opco, oral notice that there is any pending Action involving unfair labor practices against Bakkt Opco or one of its Subsidiaries.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 In the past three (3) years, Bakkt Opco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 </w:t>
      </w:r>
    </w:p>
    <w:p>
      <w:pPr>
        <w:pStyle w:val="TextBody"/>
        <w:spacing w:before="120" w:after="0"/>
        <w:jc w:val="left"/>
        <w:rPr>
          <w:rFonts w:ascii="Times New Roman" w:hAnsi="Times New Roman"/>
          <w:sz w:val="20"/>
        </w:rPr>
      </w:pPr>
      <w:r>
        <w:rPr>
          <w:rFonts w:ascii="Times New Roman" w:hAnsi="Times New Roman"/>
          <w:sz w:val="20"/>
        </w:rPr>
        <w:t xml:space="preserve">(e) To the knowledge of Bakkt Opco, no present or former employee, worker or independent contractor of Bakkt Opco or any of its Subsidiaries is in material violation of (i) any restrictive covenant, nondisclosure obligation or fiduciary duty to Bakkt Opco or any of its Subsidiaries or (ii) any restrictive covenant or nondisclosure obligation to a former employer or engager of any such individual relating to (A) the right of any such individual to work for or provide services to Bakkt Opco or any of its Subsidiaries or (B) the knowledge or use of Trade Secrets, except for any such violation that would not be materially adverse to Bakkt Opco and its Subsidiaries, taken as a whole. </w:t>
      </w:r>
    </w:p>
    <w:p>
      <w:pPr>
        <w:pStyle w:val="TextBody"/>
        <w:spacing w:before="120" w:after="0"/>
        <w:jc w:val="left"/>
        <w:rPr>
          <w:rFonts w:ascii="Times New Roman" w:hAnsi="Times New Roman"/>
          <w:sz w:val="20"/>
        </w:rPr>
      </w:pPr>
      <w:r>
        <w:rPr>
          <w:rFonts w:ascii="Times New Roman" w:hAnsi="Times New Roman"/>
          <w:sz w:val="20"/>
        </w:rPr>
        <w:t xml:space="preserve">(f) In the past three (3) years, Bakkt Opco and its Subsidiaries have not engaged in layoffs, furloughs or employment terminations sufficient to trigger application of the Workers Adjustment and Retraining Notification Act or any similar state or local law relating to group terminations. Bakkt Opco and its Subsidiaries have not engaged in layoffs or furloughs or effected any broad-based salary or other compensation or benefits reductions as a result of or in response to the COVID-19 virus, in each case, whether temporary or permanent, since January 1, 2020. </w:t>
      </w:r>
    </w:p>
    <w:p>
      <w:pPr>
        <w:pStyle w:val="TextBody"/>
        <w:spacing w:before="120" w:after="0"/>
        <w:jc w:val="left"/>
        <w:rPr>
          <w:rFonts w:ascii="Times New Roman" w:hAnsi="Times New Roman"/>
          <w:sz w:val="20"/>
        </w:rPr>
      </w:pPr>
      <w:r>
        <w:rPr>
          <w:rFonts w:ascii="Times New Roman" w:hAnsi="Times New Roman"/>
          <w:sz w:val="20"/>
        </w:rPr>
        <w:t xml:space="preserve">(g) In the past three (3) years, (i) no allegations of sexual harassment or sexual misconduct have been made or threatened in writing, or, to the knowledge of Bakkt Opco, otherwise threatened to be made, against or involving any current or former officer, director or other employee at the level of Vice President or above by any current or former officer, employee or individual service provider of Bakkt Opco or any of its Subsidiaries, and (ii) neither Bakkt Opco nor any of its Subsidiaries has entered into any settlement agreements resolving, in whole or in part, allegations of sexual harassment or sexual misconduct by any current or former officer, director or other key employee. </w:t>
      </w:r>
    </w:p>
    <w:p>
      <w:pPr>
        <w:pStyle w:val="TextBody"/>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Compliance; Permits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Bakkt Opco is and has been since the Formation Date and each Bakkt Opco Subsidiary is and has been since the later of (i) its respective formation date, (ii) the date on which it was acquired by Bakkt Opco and (iii) the date that is five (5) years prior to the date hereof, conducting its business and operations in compliance in all material respects with all applicable Laws and Material Permits. Neither Bakkt Opco nor its Subsidiaries have received any written or, to the knowledge of the Bakkt Opco, oral communication from any Governmental Authority since the later of (i) such entitys respective formation date, (ii) the date on which it was acquired by Bakkt Opco and (iii) the date that is five (5) years prior to the date hereof, alleging noncompliance in any material respect with any applicable Law. </w:t>
      </w:r>
    </w:p>
    <w:p>
      <w:pPr>
        <w:pStyle w:val="TextBody"/>
        <w:spacing w:before="120" w:after="0"/>
        <w:jc w:val="left"/>
        <w:rPr>
          <w:rFonts w:ascii="Times New Roman" w:hAnsi="Times New Roman"/>
          <w:sz w:val="20"/>
        </w:rPr>
      </w:pPr>
      <w:r>
        <w:rPr>
          <w:rFonts w:ascii="Times New Roman" w:hAnsi="Times New Roman"/>
          <w:sz w:val="20"/>
        </w:rPr>
        <w:t xml:space="preserve">(b) Bakkt Opco and each of its Subsidiaries owns or holds the Material Permits. Section 3.11(b) of the Bakkt Disclosure Letter sets forth a correct and complete list and expiration dates of each Material Permit as of the date hereof. As of the date hereof, all of the Material Permits are in full force and effect, and no Action is pending, or, to Bakkt Opcos knowledge, threatened seeking the suspension or cancellation of any of the Material Permits. As of the date hereof, neither Bakkt Opco nor any of its Subsidiaries is in material default or material violation (and no event has occurred that, with notice or the lapse of time or both, would constitute a material default or material violation) of any term, condition or provision of any of its Material Permits.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Legal Proceedings</w:t>
      </w:r>
      <w:r>
        <w:rPr>
          <w:rFonts w:ascii="Times New Roman" w:hAnsi="Times New Roman"/>
          <w:sz w:val="20"/>
        </w:rPr>
        <w:t xml:space="preserve">. Except as set forth on Section 3.12 of the Bakkt Disclosure Letter, there is no Action pending or, to the knowledge of Bakkt Opco, threatened in writing, against Bakkt Opco or any of its Subsidiaries (and no Action has been brought, or to Bakkt Opcos knowledge, threatened, since January 1, 2018), and no notice of any Action involving or relating to Bakkt Opco or any of its Subsidiaries, whether pending or threatened, has been received by Bakkt Opco or any of its Subsidiaries in each case, except as would not be material to Bakkt Opco and its Subsidiaries, taken as a whole. To the knowledge of Bakkt Opco, as of the date hereof, there are no material investigations or Orders pending or rendered by a Governmental Authority against Bakkt Opco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Contracts and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Section 3.13(a) of the Bakkt Disclosure Letter sets forth a correct and complete list of the following Contracts to which Bakkt Opco or any of its Subsidiaries is a party or otherwise bound (the Contracts required to be set forth in Section 3.13(a) of the Bakkt Disclosure Letter collectively, the </w:t>
      </w:r>
      <w:r>
        <w:rPr>
          <w:rFonts w:ascii="Times New Roman" w:hAnsi="Times New Roman"/>
          <w:sz w:val="20"/>
          <w:u w:val="single"/>
        </w:rPr>
        <w:t>Material Contracts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each Contract that involved the expenditure or receipt by Bakkt Opco and its Subsidiaries of more than $150,000 in the aggregate during the twelve (12)-month period ending on December 31, 2019 or would involve the expenditure or receipt by Bakkt Opco and its Subsidiaries of more than $150,000 in the aggregate in the twelve (12)-month period ending December 31, 2020; </w:t>
      </w:r>
    </w:p>
    <w:p>
      <w:pPr>
        <w:pStyle w:val="TextBody"/>
        <w:spacing w:before="120" w:after="0"/>
        <w:jc w:val="left"/>
        <w:rPr>
          <w:rFonts w:ascii="Times New Roman" w:hAnsi="Times New Roman"/>
          <w:sz w:val="20"/>
        </w:rPr>
      </w:pPr>
      <w:r>
        <w:rPr>
          <w:rFonts w:ascii="Times New Roman" w:hAnsi="Times New Roman"/>
          <w:sz w:val="20"/>
        </w:rPr>
        <w:t xml:space="preserve">(ii) each Contract with any Related Party (other than (A) offer letters for employment on an at-will basis, (B) customary confidentiality, assignment of inventions and/or noncompetition or other similar arrangements and (C) Bakkt Benefit Plans and Bakkt Benefit Arrangements); </w:t>
      </w:r>
    </w:p>
    <w:p>
      <w:pPr>
        <w:pStyle w:val="TextBody"/>
        <w:spacing w:before="120" w:after="0"/>
        <w:jc w:val="left"/>
        <w:rPr>
          <w:rFonts w:ascii="Times New Roman" w:hAnsi="Times New Roman"/>
          <w:sz w:val="20"/>
        </w:rPr>
      </w:pPr>
      <w:r>
        <w:rPr>
          <w:rFonts w:ascii="Times New Roman" w:hAnsi="Times New Roman"/>
          <w:sz w:val="20"/>
        </w:rPr>
        <w:t xml:space="preserve">(iii) each Contract evidencing indebtedness in excess of $150,000, including any loan or credit agreement, security agreement, guaranty, indenture, mortgage, pledge, conditional sale or title retention agreement, equipment obligation or lease purchase agreement; </w:t>
      </w:r>
    </w:p>
    <w:p>
      <w:pPr>
        <w:pStyle w:val="TextBody"/>
        <w:spacing w:before="120" w:after="0"/>
        <w:jc w:val="left"/>
        <w:rPr>
          <w:rFonts w:ascii="Times New Roman" w:hAnsi="Times New Roman"/>
          <w:sz w:val="20"/>
        </w:rPr>
      </w:pPr>
      <w:r>
        <w:rPr>
          <w:rFonts w:ascii="Times New Roman" w:hAnsi="Times New Roman"/>
          <w:sz w:val="20"/>
        </w:rPr>
        <w:t xml:space="preserve">(iv) each Contract that prohibits the payment of dividends or distributions in respect of the Equity Interests of Bakkt Opco or its Subsidiaries or the pledging of the Equity Interests of Bakkt Opco or its Subsidiaries; </w:t>
      </w:r>
    </w:p>
    <w:p>
      <w:pPr>
        <w:pStyle w:val="TextBody"/>
        <w:spacing w:before="120" w:after="0"/>
        <w:jc w:val="left"/>
        <w:rPr>
          <w:rFonts w:ascii="Times New Roman" w:hAnsi="Times New Roman"/>
          <w:sz w:val="20"/>
        </w:rPr>
      </w:pPr>
      <w:r>
        <w:rPr>
          <w:rFonts w:ascii="Times New Roman" w:hAnsi="Times New Roman"/>
          <w:sz w:val="20"/>
        </w:rPr>
        <w:t xml:space="preserve">(v) all management and consultant contracts (excluding Contracts for employment or that do not exceed annual fees of $200,000 per year), including any Contracts involving the payment of royalties or other amounts calculated based upon the revenues or income of Bakkt Opco or its Subsidiaries or income or revenues related to any product or service of Bakkt Opco or its Subsidiaries; </w:t>
      </w:r>
    </w:p>
    <w:p>
      <w:pPr>
        <w:pStyle w:val="TextBody"/>
        <w:spacing w:before="120" w:after="0"/>
        <w:jc w:val="left"/>
        <w:rPr>
          <w:rFonts w:ascii="Times New Roman" w:hAnsi="Times New Roman"/>
          <w:sz w:val="20"/>
        </w:rPr>
      </w:pPr>
      <w:r>
        <w:rPr>
          <w:rFonts w:ascii="Times New Roman" w:hAnsi="Times New Roman"/>
          <w:sz w:val="20"/>
        </w:rPr>
        <w:t xml:space="preserve">(vi) each Real Property Lease; </w:t>
      </w:r>
    </w:p>
    <w:p>
      <w:pPr>
        <w:pStyle w:val="TextBody"/>
        <w:spacing w:before="120" w:after="0"/>
        <w:jc w:val="left"/>
        <w:rPr>
          <w:rFonts w:ascii="Times New Roman" w:hAnsi="Times New Roman"/>
          <w:sz w:val="20"/>
        </w:rPr>
      </w:pPr>
      <w:r>
        <w:rPr>
          <w:rFonts w:ascii="Times New Roman" w:hAnsi="Times New Roman"/>
          <w:sz w:val="20"/>
        </w:rPr>
        <w:t xml:space="preserve">(vii) each license, in each case that is material to the business of Bakkt Opco or any of its Subsidiaries, pursuant to which Bakkt Opco or any of its Subsidiaries grants or receives rights in, or to use, any material Intellectual Property, except Contracts for (A) off-the-shelf Software with annual fees that do not exceed annual fees of $150,000 per year which are readily commercially available, and (B) Intellectual Property granted by Bakkt Opco or any of its Subsidiaries to customers in the ordinary course of business or service providers solely for the purpose of performing services on Bakkt Opcos or any of its Subsidiaries behalf; </w:t>
      </w:r>
    </w:p>
    <w:p>
      <w:pPr>
        <w:pStyle w:val="TextBody"/>
        <w:spacing w:before="120" w:after="0"/>
        <w:jc w:val="left"/>
        <w:rPr>
          <w:rFonts w:ascii="Times New Roman" w:hAnsi="Times New Roman"/>
          <w:sz w:val="20"/>
        </w:rPr>
      </w:pPr>
      <w:r>
        <w:rPr>
          <w:rFonts w:ascii="Times New Roman" w:hAnsi="Times New Roman"/>
          <w:sz w:val="20"/>
        </w:rPr>
        <w:t xml:space="preserve">(viii) each Contract for the (A) disposition (whether by merger, consolidation, sale of equity or assets or otherwise) of any significant portion of the assets or business of Bakkt Opco and its Subsidiaries, taken as a whole, (B) acquisition of any significant portion of the assets or business or any Equity Interests (whether by merger, consolidation, purchase of equity or assets or otherwise) of any other Person (other than in the ordinary course of business), or (C) acquisition of at least one percent (1%) of Equity Interests of Bakkt Opco or any of its Subsidiaries (other than by Bakkt Opco and its Subsidiaries and any exercise of Bakkt Opco Warrants and Bakkt Opco Incentive Units), in each case, entered into since the Formation Date; </w:t>
      </w:r>
    </w:p>
    <w:p>
      <w:pPr>
        <w:pStyle w:val="TextBody"/>
        <w:spacing w:before="120" w:after="0"/>
        <w:jc w:val="left"/>
        <w:rPr>
          <w:rFonts w:ascii="Times New Roman" w:hAnsi="Times New Roman"/>
          <w:sz w:val="20"/>
        </w:rPr>
      </w:pPr>
      <w:r>
        <w:rPr>
          <w:rFonts w:ascii="Times New Roman" w:hAnsi="Times New Roman"/>
          <w:sz w:val="20"/>
        </w:rPr>
        <w:t xml:space="preserve">(ix) each Contract that limits or purports to limit, directly or indirectly, the freedom of Bakkt Opco or its Subsidiaries (A) to compete in any line of business or with any Person or engage in any line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business within any geographic area, or restricts, directly or indirectly, Bakkt Opcos or its Subsidiaries ability to solicit or hire any Person or solicit business from any Person or (B) from purchasing or acquiring an interest in any other Person; </w:t>
      </w:r>
    </w:p>
    <w:p>
      <w:pPr>
        <w:pStyle w:val="TextBody"/>
        <w:spacing w:before="120" w:after="0"/>
        <w:jc w:val="left"/>
        <w:rPr>
          <w:rFonts w:ascii="Times New Roman" w:hAnsi="Times New Roman"/>
          <w:sz w:val="20"/>
        </w:rPr>
      </w:pPr>
      <w:r>
        <w:rPr>
          <w:rFonts w:ascii="Times New Roman" w:hAnsi="Times New Roman"/>
          <w:sz w:val="20"/>
        </w:rPr>
        <w:t xml:space="preserve">(x) each Contract that contains a put, call, right of first refusal, right of first offer or similar right pursuant to which Bakkt Opco or its Subsidiaries would be required to, directly or indirectly, purchase or sell, as applicable, any securities, capital stock or other interests, assets or business of any other Person; </w:t>
      </w:r>
    </w:p>
    <w:p>
      <w:pPr>
        <w:pStyle w:val="TextBody"/>
        <w:spacing w:before="120" w:after="0"/>
        <w:jc w:val="left"/>
        <w:rPr>
          <w:rFonts w:ascii="Times New Roman" w:hAnsi="Times New Roman"/>
          <w:sz w:val="20"/>
        </w:rPr>
      </w:pPr>
      <w:r>
        <w:rPr>
          <w:rFonts w:ascii="Times New Roman" w:hAnsi="Times New Roman"/>
          <w:sz w:val="20"/>
        </w:rPr>
        <w:t xml:space="preserve">(xi) each Contract concerning the establishment or operation of a partnership, joint venture, profit or revenue sharing, limited liability company, trust, association, any noncorporate entity or similar enterprise; </w:t>
      </w:r>
    </w:p>
    <w:p>
      <w:pPr>
        <w:pStyle w:val="TextBody"/>
        <w:spacing w:before="120" w:after="0"/>
        <w:jc w:val="left"/>
        <w:rPr>
          <w:rFonts w:ascii="Times New Roman" w:hAnsi="Times New Roman"/>
          <w:sz w:val="20"/>
        </w:rPr>
      </w:pPr>
      <w:r>
        <w:rPr>
          <w:rFonts w:ascii="Times New Roman" w:hAnsi="Times New Roman"/>
          <w:sz w:val="20"/>
        </w:rPr>
        <w:t xml:space="preserve">(xii) any collective bargaining (or similar) agreement or Contract between Bakkt Opco or any of its Subsidiaries, on one hand, and any labor union or other body representing employees of Bakkt Opco or any of its Subsidiaries, on the other hand; </w:t>
      </w:r>
    </w:p>
    <w:p>
      <w:pPr>
        <w:pStyle w:val="TextBody"/>
        <w:spacing w:before="120" w:after="0"/>
        <w:jc w:val="left"/>
        <w:rPr>
          <w:rFonts w:ascii="Times New Roman" w:hAnsi="Times New Roman"/>
          <w:sz w:val="20"/>
        </w:rPr>
      </w:pPr>
      <w:r>
        <w:rPr>
          <w:rFonts w:ascii="Times New Roman" w:hAnsi="Times New Roman"/>
          <w:sz w:val="20"/>
        </w:rPr>
        <w:t xml:space="preserve">(xiii) each Contract that is an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 </w:t>
      </w:r>
    </w:p>
    <w:p>
      <w:pPr>
        <w:pStyle w:val="TextBody"/>
        <w:spacing w:before="120" w:after="0"/>
        <w:jc w:val="left"/>
        <w:rPr>
          <w:rFonts w:ascii="Times New Roman" w:hAnsi="Times New Roman"/>
          <w:sz w:val="20"/>
        </w:rPr>
      </w:pPr>
      <w:r>
        <w:rPr>
          <w:rFonts w:ascii="Times New Roman" w:hAnsi="Times New Roman"/>
          <w:sz w:val="20"/>
        </w:rPr>
        <w:t xml:space="preserve">(xiv) each Contract entered into in connection with a material settlement under which Bakkt Opco or any of its Subsidiaries has material outstanding obligations; </w:t>
      </w:r>
    </w:p>
    <w:p>
      <w:pPr>
        <w:pStyle w:val="TextBody"/>
        <w:spacing w:before="120" w:after="0"/>
        <w:jc w:val="left"/>
        <w:rPr>
          <w:rFonts w:ascii="Times New Roman" w:hAnsi="Times New Roman"/>
          <w:sz w:val="20"/>
        </w:rPr>
      </w:pPr>
      <w:r>
        <w:rPr>
          <w:rFonts w:ascii="Times New Roman" w:hAnsi="Times New Roman"/>
          <w:sz w:val="20"/>
        </w:rPr>
        <w:t xml:space="preserve">(xv) each supervisory Contract with a Governmental Authority and terms of conditional approvals from any Governmental Authority for any License or Permit other than Contracts for which the disclosure is prohibited by applicable Law; or </w:t>
      </w:r>
    </w:p>
    <w:p>
      <w:pPr>
        <w:pStyle w:val="TextBody"/>
        <w:spacing w:before="120" w:after="0"/>
        <w:jc w:val="left"/>
        <w:rPr>
          <w:rFonts w:ascii="Times New Roman" w:hAnsi="Times New Roman"/>
          <w:sz w:val="20"/>
        </w:rPr>
      </w:pPr>
      <w:r>
        <w:rPr>
          <w:rFonts w:ascii="Times New Roman" w:hAnsi="Times New Roman"/>
          <w:sz w:val="20"/>
        </w:rPr>
        <w:t xml:space="preserve">(xvi) will be required to be filed with the Registration Statement under applicable SEC requirements or would otherwise be required to be filed by Bakkt Opco as an exhibit for a Form S-1 pursuant to Items 601(b)(1), (2), (4), (9) or (10) of Regulation S-K under the Securities Act as if Bakkt Opco was the registrant. </w:t>
      </w:r>
    </w:p>
    <w:p>
      <w:pPr>
        <w:pStyle w:val="TextBody"/>
        <w:spacing w:before="120" w:after="0"/>
        <w:jc w:val="left"/>
        <w:rPr>
          <w:rFonts w:ascii="Times New Roman" w:hAnsi="Times New Roman"/>
          <w:sz w:val="20"/>
        </w:rPr>
      </w:pPr>
      <w:r>
        <w:rPr>
          <w:rFonts w:ascii="Times New Roman" w:hAnsi="Times New Roman"/>
          <w:sz w:val="20"/>
        </w:rPr>
        <w:t xml:space="preserve">(b) Except as would not be materially adverse to Bakkt Opco and its Subsidiaries, taken as a whole, (i) each Material Contract is in full force and effect and is a legal, valid, binding and enforceable obligation of Bakkt Opco or its applicable Subsidiary and, to the knowledge of Bakkt Opco, each other party thereto (subject in each case to the Enforcement Exceptions); and (ii) neither Bakkt Opco, any of its Subsidiaries nor, to the knowledge of Bakkt Opco, any other party to any Material Contract, is in material violation, material breach or material default under, any Material Contract, and, to the knowledge of Bakkt Opco, there exists no condition or event which, after notice, lapse of time or both, would constitute any such violation, breach or default; (iii) neither Bakkt Opco nor any of its Subsidiaries has received written, or to the knowledge of Bakkt Opco, oral notice of default or termination under any Material Contract; and (iv) neither Bakkt Opco nor its Subsidiaries have waived any material rights under any Material Contract. </w:t>
      </w:r>
    </w:p>
    <w:p>
      <w:pPr>
        <w:pStyle w:val="TextBody"/>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Except as would not be materially adverse to Bakkt Opco or any of its Subsidiaries, (i) all of the Intellectual Property registrations and applications that are owned by Bakkt Opco or any of its Subsidiaries in any jurisdiction, alone or jointly with others (collectively, </w:t>
      </w:r>
      <w:r>
        <w:rPr>
          <w:rFonts w:ascii="Times New Roman" w:hAnsi="Times New Roman"/>
          <w:sz w:val="20"/>
          <w:u w:val="single"/>
        </w:rPr>
        <w:t>Registered Bakkt IP</w:t>
      </w:r>
      <w:r>
        <w:rPr>
          <w:rFonts w:ascii="Times New Roman" w:hAnsi="Times New Roman"/>
          <w:sz w:val="20"/>
        </w:rPr>
        <w:t xml:space="preserve">) are registered or filed in the name of Bakkt Opco or one of its Subsidiaries, without any Liens (except Permitted Liens) and with all fees paid and other filings made to the extent required to maintain such Registered Bakkt IP and protect the ownership interests of Bakkt Opco or its Subsidiaries therein, (ii) to the knowledge of Bakkt Opco, all of the Registered Bakkt IP, excluding applications, are valid and enforceable. </w:t>
      </w:r>
    </w:p>
    <w:p>
      <w:pPr>
        <w:pStyle w:val="TextBody"/>
        <w:spacing w:before="120" w:after="0"/>
        <w:jc w:val="left"/>
        <w:rPr>
          <w:rFonts w:ascii="Times New Roman" w:hAnsi="Times New Roman"/>
          <w:sz w:val="20"/>
        </w:rPr>
      </w:pPr>
      <w:r>
        <w:rPr>
          <w:rFonts w:ascii="Times New Roman" w:hAnsi="Times New Roman"/>
          <w:sz w:val="20"/>
        </w:rPr>
        <w:t xml:space="preserve">(b) Except as would not be material to Bakkt Opco or any of its Subsidiaries, (i) each item of Intellectual Property required for the operation of the business of Bakkt Opco or any of its Subsidiaries as it is currently conducted is owned by Bakkt Opco or its relevant Subsidiary or otherwise licensed by Bakkt Opco or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A-19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relevant Subsidiary for use as it is currently used or contemplated for use, and (ii) Bakkt Opco, together with its Subsidiaries, owns or otherwise has the right to use all Bakkt IP free and clear of any (x) Liens (except Permitted Liens), (y) Orders restricting its use, and (z) without obligations on Bakkt Opco or its Subsidiaries to pay royalties, licensing fees or any other duty of accounting to any third party. </w:t>
      </w:r>
    </w:p>
    <w:p>
      <w:pPr>
        <w:pStyle w:val="TextBody"/>
        <w:spacing w:before="120" w:after="0"/>
        <w:jc w:val="left"/>
        <w:rPr>
          <w:rFonts w:ascii="Times New Roman" w:hAnsi="Times New Roman"/>
          <w:sz w:val="20"/>
        </w:rPr>
      </w:pPr>
      <w:r>
        <w:rPr>
          <w:rFonts w:ascii="Times New Roman" w:hAnsi="Times New Roman"/>
          <w:sz w:val="20"/>
        </w:rPr>
        <w:t xml:space="preserve">(c) Except as would not be material to Bakkt Opco or any of its Subsidiaries, (i) Bakkt Opco and each of its Subsidiaries has taken commercially reasonable measures to maintain and protect the secrecy and confidentiality of all Trade Secrets and other confidential information, in each case, included in the Bakkt IP, and (ii) to the knowledge of Bakkt Opco, there has been no misappropriation or unauthorized disclosure of any such Trade Secrets including (x) no violations of the policies or practices of Bakkt Opco or its Subsidiaries related to the protection of the Trade Secrets included in the Bakkt IP or (y) breaches by any Person of any confidentiality or nondisclosure contract relating to the Trade Secrets included in the Bakkt IP. </w:t>
      </w:r>
    </w:p>
    <w:p>
      <w:pPr>
        <w:pStyle w:val="TextBody"/>
        <w:spacing w:before="120" w:after="0"/>
        <w:jc w:val="left"/>
        <w:rPr>
          <w:rFonts w:ascii="Times New Roman" w:hAnsi="Times New Roman"/>
          <w:sz w:val="20"/>
        </w:rPr>
      </w:pPr>
      <w:r>
        <w:rPr>
          <w:rFonts w:ascii="Times New Roman" w:hAnsi="Times New Roman"/>
          <w:sz w:val="20"/>
        </w:rPr>
        <w:t xml:space="preserve">(d) To the knowledge of Bakkt Opco, and except as would not be material to Bakkt Opco or any of its Subsidiaries (i) the conduct of the respective businesses of Bakkt Opco and its Subsidiaries does not currently infringe, misappropriate or violate, and has not since the Formation Date infringed, misappropriated or violated, any Intellectual Property of any other Person, and (ii) no Person is, or since the Formation Date has been, infringing, violating or misappropriating any Bakkt IP. Since the Formation Date, neither Bakkt Opco nor any of its Subsidiaries have received any written notice, offer to license or claim from any Person (x) challenging the validity of the Bakkt IP or ownership rights of Bakkt Opco or its Subsidiaries in the Bakkt IP, or (y) alleging that Bakkt Opco, its Subsidiaries, or the operation of their respective businesses infringe, misappropriate or otherwise violate the Intellectual Property of any third party. The representations and warranties in this </w:t>
      </w:r>
      <w:r>
        <w:rPr>
          <w:rFonts w:ascii="Times New Roman" w:hAnsi="Times New Roman"/>
          <w:sz w:val="20"/>
          <w:u w:val="single"/>
        </w:rPr>
        <w:t>Section 3.14(d)</w:t>
      </w:r>
      <w:r>
        <w:rPr>
          <w:rFonts w:ascii="Times New Roman" w:hAnsi="Times New Roman"/>
          <w:sz w:val="20"/>
        </w:rPr>
        <w:t xml:space="preserve"> constitute the sole and exclusive representations and warranties of Bakkt Opco relating to the infringement, misappropriation or violation of any Intellectual Property of any Person. </w:t>
      </w:r>
    </w:p>
    <w:p>
      <w:pPr>
        <w:pStyle w:val="TextBody"/>
        <w:spacing w:before="120" w:after="0"/>
        <w:jc w:val="left"/>
        <w:rPr>
          <w:rFonts w:ascii="Times New Roman" w:hAnsi="Times New Roman"/>
          <w:sz w:val="20"/>
        </w:rPr>
      </w:pPr>
      <w:r>
        <w:rPr>
          <w:rFonts w:ascii="Times New Roman" w:hAnsi="Times New Roman"/>
          <w:sz w:val="20"/>
        </w:rPr>
        <w:t xml:space="preserve">(e) Except as would not be material to Bakkt Opco or any of its Subsidiaries, (i) neither Bakkt Opco nor any of its Subsidiaries distributes or otherwise uses any Public Software in a manner that would obligate Bakkt Opco or any of its Subsidiaries to disclose, license, make available or distribute any source code or other works of authorship or Trade Secrets that, in each case of the foregoing, constitute Bakkt IP as a condition of such distribution or use of such Public Software, and (ii) neither Bakkt Opco nor any of its Subsidiaries is subject to any obligation to deliver possession to any holder of an escrow of any source code or other works of authorship that, in each case of the foregoing, constitute Bakkt IP, nor has Bakkt Opco or its Subsidiaries delivered any such materials to any holder of an escrow. </w:t>
      </w:r>
    </w:p>
    <w:p>
      <w:pPr>
        <w:pStyle w:val="TextBody"/>
        <w:spacing w:before="120" w:after="0"/>
        <w:jc w:val="left"/>
        <w:rPr>
          <w:rFonts w:ascii="Times New Roman" w:hAnsi="Times New Roman"/>
          <w:sz w:val="20"/>
        </w:rPr>
      </w:pPr>
      <w:r>
        <w:rPr>
          <w:rFonts w:ascii="Times New Roman" w:hAnsi="Times New Roman"/>
          <w:sz w:val="20"/>
        </w:rPr>
        <w:t xml:space="preserve">(f) Except as would not be to be material to Bakkt Opco or any of its Subsidiaries, (i) all Persons (including employees, consultants and independent contractors of Bakkt Opco or any of its Subsidiaries) who were or are involved in the creation, development, design or modification of any Bakkt IP have entered into, with respect to Bakkt Opco or such Subsidiary, valid and binding written agreements expressly assigning to Bakkt Opco or such Subsidiary all of their right, title and interest in and to the same that does not initially vest in Bakkt Opco or its Subsidiaries by operation of law, and (ii) to the knowledge of Bakkt Opco, no third party owns Intellectual Property covering work that such Person has contributed to Bakkt Opco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Data Privacy and IT Systems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To the knowledge of Bakkt Opco, the Software, computer hardware, firmware, networks, interfaces, Bakkt Software, and related systems used by Bakkt Opco or any of its Subsidiaries in connection with the operation of the business of Bakkt Opco or any of its Subsidiaries (collectively, </w:t>
      </w:r>
      <w:r>
        <w:rPr>
          <w:rFonts w:ascii="Times New Roman" w:hAnsi="Times New Roman"/>
          <w:sz w:val="20"/>
          <w:u w:val="single"/>
        </w:rPr>
        <w:t>Computer Systems</w:t>
      </w:r>
      <w:r>
        <w:rPr>
          <w:rFonts w:ascii="Times New Roman" w:hAnsi="Times New Roman"/>
          <w:sz w:val="20"/>
        </w:rPr>
        <w:t xml:space="preserve">), in the past three (3) years, have not suffered any material failure, crash, security incident or data breach that has had a material effect on the security of the Computer Systems or the information stored therein, or caused material disruption to the business or operations of Bakkt Opco or any of its Subsidiaries. Except as would not be material to Bakkt Opco or any of its Subsidiaries, Bakkt Opco and its Subsidiaries have implemented, and have used commercially reasonable efforts to ensure that their third party vendors who handle personal information or help facilitate transactions as part of the business and operation of Bakkt Opco implement, adequate policies and commercially reasonable security measures regarding the integrity, security, confidentiality and availability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Computer Systems that Bakkt Opco and its Subsidiaries own or use and the information stored therein, such as providing for the back-up and recovery of material data and implementing disaster recovery plans and procedures. </w:t>
      </w:r>
    </w:p>
    <w:p>
      <w:pPr>
        <w:pStyle w:val="TextBody"/>
        <w:spacing w:before="120" w:after="0"/>
        <w:jc w:val="left"/>
        <w:rPr>
          <w:rFonts w:ascii="Times New Roman" w:hAnsi="Times New Roman"/>
          <w:sz w:val="20"/>
        </w:rPr>
      </w:pPr>
      <w:r>
        <w:rPr>
          <w:rFonts w:ascii="Times New Roman" w:hAnsi="Times New Roman"/>
          <w:sz w:val="20"/>
        </w:rPr>
        <w:t>(b) In connection with its collection, storage, transfer (including, without limitation, any transfer across national borders), processing, retention, safeguarding, security, disclosure, disposal, sale, and/or use of any personal information, business and proprietary information or Sensitive Data, Bakkt Opco and its Subsidiaries are in material compliance with (i) all applicable privacy, security and data protection Laws in all relevant jurisdictions, (ii) Bakkt Opcos and any of its Subsidiaries current privacy policies and (iii) the requirements of any contract or codes of conduct to which Bakkt Opco or any of its Subsidiaries is a party or is subject, in each case, relating to privacy, security and data protection (collectively, the </w:t>
      </w:r>
      <w:r>
        <w:rPr>
          <w:rFonts w:ascii="Times New Roman" w:hAnsi="Times New Roman"/>
          <w:sz w:val="20"/>
          <w:u w:val="single"/>
        </w:rPr>
        <w:t>Data Privacy Practices</w:t>
      </w:r>
      <w:r>
        <w:rPr>
          <w:rFonts w:ascii="Times New Roman" w:hAnsi="Times New Roman"/>
          <w:sz w:val="20"/>
        </w:rPr>
        <w:t xml:space="preserve">). Since the Formation Date there have not been any Actions pending or, threatened in writing, or, to the knowledge of Bakkt Opco, threatened orally, against Bakkt Opco or any of its Subsidiaries arising out of Bakkt Opcos or any of its Subsidiaries non-compliance with the Data Privacy Practices or any information security incidents affecting the Computer Systems. </w:t>
      </w:r>
    </w:p>
    <w:p>
      <w:pPr>
        <w:pStyle w:val="TextBody"/>
        <w:spacing w:before="120" w:after="0"/>
        <w:jc w:val="left"/>
        <w:rPr>
          <w:rFonts w:ascii="Times New Roman" w:hAnsi="Times New Roman"/>
          <w:sz w:val="20"/>
        </w:rPr>
      </w:pPr>
      <w:r>
        <w:rPr>
          <w:rFonts w:ascii="Times New Roman" w:hAnsi="Times New Roman"/>
          <w:sz w:val="20"/>
        </w:rPr>
        <w:t xml:space="preserve">(c) Except as would not materially disrupt the business or operations of Bakkt Opco or any of its Subsidiaries, the Computer Systems owned and operated by Bakkt Opco or any of its Subsidiaries, and, to Bakkt Opcos knowledge, the Computer Systems owned or operated by third parties, do not contain any time bomb, Trojan horse, back door, worm, virus, bug, errors, malware, spyware, or other device or code intended to disable, disrupt or harm the Computer Systems. </w:t>
      </w:r>
    </w:p>
    <w:p>
      <w:pPr>
        <w:pStyle w:val="TextBody"/>
        <w:spacing w:before="120" w:after="0"/>
        <w:jc w:val="left"/>
        <w:rPr>
          <w:rFonts w:ascii="Times New Roman" w:hAnsi="Times New Roman"/>
          <w:sz w:val="20"/>
        </w:rPr>
      </w:pPr>
      <w:r>
        <w:rPr>
          <w:rFonts w:ascii="Times New Roman" w:hAnsi="Times New Roman"/>
          <w:sz w:val="20"/>
        </w:rPr>
        <w:t xml:space="preserve">(d) Since the Formation Date, to the knowledge of Bakkt Opco, there has not been any material unauthorized access, unauthorized processing, unauthorized acquisition, unauthorized disclosure or theft of Sensitive Data, personal information, and business or proprietary data from Bakkt Opco or any of its Subsidiaries, which occurred while such information or data was in the possession, custody or control of Bakkt Opco or any of its Subsidiaries or, to the knowledge of Bakkt Opco, their third party vendors, nor has Bakkt Opco or any of its Subsidiaries received any written or, to the knowledge of Bakkt Opco, oral notice of the material improper use or disclosure of, or a material breach in the security of, any such information or data, nor has Bakkt Opco or any of its Subsidiaries notified any person or entity in writing, or been required by applicable law, regulation, or Contract to notify any person or entity, of any security incident relating to personal data or information security. Bakkt Opco and each of its Subsidiaries is, and since the Formation Date has been, in material compliance with all applicable Contract requirements relating to privacy, personal data protection, data security, and the collection, processing and use of personal information and its own privacy policies and guidelines. </w:t>
      </w:r>
    </w:p>
    <w:p>
      <w:pPr>
        <w:pStyle w:val="TextBody"/>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Insurance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Section 3.16(a) of the Bakkt Disclosure Letter sets forth a correct and complete list (by policy number, insurer, coverage period, coverage amount, annual premium and type of policy) of each material insurance policy of Bakkt Opco and its Subsidiaries, which provide for coverage in such amounts as are prudent and customary in the businesses in which Bakkt Opco and its Subsidiaries are engaged. The material insurance policies of Bakkt Opco and its Subsidiaries satisfy all insurance-related requirements necessary for Bakkt Opco and its Subsidiaries to maintain in good standing all Licenses. Bakkt Opco has provided or made available to VIH summaries of all such insurance policies. With respect to each such material insurance policy, except as would not be materially adverse to Bakkt Opco and its Subsidiaries, taken as a whole: (a) such policy is legal, valid, binding and enforceable in accordance with its terms and is in full force and effect, (b) all premiums due and payable under all such insurance policy have been timely paid and (c) neither Bakkt Opco nor any of its Subsidiaries is in material violation, breach or default, and no event has occurred which, after notice or the lapse of time or both, would constitute a material violation, breach or default or permit termination, revocation or modification under such policy. Neither Bakkt Opco nor any of its Subsidiaries has any self-insurance or co-insurance programs. </w:t>
      </w:r>
    </w:p>
    <w:p>
      <w:pPr>
        <w:pStyle w:val="TextBody"/>
        <w:spacing w:before="120" w:after="0"/>
        <w:jc w:val="left"/>
        <w:rPr>
          <w:rFonts w:ascii="Times New Roman" w:hAnsi="Times New Roman"/>
          <w:sz w:val="20"/>
        </w:rPr>
      </w:pPr>
      <w:r>
        <w:rPr>
          <w:rFonts w:ascii="Times New Roman" w:hAnsi="Times New Roman"/>
          <w:sz w:val="20"/>
        </w:rPr>
        <w:t xml:space="preserve">(b) Section 3.16(b) of the Bakkt Disclosure Letter identifies each individual insurance claim in excess of $250,000 made by Bakkt Opco or any of its Subsidiaries since the Formation Date. No such claim has been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denied by the applicable insurer and each of Bakkt Opco and its Subsidiaries has reported to its insurers all claims and pending circumstances that would result in a claim, in each case except where such failure to report such a claim has not had and would not be reasonably likely to have, individually or in the aggregate, a material adverse impact on Bakkt Opco and its Subsidiaries, taken as a whole. </w:t>
      </w:r>
    </w:p>
    <w:p>
      <w:pPr>
        <w:pStyle w:val="TextBody"/>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Environmental Matters</w:t>
      </w:r>
      <w:r>
        <w:rPr>
          <w:rFonts w:ascii="Times New Roman" w:hAnsi="Times New Roman"/>
          <w:sz w:val="20"/>
        </w:rPr>
        <w:t>. Except as would not have a Material Adverse Effect: (a) Bakkt Opco and each of its Subsidiaries is in compliance with all applicable Environmental Laws, including obtaining, maintaining in good standing, and complying with all Permits required for its business and operations by Environmental Laws (</w:t>
      </w:r>
      <w:r>
        <w:rPr>
          <w:rFonts w:ascii="Times New Roman" w:hAnsi="Times New Roman"/>
          <w:sz w:val="20"/>
          <w:u w:val="single"/>
        </w:rPr>
        <w:t>Environmental Permits</w:t>
      </w:r>
      <w:r>
        <w:rPr>
          <w:rFonts w:ascii="Times New Roman" w:hAnsi="Times New Roman"/>
          <w:sz w:val="20"/>
        </w:rPr>
        <w:t xml:space="preserve">), (b) neither Bakkt Opco nor any of its Subsidiaries is the subject of any outstanding Order with any Governmental Authority in respect of any Environmental Laws, and (c) no Action is pending, or to Bakkt Opcos knowledge, threatened against Bakkt Opco or any of its Subsidiaries alleging that Bakkt Opco or one of its Subsidiaries may be in violation of any Environmental Law or Environmental Permit. </w:t>
      </w:r>
    </w:p>
    <w:p>
      <w:pPr>
        <w:pStyle w:val="TextBody"/>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Brokers and Agents</w:t>
      </w:r>
      <w:r>
        <w:rPr>
          <w:rFonts w:ascii="Times New Roman" w:hAnsi="Times New Roman"/>
          <w:sz w:val="20"/>
        </w:rPr>
        <w:t xml:space="preserve">. Other than PJ Solomon, L.P., no broker or finder has acted for Bakkt Opco or any of its Subsidiaries in connection with this Agreement, the Transaction Documents or the Transactions, and no broker or finder is entitled to any brokerage or finders fee or other commissions in respect of such transactions based upon agreements, arrangements or understandings made by or on behalf of Bakkt Opco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Transactions with Related Parties</w:t>
      </w:r>
      <w:r>
        <w:rPr>
          <w:rFonts w:ascii="Times New Roman" w:hAnsi="Times New Roman"/>
          <w:sz w:val="20"/>
        </w:rPr>
        <w:t xml:space="preserve">. Except (a) as set forth on Section 3.19 of the Bakkt Disclosure Letter, (b) as set forth in this Agreement or the Transaction Documents or (c) Contracts incident to employment by or service as a director or officer of Bakkt Opco or any of its Subsidiaries (including, for the avoidance of doubt, any Bakkt Benefit Plan or Bakkt Benefit Arrangement), neither Bakkt Opco nor any of its Affiliates, nor any executive officer or director of Bakkt Opco or any of its Affiliates, nor any immediate family member of any of the foregoing (or any of their respective Affiliates) is presently, or in the past two (2) years has been, a party to any transaction with Bakkt Opco, including any Contract or other arrangement (i) providing for the furnishing of services by, (ii) providing for the rental of Real Property or personal property from or (iii) otherwise requiring payments to any Related Party. Except as set forth on Section 3.19 of the Bakkt Disclosure Letter, no Related Party owns any Real Property or personal property, or right, tangible or intangible (including Intellectual Property), which is material to the business of Bakkt Opco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Regulatory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Neither Bakkt Opco from the Formation Date to the date hereof, its Subsidiaries in the last three (3) years to the date hereof, nor any of their respective Representatives acting on their behalf, in their capacity as such, has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Bakkt Opco, its Subsidiaries, nor any of their respective Representatives acting on their behalf, in their capacity as such, has promised, offered, authorized, given or agreed to give any unlawful gift, similar unlawful benefit or anything of value in any material amount to any customer, supplier, governmental employee or other Person who is or may be in a position to help or hinder Bakkt Opco or its Subsidiaries or assist in connection with any actual or proposed transaction, in violation of any provision of the FCPA or of any other applicable anti-bribery or anti-corruption Law. No Action with respect to any of the foregoing is pending or, to the knowledge of Bakkt Opco, threatened in writing against Bakkt Opco or its Subsidiaries. </w:t>
      </w:r>
    </w:p>
    <w:p>
      <w:pPr>
        <w:pStyle w:val="TextBody"/>
        <w:spacing w:before="120" w:after="0"/>
        <w:jc w:val="left"/>
        <w:rPr>
          <w:rFonts w:ascii="Times New Roman" w:hAnsi="Times New Roman"/>
          <w:sz w:val="20"/>
        </w:rPr>
      </w:pPr>
      <w:r>
        <w:rPr>
          <w:rFonts w:ascii="Times New Roman" w:hAnsi="Times New Roman"/>
          <w:sz w:val="20"/>
        </w:rPr>
        <w:t xml:space="preserve">(b) 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been conducted in compliance with anti-money laundering Laws in all applicable jurisdictions, including the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maintenance of appropriate anti-money laundering programs pursuant to such Laws, and no material deficiencies in those programs have been identified, and no Action involving Bakkt Opco or any of its Subsidiaries with respect to any of the foregoing is pending or, to the knowledge of the Bakkt Opco, threatened in writing. </w:t>
      </w:r>
    </w:p>
    <w:p>
      <w:pPr>
        <w:pStyle w:val="TextBody"/>
        <w:spacing w:before="120" w:after="0"/>
        <w:jc w:val="left"/>
        <w:rPr>
          <w:rFonts w:ascii="Times New Roman" w:hAnsi="Times New Roman"/>
          <w:sz w:val="20"/>
        </w:rPr>
      </w:pPr>
      <w:r>
        <w:rPr>
          <w:rFonts w:ascii="Times New Roman" w:hAnsi="Times New Roman"/>
          <w:sz w:val="20"/>
        </w:rPr>
        <w:t>(c) Section 3.20(c) of the Bakkt Disclosure Letter sets forth, as of the date hereof, (i) each jurisdiction in which Bakkt Opco or any of its Subsidiaries holds any Licenses and (ii) each jurisdiction in which Bakkt Opco or any of its Subsidiaries has applications pending for any Licenses (</w:t>
      </w:r>
      <w:r>
        <w:rPr>
          <w:rFonts w:ascii="Times New Roman" w:hAnsi="Times New Roman"/>
          <w:sz w:val="20"/>
          <w:u w:val="single"/>
        </w:rPr>
        <w:t>License Applications</w:t>
      </w:r>
      <w:r>
        <w:rPr>
          <w:rFonts w:ascii="Times New Roman" w:hAnsi="Times New Roman"/>
          <w:sz w:val="20"/>
        </w:rPr>
        <w:t>). Except as would not be materially adverse to Bakkt Opco and its Subsidiaries, taken as a whole, 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conducted in all material respects in compliance with all Licenses necessary to conduct its business (</w:t>
      </w:r>
      <w:r>
        <w:rPr>
          <w:rFonts w:ascii="Times New Roman" w:hAnsi="Times New Roman"/>
          <w:sz w:val="20"/>
          <w:u w:val="single"/>
        </w:rPr>
        <w:t>Material Licenses</w:t>
      </w:r>
      <w:r>
        <w:rPr>
          <w:rFonts w:ascii="Times New Roman" w:hAnsi="Times New Roman"/>
          <w:sz w:val="20"/>
        </w:rPr>
        <w:t xml:space="preserve">). All Material Licenses are in full force and effect, and since the Formation Date to the date hereof, neither Bakkt Opco nor any of its Subsidiaries has received written, or to the knowledge of Bakkt Opco, oral notice or communications from any Governmental Authority regarding: (i) any violation of or failure to comply with any term or requirement of any Material License or (ii) any revocation, withdrawal, suspension, cancellation, termination or modification of any Material License. Since the Formation Date to the date hereof, neither Bakkt Opco nor any of its Subsidiaries has withdrawn any material License Application. </w:t>
      </w:r>
    </w:p>
    <w:p>
      <w:pPr>
        <w:pStyle w:val="TextBody"/>
        <w:spacing w:before="120" w:after="0"/>
        <w:jc w:val="left"/>
        <w:rPr>
          <w:rFonts w:ascii="Times New Roman" w:hAnsi="Times New Roman"/>
          <w:sz w:val="20"/>
        </w:rPr>
      </w:pPr>
      <w:r>
        <w:rPr>
          <w:rFonts w:ascii="Times New Roman" w:hAnsi="Times New Roman"/>
          <w:sz w:val="20"/>
        </w:rPr>
        <w:t>(d) Neither Bakkt Opco, its Subsidiaries nor any of their respective directors or officers, or, to the knowledge of Bakkt Opco, any other Representative acting on behalf of Bakkt Opco or its Subsidiaries, is currently identified on the Specially Designated Nationals and Blocked Persons List (</w:t>
      </w:r>
      <w:r>
        <w:rPr>
          <w:rFonts w:ascii="Times New Roman" w:hAnsi="Times New Roman"/>
          <w:sz w:val="20"/>
          <w:u w:val="single"/>
        </w:rPr>
        <w:t>SDN List</w:t>
      </w:r>
      <w:r>
        <w:rPr>
          <w:rFonts w:ascii="Times New Roman" w:hAnsi="Times New Roman"/>
          <w:sz w:val="20"/>
        </w:rPr>
        <w:t>) or other sanctions-related persons list, owned or controlled by such a person, otherwise the target of sanctions administered by the U.S. Government, including the Office of Foreign Assets Control of the U.S. Treasury Department (</w:t>
      </w:r>
      <w:r>
        <w:rPr>
          <w:rFonts w:ascii="Times New Roman" w:hAnsi="Times New Roman"/>
          <w:sz w:val="20"/>
          <w:u w:val="single"/>
        </w:rPr>
        <w:t>OFAC</w:t>
      </w:r>
      <w:r>
        <w:rPr>
          <w:rFonts w:ascii="Times New Roman" w:hAnsi="Times New Roman"/>
          <w:sz w:val="20"/>
        </w:rPr>
        <w:t>), the U.S. Department of State, or any other relevant sanctions authorities (collectively, </w:t>
      </w:r>
      <w:r>
        <w:rPr>
          <w:rFonts w:ascii="Times New Roman" w:hAnsi="Times New Roman"/>
          <w:sz w:val="20"/>
          <w:u w:val="single"/>
        </w:rPr>
        <w:t>Sanctions</w:t>
      </w:r>
      <w:r>
        <w:rPr>
          <w:rFonts w:ascii="Times New Roman" w:hAnsi="Times New Roman"/>
          <w:sz w:val="20"/>
        </w:rPr>
        <w:t xml:space="preserve">), or operating, organized, or resident in a country or territory that is the target of U.S. sanctions (currently, Cuba, Iran, North Korea, Syria, and the Crimea region of Ukraine), and Bakkt Opco has not since its Formation Date, directly or, to its knowledge indirectly, loaned, contributed or otherwise made available funds to any Subsidiary, joint venture partner or other Person, in connection with any sales or operations in any country or territory that is the target of Sanctions or for the purpose of financing the activities of any Person that is the target of Sanctions, or has otherwise been in violation of Sanctions. </w:t>
      </w:r>
    </w:p>
    <w:p>
      <w:pPr>
        <w:pStyle w:val="TextBody"/>
        <w:spacing w:before="0" w:after="0"/>
        <w:jc w:val="left"/>
        <w:rPr>
          <w:rFonts w:ascii="Times New Roman" w:hAnsi="Times New Roman"/>
          <w:sz w:val="20"/>
        </w:rPr>
      </w:pPr>
      <w:r>
        <w:rPr>
          <w:rFonts w:ascii="Times New Roman" w:hAnsi="Times New Roman"/>
          <w:sz w:val="20"/>
        </w:rPr>
        <w:t xml:space="preserve">(e) Neither Bakkt Opco or any of its Subsidiaries is an investment company or a Person directly or indirectly controlled by or acting on behalf of an investment company, in each case within the meaning of the Investment Company Act of 1940, as amended. Each holder of Bakkt Interests is an accredited investor, as such term is defined in Rule 501(a) under the Securities Act. </w:t>
      </w:r>
    </w:p>
    <w:p>
      <w:pPr>
        <w:pStyle w:val="TextBody"/>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Board Recommendation</w:t>
      </w:r>
      <w:r>
        <w:rPr>
          <w:rFonts w:ascii="Times New Roman" w:hAnsi="Times New Roman"/>
          <w:sz w:val="20"/>
        </w:rPr>
        <w:t xml:space="preserve">. The Board of Managers of Bakkt Opco has, as of the date of this Agreement, unanimously determined that (i) the consummation of the Transactions (including the Merger) is in the best interest of Bakkt Opco and the Bakkt Equity Holders, and (ii) recommended that Bakkt Equity Holders adopt and approve this Agreement, the other Transaction Documents, the Merger and the other Transactions. </w:t>
      </w:r>
    </w:p>
    <w:p>
      <w:pPr>
        <w:pStyle w:val="TextBody"/>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No Other VIH or Merger Sub Representations or Warranties</w:t>
      </w:r>
      <w:r>
        <w:rPr>
          <w:rFonts w:ascii="Times New Roman" w:hAnsi="Times New Roman"/>
          <w:sz w:val="20"/>
        </w:rPr>
        <w:t xml:space="preserve">. Bakkt Opco acknowledges and agrees that the specific representations and warranties expressly set forth in </w:t>
      </w:r>
      <w:r>
        <w:rPr>
          <w:rFonts w:ascii="Times New Roman" w:hAnsi="Times New Roman"/>
          <w:sz w:val="20"/>
          <w:u w:val="single"/>
        </w:rPr>
        <w:t>Article IV</w:t>
      </w:r>
      <w:r>
        <w:rPr>
          <w:rFonts w:ascii="Times New Roman" w:hAnsi="Times New Roman"/>
          <w:sz w:val="20"/>
        </w:rPr>
        <w:t xml:space="preserve"> (as qualified by the VIH Disclosure Letter) or expressly set forth in a Transaction Document (collectively, the </w:t>
      </w:r>
      <w:r>
        <w:rPr>
          <w:rFonts w:ascii="Times New Roman" w:hAnsi="Times New Roman"/>
          <w:sz w:val="20"/>
          <w:u w:val="single"/>
        </w:rPr>
        <w:t>VIH Representations</w:t>
      </w:r>
      <w:r>
        <w:rPr>
          <w:rFonts w:ascii="Times New Roman" w:hAnsi="Times New Roman"/>
          <w:sz w:val="20"/>
        </w:rPr>
        <w:t xml:space="preserve">), (a) are and shall constitute the sole and exclusive representations and warranties made by VIH, Merger Sub and their respective Representatives in connection with this Agreement or the Transactions, (b) none of VIH, Merger Sub nor any of their respective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VIH or Merger Sub, or any of their respective businesses, financial projections, assets, liabilities or operations, or the Transactions, and (c) each of VIH and Merger Sub disclaims any other representations or warranties, whether made by VIH or Merger Sub or any of their respective Representatives. Bakkt Opco acknowledges and agrees that except for the VIH Representations,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Bakkt Opco (a) shall consummate the Transactions without any representation or warranty, except as otherwise expressly set forth in the VIH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VIH Representations and (c) expressly disclaims reliance upon any representations and warranties other than the VIH Representations. Without limiting the foregoing, VIH and Merger Sub do not make any representation or warranty of any kind whatsoever, express or implied, written or oral, at law or in equity, to Bakkt Opco or its Representatives regarding the success, profitability or value of VIH or Merger Sub.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240" w:after="0"/>
        <w:jc w:val="center"/>
        <w:rPr>
          <w:rFonts w:ascii="Times New Roman" w:hAnsi="Times New Roman"/>
          <w:b/>
          <w:sz w:val="20"/>
        </w:rPr>
      </w:pPr>
      <w:r>
        <w:rPr>
          <w:rFonts w:ascii="Times New Roman" w:hAnsi="Times New Roman"/>
          <w:b/>
          <w:sz w:val="20"/>
        </w:rPr>
        <w:t xml:space="preserve">REPRESENTATIONS AND WARRANTIES OF VIH AND MERGER SUB </w:t>
      </w:r>
    </w:p>
    <w:p>
      <w:pPr>
        <w:pStyle w:val="TextBody"/>
        <w:spacing w:before="240" w:after="0"/>
        <w:jc w:val="left"/>
        <w:rPr>
          <w:rFonts w:ascii="Times New Roman" w:hAnsi="Times New Roman"/>
          <w:sz w:val="20"/>
        </w:rPr>
      </w:pPr>
      <w:r>
        <w:rPr>
          <w:rFonts w:ascii="Times New Roman" w:hAnsi="Times New Roman"/>
          <w:sz w:val="20"/>
        </w:rPr>
        <w:t>Each of VIH and Merger Sub make the following representations and warranties to Bakkt Opco as of the date of this Agreement and as of the Closing, except as disclosed by VIH in (i) the written VIH Disclosure Letter provided to Bakkt Opco (the </w:t>
      </w:r>
      <w:r>
        <w:rPr>
          <w:rFonts w:ascii="Times New Roman" w:hAnsi="Times New Roman"/>
          <w:sz w:val="20"/>
          <w:u w:val="single"/>
        </w:rPr>
        <w:t>VIH Disclosure Letter</w:t>
      </w:r>
      <w:r>
        <w:rPr>
          <w:rFonts w:ascii="Times New Roman" w:hAnsi="Times New Roman"/>
          <w:sz w:val="20"/>
        </w:rPr>
        <w:t xml:space="preserve">), which shall be arranged in sections and subsections corresponding to the numbered and lettered sections and subsections contained in this </w:t>
      </w:r>
      <w:r>
        <w:rPr>
          <w:rFonts w:ascii="Times New Roman" w:hAnsi="Times New Roman"/>
          <w:sz w:val="20"/>
          <w:u w:val="single"/>
        </w:rPr>
        <w:t>Article IV,</w:t>
      </w:r>
      <w:r>
        <w:rPr>
          <w:rFonts w:ascii="Times New Roman" w:hAnsi="Times New Roman"/>
          <w:sz w:val="20"/>
        </w:rPr>
        <w:t xml:space="preserve"> and (ii) the SEC Reports that were available at least one (1) Business Day prior to the date hereof on the SECs website through EDGAR (other than disclosures in the Risk Factors or Cautionary Note Regarding Forward-Looking Statements sections of such reports and other disclosures that are generally cautionary, predictive or forward-looking in nature). The disclosure in any section or subsection of the VIH Disclosure Letter corresponding to any section or subsection of this </w:t>
      </w:r>
      <w:r>
        <w:rPr>
          <w:rFonts w:ascii="Times New Roman" w:hAnsi="Times New Roman"/>
          <w:sz w:val="20"/>
          <w:u w:val="single"/>
        </w:rPr>
        <w:t>Article IV</w:t>
      </w:r>
      <w:r>
        <w:rPr>
          <w:rFonts w:ascii="Times New Roman" w:hAnsi="Times New Roman"/>
          <w:sz w:val="20"/>
        </w:rPr>
        <w:t xml:space="preserve"> shall qualify other sections and subsections in this </w:t>
      </w:r>
      <w:r>
        <w:rPr>
          <w:rFonts w:ascii="Times New Roman" w:hAnsi="Times New Roman"/>
          <w:sz w:val="20"/>
          <w:u w:val="single"/>
        </w:rPr>
        <w:t>Article IV</w:t>
      </w:r>
      <w:r>
        <w:rPr>
          <w:rFonts w:ascii="Times New Roman" w:hAnsi="Times New Roman"/>
          <w:sz w:val="20"/>
        </w:rPr>
        <w:t xml:space="preserve"> so long as its relevance to such other section or subsection of this </w:t>
      </w:r>
      <w:r>
        <w:rPr>
          <w:rFonts w:ascii="Times New Roman" w:hAnsi="Times New Roman"/>
          <w:sz w:val="20"/>
          <w:u w:val="single"/>
        </w:rPr>
        <w:t>Article IV</w:t>
      </w:r>
      <w:r>
        <w:rPr>
          <w:rFonts w:ascii="Times New Roman" w:hAnsi="Times New Roman"/>
          <w:sz w:val="20"/>
        </w:rPr>
        <w:t xml:space="preserve"> is reasonably clear on the face of the information disclosed therein. </w:t>
      </w:r>
    </w:p>
    <w:p>
      <w:pPr>
        <w:pStyle w:val="TextBody"/>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Due Organization</w:t>
      </w:r>
      <w:r>
        <w:rPr>
          <w:rFonts w:ascii="Times New Roman" w:hAnsi="Times New Roman"/>
          <w:sz w:val="20"/>
        </w:rPr>
        <w:t xml:space="preserve">. VIH is a Cayman Islands exempted company duly incorporated, validly existing and in good standing under the Laws of the Cayman Islands. VIH has full corporate power and authority necessary to carry on the businesses in which it is engaged and to own and use the properties owned and used by it. Section 4.1 of the VIH Disclosure Letter lists for each of VIH and Merger Sub all jurisdictions in which it is qualified to conduct business and all names other than its legal name under which it does business. Each of VIH and Merger Sub are not in violation of any provision of their respective Organizational Documents in any material respect. </w:t>
      </w:r>
    </w:p>
    <w:p>
      <w:pPr>
        <w:pStyle w:val="TextBody"/>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Authorization; No Conflict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Each of VIH and Merger Sub have full corporate and limited liability company, respectively, power and, upon receipt of the VIH Shareholders Approval, authority to enter into this Agreement and the Transaction Documents to which it is a party, to carry out its obligations hereunder and thereunder and to consummate the Transactions. The execution and delivery by each of VIH and Merger Sub of this Agreement and the Transaction Documents to which it is a party, the performance by each of VIH and Merger Sub of its obligations hereunder and thereunder and the consummation by each of VIH and Merger Sub of the Transactions have been duly and validly authorized by all requisite corporate and limited liability company action on the part of each of VIH and Merger Sub, subject only to the receipt of the VIH Shareholders Approval. This Agreement has been duly and validly executed and delivered by each of VIH and Merger Sub, and (assuming due authorization, execution and delivery by any other applicable parties thereto) constitutes, or upon such delivery constitutes, a legal, valid and binding obligation of each of VIH and Merger Sub enforceable against each of VIH and Merger Sub in accordance with its terms, subject to the Enforcement Exceptions. </w:t>
      </w:r>
    </w:p>
    <w:p>
      <w:pPr>
        <w:pStyle w:val="TextBody"/>
        <w:spacing w:before="120" w:after="0"/>
        <w:jc w:val="left"/>
        <w:rPr>
          <w:rFonts w:ascii="Times New Roman" w:hAnsi="Times New Roman"/>
          <w:sz w:val="20"/>
        </w:rPr>
      </w:pPr>
      <w:r>
        <w:rPr>
          <w:rFonts w:ascii="Times New Roman" w:hAnsi="Times New Roman"/>
          <w:sz w:val="20"/>
        </w:rPr>
        <w:t xml:space="preserve">(b) Assuming the VIH Shareholders Approval is obtained and the effectiveness of the Domestication, and except for any required Regulatory Filings, the execution, delivery and performance of this Agreement and the Transaction Documents by VIH and Merger Sub and the consummation of the Transactions, do not and will not, with or without notice, lapse of time or both: (i) conflict with or result in a breach or violation of the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Organizational Documents of VIH or Merger Sub; (ii) except for applicable requirements, if any, of the Securities Act, the Exchange Act, and state securities laws, require any consent, waiver, approval, declaration or authorization of, or notice to or filing with, any Governmental Authority; or (iii) 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of the properties or assets of VIH under, give any Person the right to exercise any remedy, claim a rebate, chargeback or penalty, accelerate the maturity or performance under, or require any consent, waiver, approval, notice, filing, declaration or authorization under, any Material VIH Contract, except, with respect to the foregoing </w:t>
      </w:r>
      <w:r>
        <w:rPr>
          <w:rFonts w:ascii="Times New Roman" w:hAnsi="Times New Roman"/>
          <w:sz w:val="20"/>
          <w:u w:val="single"/>
        </w:rPr>
        <w:t>clauses (ii)</w:t>
      </w:r>
      <w:r>
        <w:rPr>
          <w:rFonts w:ascii="Times New Roman" w:hAnsi="Times New Roman"/>
          <w:sz w:val="20"/>
        </w:rPr>
        <w:t xml:space="preserve"> and</w:t>
      </w:r>
      <w:r>
        <w:rPr>
          <w:rFonts w:ascii="Times New Roman" w:hAnsi="Times New Roman"/>
          <w:sz w:val="20"/>
          <w:u w:val="single"/>
        </w:rPr>
        <w:t> (iii)</w:t>
      </w:r>
      <w:r>
        <w:rPr>
          <w:rFonts w:ascii="Times New Roman" w:hAnsi="Times New Roman"/>
          <w:sz w:val="20"/>
        </w:rPr>
        <w:t xml:space="preserve">, as would not have a VIH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Capitalization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As of the date of this Agreement (and, prior to giving effect to the consummation of the transactions contemplated by the Redemption, as of the Closing), the authorized capital stock of VIH consists of 200,000,000 Class A ordinary shares (</w:t>
      </w:r>
      <w:r>
        <w:rPr>
          <w:rFonts w:ascii="Times New Roman" w:hAnsi="Times New Roman"/>
          <w:sz w:val="20"/>
          <w:u w:val="single"/>
        </w:rPr>
        <w:t>VIH Class A Shares</w:t>
      </w:r>
      <w:r>
        <w:rPr>
          <w:rFonts w:ascii="Times New Roman" w:hAnsi="Times New Roman"/>
          <w:sz w:val="20"/>
        </w:rPr>
        <w:t>), of which 20,737,202 are outstanding, 20,000,000 Class B ordinary shares (</w:t>
      </w:r>
      <w:r>
        <w:rPr>
          <w:rFonts w:ascii="Times New Roman" w:hAnsi="Times New Roman"/>
          <w:sz w:val="20"/>
          <w:u w:val="single"/>
        </w:rPr>
        <w:t>VIH Class B Shares</w:t>
      </w:r>
      <w:r>
        <w:rPr>
          <w:rFonts w:ascii="Times New Roman" w:hAnsi="Times New Roman"/>
          <w:sz w:val="20"/>
        </w:rPr>
        <w:t> and, together with the VIH Class A Shares, the </w:t>
      </w:r>
      <w:r>
        <w:rPr>
          <w:rFonts w:ascii="Times New Roman" w:hAnsi="Times New Roman"/>
          <w:sz w:val="20"/>
          <w:u w:val="single"/>
        </w:rPr>
        <w:t>VIH Ordinary Shares</w:t>
      </w:r>
      <w:r>
        <w:rPr>
          <w:rFonts w:ascii="Times New Roman" w:hAnsi="Times New Roman"/>
          <w:sz w:val="20"/>
        </w:rPr>
        <w:t>), of which 5,184,300 are outstanding, and 1,000,000 preference shares (</w:t>
      </w:r>
      <w:r>
        <w:rPr>
          <w:rFonts w:ascii="Times New Roman" w:hAnsi="Times New Roman"/>
          <w:sz w:val="20"/>
          <w:u w:val="single"/>
        </w:rPr>
        <w:t>VIH Preference Shares</w:t>
      </w:r>
      <w:r>
        <w:rPr>
          <w:rFonts w:ascii="Times New Roman" w:hAnsi="Times New Roman"/>
          <w:sz w:val="20"/>
        </w:rPr>
        <w:t>), none of which are outstanding. All outstanding VIH Ordinary Shares have been duly authorized and validly issued, are fully paid and nonassessable and were not issued in violation of (or subject to) any preemptive rights (including any preemptive rights set forth in the Organizational Documents of VIH), rights of first refusal or similar rights. As of the date hereof (and, as of the Closing), VIH has 16,516,041 warrants (</w:t>
      </w:r>
      <w:r>
        <w:rPr>
          <w:rFonts w:ascii="Times New Roman" w:hAnsi="Times New Roman"/>
          <w:sz w:val="20"/>
          <w:u w:val="single"/>
        </w:rPr>
        <w:t>VIH Warrants</w:t>
      </w:r>
      <w:r>
        <w:rPr>
          <w:rFonts w:ascii="Times New Roman" w:hAnsi="Times New Roman"/>
          <w:sz w:val="20"/>
        </w:rPr>
        <w:t xml:space="preserve">) outstanding, each such VIH Warrant entitling the holder thereof to purchase one (1) VIH Class A Share. Other than the VIH Warrants, there are no options, warrants, rights, commitments or agreements obligating VIH to issue, exchange, transfer, deliver or sell additional Equity Interests of VIH. As a result of the consummation of the Transactions, except as expressly contemplated by this Agreement, the Transaction Documents, the Organizational Documents of VIH, or the PIPE Financing, no other Equity Interests of VIH are issuable. </w:t>
      </w:r>
    </w:p>
    <w:p>
      <w:pPr>
        <w:pStyle w:val="TextBody"/>
        <w:spacing w:before="120" w:after="0"/>
        <w:jc w:val="left"/>
        <w:rPr>
          <w:rFonts w:ascii="Times New Roman" w:hAnsi="Times New Roman"/>
          <w:sz w:val="20"/>
        </w:rPr>
      </w:pPr>
      <w:r>
        <w:rPr>
          <w:rFonts w:ascii="Times New Roman" w:hAnsi="Times New Roman"/>
          <w:sz w:val="20"/>
        </w:rPr>
        <w:t xml:space="preserve">(b) All of the outstanding securities of VIH have been granted, offered, sold and issued in material compliance with all applicable securities Laws. Except for the VIH Public Warrants, the VIH Warrants issued to the VIH Sponsor and the VIH Class B Shares (subject to the transactions contemplated by </w:t>
      </w:r>
      <w:r>
        <w:rPr>
          <w:rFonts w:ascii="Times New Roman" w:hAnsi="Times New Roman"/>
          <w:sz w:val="20"/>
          <w:u w:val="single"/>
        </w:rPr>
        <w:t>Section 2.2</w:t>
      </w:r>
      <w:r>
        <w:rPr>
          <w:rFonts w:ascii="Times New Roman" w:hAnsi="Times New Roman"/>
          <w:sz w:val="20"/>
        </w:rPr>
        <w:t xml:space="preserve">), there are no outstanding contractual obligations of VIH to repurchase, redeem or otherwise acquire any Equity Interests of VIH. </w:t>
      </w:r>
    </w:p>
    <w:p>
      <w:pPr>
        <w:pStyle w:val="TextBody"/>
        <w:spacing w:before="120" w:after="0"/>
        <w:jc w:val="left"/>
        <w:rPr>
          <w:rFonts w:ascii="Times New Roman" w:hAnsi="Times New Roman"/>
          <w:sz w:val="20"/>
        </w:rPr>
      </w:pPr>
      <w:r>
        <w:rPr>
          <w:rFonts w:ascii="Times New Roman" w:hAnsi="Times New Roman"/>
          <w:sz w:val="20"/>
        </w:rPr>
        <w:t xml:space="preserve">(c) Other than its ownership of Merger Sub, VIH does not own any Equity Interest in any Person. Other than in connection with the Redemption, there are no outstanding contractual obligations of VIH to provide funds to, or make any investment (in the form of a loan, capital contribution or otherwise) in, any other Person. </w:t>
      </w:r>
    </w:p>
    <w:p>
      <w:pPr>
        <w:pStyle w:val="TextBody"/>
        <w:spacing w:before="120" w:after="0"/>
        <w:jc w:val="left"/>
        <w:rPr>
          <w:rFonts w:ascii="Times New Roman" w:hAnsi="Times New Roman"/>
          <w:sz w:val="20"/>
        </w:rPr>
      </w:pPr>
      <w:r>
        <w:rPr>
          <w:rFonts w:ascii="Times New Roman" w:hAnsi="Times New Roman"/>
          <w:sz w:val="20"/>
        </w:rPr>
        <w:t xml:space="preserve">(d) The outstanding Equity Interests of Merger Sub consists solely of limited liability company interests owned by VIH. All outstanding limited liability company interests of Merger Sub are owned by VIH, have been duly authorized and validly issued, are fully paid and nonassessable and were not issued in violation of (or subject to) any preemptive rights There are no options, warrants, equity securities, calls, rights, commitments or agreements by which Merger Sub is bound obligating Merger Sub to issue, exchange, transfer, deliver or sell Equity Interests of Merger Sub. As a result of the consummation of the Transactions, except as expressly contemplated by this Agreement and the Transaction Documents, no Equity Interests of Merger Sub are issuable. </w:t>
      </w:r>
    </w:p>
    <w:p>
      <w:pPr>
        <w:pStyle w:val="TextBody"/>
        <w:spacing w:before="120" w:after="0"/>
        <w:jc w:val="left"/>
        <w:rPr>
          <w:rFonts w:ascii="Times New Roman" w:hAnsi="Times New Roman"/>
          <w:sz w:val="20"/>
        </w:rPr>
      </w:pPr>
      <w:r>
        <w:rPr>
          <w:rFonts w:ascii="Times New Roman" w:hAnsi="Times New Roman"/>
          <w:sz w:val="20"/>
        </w:rPr>
        <w:t xml:space="preserve">(e) All of the outstanding securities of Merger Sub have been granted, offered, sold and issued in material compliance with all applicable securities Laws. </w:t>
      </w:r>
    </w:p>
    <w:p>
      <w:pPr>
        <w:pStyle w:val="TextBody"/>
        <w:spacing w:before="120" w:after="0"/>
        <w:jc w:val="left"/>
        <w:rPr>
          <w:rFonts w:ascii="Times New Roman" w:hAnsi="Times New Roman"/>
          <w:sz w:val="20"/>
        </w:rPr>
      </w:pPr>
      <w:r>
        <w:rPr>
          <w:rFonts w:ascii="Times New Roman" w:hAnsi="Times New Roman"/>
          <w:sz w:val="20"/>
        </w:rPr>
        <w:t xml:space="preserve">(f) Merger Sub owns no capital stock, securities convertible into capital stock or any other Equity Interest in any Person. There are no outstanding contractual obligations of Merger Sub to provide funds to, or make any investment (in the form of a loan, capital contribution or otherwise) in, any other Person. </w:t>
      </w:r>
    </w:p>
    <w:p>
      <w:pPr>
        <w:pStyle w:val="TextBody"/>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Merger Sub</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Merger Sub is a limited liability company duly organized, validly existing and in good standing under the Laws of the State of Delaware.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Merger Sub was formed for the purpose of engaging in the Transactions, and Merger Sub has not engaged in any other business or activities. </w:t>
      </w:r>
    </w:p>
    <w:p>
      <w:pPr>
        <w:pStyle w:val="TextBody"/>
        <w:spacing w:before="120" w:after="0"/>
        <w:jc w:val="left"/>
        <w:rPr>
          <w:rFonts w:ascii="Times New Roman" w:hAnsi="Times New Roman"/>
          <w:sz w:val="20"/>
        </w:rPr>
      </w:pPr>
      <w:r>
        <w:rPr>
          <w:rFonts w:ascii="Times New Roman" w:hAnsi="Times New Roman"/>
          <w:sz w:val="20"/>
        </w:rPr>
        <w:t xml:space="preserve">(c) At the Effective Time, Merger Sub will not have any assets, liabilities or obligations of any nature or any tax attributes other than (i) those set forth under its Organizational Documents (including its costs of formation), and (ii) pursuant to this Agreement, the Transaction Documents, and the Transactions. </w:t>
      </w:r>
    </w:p>
    <w:p>
      <w:pPr>
        <w:pStyle w:val="TextBody"/>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Special Purpose Acquisition Company; Absence of Changes</w:t>
      </w:r>
      <w:r>
        <w:rPr>
          <w:rFonts w:ascii="Times New Roman" w:hAnsi="Times New Roman"/>
          <w:sz w:val="20"/>
        </w:rPr>
        <w:t xml:space="preserve">. Since the date of its formation, (a) except for any actions expressly contemplated or permitted by this Agreement (including under </w:t>
      </w:r>
      <w:r>
        <w:rPr>
          <w:rFonts w:ascii="Times New Roman" w:hAnsi="Times New Roman"/>
          <w:sz w:val="20"/>
          <w:u w:val="single"/>
        </w:rPr>
        <w:t>Section 5.2</w:t>
      </w:r>
      <w:r>
        <w:rPr>
          <w:rFonts w:ascii="Times New Roman" w:hAnsi="Times New Roman"/>
          <w:sz w:val="20"/>
        </w:rPr>
        <w:t xml:space="preserve">), the Transaction Documents, the Transactions, or the PIPE Financing, VIH has conducted no business other than the public offering of its securities (and the related private offerings), public reporting and its search for an initial Business Combination, and (b) there has not been any VIH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VIH is, and at all times since its formation has been, classified as a corporation for all U.S. federal income tax purposes and will be so classified for all periods through and including the Closing Date. </w:t>
      </w:r>
    </w:p>
    <w:p>
      <w:pPr>
        <w:pStyle w:val="TextBody"/>
        <w:spacing w:before="120" w:after="0"/>
        <w:jc w:val="left"/>
        <w:rPr>
          <w:rFonts w:ascii="Times New Roman" w:hAnsi="Times New Roman"/>
          <w:sz w:val="20"/>
        </w:rPr>
      </w:pPr>
      <w:r>
        <w:rPr>
          <w:rFonts w:ascii="Times New Roman" w:hAnsi="Times New Roman"/>
          <w:sz w:val="20"/>
        </w:rPr>
        <w:t xml:space="preserve">(b) Each of VIH and Merger Sub has timely filed (taking into account applicable extensions) all material Tax Returns that it was required to file and such Tax Returns are correct and complete in all material respects. Neither VIH nor Merger Sub is currently the beneficiary of any extension of time within which to file any material Tax Return other than extensions of time to file Tax Returns obtained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(c) All material Taxes and all material Tax liabilities of VIH and Merger Sub that are due and payable have been timely paid in full to the appropriate taxing authorities. Any such Taxes or Tax liabilities that relate to a Pre-Closing Tax Period that are not yet due and payable (i) for periods covered by the VIH Financials have been properly accrued and adequately disclosed on the VIH Financials in accordance with GAAP, and (ii) for periods not covered by the VIH Financials have been properly accrued on the books and records of VIH and Merger Sub in accordance with GAAP. </w:t>
      </w:r>
    </w:p>
    <w:p>
      <w:pPr>
        <w:pStyle w:val="TextBody"/>
        <w:spacing w:before="120" w:after="0"/>
        <w:jc w:val="left"/>
        <w:rPr>
          <w:rFonts w:ascii="Times New Roman" w:hAnsi="Times New Roman"/>
          <w:sz w:val="20"/>
        </w:rPr>
      </w:pPr>
      <w:r>
        <w:rPr>
          <w:rFonts w:ascii="Times New Roman" w:hAnsi="Times New Roman"/>
          <w:sz w:val="20"/>
        </w:rPr>
        <w:t xml:space="preserve">(d) Each of VIH and Merger Sub has withheld or collected all material Taxes required by Law to have been withheld or collected and, to the extent required, timely paid over such Taxes to the appropriate Governmental Authorities. </w:t>
      </w:r>
    </w:p>
    <w:p>
      <w:pPr>
        <w:pStyle w:val="TextBody"/>
        <w:spacing w:before="120" w:after="0"/>
        <w:jc w:val="left"/>
        <w:rPr>
          <w:rFonts w:ascii="Times New Roman" w:hAnsi="Times New Roman"/>
          <w:sz w:val="20"/>
        </w:rPr>
      </w:pPr>
      <w:r>
        <w:rPr>
          <w:rFonts w:ascii="Times New Roman" w:hAnsi="Times New Roman"/>
          <w:sz w:val="20"/>
        </w:rPr>
        <w:t xml:space="preserve">(e) Neither VIH nor Merger Sub is currently, nor has been within the past three (3) years, the subject of any material Tax Proceeding by any Governmental Authority and no such Tax Proceeding is pending or, to the knowledge of VIH or Merger Sub, threatened or contemplated. </w:t>
      </w:r>
    </w:p>
    <w:p>
      <w:pPr>
        <w:pStyle w:val="TextBody"/>
        <w:spacing w:before="120" w:after="0"/>
        <w:jc w:val="left"/>
        <w:rPr>
          <w:rFonts w:ascii="Times New Roman" w:hAnsi="Times New Roman"/>
          <w:sz w:val="20"/>
        </w:rPr>
      </w:pPr>
      <w:r>
        <w:rPr>
          <w:rFonts w:ascii="Times New Roman" w:hAnsi="Times New Roman"/>
          <w:sz w:val="20"/>
        </w:rPr>
        <w:t xml:space="preserve">(f) Neither VIH nor Merger Sub has waived any statute of limitations with respect to material Taxes or agreed to extend the period for assessment or collection of any material Taxes, which waiver or extension is still in effect. Neither VIH nor Merger Sub is presently contesting a material Tax liability of VIH or Merger Sub, as applicable, before any taxing authority or other Governmental Authority. </w:t>
      </w:r>
    </w:p>
    <w:p>
      <w:pPr>
        <w:pStyle w:val="TextBody"/>
        <w:spacing w:before="120" w:after="0"/>
        <w:jc w:val="left"/>
        <w:rPr>
          <w:rFonts w:ascii="Times New Roman" w:hAnsi="Times New Roman"/>
          <w:sz w:val="20"/>
        </w:rPr>
      </w:pPr>
      <w:r>
        <w:rPr>
          <w:rFonts w:ascii="Times New Roman" w:hAnsi="Times New Roman"/>
          <w:sz w:val="20"/>
        </w:rPr>
        <w:t xml:space="preserve">(g) There are no Liens for Taxes upon the assets of VIH or Merger Sub other than Permitted Liens </w:t>
      </w:r>
    </w:p>
    <w:p>
      <w:pPr>
        <w:pStyle w:val="TextBody"/>
        <w:spacing w:before="120" w:after="0"/>
        <w:jc w:val="left"/>
        <w:rPr>
          <w:rFonts w:ascii="Times New Roman" w:hAnsi="Times New Roman"/>
          <w:sz w:val="20"/>
        </w:rPr>
      </w:pPr>
      <w:r>
        <w:rPr>
          <w:rFonts w:ascii="Times New Roman" w:hAnsi="Times New Roman"/>
          <w:sz w:val="20"/>
        </w:rPr>
        <w:t xml:space="preserve">(h) No written claim has been made within the past three (3) years by any taxing authority in a jurisdiction where VIH or Merger Sub does not file Tax Returns that VIH or Merger Sub, as applicable, is or may be subject to material taxation by that jurisdiction. </w:t>
      </w:r>
    </w:p>
    <w:p>
      <w:pPr>
        <w:pStyle w:val="TextBody"/>
        <w:spacing w:before="120" w:after="0"/>
        <w:jc w:val="left"/>
        <w:rPr>
          <w:rFonts w:ascii="Times New Roman" w:hAnsi="Times New Roman"/>
          <w:sz w:val="20"/>
        </w:rPr>
      </w:pPr>
      <w:r>
        <w:rPr>
          <w:rFonts w:ascii="Times New Roman" w:hAnsi="Times New Roman"/>
          <w:sz w:val="20"/>
        </w:rPr>
        <w:t xml:space="preserve">(i) Neither VIH nor Merger Sub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VIH or Merger Sub pursuant to Section 481 of the Code or any similar provision of the Code or the corresponding Tax Laws of any nation, state or locality.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(j) Neither VIH nor Merger Sub has any Liabilities for material Taxes of any other Person (other than VIH or Merger Sub) as a successor or transferee, by Contract, by operation of Law, or otherwise (other than pursuant to any Commercial Tax Agreement). Neither VIH nor Merger Sub is party to or bound by any Tax Sharing Agreement. </w:t>
      </w:r>
    </w:p>
    <w:p>
      <w:pPr>
        <w:pStyle w:val="TextBody"/>
        <w:spacing w:before="120" w:after="0"/>
        <w:jc w:val="left"/>
        <w:rPr>
          <w:rFonts w:ascii="Times New Roman" w:hAnsi="Times New Roman"/>
          <w:sz w:val="20"/>
        </w:rPr>
      </w:pPr>
      <w:r>
        <w:rPr>
          <w:rFonts w:ascii="Times New Roman" w:hAnsi="Times New Roman"/>
          <w:sz w:val="20"/>
        </w:rPr>
        <w:t xml:space="preserve">(k) Neither VIH nor Merger Sub has engaged in a listed transaction within the meaning of Treasury Regulations Section 1.6011-4(b). </w:t>
      </w:r>
    </w:p>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in this Agreement, the representations and warranties in this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Section 4.4(c)</w:t>
      </w:r>
      <w:r>
        <w:rPr>
          <w:rFonts w:ascii="Times New Roman" w:hAnsi="Times New Roman"/>
          <w:sz w:val="20"/>
        </w:rPr>
        <w:t xml:space="preserve"> are the only representations and warranties of VIH and Merger Sub with respect to Tax matters. </w:t>
      </w:r>
    </w:p>
    <w:p>
      <w:pPr>
        <w:pStyle w:val="TextBody"/>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Brokers and Agents</w:t>
      </w:r>
      <w:r>
        <w:rPr>
          <w:rFonts w:ascii="Times New Roman" w:hAnsi="Times New Roman"/>
          <w:sz w:val="20"/>
        </w:rPr>
        <w:t xml:space="preserve">. Other than Jefferies LLC and, solely to the extent related to the PIPE Financing, Citigroup Global Markets Inc., no broker or finder has acted for VIH or Merger Sub in connection with this Agreement, the Transaction Documents, the Transactions, including the PIPE Financing, or VIHs initial public offering, and no broker or finder is entitled to any brokerage or finders fee or other commissions in respect of such transactions based upon agreements, arrangements or understandings made by or on behalf of VIH, Merger Sub or VIH Sponsor. </w:t>
      </w:r>
    </w:p>
    <w:p>
      <w:pPr>
        <w:pStyle w:val="TextBody"/>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Financing</w:t>
      </w:r>
      <w:r>
        <w:rPr>
          <w:rFonts w:ascii="Times New Roman" w:hAnsi="Times New Roman"/>
          <w:sz w:val="20"/>
        </w:rPr>
        <w:t xml:space="preserve">. Each of VIH and Merger Sub represents that it is not a condition to the Closing or to any of its other obligations under this Agreement that VIH or Merger Sub obtain financing for or related to any of the Transactions except as expressly contemplated herein. </w:t>
      </w:r>
    </w:p>
    <w:p>
      <w:pPr>
        <w:pStyle w:val="TextBody"/>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Legal Proceedings</w:t>
      </w:r>
      <w:r>
        <w:rPr>
          <w:rFonts w:ascii="Times New Roman" w:hAnsi="Times New Roman"/>
          <w:sz w:val="20"/>
        </w:rPr>
        <w:t xml:space="preserve">. There is no Action pending, threatened in writing or, to the knowledge of VIH, otherwise threatened against VIH or Merger Sub (and no Action has been brought or, to VIHs knowledge, threatened since the date of VIHs formation), and no notice of any Action involving or relating to VIH or Merger Sub, whether pending or threatened, has been received by VIH or Merger Sub, in each case to the extent such Action would have a VIH Material Adverse Effect. There are no Orders pending now or rendered by a Governmental Authority since the date of VIHs formation against VIH or Merger Sub that would have a VIH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Compliance; Permits</w:t>
      </w:r>
      <w:r>
        <w:rPr>
          <w:rFonts w:ascii="Times New Roman" w:hAnsi="Times New Roman"/>
          <w:sz w:val="20"/>
        </w:rPr>
        <w:t xml:space="preserve">. VIH and Merger Sub are, and since the date of such their respective dates of formation have been, conducting its business and operations, and otherwise is, and has since their respective dates of formation has been, in compliance in all material respects with all applicable Laws and Permits reasonably necessary to lawfully conduct the business of VIH and Merger Sub. Since their formation, neither VIH nor Merger Sub has received any written communication from any Governmental Authority alleging noncompliance in any material respect with any applicable Law or Permit. </w:t>
      </w:r>
    </w:p>
    <w:p>
      <w:pPr>
        <w:pStyle w:val="TextBody"/>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SEC Filings and VIH Financials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Since the IPO, VIH has timely filed all forms, reports, registration statements, prospectuses and other documents required to be filed or furnished by VIH with the SEC under the Securities Act and/or the Exchange Act, together with any amendments, restatements or supplements thereto. Except to the extent available on the SECs website through EDGAR, VIH has delivered to Bakkt Opco copies in the form filed with the SEC of (i) all forms, reports, registration statements, prospectuses and other documents (other than preliminary materials) filed by VIH with the SEC (the forms, reports, registration statements, prospectuses and other documents referred to above, whether or not available through EDGAR, collectively, the </w:t>
      </w:r>
      <w:r>
        <w:rPr>
          <w:rFonts w:ascii="Times New Roman" w:hAnsi="Times New Roman"/>
          <w:sz w:val="20"/>
          <w:u w:val="single"/>
        </w:rPr>
        <w:t>SEC Reports</w:t>
      </w:r>
      <w:r>
        <w:rPr>
          <w:rFonts w:ascii="Times New Roman" w:hAnsi="Times New Roman"/>
          <w:sz w:val="20"/>
        </w:rPr>
        <w:t xml:space="preserve">) and (ii) all certifications and statements required by (A) Rules 13a-14 or 15d-14 under the Exchange Act, and (B) 18 U.S.C. §1350 (Section 906 of SOX) with respect to any report referred to in </w:t>
      </w:r>
      <w:r>
        <w:rPr>
          <w:rFonts w:ascii="Times New Roman" w:hAnsi="Times New Roman"/>
          <w:sz w:val="20"/>
          <w:u w:val="single"/>
        </w:rPr>
        <w:t>clause (i)</w:t>
      </w:r>
      <w:r>
        <w:rPr>
          <w:rFonts w:ascii="Times New Roman" w:hAnsi="Times New Roman"/>
          <w:sz w:val="20"/>
        </w:rPr>
        <w:t xml:space="preserve"> above (collectively, the </w:t>
      </w:r>
      <w:r>
        <w:rPr>
          <w:rFonts w:ascii="Times New Roman" w:hAnsi="Times New Roman"/>
          <w:sz w:val="20"/>
          <w:u w:val="single"/>
        </w:rPr>
        <w:t>Public Certifications</w:t>
      </w:r>
      <w:r>
        <w:rPr>
          <w:rFonts w:ascii="Times New Roman" w:hAnsi="Times New Roman"/>
          <w:sz w:val="20"/>
        </w:rPr>
        <w:t xml:space="preserve">). The SEC Reports (x) were prepared in all material respects in accordance with the requirements of the Securities Act and the Exchange Act, as the case may be, and the rules and regulations thereunder and (y) did not, as of their respective effective dates (in the case of SEC Reports that are registration statements filed pursuant to the requirements of the Securities Act) and at the time they were filed with the SEC (in the case of all other SEC Reports) contain any untrue statement of a material fact or omit to state a material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fact required to be stated therein or necessary in order to make the statements made therein, in the light of the circumstances under which they were made, not misleading. As of the date hereof, there are no material outstanding or unresolved comments in comment letters from the SEC staff with respect to VIH or the SEC Reports. As of the date hereof to the knowledge of VIH, (i) none of the SEC Reports is the subject of ongoing SEC review or outstanding SEC comments and (ii) neither the SEC nor any other Governmental Authority is conducting any investigation or review of any SEC Report. The Public Certifications are each true as of their respective dates of filing. As used in this </w:t>
      </w:r>
      <w:r>
        <w:rPr>
          <w:rFonts w:ascii="Times New Roman" w:hAnsi="Times New Roman"/>
          <w:sz w:val="20"/>
          <w:u w:val="single"/>
        </w:rPr>
        <w:t>Section 4.11</w:t>
      </w:r>
      <w:r>
        <w:rPr>
          <w:rFonts w:ascii="Times New Roman" w:hAnsi="Times New Roman"/>
          <w:sz w:val="20"/>
        </w:rPr>
        <w:t xml:space="preserve">, the term file shall be broadly construed to include any manner permitted by SEC rules and regulations in which a document or information is furnished, supplied or otherwise made available to the SEC. </w:t>
      </w:r>
    </w:p>
    <w:p>
      <w:pPr>
        <w:pStyle w:val="TextBody"/>
        <w:spacing w:before="120" w:after="0"/>
        <w:jc w:val="left"/>
        <w:rPr>
          <w:rFonts w:ascii="Times New Roman" w:hAnsi="Times New Roman"/>
          <w:sz w:val="20"/>
        </w:rPr>
      </w:pPr>
      <w:r>
        <w:rPr>
          <w:rFonts w:ascii="Times New Roman" w:hAnsi="Times New Roman"/>
          <w:sz w:val="20"/>
        </w:rPr>
        <w:t>(b) The financial statements and notes of VIH contained or incorporated by reference in the SEC Reports (the </w:t>
      </w:r>
      <w:r>
        <w:rPr>
          <w:rFonts w:ascii="Times New Roman" w:hAnsi="Times New Roman"/>
          <w:sz w:val="20"/>
          <w:u w:val="single"/>
        </w:rPr>
        <w:t>VIH Financials</w:t>
      </w:r>
      <w:r>
        <w:rPr>
          <w:rFonts w:ascii="Times New Roman" w:hAnsi="Times New Roman"/>
          <w:sz w:val="20"/>
        </w:rPr>
        <w:t xml:space="preserve">), fairly present in all material respects the financial position and the results of operations, changes in shareholders equity, and cash flows of VIH at the respective dates of and, for the periods referred to in such financial statements, all in accordance with (i) GAAP methodologies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 </w:t>
      </w:r>
    </w:p>
    <w:p>
      <w:pPr>
        <w:pStyle w:val="TextBody"/>
        <w:spacing w:before="120" w:after="0"/>
        <w:jc w:val="left"/>
        <w:rPr>
          <w:rFonts w:ascii="Times New Roman" w:hAnsi="Times New Roman"/>
          <w:sz w:val="20"/>
        </w:rPr>
      </w:pPr>
      <w:r>
        <w:rPr>
          <w:rFonts w:ascii="Times New Roman" w:hAnsi="Times New Roman"/>
          <w:sz w:val="20"/>
        </w:rPr>
        <w:t xml:space="preserve">(c) VIH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VIHs disclosure controls and procedures are designed to ensure that all information (both financial and non-financial) required to be disclosed by VIH in the reports that it files or furnishes under the Exchange Act is recorded, processed, summarized and reported within the time periods specified in the rules and forms of the SEC, and that all such information is accumulated and communicated to VIHs management as appropriate to allow timely decisions regarding required disclosure and to make the certifications required pursuant to Sections 302 and 906 of the Sarbanes-Oxley Act. To the knowledge of VIH, (i) VIH has not identified or been made aware of any significant deficiencies or material weaknesses in the design or operation of its internal control over financial reporting that would adversely affect VIHs ability to record, process, summarize and report financial information and (ii) VIH does not have knowledge of any fraud, whether or not material, that involves management or other employees who have a significant role in VIHs 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(d) Except as and to the extent reflected or reserved against in the VIH Financials, VIH has not incurred any Liabilities or obligations of the type required to be reflected on a balance sheet in accordance with GAAP that are not adequately reflected or reserved on or provided for in the VIH Financials, other than Liabilities of the type required to be reflected on a balance sheet in accordance with GAAP that have been incurred since VIHs formation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(e) There are no outstanding loans or other extensions of credit made by VIH to any executive officer (as defined in Rule 3b-7 under the Exchange Act) or director of VIH other than advancements of expenses in the ordinary course less than $50,000 individually or $100,000 in the aggregate. VIH has not taken any action prohibited by Section 402 of the Sarbanes-Oxley Act. </w:t>
      </w:r>
    </w:p>
    <w:p>
      <w:pPr>
        <w:pStyle w:val="TextBody"/>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National Stock Exchange</w:t>
      </w:r>
      <w:r>
        <w:rPr>
          <w:rFonts w:ascii="Times New Roman" w:hAnsi="Times New Roman"/>
          <w:sz w:val="20"/>
        </w:rPr>
        <w:t>. As of the date of this Agreement, the VIH Public Units, the VIH Class A Shares and the VIH Warrants that were included as part of the VIH Public Units (the </w:t>
      </w:r>
      <w:r>
        <w:rPr>
          <w:rFonts w:ascii="Times New Roman" w:hAnsi="Times New Roman"/>
          <w:sz w:val="20"/>
          <w:u w:val="single"/>
        </w:rPr>
        <w:t>VIH Public Warrants</w:t>
      </w:r>
      <w:r>
        <w:rPr>
          <w:rFonts w:ascii="Times New Roman" w:hAnsi="Times New Roman"/>
          <w:sz w:val="20"/>
        </w:rPr>
        <w:t xml:space="preserve">) are listed on the National Stock Exchange under the symbols VIHAU, VIH and VIHAW, respectively. As of the date of this Agreement, VIH is in compliance in all material respects with the applicable corporate governance requirements of the National Stock Exchange for continued listing of VIH Public Units, VIH Class A Shares and VIH Public Warrants thereon and there is no action or proceeding pending or, to VIHs knowledge, threatened against VIH by the National Stock Exchange or the Financial Industry Regulatory Authority to prohibit or terminate the listing of the VIH Public Units, VIH Class A Shares or VIH Public Warrants on the National Stock Exchange.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Board Recommendation</w:t>
      </w:r>
      <w:r>
        <w:rPr>
          <w:rFonts w:ascii="Times New Roman" w:hAnsi="Times New Roman"/>
          <w:sz w:val="20"/>
        </w:rPr>
        <w:t xml:space="preserve">. Each of the VIH Board (including any required committee or subgroup of the VIH Board) and the managing member of Merger Sub has, as of the date of this Agreement, unanimously determined that (i) the consummation of the Transactions (including the Merger and the Domestication) is in the best interest of the stockholders of VIH and the equity holders of Merger Sub, (ii) the fair market value of Bakkt Opco is equal to at least eighty percent (80%) of the balance in the Trust Account and (iii) in the case of VIH, recommended that VIH Shareholders adopt and approve this Agreement and approve the other Voting Matters. </w:t>
      </w:r>
    </w:p>
    <w:p>
      <w:pPr>
        <w:pStyle w:val="TextBody"/>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Trust Account</w:t>
      </w:r>
      <w:r>
        <w:rPr>
          <w:rFonts w:ascii="Times New Roman" w:hAnsi="Times New Roman"/>
          <w:sz w:val="20"/>
        </w:rPr>
        <w:t>. VIH has made available to Bakkt Opco a true, correct and complete copy of the fully executed Investment Management Trust Agreement (the </w:t>
      </w:r>
      <w:r>
        <w:rPr>
          <w:rFonts w:ascii="Times New Roman" w:hAnsi="Times New Roman"/>
          <w:sz w:val="20"/>
          <w:u w:val="single"/>
        </w:rPr>
        <w:t>Trust Agreement</w:t>
      </w:r>
      <w:r>
        <w:rPr>
          <w:rFonts w:ascii="Times New Roman" w:hAnsi="Times New Roman"/>
          <w:sz w:val="20"/>
        </w:rPr>
        <w:t>), dated as of September 22, 2020, by and between VIH and Continental Stock Transfer &amp; Trust Company, a New York corporation (the </w:t>
      </w:r>
      <w:r>
        <w:rPr>
          <w:rFonts w:ascii="Times New Roman" w:hAnsi="Times New Roman"/>
          <w:sz w:val="20"/>
          <w:u w:val="single"/>
        </w:rPr>
        <w:t>Trustee</w:t>
      </w:r>
      <w:r>
        <w:rPr>
          <w:rFonts w:ascii="Times New Roman" w:hAnsi="Times New Roman"/>
          <w:sz w:val="20"/>
        </w:rPr>
        <w:t>). As of the date of this Agreement, VIH has at least $207,373,020 in the Trust Account, with such funds invested in government securities or money market funds meeting certain conditions pursuant to the Trust Agreement. The Trust Agreement is in full force and effect and is a legal, valid and binding obligation of VIH and, to VIHs knowledge, the Trustee, enforceable in accordance with its terms, subject to the Enforcement Exceptions. The Trust Agreement has not been terminated, repudiated, rescinded, amended or supplemented or modified, in any respect, and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SEC Reports to be inaccurate or (ii) entitle any Person (other than (A) the underwriter of the IPO and (B) Public Stockholders who have elected to redeem their VIH Class A Shares in accordance with the VIH Memorandum and Articles) to any portion of the proceeds in the Trust Account. Prior to the Closing, none of the funds held in the Trust Account may be released except to redeem VIH Class A Shares from Public Stockholders in accordance with the provisions of the VIH Memorandum and Articles and the IPO Prospectus (the </w:t>
      </w:r>
      <w:r>
        <w:rPr>
          <w:rFonts w:ascii="Times New Roman" w:hAnsi="Times New Roman"/>
          <w:sz w:val="20"/>
          <w:u w:val="single"/>
        </w:rPr>
        <w:t>Redemption</w:t>
      </w:r>
      <w:r>
        <w:rPr>
          <w:rFonts w:ascii="Times New Roman" w:hAnsi="Times New Roman"/>
          <w:sz w:val="20"/>
        </w:rPr>
        <w:t xml:space="preserve">) or as otherwise described in </w:t>
      </w:r>
      <w:r>
        <w:rPr>
          <w:rFonts w:ascii="Times New Roman" w:hAnsi="Times New Roman"/>
          <w:sz w:val="20"/>
          <w:u w:val="single"/>
        </w:rPr>
        <w:t>Section 9.2(a)</w:t>
      </w:r>
      <w:r>
        <w:rPr>
          <w:rFonts w:ascii="Times New Roman" w:hAnsi="Times New Roman"/>
          <w:sz w:val="20"/>
        </w:rPr>
        <w:t xml:space="preserve">. There is no Action pending, or to VIHs knowledge, threatened with respect to the Trust Account. </w:t>
      </w:r>
    </w:p>
    <w:p>
      <w:pPr>
        <w:pStyle w:val="TextBody"/>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Insurance</w:t>
      </w:r>
      <w:r>
        <w:rPr>
          <w:rFonts w:ascii="Times New Roman" w:hAnsi="Times New Roman"/>
          <w:sz w:val="20"/>
        </w:rPr>
        <w:t xml:space="preserve">. Except for directors and officers liability insurance, VIH does not maintain any insurance policies. </w:t>
      </w:r>
    </w:p>
    <w:p>
      <w:pPr>
        <w:pStyle w:val="TextBody"/>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Intellectual Property</w:t>
      </w:r>
      <w:r>
        <w:rPr>
          <w:rFonts w:ascii="Times New Roman" w:hAnsi="Times New Roman"/>
          <w:sz w:val="20"/>
        </w:rPr>
        <w:t xml:space="preserve">. Neither VIH nor Merger Sub owns, licenses or otherwise has any right, title or interest in any Intellectual Property. To the knowledge of VIH, neither VIH nor Merger Sub infringes, misappropriates or violates any Intellectual Property of any other Person. </w:t>
      </w:r>
    </w:p>
    <w:p>
      <w:pPr>
        <w:pStyle w:val="TextBody"/>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Agreements, Contracts and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Other than confidentiality and non-disclosure agreements, this Agreement and the Transaction Documents (none of which shall constitute Material VIH Contracts for purposes of this Agreement), there are no Contracts, agreements, leases, mortgages, indentures, notes, bonds, Liens, licenses, Permits, franchises, purchase orders, sales orders or other understandings, commitments or obligations (including outstanding offers or proposals) of any kind, whether written or oral, to which VIH or Merger Sub is a party or by or to which any of the properties or assets of VIH or Merger Sub may be bound, subject or affected (</w:t>
      </w:r>
      <w:r>
        <w:rPr>
          <w:rFonts w:ascii="Times New Roman" w:hAnsi="Times New Roman"/>
          <w:sz w:val="20"/>
          <w:u w:val="single"/>
        </w:rPr>
        <w:t>Material VIH Contracts</w:t>
      </w:r>
      <w:r>
        <w:rPr>
          <w:rFonts w:ascii="Times New Roman" w:hAnsi="Times New Roman"/>
          <w:sz w:val="20"/>
        </w:rPr>
        <w:t xml:space="preserve">). All Material VIH Contracts are listed in Section 4.17(a) of the VIH Disclosure Letter other than those that are exhibits to the SEC Reports filed at least one (1) Business Day prior to the date of this Agreement. </w:t>
      </w:r>
    </w:p>
    <w:p>
      <w:pPr>
        <w:pStyle w:val="TextBody"/>
        <w:spacing w:before="120" w:after="0"/>
        <w:jc w:val="left"/>
        <w:rPr>
          <w:rFonts w:ascii="Times New Roman" w:hAnsi="Times New Roman"/>
          <w:sz w:val="20"/>
        </w:rPr>
      </w:pPr>
      <w:r>
        <w:rPr>
          <w:rFonts w:ascii="Times New Roman" w:hAnsi="Times New Roman"/>
          <w:sz w:val="20"/>
        </w:rPr>
        <w:t xml:space="preserve">(b) Each Material VIH Contract was entered into at arms length and in the ordinary course, is in full force and effect and, to VIHs knowledge, is valid and binding upon and enforceable against each of the parties thereto, subject to the Enforcement Exceptions. To VIHs knowledge, no other party to a Material VIH Contract is the subject of a bankruptcy or insolvency proceeding. True, correct and complete copies of all Material VIH Contracts (or written summaries in the case of oral Material VIH Contracts) have been heretofore delivered to Bakkt Opco. </w:t>
      </w:r>
    </w:p>
    <w:p>
      <w:pPr>
        <w:pStyle w:val="TextBody"/>
        <w:spacing w:before="120" w:after="0"/>
        <w:jc w:val="left"/>
        <w:rPr>
          <w:rFonts w:ascii="Times New Roman" w:hAnsi="Times New Roman"/>
          <w:sz w:val="20"/>
        </w:rPr>
      </w:pPr>
      <w:r>
        <w:rPr>
          <w:rFonts w:ascii="Times New Roman" w:hAnsi="Times New Roman"/>
          <w:sz w:val="20"/>
        </w:rPr>
        <w:t xml:space="preserve">(c) Neither VIH nor, to the knowledge of VIH, any other party thereto is in breach of or in default under, and no event has occurred which with notice or lapse of time or both would become a breach of or default under, any Material VIH Contract.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A-29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Title to Property</w:t>
      </w:r>
      <w:r>
        <w:rPr>
          <w:rFonts w:ascii="Times New Roman" w:hAnsi="Times New Roman"/>
          <w:sz w:val="20"/>
        </w:rPr>
        <w:t xml:space="preserve">. Neither VIH nor Merger Sub owns or leases any Real Property or personal property. There are no options or other Contracts under which VIH or Merger Sub has a right or obligation to acquire or lease any interest in Real Property or personal property. </w:t>
      </w:r>
    </w:p>
    <w:p>
      <w:pPr>
        <w:pStyle w:val="TextBody"/>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Employee Matters</w:t>
      </w:r>
      <w:r>
        <w:rPr>
          <w:rFonts w:ascii="Times New Roman" w:hAnsi="Times New Roman"/>
          <w:sz w:val="20"/>
        </w:rPr>
        <w:t xml:space="preserve">. Other than any former officers or as described in VIHs SEC Reports, VIH has never had any employees. Other than reimbursement of any out-of-pocket expenses incurred by VIHs officers and directors in connection with activities on VIHs behalf in an aggregate amount not in excess of the amount of cash held by VIH outside of the Trust Account, VIH does not have any unsatisfied liability with respect to any employee, officer or director. VIH does not maintain, sponsor or have any liability or potential liability with respect to any VIH Benefit Arrangement or VIH Benefit Plan.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or other compensation payable to any Person who is or has been an employee of or independent contractor to VIH (other than salaries, wages, or bonuses payable in the ordinary course of business) to increase or become due to any such Person or (ii) result in forgiveness of indebtedness with respect to any employee of VIH. </w:t>
      </w:r>
    </w:p>
    <w:p>
      <w:pPr>
        <w:pStyle w:val="TextBody"/>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Regulatory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Neither VIH, its Subsidiaries, nor to the knowledge of VIH has any of their respective Representatives acting on their behalf, in their capacity as such, has since their respective dates of formation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VIH, its Subsidiaries, nor any of their respective Representatives acting on their behalf, in their capacity as such, has promised, offered, authorized, given or agreed to give any unlawful gift, similar unlawful benefit or anything of value to any customer, supplier, governmental employee or other Person who is or may be in a position to help or hinder VIH or its Subsidiaries or assist in connection with any actual or proposed transaction, in violation of any provision of the FCPA or of any other applicable anti-bribery or anti-corruption law. To the knowledge of VIH, no Action with respect to any of the foregoing is pending or threatened against or that involves VIH or its Subsidiaries. </w:t>
      </w:r>
    </w:p>
    <w:p>
      <w:pPr>
        <w:pStyle w:val="TextBody"/>
        <w:spacing w:before="120" w:after="0"/>
        <w:jc w:val="left"/>
        <w:rPr>
          <w:rFonts w:ascii="Times New Roman" w:hAnsi="Times New Roman"/>
          <w:sz w:val="20"/>
        </w:rPr>
      </w:pPr>
      <w:r>
        <w:rPr>
          <w:rFonts w:ascii="Times New Roman" w:hAnsi="Times New Roman"/>
          <w:sz w:val="20"/>
        </w:rPr>
        <w:t xml:space="preserve">(b) The operations of VIH and its Subsidiaries are and have since their respective dates of formation been conducted in compliance with anti-money laundering Laws, and no Action involving VIH or any of its Subsidiaries with respect to any of the foregoing is pending or, to the knowledge of the VIH, threatened in writing. </w:t>
      </w:r>
    </w:p>
    <w:p>
      <w:pPr>
        <w:pStyle w:val="TextBody"/>
        <w:spacing w:before="120" w:after="0"/>
        <w:jc w:val="left"/>
        <w:rPr>
          <w:rFonts w:ascii="Times New Roman" w:hAnsi="Times New Roman"/>
          <w:sz w:val="20"/>
        </w:rPr>
      </w:pPr>
      <w:r>
        <w:rPr>
          <w:rFonts w:ascii="Times New Roman" w:hAnsi="Times New Roman"/>
          <w:sz w:val="20"/>
        </w:rPr>
        <w:t xml:space="preserve">(c) Neither VIH, its Subsidiaries nor any of their respective directors or officers, or, to the knowledge of VIH, any other Representative acting on behalf of VIH or its Subsidiaries is currently identified on the SDN List or other sanctions-related list, or owned or controlled by such a person, or otherwise the target of Sanctions, or operating, organized, or resident in a country or territory that is the target of Sanctions (currently, Cuba, Iran, North Korea, Syria, and the Crimea region of Ukraine), and VIH has not since the date of its formation, directly or, to its knowledge indirectly, loaned, contributed or otherwise made available funds to any Subsidiary, joint venture partner or other Person, in connection with any sales or operations in any country or territory which is the target of Sanctions or for the purpose of financing the activities of any Person that is the target of Sanctions, or has otherwise been in violation of Sanctions. </w:t>
      </w:r>
    </w:p>
    <w:p>
      <w:pPr>
        <w:pStyle w:val="TextBody"/>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Investment Company Act</w:t>
      </w:r>
      <w:r>
        <w:rPr>
          <w:rFonts w:ascii="Times New Roman" w:hAnsi="Times New Roman"/>
          <w:sz w:val="20"/>
        </w:rPr>
        <w:t xml:space="preserve">. VIH is not required to register as an investment company under (and within the meaning of) the Investment Company Act of 1940, as amended. </w:t>
      </w:r>
    </w:p>
    <w:p>
      <w:pPr>
        <w:pStyle w:val="TextBody"/>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PIPE Financing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VIH has delivered to Bakkt Opco true, correct and complete copies of each of the PIPE Subscription Agreements entered into by VIH with the applicable PIPE Investors named therein, pursuant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which the PIPE Investors have committed to provide the PIPE Financing. To the knowledge of VIH, with respect to each PIPE Investor, the PIPE Subscription Agreement with such PIPE Investor is in full force and effect and has not been withdrawn or terminated, or otherwise amended, modified or waived, in any material respect (it being understood that a change of or to one or more entities or individuals with respect to an PIPE Investor shall not be deemed a violation of the foregoing), and no withdrawal, termination, amendment or modification is contemplated by VIH. Each PIPE Subscription Agreement is a legal, valid and binding obligation of VIH, each PIPE Investor, and neither the execution or delivery by any party thereto nor the performance of any partys obligations under any such PIPE Subscription Agreement violates any Laws. There are no other agreements, side letters, or arrangements between VIH and any PIPE Investor relating to any PIPE Subscription Agreement, that would affect the obligation of such PIPE Investors to contribute to Bakkt Opco the applicable portion of the PIPE Financing set forth in the PIPE Subscription Agreement of such PIPE Investor, and, as of the date hereof, VIH does not know of any facts or circumstances that would result in any of the conditions set forth in any PIPE Subscription Agreement not being satisfied, or the PIPE Financing not being available to VIH, on the Closing Date. No event has occurred that, with or without notice, lapse of time or both, would constitute a default or breach on the part of VIH under any material term or condition of any PIPE Subscription Agreement and, as of the date hereof, VIH has no reason to believe that it will be unable to satisfy in all material respects on a timely basis any term or condition of closing to be satisfied by it contained in any PIPE Subscription Agreement. </w:t>
      </w:r>
    </w:p>
    <w:p>
      <w:pPr>
        <w:pStyle w:val="TextBody"/>
        <w:spacing w:before="120" w:after="0"/>
        <w:jc w:val="left"/>
        <w:rPr>
          <w:rFonts w:ascii="Times New Roman" w:hAnsi="Times New Roman"/>
          <w:sz w:val="20"/>
        </w:rPr>
      </w:pPr>
      <w:r>
        <w:rPr>
          <w:rFonts w:ascii="Times New Roman" w:hAnsi="Times New Roman"/>
          <w:sz w:val="20"/>
        </w:rPr>
        <w:t xml:space="preserve">(b) No fees, consideration or other discounts are payable or have been agreed by VIH or any of its Subsidiaries (including, from and after the Closing, Bakkt Opco and its Subsidiaries) to any PIPE Investor in respect of its portion of the PIPE Financing. </w:t>
      </w:r>
    </w:p>
    <w:p>
      <w:pPr>
        <w:pStyle w:val="TextBody"/>
        <w:spacing w:before="24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Due Diligence Investigation</w:t>
      </w:r>
      <w:r>
        <w:rPr>
          <w:rFonts w:ascii="Times New Roman" w:hAnsi="Times New Roman"/>
          <w:sz w:val="20"/>
        </w:rPr>
        <w:t xml:space="preserve">. VIH and Merger Sub acknowledge, covenant and agree, on behalf of themselves and their respective Representatives: (a) that they have made their own due diligence investigation, and based thereon, formed their own independent judgment with respect business, results of operations, prospects, condition (financial or otherwise) of assets of Bakkt Opco and its Subsidiaries and have been afforded satisfactory access to the books and records, facilities and personnel of Bakkt Opco and its Subsidiaries for the purpose of conducting such investigation and forming such judgement, (b) that in entering into this Agreement, they have relied solely upon their own investigation and analysis and the Bakkt Representations, (c) that (x) other than the Bakkt Representations, no representation or warranty has been or is being made by Bakkt Opco or any of its Representatives or any other Person as to the accuracy or completeness of any of the information provided or made available to VIH, Merger Sub or any of their respective Representatives (including any such information contained in the data room, in any confidential information memorandum, management presentation or similar materials, in answers to due diligence questions submitted by VIH, Merger Sub or any of their respective Representatives or in any other form (including meetings, calls and correspondence)) in expectation of the Transactions, and (y) there are uncertainties inherent in attempting to make estimates, projections, forecasts, plans, budgets and similar materials and information (including forward-looking statements), and VIH and Merger Sub are familiar with such uncertainties and (d) VIH and Merger Sub are taking full responsibility for making their own evaluation of the adequacy and accuracy of all estimates, projections, plans and budgets so furnished to them, including the reasonableness of the assumptions underlying such estimates, projections, plans and budgets. Without limiting the foregoing provisions of this paragraph, VIH and Merger Sub hereby acknowledge and agree (on behalf of themselves and their respective Representatives) that none of Bakkt Opco, its Affiliates, their respective Representatives or any other Person is making any representation or warranty with respect to such estimates, projections, plans or budgets, including the reasonableness of the assumptions underlying such estimates, projections, plans or budgets, and that VIH, Merger Sub and their Representatives have not relied on any such estimates, projections, plans or budgets. </w:t>
      </w:r>
    </w:p>
    <w:p>
      <w:pPr>
        <w:pStyle w:val="TextBody"/>
        <w:spacing w:before="240" w:after="0"/>
        <w:jc w:val="left"/>
        <w:rPr>
          <w:rFonts w:ascii="Times New Roman" w:hAnsi="Times New Roman"/>
          <w:sz w:val="20"/>
        </w:rPr>
      </w:pPr>
      <w:r>
        <w:rPr>
          <w:rFonts w:ascii="Times New Roman" w:hAnsi="Times New Roman"/>
          <w:sz w:val="20"/>
        </w:rPr>
        <w:t xml:space="preserve">Section 4.24 </w:t>
      </w:r>
      <w:r>
        <w:rPr>
          <w:rFonts w:ascii="Times New Roman" w:hAnsi="Times New Roman"/>
          <w:sz w:val="20"/>
          <w:u w:val="single"/>
        </w:rPr>
        <w:t>No Other Bakkt Opco Representations or Warranties</w:t>
      </w:r>
      <w:r>
        <w:rPr>
          <w:rFonts w:ascii="Times New Roman" w:hAnsi="Times New Roman"/>
          <w:sz w:val="20"/>
        </w:rPr>
        <w:t xml:space="preserve">. VIH and Merger Sub acknowledge and agree that the specific representations and warranties expressly set forth in </w:t>
      </w:r>
      <w:r>
        <w:rPr>
          <w:rFonts w:ascii="Times New Roman" w:hAnsi="Times New Roman"/>
          <w:sz w:val="20"/>
          <w:u w:val="single"/>
        </w:rPr>
        <w:t>Article III</w:t>
      </w:r>
      <w:r>
        <w:rPr>
          <w:rFonts w:ascii="Times New Roman" w:hAnsi="Times New Roman"/>
          <w:sz w:val="20"/>
        </w:rPr>
        <w:t xml:space="preserve"> (as expressly qualified by the Bakkt Disclosure Letter) or expressly set forth in a Transaction Document (collectively, the </w:t>
      </w:r>
      <w:r>
        <w:rPr>
          <w:rFonts w:ascii="Times New Roman" w:hAnsi="Times New Roman"/>
          <w:sz w:val="20"/>
          <w:u w:val="single"/>
        </w:rPr>
        <w:t>Bakkt Representations</w:t>
      </w:r>
      <w:r>
        <w:rPr>
          <w:rFonts w:ascii="Times New Roman" w:hAnsi="Times New Roman"/>
          <w:sz w:val="20"/>
        </w:rPr>
        <w:t xml:space="preserve">), (a) are and shall constitute the sole and exclusive representations and warranties made by Bakkt Opco and its Representatives in connection with this Agreement or the Transactions, (b) neither Bakkt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Opco nor any of its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Bakkt Opco, or any of its businesses, financial projections, assets, liabilities or operations, or the Transactions, and (c) Bakkt Opco disclaims any other representations or warranties, whether made by Bakkt Opco or any of its Representatives. VIH and Merger Sub acknowledge and agree that except for the Bakkt Representations, VIH and Merger Sub (a) shall consummate the Transactions without any representation or warranty, except as otherwise expressly set forth in the Bakkt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Bakkt Representations and (c) expressly disclaims reliance upon any representations and warranties other than the Bakkt Representations, including any representation, warranty, projection, forecast, statement or information made, communicated or furnished (orally or in writing) to VIH, Merger Sub or any of their respective Representatives (including any opinion, information, projection or advice that may have been or may be provided to VIH, Merger Sub or any of their respective Representatives) by any Representative of Bakkt Opco or one of its Affiliates or any information, documents or materials made available to VIH, Merger Sub or any of their respective Representatives, whether orally or in writing, in certain data rooms, management presentations, functional break-out discussions, responses to questions submitted on behalf of VIH, Merger Sub or any of their respective Representatives or in any other form in connection with the transactions contemplated by this Agreement. Without limiting the foregoing, Bakkt Opco not make any representation or warranty of any kind whatsoever, express or implied, written or oral, at law or in equity, to VIH, Merger Sub or any of their respective Representatives regarding the success, profitability or value of Bakkt Opco.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center"/>
        <w:rPr>
          <w:rFonts w:ascii="Times New Roman" w:hAnsi="Times New Roman"/>
          <w:b/>
          <w:sz w:val="20"/>
        </w:rPr>
      </w:pPr>
      <w:r>
        <w:rPr>
          <w:rFonts w:ascii="Times New Roman" w:hAnsi="Times New Roman"/>
          <w:b/>
          <w:sz w:val="20"/>
        </w:rPr>
        <w:t xml:space="preserve">PRE-CLOSING COVENANTS </w:t>
      </w:r>
    </w:p>
    <w:p>
      <w:pPr>
        <w:pStyle w:val="TextBody"/>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Conduct of Business of Bakkt Opco</w:t>
      </w:r>
      <w:r>
        <w:rPr>
          <w:rFonts w:ascii="Times New Roman" w:hAnsi="Times New Roman"/>
          <w:sz w:val="20"/>
        </w:rPr>
        <w:t xml:space="preserve">. Except as set forth in Section 5.1 of the Bakkt Disclosure Letter, as otherwise contemplated by this Agreement, as required by applicable Law or a Governmental Authority, or as consented to by VIH (which consent, other than in respect of the sub-clauses listed in the last paragraph of this </w:t>
      </w:r>
      <w:r>
        <w:rPr>
          <w:rFonts w:ascii="Times New Roman" w:hAnsi="Times New Roman"/>
          <w:sz w:val="20"/>
          <w:u w:val="single"/>
        </w:rPr>
        <w:t>Section 5.1</w:t>
      </w:r>
      <w:r>
        <w:rPr>
          <w:rFonts w:ascii="Times New Roman" w:hAnsi="Times New Roman"/>
          <w:sz w:val="20"/>
        </w:rPr>
        <w:t xml:space="preserve">, shall not be unreasonably withheld, conditioned or delayed), between the date of this Agreement and the earlier of the Closing or the termination of this Agreement in accordance with </w:t>
      </w:r>
      <w:r>
        <w:rPr>
          <w:rFonts w:ascii="Times New Roman" w:hAnsi="Times New Roman"/>
          <w:sz w:val="20"/>
          <w:u w:val="single"/>
        </w:rPr>
        <w:t>Section 8.1</w:t>
      </w:r>
      <w:r>
        <w:rPr>
          <w:rFonts w:ascii="Times New Roman" w:hAnsi="Times New Roman"/>
          <w:sz w:val="20"/>
        </w:rPr>
        <w:t xml:space="preserve"> hereof (the </w:t>
      </w:r>
      <w:r>
        <w:rPr>
          <w:rFonts w:ascii="Times New Roman" w:hAnsi="Times New Roman"/>
          <w:sz w:val="20"/>
          <w:u w:val="single"/>
        </w:rPr>
        <w:t>Interim Period</w:t>
      </w:r>
      <w:r>
        <w:rPr>
          <w:rFonts w:ascii="Times New Roman" w:hAnsi="Times New Roman"/>
          <w:sz w:val="20"/>
        </w:rPr>
        <w:t xml:space="preserve">), Bakkt Opco shall, and shall cause its Subsidiaries to, (x) conduct their respective businesses in the ordinary course of business and in material compliance with applicable Law, and (y) in each case in all material respects, use their commercially reasonable efforts to maintain and preserve their respective businesses, assets and organizations intact, retain their respective present officers and employees and maintain and preserve their respective relationships with their officers and employees, suppliers, vendors, licensors, Governmental Authorities, creditors and others having business relations with such Person. Except as set forth in Section 5.1 of the Bakkt Disclosure Letter, as otherwise contemplated by this Agreement, as required by applicable Law or a Governmental Authority, or as consented to by VIH (which consent shall not be unreasonably withheld, conditioned or delayed), Bakkt Opco shall not and shall cause its Subsidiaries not to: </w:t>
      </w:r>
    </w:p>
    <w:p>
      <w:pPr>
        <w:pStyle w:val="TextBody"/>
        <w:spacing w:before="120" w:after="0"/>
        <w:jc w:val="left"/>
        <w:rPr>
          <w:rFonts w:ascii="Times New Roman" w:hAnsi="Times New Roman"/>
          <w:sz w:val="20"/>
        </w:rPr>
      </w:pPr>
      <w:r>
        <w:rPr>
          <w:rFonts w:ascii="Times New Roman" w:hAnsi="Times New Roman"/>
          <w:sz w:val="20"/>
        </w:rPr>
        <w:t xml:space="preserve">(a) change or amend any of the Organizational Documents of Bakkt Opco and its Subsidiaries, or authorize or propose the same; </w:t>
      </w:r>
    </w:p>
    <w:p>
      <w:pPr>
        <w:pStyle w:val="TextBody"/>
        <w:spacing w:before="120" w:after="0"/>
        <w:jc w:val="left"/>
        <w:rPr>
          <w:rFonts w:ascii="Times New Roman" w:hAnsi="Times New Roman"/>
          <w:sz w:val="20"/>
        </w:rPr>
      </w:pPr>
      <w:r>
        <w:rPr>
          <w:rFonts w:ascii="Times New Roman" w:hAnsi="Times New Roman"/>
          <w:sz w:val="20"/>
        </w:rPr>
        <w:t>(b) 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its equity capitalization or capital structure, or enter into any agreement, understanding or arrangement with respect to the voting of equity securities of Bakkt Opco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exercises or conversions of currently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outstanding rights shall not be prohibited), or grant any additional equity or equity-based compensation (including Bakkt Opco Incentive Units and Participation Units under the Bakkt Equity Incentive Plan); </w:t>
      </w:r>
    </w:p>
    <w:p>
      <w:pPr>
        <w:pStyle w:val="TextBody"/>
        <w:spacing w:before="120" w:after="0"/>
        <w:jc w:val="left"/>
        <w:rPr>
          <w:rFonts w:ascii="Times New Roman" w:hAnsi="Times New Roman"/>
          <w:sz w:val="20"/>
        </w:rPr>
      </w:pPr>
      <w:r>
        <w:rPr>
          <w:rFonts w:ascii="Times New Roman" w:hAnsi="Times New Roman"/>
          <w:sz w:val="20"/>
        </w:rPr>
        <w:t xml:space="preserve">(c) declare or pay any distribution (other than ordinary and regular tax distributions or distributions made by wholly-owned Subsidiaries of Bakkt Opco to Bakkt Opco or any of its wholly-owned Subsidiaries) in respect of its limited liability company interests or authorize the issuance of any other securities in respect of, in lieu of or in substitution for any of its securities or purchase, redeem or otherwise acquire or retire for value any of its securities; </w:t>
      </w:r>
    </w:p>
    <w:p>
      <w:pPr>
        <w:pStyle w:val="TextBody"/>
        <w:spacing w:before="120" w:after="0"/>
        <w:jc w:val="left"/>
        <w:rPr>
          <w:rFonts w:ascii="Times New Roman" w:hAnsi="Times New Roman"/>
          <w:sz w:val="20"/>
        </w:rPr>
      </w:pPr>
      <w:r>
        <w:rPr>
          <w:rFonts w:ascii="Times New Roman" w:hAnsi="Times New Roman"/>
          <w:sz w:val="20"/>
        </w:rPr>
        <w:t xml:space="preserve">(d) make a loan or advance to or investment in any third party; </w:t>
      </w:r>
    </w:p>
    <w:p>
      <w:pPr>
        <w:pStyle w:val="TextBody"/>
        <w:spacing w:before="120" w:after="0"/>
        <w:jc w:val="left"/>
        <w:rPr>
          <w:rFonts w:ascii="Times New Roman" w:hAnsi="Times New Roman"/>
          <w:sz w:val="20"/>
        </w:rPr>
      </w:pPr>
      <w:r>
        <w:rPr>
          <w:rFonts w:ascii="Times New Roman" w:hAnsi="Times New Roman"/>
          <w:sz w:val="20"/>
        </w:rPr>
        <w:t xml:space="preserve">(e) sell, assign, lease, sublease, exclusively license, exclusively sublicense, pledge, fail to renew, or otherwise transfer or dispose of or grant any option or exclusive rights in, to or under, any material assets (including material Intellectual Property) of Bakkt Opco and its Subsidiaries (other than any such actions performed by Bakkt Opco or one of its Subsidiaries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(f) disclose any material Trade Secrets, material Bakkt Software or material confidential Intellectual Property of Bakkt Opco and its Subsidiaries (including the source code for any proprietary software) to any Person who has not entered into a reasonably protective confidentiality agreement; </w:t>
      </w:r>
    </w:p>
    <w:p>
      <w:pPr>
        <w:pStyle w:val="TextBody"/>
        <w:spacing w:before="120" w:after="0"/>
        <w:jc w:val="left"/>
        <w:rPr>
          <w:rFonts w:ascii="Times New Roman" w:hAnsi="Times New Roman"/>
          <w:sz w:val="20"/>
        </w:rPr>
      </w:pPr>
      <w:r>
        <w:rPr>
          <w:rFonts w:ascii="Times New Roman" w:hAnsi="Times New Roman"/>
          <w:sz w:val="20"/>
        </w:rPr>
        <w:t xml:space="preserve">(g) acquire (whether by merger, consolidation, acquisition of stock or assets or any other form of business combination) any non-natural Person or business or initiate the start-up of any new business, non-wholly-owned Subsidiary or joint venture or otherwise acquire any securities or material assets; </w:t>
      </w:r>
    </w:p>
    <w:p>
      <w:pPr>
        <w:pStyle w:val="TextBody"/>
        <w:spacing w:before="120" w:after="0"/>
        <w:jc w:val="left"/>
        <w:rPr>
          <w:rFonts w:ascii="Times New Roman" w:hAnsi="Times New Roman"/>
          <w:sz w:val="20"/>
        </w:rPr>
      </w:pPr>
      <w:r>
        <w:rPr>
          <w:rFonts w:ascii="Times New Roman" w:hAnsi="Times New Roman"/>
          <w:sz w:val="20"/>
        </w:rPr>
        <w:t xml:space="preserve">(h) incur, create, assume, guarantee or otherwise become liable for any indebtedness (directly, contingently or otherwise) except for (i) advances of any kind under any credit facilities or other debt instrument (including under any applicable credit line) of Bakkt Opco existing as of the date hereof not to exceed $1,000,000, (ii) any such indebtedness among Bakkt Opco and its wholly-owned Subsidiaries or among Bakkt Opcos wholly-owned Subsidiaries, (iii) guarantees by Bakkt Opco of existing indebtedness of Subsidiaries of Bakkt Opco, and (iv) the accrual of interest on indebtedness outstanding as of the date of this Agreement or incurred in compliance with this </w:t>
      </w:r>
      <w:r>
        <w:rPr>
          <w:rFonts w:ascii="Times New Roman" w:hAnsi="Times New Roman"/>
          <w:sz w:val="20"/>
          <w:u w:val="single"/>
        </w:rPr>
        <w:t>Section 5.1(h)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withdraw any License Application except in accordance with </w:t>
      </w:r>
      <w:r>
        <w:rPr>
          <w:rFonts w:ascii="Times New Roman" w:hAnsi="Times New Roman"/>
          <w:sz w:val="20"/>
          <w:u w:val="single"/>
        </w:rPr>
        <w:t>Section 5.7</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(j) enter into any Material Contract or amend, modify, terminate or waive any material right under any Material Contract or any Material Permit (other than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(k) other than matters arising in the ordinary course of business or with a value of less than $250,000, commence a material lawsuit or settle, compromise, release or waive its rights under any claim or litigation, other than for routine collection and settlement matters of accounts payable; </w:t>
      </w:r>
    </w:p>
    <w:p>
      <w:pPr>
        <w:pStyle w:val="TextBody"/>
        <w:spacing w:before="120" w:after="0"/>
        <w:jc w:val="left"/>
        <w:rPr>
          <w:rFonts w:ascii="Times New Roman" w:hAnsi="Times New Roman"/>
          <w:sz w:val="20"/>
        </w:rPr>
      </w:pPr>
      <w:r>
        <w:rPr>
          <w:rFonts w:ascii="Times New Roman" w:hAnsi="Times New Roman"/>
          <w:sz w:val="20"/>
        </w:rPr>
        <w:t xml:space="preserve">(l) enter into, amend or terminate (other than terminations in accordance with their terms) any Contract or transaction with any Related Party, or waive any material right in connection therewith; </w:t>
      </w:r>
    </w:p>
    <w:p>
      <w:pPr>
        <w:pStyle w:val="TextBody"/>
        <w:spacing w:before="120" w:after="0"/>
        <w:jc w:val="left"/>
        <w:rPr>
          <w:rFonts w:ascii="Times New Roman" w:hAnsi="Times New Roman"/>
          <w:sz w:val="20"/>
        </w:rPr>
      </w:pPr>
      <w:r>
        <w:rPr>
          <w:rFonts w:ascii="Times New Roman" w:hAnsi="Times New Roman"/>
          <w:sz w:val="20"/>
        </w:rPr>
        <w:t xml:space="preserve">(m) announce, implement or effect any reduction in force, mass lay off, early retirement program, severance program, or other program or effort concerning the termination of more than 10 employees, including, but not limited to, any reduction in force, mass lay off, early retirement program, severance program or other program or effort concerning the termination of employees, in each case which would trigger any liability or advance notice requirements under the Workers Adjustment Retraining and Notification Act of 1988, as amended, or any similar state, local or foreign law or regulation; </w:t>
      </w:r>
    </w:p>
    <w:p>
      <w:pPr>
        <w:pStyle w:val="TextBody"/>
        <w:spacing w:before="120" w:after="0"/>
        <w:jc w:val="left"/>
        <w:rPr>
          <w:rFonts w:ascii="Times New Roman" w:hAnsi="Times New Roman"/>
          <w:sz w:val="20"/>
        </w:rPr>
      </w:pPr>
      <w:r>
        <w:rPr>
          <w:rFonts w:ascii="Times New Roman" w:hAnsi="Times New Roman"/>
          <w:sz w:val="20"/>
        </w:rPr>
        <w:t xml:space="preserve">(n) except as otherwise required by Law, existing Bakkt Benefit Plans or Bakkt Benefit Arrangements listed on Section 3.9(a) of the Bakkt Disclosure Letter or as would not be material to Bakkt Opco or its Subsidiaries taken as a whole, and only with respect to officers of Bakkt Opco, (i) grant any severance, retention, change in control or termination or similar pay, (ii) terminate, adopt, enter into or materially amend or grant any new awards under any Bakkt Benefit Plan or Bakkt Benefit Arrangement (including the Bakkt Equity Incentive Plan) or any plan, policy, practice, program, agreement or other arrangement that would be deemed a Bakkt Benefit Plan or Bakkt Benefit Arrangement as of the date hereof, (iii) materially increase the cash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bonus opportunity, except in the ordinary course of business consistent with past practice, (iv) take any action to amend or waive any performance or vesting criteria or to accelerate the payment or vesting of any compensation or benefit payable by Bakkt Opco or any of its Subsidiaries, (v) hire or engage any new officer of Bakkt Opco, or (vi) terminate the employment or engagement, other than for cause, death or disability, of any officer of Bakkt Opco; </w:t>
      </w:r>
    </w:p>
    <w:p>
      <w:pPr>
        <w:pStyle w:val="TextBody"/>
        <w:spacing w:before="120" w:after="0"/>
        <w:jc w:val="left"/>
        <w:rPr>
          <w:rFonts w:ascii="Times New Roman" w:hAnsi="Times New Roman"/>
          <w:sz w:val="20"/>
        </w:rPr>
      </w:pPr>
      <w:r>
        <w:rPr>
          <w:rFonts w:ascii="Times New Roman" w:hAnsi="Times New Roman"/>
          <w:sz w:val="20"/>
        </w:rPr>
        <w:t xml:space="preserve">(o) enter into or extend any collective bargaining agreement or similar labor agreement, other than as required by applicable Law, or recognize any labor union, labor organization, or group of employees of Bakkt Opco or its Subsidiaries as the bargaining representative for any employees of Bakkt Opco or its Subsidiaries; </w:t>
      </w:r>
    </w:p>
    <w:p>
      <w:pPr>
        <w:pStyle w:val="TextBody"/>
        <w:spacing w:before="120" w:after="0"/>
        <w:jc w:val="left"/>
        <w:rPr>
          <w:rFonts w:ascii="Times New Roman" w:hAnsi="Times New Roman"/>
          <w:sz w:val="20"/>
        </w:rPr>
      </w:pPr>
      <w:r>
        <w:rPr>
          <w:rFonts w:ascii="Times New Roman" w:hAnsi="Times New Roman"/>
          <w:sz w:val="20"/>
        </w:rPr>
        <w:t xml:space="preserve">(p) revalue any of its material assets or make any change in accounting methods, principles or practices (including cash management practices), except to the extent required to comply with GAAP or to upgrade its practices to those suitable for a public company or as may be necessary in order to give effect to de-consolidation from the parent company of the Majority Bakkt Equity Holders GAAP financial statements; </w:t>
      </w:r>
    </w:p>
    <w:p>
      <w:pPr>
        <w:pStyle w:val="TextBody"/>
        <w:spacing w:before="120" w:after="0"/>
        <w:jc w:val="left"/>
        <w:rPr>
          <w:rFonts w:ascii="Times New Roman" w:hAnsi="Times New Roman"/>
          <w:sz w:val="20"/>
        </w:rPr>
      </w:pPr>
      <w:r>
        <w:rPr>
          <w:rFonts w:ascii="Times New Roman" w:hAnsi="Times New Roman"/>
          <w:sz w:val="20"/>
        </w:rPr>
        <w:t xml:space="preserve">(q) 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VIH),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 </w:t>
      </w:r>
    </w:p>
    <w:p>
      <w:pPr>
        <w:pStyle w:val="TextBody"/>
        <w:spacing w:before="120" w:after="0"/>
        <w:jc w:val="left"/>
        <w:rPr>
          <w:rFonts w:ascii="Times New Roman" w:hAnsi="Times New Roman"/>
          <w:sz w:val="20"/>
        </w:rPr>
      </w:pPr>
      <w:r>
        <w:rPr>
          <w:rFonts w:ascii="Times New Roman" w:hAnsi="Times New Roman"/>
          <w:sz w:val="20"/>
        </w:rPr>
        <w:t xml:space="preserve">(r) agree to or adopt a plan of complete or partial liquidation, dissolution, merger, consolidation, restructuring, recapitalization or other reorganization; </w:t>
      </w:r>
    </w:p>
    <w:p>
      <w:pPr>
        <w:pStyle w:val="TextBody"/>
        <w:spacing w:before="120" w:after="0"/>
        <w:jc w:val="left"/>
        <w:rPr>
          <w:rFonts w:ascii="Times New Roman" w:hAnsi="Times New Roman"/>
          <w:sz w:val="20"/>
        </w:rPr>
      </w:pPr>
      <w:r>
        <w:rPr>
          <w:rFonts w:ascii="Times New Roman" w:hAnsi="Times New Roman"/>
          <w:sz w:val="20"/>
        </w:rPr>
        <w:t xml:space="preserve">(s) fail to comply in any material respect with a material Law applicable to its business; </w:t>
      </w:r>
    </w:p>
    <w:p>
      <w:pPr>
        <w:pStyle w:val="TextBody"/>
        <w:spacing w:before="120" w:after="0"/>
        <w:jc w:val="left"/>
        <w:rPr>
          <w:rFonts w:ascii="Times New Roman" w:hAnsi="Times New Roman"/>
          <w:sz w:val="20"/>
        </w:rPr>
      </w:pPr>
      <w:r>
        <w:rPr>
          <w:rFonts w:ascii="Times New Roman" w:hAnsi="Times New Roman"/>
          <w:sz w:val="20"/>
        </w:rPr>
        <w:t xml:space="preserve">(t) accelerate or delay, other than in the ordinary course of business, consistent with past practice, the collection of any trade receivables or the payment of trade payables or any other liability or other material amounts; </w:t>
      </w:r>
    </w:p>
    <w:p>
      <w:pPr>
        <w:pStyle w:val="TextBody"/>
        <w:spacing w:before="120" w:after="0"/>
        <w:jc w:val="left"/>
        <w:rPr>
          <w:rFonts w:ascii="Times New Roman" w:hAnsi="Times New Roman"/>
          <w:sz w:val="20"/>
        </w:rPr>
      </w:pPr>
      <w:r>
        <w:rPr>
          <w:rFonts w:ascii="Times New Roman" w:hAnsi="Times New Roman"/>
          <w:sz w:val="20"/>
        </w:rPr>
        <w:t xml:space="preserve">(u) authorize or agree (in writing or otherwise) to take any of the actions described in this </w:t>
      </w:r>
      <w:r>
        <w:rPr>
          <w:rFonts w:ascii="Times New Roman" w:hAnsi="Times New Roman"/>
          <w:sz w:val="20"/>
          <w:u w:val="single"/>
        </w:rPr>
        <w:t>Section 5.1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Nothing contained in this Agreement is intended provide to VIH, directly or indirectly, the right to control or direct the ordinary course operations of Bakkt Opco or any of its Subsidiaries prior to the Closing; </w:t>
      </w:r>
      <w:r>
        <w:rPr>
          <w:rFonts w:ascii="Times New Roman" w:hAnsi="Times New Roman"/>
          <w:sz w:val="20"/>
          <w:u w:val="single"/>
        </w:rPr>
        <w:t>provided</w:t>
      </w:r>
      <w:r>
        <w:rPr>
          <w:rFonts w:ascii="Times New Roman" w:hAnsi="Times New Roman"/>
          <w:sz w:val="20"/>
        </w:rPr>
        <w:t xml:space="preserve"> further, notwithstanding anything in this Agreement the contrary, and for the avoidance of doubt, the parties hereto acknowledge and agree that none of Bakkt Opco or any of its Subsidiaries shall take any action prohibited by any of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or </w:t>
      </w:r>
      <w:r>
        <w:rPr>
          <w:rFonts w:ascii="Times New Roman" w:hAnsi="Times New Roman"/>
          <w:sz w:val="20"/>
          <w:u w:val="single"/>
        </w:rPr>
        <w:t>(u)</w:t>
      </w:r>
      <w:r>
        <w:rPr>
          <w:rFonts w:ascii="Times New Roman" w:hAnsi="Times New Roman"/>
          <w:sz w:val="20"/>
        </w:rPr>
        <w:t xml:space="preserve"> (solely as subclause (u) pertains to the foregoing subclauses) without the prior written approval of VIH. </w:t>
      </w:r>
    </w:p>
    <w:p>
      <w:pPr>
        <w:pStyle w:val="TextBody"/>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Conduct of Business of VIH</w:t>
      </w:r>
      <w:r>
        <w:rPr>
          <w:rFonts w:ascii="Times New Roman" w:hAnsi="Times New Roman"/>
          <w:sz w:val="20"/>
        </w:rPr>
        <w:t xml:space="preserve">.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during the Interim Period, VIH shall, and shall cause Merger Sub to, (x) conduct their respective businesses in the ordinary course of business, (y) conduct their respective businesses in material compliance with applicable Law, and (z) in each case in all material respects, use their commercially reasonable 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such Person.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VIH shall not and shall cause Merger Sub not to: </w:t>
      </w:r>
    </w:p>
    <w:p>
      <w:pPr>
        <w:pStyle w:val="TextBody"/>
        <w:spacing w:before="120" w:after="0"/>
        <w:jc w:val="left"/>
        <w:rPr>
          <w:rFonts w:ascii="Times New Roman" w:hAnsi="Times New Roman"/>
          <w:sz w:val="20"/>
        </w:rPr>
      </w:pPr>
      <w:r>
        <w:rPr>
          <w:rFonts w:ascii="Times New Roman" w:hAnsi="Times New Roman"/>
          <w:sz w:val="20"/>
        </w:rPr>
        <w:t xml:space="preserve">(a) change or amend any of the Organizational Documents of VIH or Merger Sub, or authorize or propose the same, except pursuant to the Transactions;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other than pursuant to the PIPE Financing, 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the equity capitalization or capital structure of VIH or Merger Sub, or enter into any agreement, understanding or arrangement with respect to the voting of equity securities of VIH; </w:t>
      </w:r>
    </w:p>
    <w:p>
      <w:pPr>
        <w:pStyle w:val="TextBody"/>
        <w:spacing w:before="120" w:after="0"/>
        <w:jc w:val="left"/>
        <w:rPr>
          <w:rFonts w:ascii="Times New Roman" w:hAnsi="Times New Roman"/>
          <w:sz w:val="20"/>
        </w:rPr>
      </w:pPr>
      <w:r>
        <w:rPr>
          <w:rFonts w:ascii="Times New Roman" w:hAnsi="Times New Roman"/>
          <w:sz w:val="20"/>
        </w:rPr>
        <w:t xml:space="preserve">(c) declare or pay any distribution in respect of the Equity Interests of VIH or Merger Sub or authorize the issuance of any other securities in respect of, in lieu of or in substitution for any of the securities of VIH or Merger Sub or purchase, redeem or otherwise acquire or retire for value any of the securities of VIH or Merger Sub; </w:t>
      </w:r>
    </w:p>
    <w:p>
      <w:pPr>
        <w:pStyle w:val="TextBody"/>
        <w:spacing w:before="120" w:after="0"/>
        <w:jc w:val="left"/>
        <w:rPr>
          <w:rFonts w:ascii="Times New Roman" w:hAnsi="Times New Roman"/>
          <w:sz w:val="20"/>
        </w:rPr>
      </w:pPr>
      <w:r>
        <w:rPr>
          <w:rFonts w:ascii="Times New Roman" w:hAnsi="Times New Roman"/>
          <w:sz w:val="20"/>
        </w:rPr>
        <w:t xml:space="preserve">(d) incur, create, assume, guarantee or otherwise become liable for any indebtedness for borrowed money or guarantee any indebtedness of another Person (directly, contingently or otherwise), other than (x) as contemplated by the PIPE Financing, or (y) working capital loans made by VIH Sponsor necessary to finance VIHs ordinary course administrative costs and expenses and expenses incurred in connection with the consummation of the Merger and the other Transactions (including any filings required under </w:t>
      </w:r>
      <w:r>
        <w:rPr>
          <w:rFonts w:ascii="Times New Roman" w:hAnsi="Times New Roman"/>
          <w:sz w:val="20"/>
          <w:u w:val="single"/>
        </w:rPr>
        <w:t>Section 5.7</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(e) make a loan or advance to or investment in any third party; </w:t>
      </w:r>
    </w:p>
    <w:p>
      <w:pPr>
        <w:pStyle w:val="TextBody"/>
        <w:spacing w:before="120" w:after="0"/>
        <w:jc w:val="left"/>
        <w:rPr>
          <w:rFonts w:ascii="Times New Roman" w:hAnsi="Times New Roman"/>
          <w:sz w:val="20"/>
        </w:rPr>
      </w:pPr>
      <w:r>
        <w:rPr>
          <w:rFonts w:ascii="Times New Roman" w:hAnsi="Times New Roman"/>
          <w:sz w:val="20"/>
        </w:rPr>
        <w:t xml:space="preserve">(f) make or agree to make any capital expenditures; </w:t>
      </w:r>
    </w:p>
    <w:p>
      <w:pPr>
        <w:pStyle w:val="TextBody"/>
        <w:spacing w:before="120" w:after="0"/>
        <w:jc w:val="left"/>
        <w:rPr>
          <w:rFonts w:ascii="Times New Roman" w:hAnsi="Times New Roman"/>
          <w:sz w:val="20"/>
        </w:rPr>
      </w:pPr>
      <w:r>
        <w:rPr>
          <w:rFonts w:ascii="Times New Roman" w:hAnsi="Times New Roman"/>
          <w:sz w:val="20"/>
        </w:rPr>
        <w:t xml:space="preserve">(g) sell, assign, lease, sublease, exclusively license, exclusively sublicense, pledge or otherwise transfer or dispose of or grant any option or exclusive rights in, to or under, any material assets of VIH or Merger Sub; </w:t>
      </w:r>
    </w:p>
    <w:p>
      <w:pPr>
        <w:pStyle w:val="TextBody"/>
        <w:spacing w:before="120" w:after="0"/>
        <w:jc w:val="left"/>
        <w:rPr>
          <w:rFonts w:ascii="Times New Roman" w:hAnsi="Times New Roman"/>
          <w:sz w:val="20"/>
        </w:rPr>
      </w:pPr>
      <w:r>
        <w:rPr>
          <w:rFonts w:ascii="Times New Roman" w:hAnsi="Times New Roman"/>
          <w:sz w:val="20"/>
        </w:rPr>
        <w:t xml:space="preserve">(h) acquire (whether by merger, consolidation, acquisition of stock or assets or any other form of business combination) any non-natural Person or business or initiate the start-up of any new business, non-wholly owned Subsidiary or joint venture or otherwise acquire any securities or material assets; </w:t>
      </w:r>
    </w:p>
    <w:p>
      <w:pPr>
        <w:pStyle w:val="TextBody"/>
        <w:spacing w:before="120" w:after="0"/>
        <w:jc w:val="left"/>
        <w:rPr>
          <w:rFonts w:ascii="Times New Roman" w:hAnsi="Times New Roman"/>
          <w:sz w:val="20"/>
        </w:rPr>
      </w:pPr>
      <w:r>
        <w:rPr>
          <w:rFonts w:ascii="Times New Roman" w:hAnsi="Times New Roman"/>
          <w:sz w:val="20"/>
        </w:rPr>
        <w:t xml:space="preserve">(i) enter into, amend, or terminate (other than terminations in accordance with their terms) any Contract with any Related Party, or waive any material right in connection therewith (other than working capital loans made by VIH Sponsor in accordance with </w:t>
      </w:r>
      <w:r>
        <w:rPr>
          <w:rFonts w:ascii="Times New Roman" w:hAnsi="Times New Roman"/>
          <w:sz w:val="20"/>
          <w:u w:val="single"/>
        </w:rPr>
        <w:t>Section 5.2(d)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(j) hire any employee or adopt or enter into any Benefit Plan; </w:t>
      </w:r>
    </w:p>
    <w:p>
      <w:pPr>
        <w:pStyle w:val="TextBody"/>
        <w:spacing w:before="120" w:after="0"/>
        <w:jc w:val="left"/>
        <w:rPr>
          <w:rFonts w:ascii="Times New Roman" w:hAnsi="Times New Roman"/>
          <w:sz w:val="20"/>
        </w:rPr>
      </w:pPr>
      <w:r>
        <w:rPr>
          <w:rFonts w:ascii="Times New Roman" w:hAnsi="Times New Roman"/>
          <w:sz w:val="20"/>
        </w:rPr>
        <w:t xml:space="preserve">(k) adopt a plan of complete or partial liquidation, dissolution, merger, consolidation, restructuring, recapitalization or other reorganization; </w:t>
      </w:r>
    </w:p>
    <w:p>
      <w:pPr>
        <w:pStyle w:val="TextBody"/>
        <w:spacing w:before="120" w:after="0"/>
        <w:jc w:val="left"/>
        <w:rPr>
          <w:rFonts w:ascii="Times New Roman" w:hAnsi="Times New Roman"/>
          <w:sz w:val="20"/>
        </w:rPr>
      </w:pPr>
      <w:r>
        <w:rPr>
          <w:rFonts w:ascii="Times New Roman" w:hAnsi="Times New Roman"/>
          <w:sz w:val="20"/>
        </w:rPr>
        <w:t xml:space="preserve">(l) make any change in accounting methods, principles or practices, except to the extent required by changes in Law or to comply with GAAP; </w:t>
      </w:r>
    </w:p>
    <w:p>
      <w:pPr>
        <w:pStyle w:val="TextBody"/>
        <w:spacing w:before="120" w:after="0"/>
        <w:jc w:val="left"/>
        <w:rPr>
          <w:rFonts w:ascii="Times New Roman" w:hAnsi="Times New Roman"/>
          <w:sz w:val="20"/>
        </w:rPr>
      </w:pPr>
      <w:r>
        <w:rPr>
          <w:rFonts w:ascii="Times New Roman" w:hAnsi="Times New Roman"/>
          <w:sz w:val="20"/>
        </w:rPr>
        <w:t xml:space="preserve">(m) 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Bakkt Opco),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 </w:t>
      </w:r>
    </w:p>
    <w:p>
      <w:pPr>
        <w:pStyle w:val="TextBody"/>
        <w:spacing w:before="120" w:after="0"/>
        <w:jc w:val="left"/>
        <w:rPr>
          <w:rFonts w:ascii="Times New Roman" w:hAnsi="Times New Roman"/>
          <w:sz w:val="20"/>
        </w:rPr>
      </w:pPr>
      <w:r>
        <w:rPr>
          <w:rFonts w:ascii="Times New Roman" w:hAnsi="Times New Roman"/>
          <w:sz w:val="20"/>
        </w:rPr>
        <w:t xml:space="preserve">(n) amend, waive or otherwise change the Trust Agreement in any manner materially adverse to VIH; or </w:t>
      </w:r>
    </w:p>
    <w:p>
      <w:pPr>
        <w:pStyle w:val="TextBody"/>
        <w:spacing w:before="120" w:after="0"/>
        <w:jc w:val="left"/>
        <w:rPr>
          <w:rFonts w:ascii="Times New Roman" w:hAnsi="Times New Roman"/>
          <w:sz w:val="20"/>
        </w:rPr>
      </w:pPr>
      <w:r>
        <w:rPr>
          <w:rFonts w:ascii="Times New Roman" w:hAnsi="Times New Roman"/>
          <w:sz w:val="20"/>
        </w:rPr>
        <w:t xml:space="preserve">(o) authorize or agree (in writing or otherwise) to take any of the actions described in this </w:t>
      </w:r>
      <w:r>
        <w:rPr>
          <w:rFonts w:ascii="Times New Roman" w:hAnsi="Times New Roman"/>
          <w:sz w:val="20"/>
          <w:u w:val="single"/>
        </w:rPr>
        <w:t>Section 5.2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Access to Information; Confidential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During the Interim Period, Bakkt Opco shall and shall cause its Subsidiaries to, upon reasonable notice and during regular business hours and at VIHs sole expense, for any purpose reasonably related to the Transactions or to VIHs prospective interest in Bakkt Opco or its Subsidiaries, afford to the authorized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Representatives of VIH reasonable access to (i) the financial books and records of Bakkt Opco and its Subsidiaries and (ii) such additional financial and operating data and other information relating to the business and properties of Bakkt Opco and its Subsidiaries as VIH may reasonably request; </w:t>
      </w:r>
      <w:r>
        <w:rPr>
          <w:rFonts w:ascii="Times New Roman" w:hAnsi="Times New Roman"/>
          <w:sz w:val="20"/>
          <w:u w:val="single"/>
        </w:rPr>
        <w:t>provided</w:t>
      </w:r>
      <w:r>
        <w:rPr>
          <w:rFonts w:ascii="Times New Roman" w:hAnsi="Times New Roman"/>
          <w:sz w:val="20"/>
        </w:rPr>
        <w:t xml:space="preserve">, that such access shall not materially disrupt or burden the operations of Bakkt Opco and its Subsidiaries and VIH and its authorized Representatives shall use their respective commercially reasonable efforts to minimize any such disruption;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such access shall be done in compliance with applicable Law and the social distancing requirements applicable to Bakkt Opco personnel. Notwithstanding anything to the contrary contained in this Agreement, neither Bakkt Opco nor any of its Subsidiaries shall be required pursuant to this </w:t>
      </w:r>
      <w:r>
        <w:rPr>
          <w:rFonts w:ascii="Times New Roman" w:hAnsi="Times New Roman"/>
          <w:sz w:val="20"/>
          <w:u w:val="single"/>
        </w:rPr>
        <w:t>Section 5.3(a)</w:t>
      </w:r>
      <w:r>
        <w:rPr>
          <w:rFonts w:ascii="Times New Roman" w:hAnsi="Times New Roman"/>
          <w:sz w:val="20"/>
        </w:rPr>
        <w:t xml:space="preserve"> to provide (i) any information or access that Bakkt Opco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buyers of Bakkt Opco and its Subsidiaries prior to the date of this Agreement or the negotiation of this Agreement and the Transaction Documents and the Transactions. VIH shall not contact or communicate with any of Bakkt Opcos or any Subsidiaries customers, suppliers or employees (other than contact with employees to the extent permitted by this </w:t>
      </w:r>
      <w:r>
        <w:rPr>
          <w:rFonts w:ascii="Times New Roman" w:hAnsi="Times New Roman"/>
          <w:sz w:val="20"/>
          <w:u w:val="single"/>
        </w:rPr>
        <w:t>Section 5.3(a)</w:t>
      </w:r>
      <w:r>
        <w:rPr>
          <w:rFonts w:ascii="Times New Roman" w:hAnsi="Times New Roman"/>
          <w:sz w:val="20"/>
        </w:rPr>
        <w:t xml:space="preserve">) without Bakkt Opcos prior written consent. </w:t>
      </w:r>
    </w:p>
    <w:p>
      <w:pPr>
        <w:pStyle w:val="TextBody"/>
        <w:spacing w:before="120" w:after="0"/>
        <w:jc w:val="left"/>
        <w:rPr>
          <w:rFonts w:ascii="Times New Roman" w:hAnsi="Times New Roman"/>
          <w:sz w:val="20"/>
        </w:rPr>
      </w:pPr>
      <w:r>
        <w:rPr>
          <w:rFonts w:ascii="Times New Roman" w:hAnsi="Times New Roman"/>
          <w:sz w:val="20"/>
        </w:rPr>
        <w:t xml:space="preserve">(b) During the Interim Period, VIH shall and shall cause Merger Sub to, upon reasonable notice and during regular business hours and at Bakkt Opcos sole expense, afford to the authorized Representatives of Bakkt Opco reasonable access to (i) the financial books and records of VIH and Merger Sub and (ii) such additional financial and operating data and other information relating to the business and properties of VIH and Merger Sub as Bakkt Opco may reasonably request;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such access shall be done in compliance with applicable Law. Notwithstanding anything to the contrary contained in this Agreement, neither VIH nor Merger Sub shall be required pursuant to this </w:t>
      </w:r>
      <w:r>
        <w:rPr>
          <w:rFonts w:ascii="Times New Roman" w:hAnsi="Times New Roman"/>
          <w:sz w:val="20"/>
          <w:u w:val="single"/>
        </w:rPr>
        <w:t>Section 5.3(b)</w:t>
      </w:r>
      <w:r>
        <w:rPr>
          <w:rFonts w:ascii="Times New Roman" w:hAnsi="Times New Roman"/>
          <w:sz w:val="20"/>
        </w:rPr>
        <w:t xml:space="preserve"> to provide (i) any information or access that VIH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targets of VIH or Merger Sub or the negotiation of this Agreement and the Transaction Documents and the Transactions. </w:t>
      </w:r>
    </w:p>
    <w:p>
      <w:pPr>
        <w:pStyle w:val="TextBody"/>
        <w:spacing w:before="120" w:after="0"/>
        <w:jc w:val="left"/>
        <w:rPr>
          <w:rFonts w:ascii="Times New Roman" w:hAnsi="Times New Roman"/>
          <w:sz w:val="20"/>
        </w:rPr>
      </w:pPr>
      <w:r>
        <w:rPr>
          <w:rFonts w:ascii="Times New Roman" w:hAnsi="Times New Roman"/>
          <w:sz w:val="20"/>
        </w:rPr>
        <w:t xml:space="preserve">(c) VIH acknowledges and agrees that the Confidentiality Agreement, except as modified by </w:t>
      </w:r>
      <w:r>
        <w:rPr>
          <w:rFonts w:ascii="Times New Roman" w:hAnsi="Times New Roman"/>
          <w:sz w:val="20"/>
          <w:u w:val="single"/>
        </w:rPr>
        <w:t>Section 9.2</w:t>
      </w:r>
      <w:r>
        <w:rPr>
          <w:rFonts w:ascii="Times New Roman" w:hAnsi="Times New Roman"/>
          <w:sz w:val="20"/>
        </w:rPr>
        <w:t xml:space="preserve"> hereof, remains in full force and effect and that information provided by Bakkt Opco or any of its Subsidiaries, any Bakkt Equity Holder or any Bakkt Equity Holders Affiliates to VIH pursuant to this Agreement prior to the Closing shall be treated in accordance with the Confidentiality Agreement. If this Agreement is terminated prior to the Closing, the Confidentiality Agreement, except as modified by </w:t>
      </w:r>
      <w:r>
        <w:rPr>
          <w:rFonts w:ascii="Times New Roman" w:hAnsi="Times New Roman"/>
          <w:sz w:val="20"/>
          <w:u w:val="single"/>
        </w:rPr>
        <w:t>Section 9.2</w:t>
      </w:r>
      <w:r>
        <w:rPr>
          <w:rFonts w:ascii="Times New Roman" w:hAnsi="Times New Roman"/>
          <w:sz w:val="20"/>
        </w:rPr>
        <w:t xml:space="preserve"> hereof, shall remain in full force and effect in accordance with its terms. If the Closing occurs, the Confidentiality Agreement shall terminate effective as of the Closing. </w:t>
      </w:r>
    </w:p>
    <w:p>
      <w:pPr>
        <w:pStyle w:val="TextBody"/>
        <w:spacing w:before="120" w:after="0"/>
        <w:jc w:val="left"/>
        <w:rPr>
          <w:rFonts w:ascii="Times New Roman" w:hAnsi="Times New Roman"/>
          <w:sz w:val="20"/>
        </w:rPr>
      </w:pPr>
      <w:r>
        <w:rPr>
          <w:rFonts w:ascii="Times New Roman" w:hAnsi="Times New Roman"/>
          <w:sz w:val="20"/>
        </w:rPr>
        <w:t xml:space="preserve">(d) Each Party acknowledges and agrees that each is aware, and each of their respective controlled Affiliates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Interim Period, except in connection with or support of the transactions contemplated by this Agreement (including any communications with potential PIPE Investors),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VIH or the Majority Bakkt Equity Holder, communicate such information to any other Person or cause or encourage any Person to do any of the foregoing; </w:t>
      </w:r>
      <w:r>
        <w:rPr>
          <w:rFonts w:ascii="Times New Roman" w:hAnsi="Times New Roman"/>
          <w:sz w:val="20"/>
          <w:u w:val="single"/>
        </w:rPr>
        <w:t>provided</w:t>
      </w:r>
      <w:r>
        <w:rPr>
          <w:rFonts w:ascii="Times New Roman" w:hAnsi="Times New Roman"/>
          <w:sz w:val="20"/>
        </w:rPr>
        <w:t xml:space="preserve"> that, in respect of VIH, the foregoing shall only be deemed to apply to VIH and its controlled Affiliates, agents, professional advisors, employees and officers.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Notification of Certain Matters</w:t>
      </w:r>
      <w:r>
        <w:rPr>
          <w:rFonts w:ascii="Times New Roman" w:hAnsi="Times New Roman"/>
          <w:sz w:val="20"/>
        </w:rPr>
        <w:t xml:space="preserve">. During the Interim Period, each Party shall give prompt notice (and, in any event, within five (5) Business Days) to the other Parties of any event which would reasonably be expected to cause any of the conditions in </w:t>
      </w:r>
      <w:r>
        <w:rPr>
          <w:rFonts w:ascii="Times New Roman" w:hAnsi="Times New Roman"/>
          <w:sz w:val="20"/>
          <w:u w:val="single"/>
        </w:rPr>
        <w:t>Article VII</w:t>
      </w:r>
      <w:r>
        <w:rPr>
          <w:rFonts w:ascii="Times New Roman" w:hAnsi="Times New Roman"/>
          <w:sz w:val="20"/>
        </w:rPr>
        <w:t xml:space="preserve"> not to be fulfilled or the fulfillment of those conditions being materially delayed. The delivery of any notice pursuant to this </w:t>
      </w:r>
      <w:r>
        <w:rPr>
          <w:rFonts w:ascii="Times New Roman" w:hAnsi="Times New Roman"/>
          <w:sz w:val="20"/>
          <w:u w:val="single"/>
        </w:rPr>
        <w:t>Section 5.4</w:t>
      </w:r>
      <w:r>
        <w:rPr>
          <w:rFonts w:ascii="Times New Roman" w:hAnsi="Times New Roman"/>
          <w:sz w:val="20"/>
        </w:rPr>
        <w:t xml:space="preserve"> shall in no circumstance be deemed to (i) modify the representations, warranties, covenants or agreements hereunder of the Party delivering such notice; (ii) modify any of the conditions set forth in </w:t>
      </w:r>
      <w:r>
        <w:rPr>
          <w:rFonts w:ascii="Times New Roman" w:hAnsi="Times New Roman"/>
          <w:sz w:val="20"/>
          <w:u w:val="single"/>
        </w:rPr>
        <w:t>Article VII</w:t>
      </w:r>
      <w:r>
        <w:rPr>
          <w:rFonts w:ascii="Times New Roman" w:hAnsi="Times New Roman"/>
          <w:sz w:val="20"/>
        </w:rPr>
        <w:t xml:space="preserve">; or (iii) cure or prevent any misrepresentation, inaccuracy, untruth or breach of any representation, warranty, covenant or agreement set forth in this Agreement or any Transaction Document or failure to satisfy any condition set forth in </w:t>
      </w:r>
      <w:r>
        <w:rPr>
          <w:rFonts w:ascii="Times New Roman" w:hAnsi="Times New Roman"/>
          <w:sz w:val="20"/>
          <w:u w:val="single"/>
        </w:rPr>
        <w:t>Article VII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Cause Conditions to be Satisfied</w:t>
      </w:r>
      <w:r>
        <w:rPr>
          <w:rFonts w:ascii="Times New Roman" w:hAnsi="Times New Roman"/>
          <w:sz w:val="20"/>
        </w:rPr>
        <w:t xml:space="preserve">. Subject to </w:t>
      </w:r>
      <w:r>
        <w:rPr>
          <w:rFonts w:ascii="Times New Roman" w:hAnsi="Times New Roman"/>
          <w:sz w:val="20"/>
          <w:u w:val="single"/>
        </w:rPr>
        <w:t>Section 5.7</w:t>
      </w:r>
      <w:r>
        <w:rPr>
          <w:rFonts w:ascii="Times New Roman" w:hAnsi="Times New Roman"/>
          <w:sz w:val="20"/>
        </w:rPr>
        <w:t xml:space="preserve">, (a) Bakkt Opco shall, and Bakkt Opco shall cause its Subsidiaries to use reasonable best efforts to cause each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to be satisfied at or prior to the Closing (including, without limitation, </w:t>
      </w:r>
      <w:r>
        <w:rPr>
          <w:rFonts w:ascii="Times New Roman" w:hAnsi="Times New Roman"/>
          <w:sz w:val="20"/>
          <w:u w:val="single"/>
        </w:rPr>
        <w:t>Section 7.1(c)</w:t>
      </w:r>
      <w:r>
        <w:rPr>
          <w:rFonts w:ascii="Times New Roman" w:hAnsi="Times New Roman"/>
          <w:sz w:val="20"/>
        </w:rPr>
        <w:t xml:space="preserve">); and (b) VIH and Merger Sub shall use reasonable best efforts to cause each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to be satisfied at or prior to the Closing. </w:t>
      </w:r>
    </w:p>
    <w:p>
      <w:pPr>
        <w:pStyle w:val="TextBody"/>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PIPE Financing</w:t>
      </w:r>
      <w:r>
        <w:rPr>
          <w:rFonts w:ascii="Times New Roman" w:hAnsi="Times New Roman"/>
          <w:sz w:val="20"/>
        </w:rPr>
        <w:t xml:space="preserve">. Prior to the earlier of the Closing and the termination of this Agreement in accordance with its terms: </w:t>
      </w:r>
    </w:p>
    <w:p>
      <w:pPr>
        <w:pStyle w:val="TextBody"/>
        <w:spacing w:before="120" w:after="0"/>
        <w:jc w:val="left"/>
        <w:rPr>
          <w:rFonts w:ascii="Times New Roman" w:hAnsi="Times New Roman"/>
          <w:sz w:val="20"/>
        </w:rPr>
      </w:pPr>
      <w:r>
        <w:rPr>
          <w:rFonts w:ascii="Times New Roman" w:hAnsi="Times New Roman"/>
          <w:sz w:val="20"/>
        </w:rPr>
        <w:t xml:space="preserve">(a) Bakkt Opco shall cause the appropriate officers and employees thereof, to use reasonable best efforts to cooperate in connection with (x) the arrangement of the PIPE Financing and (y) the marketing of the transactions contemplated by this Agreement and the other Transaction Documents in the public markets and/or with existing VIH Shareholders, in each case as may be reasonably requesting by VIH, including by (i) participating in meetings, presentations, calls, due diligence sessions, drafting sessions and sessions with actual or potential PIPE Investors at mutually agreeable times and locations and upon reasonable advance notice (including the participation in any relevant roadshow); (ii) assisting with the preparation of customary materials for actual or potential PIPE Investors, offering documents, private placement memoranda, prospectuses and similar documents required in connection with the PIPE Financing (which shall not include pro forma financial information); (iii) providing financial statements and such other financial information regarding Bakkt Opco and its Subsidiaries, that is readily available or within its possession; and (iv) otherwise reasonably cooperating with VIHs efforts (including VIHs reasonable requests) to consummate the PIPE Financing. </w:t>
      </w:r>
    </w:p>
    <w:p>
      <w:pPr>
        <w:pStyle w:val="TextBody"/>
        <w:spacing w:before="120" w:after="0"/>
        <w:jc w:val="left"/>
        <w:rPr>
          <w:rFonts w:ascii="Times New Roman" w:hAnsi="Times New Roman"/>
          <w:sz w:val="20"/>
        </w:rPr>
      </w:pPr>
      <w:r>
        <w:rPr>
          <w:rFonts w:ascii="Times New Roman" w:hAnsi="Times New Roman"/>
          <w:sz w:val="20"/>
        </w:rPr>
        <w:t xml:space="preserve">(b) Unless otherwise approved in writing by Bakkt Opco (which approval may be given or withheld by Bakkt Opco in its sole discretion), VIH shall not permit any amendment or modification to be made to, any waiver (in whole or in part) of, or provide consent to modify, the applicable purchase price per share or provide the applicable PIPE Investor any material post-Closing right in respect of the Surviving Company under any PIPE Subscription Agreement, in each case other than by termination of such PIPE Subscription Agreement (and a withdrawal of the applicable PIPE Investor) or a reduction in the PIPE Investors commitment under such PIPE Subscription Agreement (in which case, VIH shall provide Bakkt Opco prompt written notice of any such termination or reduction). In the event VIH determines to permit any other amendment or modification to be made to, any other waiver (in whole or in part) of, or provide any other consent to modify, any other material provision of any PIPE Subscription Agreement, VIH shall provide Bakkt Opco prompt written notice of any such amendment, modification, waiver or consent to modify. </w:t>
      </w:r>
    </w:p>
    <w:p>
      <w:pPr>
        <w:pStyle w:val="TextBody"/>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Governmental Consents and Filing of Notices</w:t>
      </w:r>
      <w:r>
        <w:rPr>
          <w:rFonts w:ascii="Times New Roman" w:hAnsi="Times New Roman"/>
          <w:sz w:val="20"/>
        </w:rPr>
        <w:t>. Each Party hereto shall, as promptly as reasonably practicable,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Transaction Documents (the </w:t>
      </w:r>
      <w:r>
        <w:rPr>
          <w:rFonts w:ascii="Times New Roman" w:hAnsi="Times New Roman"/>
          <w:sz w:val="20"/>
          <w:u w:val="single"/>
        </w:rPr>
        <w:t>Regulatory Filings</w:t>
      </w:r>
      <w:r>
        <w:rPr>
          <w:rFonts w:ascii="Times New Roman" w:hAnsi="Times New Roman"/>
          <w:sz w:val="20"/>
        </w:rPr>
        <w:t xml:space="preserve">), and to amend as necessary in connection with the Transactions any License Applications. Each Party shall use reasonable best efforts to cooperate fully with the other party and its Affiliates in promptly seeking to obtain all such consents, authorizations, orders and approvals and effect any such filing, withdrawal or amendment. With respect to the Regulatory Filings, each of Bakkt Opco and VIH agrees to use its reasonable best efforts and cooperate with the other parties (i) in timely making inquiries with Governmental Authorities regarding the Regulatory Filings, (ii) in determining if any Regulatory Filings are required by Governmental Authorities, and (iii) in timely making all Regulatory Filings (except with respect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jurisdictions where the parties agree that a Regulatory Filing is not required). If VIH and Bakkt Opco determine that it is required for VIH to make any Regulatory Filing or otherwise provide information with respect to VIH or any VIH personnel to a Governmental Authority in connection with any License or License Application, then Bakkt Opco will, except as prohibited by applicable Law (in which case Bakkt Opco and/or its Subsidiaries, as applicable, will use commercially reasonable efforts to obtain any required permission to allow disclosure), timely provide, upon VIHs reasonable request, relevant portions of all past filings and correspondence with Governmental Authorities with respect to any Licenses or License Applications related to such Regulatory Filing or information provision requirement that VIH and Bakkt Opco reasonably determine to be necessary to make a complete, accurate and timely Regulatory Filing or provision of information. The Parties hereto shall not willfully take any action that will have the effect of delaying, impairing or impeding in any material respect the receipt of any Regulatory Filings or any other required consents, authorizations, orders and approvals that, if not received, would have a material adverse impact on the business of the Bakkt Opco and its Subsidiaries, taken as a whole. </w:t>
      </w:r>
    </w:p>
    <w:p>
      <w:pPr>
        <w:pStyle w:val="TextBody"/>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Registration Statement; VIH Shareholder Meeting; Information Statement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As promptly as reasonably practicable after the date of this Agreement, VIH shall, with the assistance, cooperation and reasonable best efforts of Bakkt Opco, prepare and file a Registration Statement on Form S-4 with the SEC (as such filing is amended or supplemented, and including the Proxy Statement contained therein, the </w:t>
      </w:r>
      <w:r>
        <w:rPr>
          <w:rFonts w:ascii="Times New Roman" w:hAnsi="Times New Roman"/>
          <w:sz w:val="20"/>
          <w:u w:val="single"/>
        </w:rPr>
        <w:t>Registration Statement</w:t>
      </w:r>
      <w:r>
        <w:rPr>
          <w:rFonts w:ascii="Times New Roman" w:hAnsi="Times New Roman"/>
          <w:sz w:val="20"/>
        </w:rPr>
        <w:t>), and with all other applicable regulatory bodies, for the purpose of registering the Bakkt Pubco Class A Shares and Bakkt Pubco Public Warrants to be issued or issuable in the Domestication, including the Bakkt Pubco Class A Shares issuable upon exercise of the Bakkt Pubco Public Warrants in accordance with their terms, which Registration Statement shall also contain a proxy statement (as amended, the </w:t>
      </w:r>
      <w:r>
        <w:rPr>
          <w:rFonts w:ascii="Times New Roman" w:hAnsi="Times New Roman"/>
          <w:sz w:val="20"/>
          <w:u w:val="single"/>
        </w:rPr>
        <w:t>Proxy Statement</w:t>
      </w:r>
      <w:r>
        <w:rPr>
          <w:rFonts w:ascii="Times New Roman" w:hAnsi="Times New Roman"/>
          <w:sz w:val="20"/>
        </w:rPr>
        <w:t>) for the purpose of (i) providing the VIH Shareholders with the opportunity to redeem their VIH Class A Shares as contemplated by the VIH Memorandum and Articles, the SEC Reports and the Trust Agreement and (ii) soliciting proxies from the VIH Shareholders to vote, at an extraordinary general meeting of the VIH Shareholders to be called and held for such purpose (the </w:t>
      </w:r>
      <w:r>
        <w:rPr>
          <w:rFonts w:ascii="Times New Roman" w:hAnsi="Times New Roman"/>
          <w:sz w:val="20"/>
          <w:u w:val="single"/>
        </w:rPr>
        <w:t>VIH Shareholder Meeting</w:t>
      </w:r>
      <w:r>
        <w:rPr>
          <w:rFonts w:ascii="Times New Roman" w:hAnsi="Times New Roman"/>
          <w:sz w:val="20"/>
        </w:rPr>
        <w:t xml:space="preserve">), in favor of (A) the Domestication (including the adoption of the Bakkt Pubco Charter), (B) the adoption and approval of this Agreement and the Merger, (C) the adoption and approval of the Advisory Charter Proposals, (D) the adoption and approval of the Bakkt Pubco Equity Incentive Plan in the form attached hereto as </w:t>
      </w:r>
      <w:r>
        <w:rPr>
          <w:rFonts w:ascii="Times New Roman" w:hAnsi="Times New Roman"/>
          <w:sz w:val="20"/>
          <w:u w:val="single"/>
        </w:rPr>
        <w:t>Exhibit I</w:t>
      </w:r>
      <w:r>
        <w:rPr>
          <w:rFonts w:ascii="Times New Roman" w:hAnsi="Times New Roman"/>
          <w:sz w:val="20"/>
        </w:rPr>
        <w:t xml:space="preserve"> (the </w:t>
      </w:r>
      <w:r>
        <w:rPr>
          <w:rFonts w:ascii="Times New Roman" w:hAnsi="Times New Roman"/>
          <w:sz w:val="20"/>
          <w:u w:val="single"/>
        </w:rPr>
        <w:t>Equity Incentive Plan</w:t>
      </w:r>
      <w:r>
        <w:rPr>
          <w:rFonts w:ascii="Times New Roman" w:hAnsi="Times New Roman"/>
          <w:sz w:val="20"/>
        </w:rPr>
        <w:t xml:space="preserve">), (E) election of the members of the Post-Closing Bakkt Pubco Board in accordance with </w:t>
      </w:r>
      <w:r>
        <w:rPr>
          <w:rFonts w:ascii="Times New Roman" w:hAnsi="Times New Roman"/>
          <w:sz w:val="20"/>
          <w:u w:val="single"/>
        </w:rPr>
        <w:t>Section 5.12(a)</w:t>
      </w:r>
      <w:r>
        <w:rPr>
          <w:rFonts w:ascii="Times New Roman" w:hAnsi="Times New Roman"/>
          <w:sz w:val="20"/>
        </w:rPr>
        <w:t>, (F) the approval of the issuance of Bakkt Pubco Class A Shares issuable pursuant to the PIPE Financing and approval of the issuance of Bakkt Pubco Class A Shares and Bakkt Pubco Class V Shares issuable to Bakkt Equity Holders pursuant this Agreement, if required under rules and regulations of the National Stock Exchange, (G) any other matters necessary or advisable to effect the consummation of the Transactions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of this </w:t>
      </w:r>
      <w:r>
        <w:rPr>
          <w:rFonts w:ascii="Times New Roman" w:hAnsi="Times New Roman"/>
          <w:sz w:val="20"/>
          <w:u w:val="single"/>
        </w:rPr>
        <w:t>Section 5.8(a)</w:t>
      </w:r>
      <w:r>
        <w:rPr>
          <w:rFonts w:ascii="Times New Roman" w:hAnsi="Times New Roman"/>
          <w:sz w:val="20"/>
        </w:rPr>
        <w:t>, collectively, the </w:t>
      </w:r>
      <w:r>
        <w:rPr>
          <w:rFonts w:ascii="Times New Roman" w:hAnsi="Times New Roman"/>
          <w:sz w:val="20"/>
          <w:u w:val="single"/>
        </w:rPr>
        <w:t>Voting Matters</w:t>
      </w:r>
      <w:r>
        <w:rPr>
          <w:rFonts w:ascii="Times New Roman" w:hAnsi="Times New Roman"/>
          <w:sz w:val="20"/>
        </w:rPr>
        <w:t xml:space="preserve">), and (H) the adjournment of the VIH Shareholder Meeting in accordance with </w:t>
      </w:r>
      <w:r>
        <w:rPr>
          <w:rFonts w:ascii="Times New Roman" w:hAnsi="Times New Roman"/>
          <w:sz w:val="20"/>
          <w:u w:val="single"/>
        </w:rPr>
        <w:t>Section 5.8(f)</w:t>
      </w:r>
      <w:r>
        <w:rPr>
          <w:rFonts w:ascii="Times New Roman" w:hAnsi="Times New Roman"/>
          <w:sz w:val="20"/>
        </w:rPr>
        <w:t xml:space="preserve">, if necessary. </w:t>
      </w:r>
    </w:p>
    <w:p>
      <w:pPr>
        <w:pStyle w:val="TextBody"/>
        <w:spacing w:before="240" w:after="0"/>
        <w:jc w:val="left"/>
        <w:rPr>
          <w:rFonts w:ascii="Times New Roman" w:hAnsi="Times New Roman"/>
          <w:sz w:val="20"/>
        </w:rPr>
      </w:pPr>
      <w:r>
        <w:rPr>
          <w:rFonts w:ascii="Times New Roman" w:hAnsi="Times New Roman"/>
          <w:sz w:val="20"/>
        </w:rPr>
        <w:t xml:space="preserve">(b) VIH shall comply in all material respects with all applicable Laws, any applicable rules and regulations of the National Stock Exchange, VIH Memorandum and Articles and this Agreement in the preparation, filing and distribution of the Registration Statement, any solicitation of proxies thereunder, the holding of the VIH Shareholder Meeting and the Redemption. Whenever any event occurs which would reasonably be expected to result in the Registration Statement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cooperate in filing with the SEC or its staff or any other government officials, and/or mailing to the VIH Shareholders, an amendment or supplement to the Registration Statement. </w:t>
      </w:r>
    </w:p>
    <w:p>
      <w:pPr>
        <w:pStyle w:val="TextBody"/>
        <w:spacing w:before="120" w:after="0"/>
        <w:jc w:val="left"/>
        <w:rPr>
          <w:rFonts w:ascii="Times New Roman" w:hAnsi="Times New Roman"/>
          <w:sz w:val="20"/>
        </w:rPr>
      </w:pPr>
      <w:r>
        <w:rPr>
          <w:rFonts w:ascii="Times New Roman" w:hAnsi="Times New Roman"/>
          <w:sz w:val="20"/>
        </w:rPr>
        <w:t xml:space="preserve">(c) VIH (i) shall permit Bakkt Opco and its counsel to review and comment on the Registration Statement and any exhibits, amendments or supplements thereto (or other related documents), (ii) shall consider any such comments in good faith and shall accept all reasonable additions, deletions or changes suggested by Bakkt Opco and its counsel in connection therewith and (iii) shall not file the Registration Statement or any exhibit, amendment or supplement thereto without the prior written consent of Bakkt Opco, not to be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unreasonably withheld, conditioned or delayed. As promptly as practicable after receipt thereof, VIH shall provide to Bakkt Opco and its counsel notice and a copy of all correspondence (or, to the extent such correspondence is oral, a complete summary thereof), including any comments from the SEC or its staff, between VIH or any of its Representatives, on the one hand, and the SEC, or its staff or other government officials, on the other hand, with respect to the Registration Statement, and, in each case, shall consult with Bakkt Opco and its counsel concerning any such correspondence. VIH shall not file any response letters to any comments from the SEC without the prior written consent of Bakkt Opco, such consent not to be unreasonably withheld, conditioned or delayed. VIH will advise Bakkt Opco, promptly after it receives notice thereof, of the time when the Registration Statement or any amendment or supplement thereto has been filed with the SEC, and the time when the Registration Statement is declared effective or any stop order relating to the Registration Statement is issued. </w:t>
      </w:r>
    </w:p>
    <w:p>
      <w:pPr>
        <w:pStyle w:val="TextBody"/>
        <w:spacing w:before="120" w:after="0"/>
        <w:jc w:val="left"/>
        <w:rPr>
          <w:rFonts w:ascii="Times New Roman" w:hAnsi="Times New Roman"/>
          <w:sz w:val="20"/>
        </w:rPr>
      </w:pPr>
      <w:r>
        <w:rPr>
          <w:rFonts w:ascii="Times New Roman" w:hAnsi="Times New Roman"/>
          <w:sz w:val="20"/>
        </w:rPr>
        <w:t xml:space="preserve">(d) VIH, with the assistance of Bakkt Opco, shall use its reasonable best efforts to cause the Registration Statement to comply with the rules and regulations promulgated by the SEC, to clear comments from the SEC and become effective as promptly as reasonably practicable. VIH, with the assistance of Bakkt Opco, also agrees to use its reasonable best efforts to obtain all necessary state securities law or Blue Sky permits and approvals required to carry out the transactions contemplated hereby, and Bakkt Opco shall furnish all information concerning Bakkt Opco, its Subsidiaries and any of its members or stockholders as may be reasonably requested in connection with any such action. As soon as reasonably practicable following the declaration of effectiveness of the Registration Statement, VIH shall distribute the Proxy Statement and other proxy materials included in the Registration Statement to the VIH Shareholders, and pursuant thereto, shall (i) call the VIH Shareholder Meeting in accordance with applicable Law and the VIH Memorandum and Articles on a date as soon as reasonably practicable following the effectiveness of the Registration Statement, and (ii) use its reasonable best efforts to solicit proxies from the VIH Shareholders to vote in favor of adoption and approval of this Agreement and the other Voting Matters (including by enforcing the VIH Sponsor Letter). VIH shall appoint an inspector of elections in connection with the VIH Shareholder Meeting, and cause such inspector of elections to deliver or caused to be delivered an affidavit or certificate verifying the vote of such VIH Shareholder Meeting to the Trustee in accordance with the terms of the Trust Agreement. </w:t>
      </w:r>
    </w:p>
    <w:p>
      <w:pPr>
        <w:pStyle w:val="TextBody"/>
        <w:spacing w:before="120" w:after="0"/>
        <w:jc w:val="left"/>
        <w:rPr>
          <w:rFonts w:ascii="Times New Roman" w:hAnsi="Times New Roman"/>
          <w:sz w:val="20"/>
        </w:rPr>
      </w:pPr>
      <w:r>
        <w:rPr>
          <w:rFonts w:ascii="Times New Roman" w:hAnsi="Times New Roman"/>
          <w:sz w:val="20"/>
        </w:rPr>
        <w:t xml:space="preserve">(e) VIH, acting through the VIH Board, shall include in the Proxy Statement the recommendation of the VIH Board that the VIH Shareholders vote in favor of adoption and approval of this Agreement and the other Voting Matters and shall otherwise use its reasonable best efforts to obtain the VIH Shareholders Approval. Neither the VIH Board nor any committee or agent or Representative thereof shall withdraw (or modify in a manner adverse to Bakkt Opco), or propose to withdraw (or modify in a manner adverse to Bakkt Opco), the VIH Boards recommendation that the VIH Shareholders vote in favor of adoption and approval of this Agreement and the other Voting Matters. </w:t>
      </w:r>
    </w:p>
    <w:p>
      <w:pPr>
        <w:pStyle w:val="TextBody"/>
        <w:spacing w:before="120" w:after="0"/>
        <w:jc w:val="left"/>
        <w:rPr>
          <w:rFonts w:ascii="Times New Roman" w:hAnsi="Times New Roman"/>
          <w:sz w:val="20"/>
        </w:rPr>
      </w:pPr>
      <w:r>
        <w:rPr>
          <w:rFonts w:ascii="Times New Roman" w:hAnsi="Times New Roman"/>
          <w:sz w:val="20"/>
        </w:rPr>
        <w:t xml:space="preserve">(f) VIH shall be entitled to postpone or adjourn the VIH Shareholder Meeting (i) to ensure that any supplement or amendment to the Registration Statement that the VIH Board has determined in good faith is required by applicable Law is disclosed to the Public Stockholders and for such supplement or amendment to be promptly disseminated to the Public Stockholders prior to the VIH Shareholder Meeting, (ii) if, as of the time for which the VIH Shareholder Meeting is originally scheduled (as set forth in the Registration Statement), there are insufficient VIH Ordinary Shares represented (either in person or by proxy) to constitute a quorum necessary to conduct the business to be conducted at the VIH Shareholder Meeting or (iii) on no more than three (3) occasions, as reasonably determined to be necessary or desirable by VIH;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VIH postpone or adjourn the VIH Shareholder Meeting beyond the date that is ten (10) Business Days prior to the Termination Date without the prior written consent of Bakkt Opco;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 postponement or adjournment pursuant to </w:t>
      </w:r>
      <w:r>
        <w:rPr>
          <w:rFonts w:ascii="Times New Roman" w:hAnsi="Times New Roman"/>
          <w:sz w:val="20"/>
          <w:u w:val="single"/>
        </w:rPr>
        <w:t>clauses (i)</w:t>
      </w:r>
      <w:r>
        <w:rPr>
          <w:rFonts w:ascii="Times New Roman" w:hAnsi="Times New Roman"/>
          <w:sz w:val="20"/>
        </w:rPr>
        <w:t xml:space="preserve"> or</w:t>
      </w:r>
      <w:r>
        <w:rPr>
          <w:rFonts w:ascii="Times New Roman" w:hAnsi="Times New Roman"/>
          <w:sz w:val="20"/>
          <w:u w:val="single"/>
        </w:rPr>
        <w:t> (ii)</w:t>
      </w:r>
      <w:r>
        <w:rPr>
          <w:rFonts w:ascii="Times New Roman" w:hAnsi="Times New Roman"/>
          <w:sz w:val="20"/>
        </w:rPr>
        <w:t xml:space="preserve"> above, the VIH Shareholder Meeting shall be reconvened as promptly as practicable following such time as the matters described in such clauses have been resolved. </w:t>
      </w:r>
    </w:p>
    <w:p>
      <w:pPr>
        <w:pStyle w:val="TextBody"/>
        <w:spacing w:before="120" w:after="0"/>
        <w:jc w:val="left"/>
        <w:rPr>
          <w:rFonts w:ascii="Times New Roman" w:hAnsi="Times New Roman"/>
          <w:sz w:val="20"/>
        </w:rPr>
      </w:pPr>
      <w:r>
        <w:rPr>
          <w:rFonts w:ascii="Times New Roman" w:hAnsi="Times New Roman"/>
          <w:sz w:val="20"/>
        </w:rPr>
        <w:t>(g) Promptly, but in any event within (i) twenty-four (24) hours after the execution hereof, in connection with the delivery of the Initial Bakkt Equity Holder Support Agreement, the Majority Bakkt Equity Holder shall have delivered, in the form of a written consent (</w:t>
      </w:r>
      <w:r>
        <w:rPr>
          <w:rFonts w:ascii="Times New Roman" w:hAnsi="Times New Roman"/>
          <w:sz w:val="20"/>
          <w:u w:val="single"/>
        </w:rPr>
        <w:t>Written Consent</w:t>
      </w:r>
      <w:r>
        <w:rPr>
          <w:rFonts w:ascii="Times New Roman" w:hAnsi="Times New Roman"/>
          <w:sz w:val="20"/>
        </w:rPr>
        <w:t xml:space="preserve">) pursuant to Section 18-302 of the DLLCA and Section 9.5 of the Bakkt Opco LLC Agreement (in the form attached to the Initial Bakkt Equity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A-39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Holder Support Agreement) and (ii) within seven (7) days after the execution hereof, the Bakkt Equity Holders holding, together with persons delivering the Initial Bakkt Equity Holders Support Agreement, sufficient Bakkt Interests to obtain the Bakkt Equity Holders Approval shall, in connection with the delivery of the Support Agreements, deliver a written consent pursuant to Section 18-302 of the DLLCA and Section 9.5 of the Bakkt Opco LLC Agreement (in the form attached to the Support Agreements) constituting the Bakkt Equity Holders Approval to VIH. On or prior to the seventh (7th) Business Day following the date hereof, Bakkt Opco will deliver an information statement (the </w:t>
      </w:r>
      <w:r>
        <w:rPr>
          <w:rFonts w:ascii="Times New Roman" w:hAnsi="Times New Roman"/>
          <w:sz w:val="20"/>
          <w:u w:val="single"/>
        </w:rPr>
        <w:t>Information Statement</w:t>
      </w:r>
      <w:r>
        <w:rPr>
          <w:rFonts w:ascii="Times New Roman" w:hAnsi="Times New Roman"/>
          <w:sz w:val="20"/>
        </w:rPr>
        <w:t xml:space="preserve">), in a form reasonably acceptable to Bakkt Opco or VIH, to each Bakkt Equity Holder who has not executed a Written Consent pursuant to Section 18-302 of the DLLCA and Section 9.5 of the Bakkt Opco LLC Agreement in connection with the solicitation of their signatures to a Written Consent. VIH will as promptly as practicable provide information regarding VIH and Merger Sub reasonably requested by Bakkt Opco for inclusion in the Information Statement, which information shall be subject to the Confidentiality Agreement and shall be true and correct in all material respects. Bakkt Opco, acting through the Board of Managers of Bakkt Opco, shall include in the Information Statement and the Written Consent the recommendation of the Board of Managers of Bakkt Opco that the Bakkt Equity Holders vote (by executing a Written Consent) in favor of adoption and approval of this Agreement, the other Transaction Documents, the Merger and the other Transactions and shall otherwise use its commercially reasonable efforts to obtain the Bakkt Equity Holder Approval. Neither the Board of Managers of Bakkt Opco nor any committee or agent or Representative thereof shall withdraw (or modify in a manner adverse to VIH), or propose to withdraw (or modify in a manner adverse to VIH), Bakkt Opcos Board of Managers recommendation that the Bakkt Equity Holders vote (by executing a Written Consent) in favor of adoption and approval of this Agreement, the other Transaction Documents, the Merger and the other Transactions. </w:t>
      </w:r>
    </w:p>
    <w:p>
      <w:pPr>
        <w:pStyle w:val="TextBody"/>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Disclosure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Except as otherwise provided herein or as required by applicable Law, none of the Parties shall make any disclosure or permit any of their respective Affiliates to make any public disclosure (whether or not in response to an inquiry) of the subject matter of this Agreement unless previously approved by VIH and Bakkt Opco in writing, which approval shall not be unreasonably conditioned, withheld or delayed. VIH and Bakkt Opco shall mutually agree upon and, as promptly as practicable after the execution of this Agreement, issue a press release announcing the execution of this Agreement (the </w:t>
      </w:r>
      <w:r>
        <w:rPr>
          <w:rFonts w:ascii="Times New Roman" w:hAnsi="Times New Roman"/>
          <w:sz w:val="20"/>
          <w:u w:val="single"/>
        </w:rPr>
        <w:t>Signing Press Release</w:t>
      </w:r>
      <w:r>
        <w:rPr>
          <w:rFonts w:ascii="Times New Roman" w:hAnsi="Times New Roman"/>
          <w:sz w:val="20"/>
        </w:rPr>
        <w:t>). VIH, Bakkt Opco and Bakkt Opco shall cooperate in good faith with respect to the prompt preparation of, and, as promptly as practicable after the execution of this Agreement (but in any event within four (4) Business Days thereafter), VIH shall file with the SEC, a Current Report on Form 8-K pursuant to the Exchange Act to report the execution of this Agreement (the </w:t>
      </w:r>
      <w:r>
        <w:rPr>
          <w:rFonts w:ascii="Times New Roman" w:hAnsi="Times New Roman"/>
          <w:sz w:val="20"/>
          <w:u w:val="single"/>
        </w:rPr>
        <w:t>Announcement 8-K</w:t>
      </w:r>
      <w:r>
        <w:rPr>
          <w:rFonts w:ascii="Times New Roman" w:hAnsi="Times New Roman"/>
          <w:sz w:val="20"/>
        </w:rPr>
        <w:t>). Prior to Closing, VIH and Bakkt Opco shall mutually agree upon and prepare the press release announcing the consummation of the Transactions (</w:t>
      </w:r>
      <w:r>
        <w:rPr>
          <w:rFonts w:ascii="Times New Roman" w:hAnsi="Times New Roman"/>
          <w:sz w:val="20"/>
          <w:u w:val="single"/>
        </w:rPr>
        <w:t>Closing Press Release</w:t>
      </w:r>
      <w:r>
        <w:rPr>
          <w:rFonts w:ascii="Times New Roman" w:hAnsi="Times New Roman"/>
          <w:sz w:val="20"/>
        </w:rPr>
        <w:t>). Concurrently with or promptly after the Closing, VIH shall issue the Closing Press Release. VIH and Bakkt Opco shall cooperate in good faith with respect to the preparation of, and, at least five (5) days prior to the Closing, VIH shall prepare a draft Form 8-K announcing the Closing, together with, or incorporating by reference, the required pro forma financial statements and the historical financial statements prepared by Bakkt Opco and its accountant and the other Form 10 information required to be included therein (the </w:t>
      </w:r>
      <w:r>
        <w:rPr>
          <w:rFonts w:ascii="Times New Roman" w:hAnsi="Times New Roman"/>
          <w:sz w:val="20"/>
          <w:u w:val="single"/>
        </w:rPr>
        <w:t>Completion 8-K</w:t>
      </w:r>
      <w:r>
        <w:rPr>
          <w:rFonts w:ascii="Times New Roman" w:hAnsi="Times New Roman"/>
          <w:sz w:val="20"/>
        </w:rPr>
        <w:t xml:space="preserve">). Concurrently with the Closing, or as soon as practicable (but in any event within four (4) Business Days) thereafter, Bakkt Pubco shall file the Completion 8-K with the SEC. </w:t>
      </w:r>
    </w:p>
    <w:p>
      <w:pPr>
        <w:pStyle w:val="TextBody"/>
        <w:spacing w:before="120" w:after="0"/>
        <w:jc w:val="left"/>
        <w:rPr>
          <w:rFonts w:ascii="Times New Roman" w:hAnsi="Times New Roman"/>
          <w:sz w:val="20"/>
        </w:rPr>
      </w:pPr>
      <w:r>
        <w:rPr>
          <w:rFonts w:ascii="Times New Roman" w:hAnsi="Times New Roman"/>
          <w:sz w:val="20"/>
        </w:rPr>
        <w:t>(b) Bakkt Opco shall provide VIH as promptly as reasonably practicable prior to the filing of the Registration Statement (or the Completion 8-K, as applicable) with the SEC, (i) an audited consolidated balance sheet of Bakkt Opco as of December 31, 2019, and as soon as reasonably practicable after the filing of the Registration Statement, an audited consolidated balance sheet of Bakkt Opco as of December 31, 2020, in each case together with related audited consolidated statements of operations, members equity and cash flows for the fiscal year ended on such dates, together with all related notes and schedules thereto, accompanied by the reports thereon of Bakkt Opcos independent auditors (which reports shall be unqualified), prepared in accordance with GAAP, applied on a consistent basis throughout the covered periods, and Regulation S-X of the SEC and in each case, audited in accordance with the standards of the PCAOB (the </w:t>
      </w:r>
      <w:r>
        <w:rPr>
          <w:rFonts w:ascii="Times New Roman" w:hAnsi="Times New Roman"/>
          <w:sz w:val="20"/>
          <w:u w:val="single"/>
        </w:rPr>
        <w:t>PCAOB Financial Statements</w:t>
      </w:r>
      <w:r>
        <w:rPr>
          <w:rFonts w:ascii="Times New Roman" w:hAnsi="Times New Roman"/>
          <w:sz w:val="20"/>
        </w:rPr>
        <w:t xml:space="preserve">), (ii) all other audited and unaudited financial statements of Bakkt Opco and any company or business units acquired by it, as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applicable, required under the applicable rules and regulations and guidance of the SEC to be included in the Registration Statement, including the Proxy Statement, and/or the Completion 8-K (including pro forma financial information), (iii) all selected financial data of Bakkt Opco required by Item 301 of Regulation S-K, as necessary for inclusion in the Registration Statement and Completion 8-K and (iv) managements discussion and analysis of financial condition and results of operations prepared in accordance with Item 303 of Regulation S-K of the SEC with respect to the periods described in </w:t>
      </w:r>
      <w:r>
        <w:rPr>
          <w:rFonts w:ascii="Times New Roman" w:hAnsi="Times New Roman"/>
          <w:sz w:val="20"/>
          <w:u w:val="single"/>
        </w:rPr>
        <w:t>clauses (i)</w:t>
      </w:r>
      <w:r>
        <w:rPr>
          <w:rFonts w:ascii="Times New Roman" w:hAnsi="Times New Roman"/>
          <w:sz w:val="20"/>
        </w:rPr>
        <w:t> and </w:t>
      </w:r>
      <w:r>
        <w:rPr>
          <w:rFonts w:ascii="Times New Roman" w:hAnsi="Times New Roman"/>
          <w:sz w:val="20"/>
          <w:u w:val="single"/>
        </w:rPr>
        <w:t>(ii)</w:t>
      </w:r>
      <w:r>
        <w:rPr>
          <w:rFonts w:ascii="Times New Roman" w:hAnsi="Times New Roman"/>
          <w:sz w:val="20"/>
        </w:rPr>
        <w:t xml:space="preserve">, above, as necessary for inclusion in the Registration Statement and Completion 8-K (including pro forma financial information). </w:t>
      </w:r>
    </w:p>
    <w:p>
      <w:pPr>
        <w:pStyle w:val="TextBody"/>
        <w:spacing w:before="120" w:after="0"/>
        <w:jc w:val="left"/>
        <w:rPr>
          <w:rFonts w:ascii="Times New Roman" w:hAnsi="Times New Roman"/>
          <w:sz w:val="20"/>
        </w:rPr>
      </w:pPr>
      <w:r>
        <w:rPr>
          <w:rFonts w:ascii="Times New Roman" w:hAnsi="Times New Roman"/>
          <w:sz w:val="20"/>
        </w:rPr>
        <w:t>(c) During the Interim Period, in connection with the preparation of the Registration Statement, Announcement 8-K, the Completion 8-K, the Signing Press Release, the Closing Press Release or any other statement, filing, notice or application (including any amendments or supplements thereto) made by or on behalf of VIH, Merger Sub or Bakkt Opco to any Governmental Authority in connection with the Transactions (each, a </w:t>
      </w:r>
      <w:r>
        <w:rPr>
          <w:rFonts w:ascii="Times New Roman" w:hAnsi="Times New Roman"/>
          <w:sz w:val="20"/>
          <w:u w:val="single"/>
        </w:rPr>
        <w:t>Reviewable Document</w:t>
      </w:r>
      <w:r>
        <w:rPr>
          <w:rFonts w:ascii="Times New Roman" w:hAnsi="Times New Roman"/>
          <w:sz w:val="20"/>
        </w:rPr>
        <w:t xml:space="preserve">), VIH and Bakkt Opco shall, upon request by the other, furnish the other with all information concerning themselves, their respective directors, managers, officers and shareholders (including the directors to be elected to the Post-Closing Bakkt Pubco Board pursuant to </w:t>
      </w:r>
      <w:r>
        <w:rPr>
          <w:rFonts w:ascii="Times New Roman" w:hAnsi="Times New Roman"/>
          <w:sz w:val="20"/>
          <w:u w:val="single"/>
        </w:rPr>
        <w:t>Section 5.12</w:t>
      </w:r>
      <w:r>
        <w:rPr>
          <w:rFonts w:ascii="Times New Roman" w:hAnsi="Times New Roman"/>
          <w:sz w:val="20"/>
        </w:rPr>
        <w:t xml:space="preserve"> hereof), assets, Liabilities, condition (financial or otherwise), business, operations and such other matters as may be reasonably necessary or advisable in connection with the preparation of such materials, which information provided shall not contain any untrue statement of a material fact or omit to state a material fact necessary in order to make the statements made, in light of the circumstances under which they were made, not materially misleading. </w:t>
      </w:r>
    </w:p>
    <w:p>
      <w:pPr>
        <w:pStyle w:val="TextBody"/>
        <w:spacing w:before="120" w:after="0"/>
        <w:jc w:val="left"/>
        <w:rPr>
          <w:rFonts w:ascii="Times New Roman" w:hAnsi="Times New Roman"/>
          <w:sz w:val="20"/>
        </w:rPr>
      </w:pPr>
      <w:r>
        <w:rPr>
          <w:rFonts w:ascii="Times New Roman" w:hAnsi="Times New Roman"/>
          <w:sz w:val="20"/>
        </w:rPr>
        <w:t xml:space="preserve">(d) Whenever any event occurs which would reasonably be expected to result in any Reviewable Document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shall furnish to the other party any information reasonably related to such event and any information reasonably necessary or advisable in order to prepare an amendment or supplement to such Reviewable Document in order to correct such untruth or omission. </w:t>
      </w:r>
    </w:p>
    <w:p>
      <w:pPr>
        <w:pStyle w:val="TextBody"/>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Securities Listing</w:t>
      </w:r>
      <w:r>
        <w:rPr>
          <w:rFonts w:ascii="Times New Roman" w:hAnsi="Times New Roman"/>
          <w:sz w:val="20"/>
        </w:rPr>
        <w:t xml:space="preserve">. VIH shall use its reasonable best efforts to cause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to be approved for listing on the National Stock Exchange as of the Closing. </w:t>
      </w:r>
    </w:p>
    <w:p>
      <w:pPr>
        <w:pStyle w:val="TextBody"/>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No Solicitation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For purposes of this Agreement, (i) an </w:t>
      </w:r>
      <w:r>
        <w:rPr>
          <w:rFonts w:ascii="Times New Roman" w:hAnsi="Times New Roman"/>
          <w:sz w:val="20"/>
          <w:u w:val="single"/>
        </w:rPr>
        <w:t>Acquisition Proposal</w:t>
      </w:r>
      <w:r>
        <w:rPr>
          <w:rFonts w:ascii="Times New Roman" w:hAnsi="Times New Roman"/>
          <w:sz w:val="20"/>
        </w:rPr>
        <w:t> means any inquiry, proposal or offer, or any indication of interest in making an offer or proposal, written or oral, from any Person or group (other than, with respect to Bakkt Opco, VIH and the VIH Sponsor (or their respective Representatives, acting in their capacity as such) or, with respect to VIH, Bakkt Opco) at any time relating to an Alternative Transaction, and (ii) an </w:t>
      </w:r>
      <w:r>
        <w:rPr>
          <w:rFonts w:ascii="Times New Roman" w:hAnsi="Times New Roman"/>
          <w:sz w:val="20"/>
          <w:u w:val="single"/>
        </w:rPr>
        <w:t>Alternative Transaction</w:t>
      </w:r>
      <w:r>
        <w:rPr>
          <w:rFonts w:ascii="Times New Roman" w:hAnsi="Times New Roman"/>
          <w:sz w:val="20"/>
        </w:rPr>
        <w:t xml:space="preserve"> means (A) any issuance, sale, pledge, disposal of, grant, transfer or encumbrance of any of the Bakkt Opcos or any of its Subsidiaries Equity Interests or any merger, sale of substantial assets, liquidation, dissolution, reorganization, financing, refinancing, recapitalization, or similar transaction involving Bakkt Opco and/or any of its Subsidiaries, or any other transaction that would impede, delay, interfere with or prevent the consummation of the transactions contemplated by this Agreement and the other Transaction Documents, other than issuances of Equity Interests not prohibited by </w:t>
      </w:r>
      <w:r>
        <w:rPr>
          <w:rFonts w:ascii="Times New Roman" w:hAnsi="Times New Roman"/>
          <w:sz w:val="20"/>
          <w:u w:val="single"/>
        </w:rPr>
        <w:t>Section 5.1</w:t>
      </w:r>
      <w:r>
        <w:rPr>
          <w:rFonts w:ascii="Times New Roman" w:hAnsi="Times New Roman"/>
          <w:sz w:val="20"/>
        </w:rPr>
        <w:t xml:space="preserve"> and assets sold in the ordinary course of business and (B) with respect to VIH, a transaction (other than the Transactions) concerning a Business Combination. </w:t>
      </w:r>
    </w:p>
    <w:p>
      <w:pPr>
        <w:pStyle w:val="TextBody"/>
        <w:spacing w:before="120" w:after="0"/>
        <w:jc w:val="left"/>
        <w:rPr>
          <w:rFonts w:ascii="Times New Roman" w:hAnsi="Times New Roman"/>
          <w:sz w:val="20"/>
        </w:rPr>
      </w:pPr>
      <w:r>
        <w:rPr>
          <w:rFonts w:ascii="Times New Roman" w:hAnsi="Times New Roman"/>
          <w:sz w:val="20"/>
        </w:rPr>
        <w:t xml:space="preserve">(b) During the Interim Period, in order to induce the other Parties to continue to commit to expend management time and financial resources in furtherance of the Transactions, neither Bakkt Opco nor VIH shall, and each shall cause its Representatives to not, directly or indirectly, (i) take any action to solicit, assist, initiate or facilitate the making, submission or announcement of, or encourage, any Acquisition Proposal or Alternative Transaction, (ii) furnish, or afford access to, (including through any virtual data room) any information regarding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Party or its Affiliates or their respective businesses, operations, assets, Liabilities, financial condition, books and records, prospects or employees to any Person or group (other than a Party to this Agreement or their respective Representatives (other than the Majority Bakkt Equity Holder)) in all cases for the purpose of assisting with or facilitating, or that would otherwise reasonably be expected to lead to, an Acquisition Proposal or Alternative Transaction, (iii) enter into, continue, engage or participate in discussions or negotiations with any Person or group with respect to, or that would reasonably be expected to lead to, an Acquisition Proposal or Alternative Transaction, (iv) approve, endorse or recommend, or publicly propose to approve, endorse or recommend, any Acquisition Proposal or Alternative Transaction, (v) enter into an Alternative Transaction or negotiate or enter into any agreement, arrangement or understanding (including any letter of intent or term sheet) relating to an Alternative Transaction or publicly announce an intention to do so, or (vi) release any third Person from, or waive any provision of, any confidentiality agreement to which such Party is a party. </w:t>
      </w:r>
    </w:p>
    <w:p>
      <w:pPr>
        <w:pStyle w:val="TextBody"/>
        <w:spacing w:before="120" w:after="0"/>
        <w:jc w:val="left"/>
        <w:rPr>
          <w:rFonts w:ascii="Times New Roman" w:hAnsi="Times New Roman"/>
          <w:sz w:val="20"/>
        </w:rPr>
      </w:pPr>
      <w:r>
        <w:rPr>
          <w:rFonts w:ascii="Times New Roman" w:hAnsi="Times New Roman"/>
          <w:sz w:val="20"/>
        </w:rPr>
        <w:t xml:space="preserve">(c) Each Party shall notify the others as reasonably promptly as practicable (and in any event within forty-eight (48) hours) in writing of the receipt by such Party or any of its Representatives of (i) any inquiries, proposals or offers, requests for information or requests for discussions or negotiations regarding or constituting any Acquisition Proposal or any inquiries, proposals or offers, requests for information or requests for discussions or negotiations that could reasonably be expected to result in an Acquisition Proposal, and (ii) any request for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For purposes of this </w:t>
      </w:r>
      <w:r>
        <w:rPr>
          <w:rFonts w:ascii="Times New Roman" w:hAnsi="Times New Roman"/>
          <w:sz w:val="20"/>
          <w:u w:val="single"/>
        </w:rPr>
        <w:t>Section 5.11</w:t>
      </w:r>
      <w:r>
        <w:rPr>
          <w:rFonts w:ascii="Times New Roman" w:hAnsi="Times New Roman"/>
          <w:sz w:val="20"/>
        </w:rPr>
        <w:t xml:space="preserve">, the term Affiliates shall exclude any special purpose acquisition companies that are Affiliates of VIH. </w:t>
      </w:r>
    </w:p>
    <w:p>
      <w:pPr>
        <w:pStyle w:val="TextBody"/>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Post-Closing Board of Directors and Executive Officers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Parties shall take all necessary action, including causing the directors of VIH to resign, so that effective as of the Closing, the board of directors of Bakkt Pubco (the </w:t>
      </w:r>
      <w:r>
        <w:rPr>
          <w:rFonts w:ascii="Times New Roman" w:hAnsi="Times New Roman"/>
          <w:sz w:val="20"/>
          <w:u w:val="single"/>
        </w:rPr>
        <w:t>Post-Closing Bakkt Pubco Board</w:t>
      </w:r>
      <w:r>
        <w:rPr>
          <w:rFonts w:ascii="Times New Roman" w:hAnsi="Times New Roman"/>
          <w:sz w:val="20"/>
        </w:rPr>
        <w:t>) will consist of five to seven (5 to 7) members, with one (1) designated by Bakkt Opco, one (1) designated by the VIH Sponsor, and the remaining members to appointed jointly by Bakkt Opco and the VIH Sponsor (collectively, the </w:t>
      </w:r>
      <w:r>
        <w:rPr>
          <w:rFonts w:ascii="Times New Roman" w:hAnsi="Times New Roman"/>
          <w:sz w:val="20"/>
          <w:u w:val="single"/>
        </w:rPr>
        <w:t>Post-Closing Directors</w:t>
      </w:r>
      <w:r>
        <w:rPr>
          <w:rFonts w:ascii="Times New Roman" w:hAnsi="Times New Roman"/>
          <w:sz w:val="20"/>
        </w:rPr>
        <w:t xml:space="preserve">). The directors to be designated jointly by Bakkt Opco and the VIH Sponsor shall include (i) a majority of independent directors for purposes of the listing rules of the exchange on which the Bakkt Pubco Class A Shares are traded and (ii) at least three qualified members of the audit committee of the Post-Closing Bakkt Pubco Board (with one (1) of such persons being an audit committee financial expert). Bakkt Pubco will not avail itself of any grace periods or controlled company exemptions provided by the listing rules of the exchange on which the Bakkt Pubco Class A Shares are traded applicable to the initial Post-Closing Bakkt Pubco Board. At the Closing, Bakkt Pubco will execute and deliver to each Post-Closing Director a customary director indemnification agreement, in form and substance reasonably acceptable to Bakkt Opco and VIH. In accordance with the Organizational Documents of Bakkt Pubco as in effect as of the Closing, the Parties acknowledge and agree that the Post-Closing Bakkt Pubco Board will be a classified board with three classes of directors, with: </w:t>
      </w:r>
    </w:p>
    <w:p>
      <w:pPr>
        <w:pStyle w:val="TextBody"/>
        <w:spacing w:before="120" w:after="0"/>
        <w:jc w:val="left"/>
        <w:rPr>
          <w:rFonts w:ascii="Times New Roman" w:hAnsi="Times New Roman"/>
          <w:sz w:val="20"/>
        </w:rPr>
      </w:pPr>
      <w:r>
        <w:rPr>
          <w:rFonts w:ascii="Times New Roman" w:hAnsi="Times New Roman"/>
          <w:sz w:val="20"/>
        </w:rPr>
        <w:t>(i) one (1) class of directors (the </w:t>
      </w:r>
      <w:r>
        <w:rPr>
          <w:rFonts w:ascii="Times New Roman" w:hAnsi="Times New Roman"/>
          <w:sz w:val="20"/>
          <w:u w:val="single"/>
        </w:rPr>
        <w:t>Class I Directors</w:t>
      </w:r>
      <w:r>
        <w:rPr>
          <w:rFonts w:ascii="Times New Roman" w:hAnsi="Times New Roman"/>
          <w:sz w:val="20"/>
        </w:rPr>
        <w:t xml:space="preserve">), initially serving a term effective from the Closing until the first annual meeting of the stockholders of Bakkt Pubco held after the Closing (but any subsequent Class I Directors serving a three (3)-year term), with the Class 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 </w:t>
      </w:r>
    </w:p>
    <w:p>
      <w:pPr>
        <w:pStyle w:val="TextBody"/>
        <w:spacing w:before="120" w:after="0"/>
        <w:jc w:val="left"/>
        <w:rPr>
          <w:rFonts w:ascii="Times New Roman" w:hAnsi="Times New Roman"/>
          <w:sz w:val="20"/>
        </w:rPr>
      </w:pPr>
      <w:r>
        <w:rPr>
          <w:rFonts w:ascii="Times New Roman" w:hAnsi="Times New Roman"/>
          <w:sz w:val="20"/>
        </w:rPr>
        <w:t>(ii) a second class of directors (the </w:t>
      </w:r>
      <w:r>
        <w:rPr>
          <w:rFonts w:ascii="Times New Roman" w:hAnsi="Times New Roman"/>
          <w:sz w:val="20"/>
          <w:u w:val="single"/>
        </w:rPr>
        <w:t>Class II Directors</w:t>
      </w:r>
      <w:r>
        <w:rPr>
          <w:rFonts w:ascii="Times New Roman" w:hAnsi="Times New Roman"/>
          <w:sz w:val="20"/>
        </w:rPr>
        <w:t xml:space="preserve">), initially serving a term effective from the Closing until the second annual meeting of the stockholders of Bakkt Pubco held following the Closing (but any subsequent Class II Directors serving a three (3)-year term), with the two individuals designated by Bakkt Opco and the VIH Sponsor, respectively, to serve as Class II Directors; and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(iii) a third class of directors (the </w:t>
      </w:r>
      <w:r>
        <w:rPr>
          <w:rFonts w:ascii="Times New Roman" w:hAnsi="Times New Roman"/>
          <w:sz w:val="20"/>
          <w:u w:val="single"/>
        </w:rPr>
        <w:t>Class III Directors</w:t>
      </w:r>
      <w:r>
        <w:rPr>
          <w:rFonts w:ascii="Times New Roman" w:hAnsi="Times New Roman"/>
          <w:sz w:val="20"/>
        </w:rPr>
        <w:t xml:space="preserve">), serving a term effective from the Closing until the third annual meeting of the stockholders of Bakkt Pubco held following the Closing (but any subsequent Class III Directors serving a three (3)-year term), with the Class III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 </w:t>
      </w:r>
    </w:p>
    <w:p>
      <w:pPr>
        <w:pStyle w:val="TextBody"/>
        <w:spacing w:before="120" w:after="0"/>
        <w:jc w:val="left"/>
        <w:rPr>
          <w:rFonts w:ascii="Times New Roman" w:hAnsi="Times New Roman"/>
          <w:sz w:val="20"/>
        </w:rPr>
      </w:pPr>
      <w:r>
        <w:rPr>
          <w:rFonts w:ascii="Times New Roman" w:hAnsi="Times New Roman"/>
          <w:sz w:val="20"/>
        </w:rPr>
        <w:t xml:space="preserve">(b) The Parties shall take all action necessary, including causing the executive officers of VIH to resign, so that the individuals serving as executive officers of Bakkt Pubco immediately after the Closing (other than the Chief Executive Officer or as otherwise approved by VIH) will be the persons who were serving as officers of Bakkt Opco immediately prior to Closing. The Chief Executive Officer of Bakkt Pubco and the Surviving Company following the Closing shall be the individual appointed by the Post-Closing Bakkt Pubco Board. </w:t>
      </w:r>
    </w:p>
    <w:p>
      <w:pPr>
        <w:pStyle w:val="TextBody"/>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Trust Account Disbursement</w:t>
      </w:r>
      <w:r>
        <w:rPr>
          <w:rFonts w:ascii="Times New Roman" w:hAnsi="Times New Roman"/>
          <w:sz w:val="20"/>
        </w:rPr>
        <w:t xml:space="preserve">. VIH shall cause the Trust Account to be disbursed to VIH (or to such Persons as designated by VIH to pay any amounts contemplated by </w:t>
      </w:r>
      <w:r>
        <w:rPr>
          <w:rFonts w:ascii="Times New Roman" w:hAnsi="Times New Roman"/>
          <w:sz w:val="20"/>
          <w:u w:val="single"/>
        </w:rPr>
        <w:t>Section 2.3(a)</w:t>
      </w:r>
      <w:r>
        <w:rPr>
          <w:rFonts w:ascii="Times New Roman" w:hAnsi="Times New Roman"/>
          <w:sz w:val="20"/>
        </w:rPr>
        <w:t xml:space="preserve"> or any amounts owed by VIH for its unpaid expenses or other liabilities as of the Closing) concurrently with the Closing upon the terms set forth in the Trust Agreement. </w:t>
      </w:r>
    </w:p>
    <w:p>
      <w:pPr>
        <w:pStyle w:val="TextBody"/>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Section 16</w:t>
      </w:r>
      <w:r>
        <w:rPr>
          <w:rFonts w:ascii="Times New Roman" w:hAnsi="Times New Roman"/>
          <w:sz w:val="20"/>
        </w:rPr>
        <w:t xml:space="preserve">. Prior to the Closing, the VIH Board, or an appropriate committee of non-employee directors (as defined in Rule 16b-3 of the Exchange Act) thereof, shall adopt a resolution consistent with the interpretive guidance of the SEC so that the acquisition of VIH and/or Bakkt Pubco equity securities, as applicable, in each case, pursuant to this Agreement and the Transaction Documents, by any person owning securities of Bakkt Opco and its Subsidiaries who is expected to become a director or officer (as defined under Rule 16a-1(f) under the Exchange Act) of Bakkt Pubco shall be an exempt transaction for purposes of Section 16(b) of the Exchange Act pursuant to Rule 16b-3 thereunder. </w:t>
      </w:r>
    </w:p>
    <w:p>
      <w:pPr>
        <w:pStyle w:val="TextBody"/>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Third-Party Consents</w:t>
      </w:r>
      <w:r>
        <w:rPr>
          <w:rFonts w:ascii="Times New Roman" w:hAnsi="Times New Roman"/>
          <w:sz w:val="20"/>
        </w:rPr>
        <w:t xml:space="preserve">. Upon the terms and subject to the conditions set forth in this Agreement, during the Interim Period, Bakkt Opco shall use commercially reasonable efforts to obtain any consents that are listed on Section 3.2(b) of the Bakkt Disclosure Letter. </w:t>
      </w:r>
    </w:p>
    <w:p>
      <w:pPr>
        <w:pStyle w:val="TextBody"/>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Unpaid Expenses</w:t>
      </w:r>
      <w:r>
        <w:rPr>
          <w:rFonts w:ascii="Times New Roman" w:hAnsi="Times New Roman"/>
          <w:sz w:val="20"/>
        </w:rPr>
        <w:t xml:space="preserve">. Concurrently with the preparation of the Closing Statement, each Party shall submit invoices and wire payment instructions with respect to each Person to whom Bakkt Transaction Expenses or VIH Transaction Expenses are to be paid at Closing. </w:t>
      </w:r>
    </w:p>
    <w:p>
      <w:pPr>
        <w:pStyle w:val="TextBody"/>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No Trading</w:t>
      </w:r>
      <w:r>
        <w:rPr>
          <w:rFonts w:ascii="Times New Roman" w:hAnsi="Times New Roman"/>
          <w:sz w:val="20"/>
        </w:rPr>
        <w:t xml:space="preserve">. During the Interim Period, except as otherwise expressly contemplated by this Agreement, (a) Bakkt Opco shall not, and shall cause its Representatives and Subsidiaries not to, engage in any transactions involving the Equity Interests of VIH (including, without limitation, the VIH Class A Shares) without the prior written consent of VIH and (b) VIH shall not, and shall cause its controlled Affiliates, agents, professional advisors, employees and officers not to, engage in any transactions involving the Equity Interests of the parent company of the Majority Bakkt Equity Holder without the prior written consent of the parent company of the Majority Bakkt Equity Holder. </w:t>
      </w:r>
    </w:p>
    <w:p>
      <w:pPr>
        <w:pStyle w:val="TextBody"/>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Advice of Changes</w:t>
      </w:r>
      <w:r>
        <w:rPr>
          <w:rFonts w:ascii="Times New Roman" w:hAnsi="Times New Roman"/>
          <w:sz w:val="20"/>
        </w:rPr>
        <w:t xml:space="preserve">. Bakkt Opco will from time to time advise VIH in writing of any event occurring subsequent to the date hereof that would render any representation or warranty of Bakkt Opco contained in </w:t>
      </w:r>
      <w:r>
        <w:rPr>
          <w:rFonts w:ascii="Times New Roman" w:hAnsi="Times New Roman"/>
          <w:sz w:val="20"/>
          <w:u w:val="single"/>
        </w:rPr>
        <w:t>Article III</w:t>
      </w:r>
      <w:r>
        <w:rPr>
          <w:rFonts w:ascii="Times New Roman" w:hAnsi="Times New Roman"/>
          <w:sz w:val="20"/>
        </w:rPr>
        <w:t xml:space="preserve"> untrue or inaccurate in any material respect such that the applicable condition set forth in </w:t>
      </w:r>
      <w:r>
        <w:rPr>
          <w:rFonts w:ascii="Times New Roman" w:hAnsi="Times New Roman"/>
          <w:sz w:val="20"/>
          <w:u w:val="single"/>
        </w:rPr>
        <w:t>Section 7.2(a)</w:t>
      </w:r>
      <w:r>
        <w:rPr>
          <w:rFonts w:ascii="Times New Roman" w:hAnsi="Times New Roman"/>
          <w:sz w:val="20"/>
        </w:rPr>
        <w:t xml:space="preserve"> would not be satisfied. Such disclosures (which shall make specific reference to the schedule to which such disclosure relates) shall amend and supplement the appropriate schedules of the Bakkt Opco Disclosure Letter delivered on the date hereof but, unless waived (or deemed to have been waived pursuant to the last sentence of this </w:t>
      </w:r>
      <w:r>
        <w:rPr>
          <w:rFonts w:ascii="Times New Roman" w:hAnsi="Times New Roman"/>
          <w:sz w:val="20"/>
          <w:u w:val="single"/>
        </w:rPr>
        <w:t>Section 5.18</w:t>
      </w:r>
      <w:r>
        <w:rPr>
          <w:rFonts w:ascii="Times New Roman" w:hAnsi="Times New Roman"/>
          <w:sz w:val="20"/>
        </w:rPr>
        <w:t xml:space="preserve">) by VIH, will not cure any breach of any representation or warranty made in respect of the matters that are the subject of any such disclosure to the extent that they would cause the failure of the condition to the Closing set forth in </w:t>
      </w:r>
      <w:r>
        <w:rPr>
          <w:rFonts w:ascii="Times New Roman" w:hAnsi="Times New Roman"/>
          <w:sz w:val="20"/>
          <w:u w:val="single"/>
        </w:rPr>
        <w:t>Section 7.2(a)</w:t>
      </w:r>
      <w:r>
        <w:rPr>
          <w:rFonts w:ascii="Times New Roman" w:hAnsi="Times New Roman"/>
          <w:sz w:val="20"/>
        </w:rPr>
        <w:t xml:space="preserve">. Notwithstanding the foregoing, if the matter or matters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giving rise to such supplement or amendment to the Bakkt Opco Disclosure Letter would result in a failure of such condition to the Closing set forth in </w:t>
      </w:r>
      <w:r>
        <w:rPr>
          <w:rFonts w:ascii="Times New Roman" w:hAnsi="Times New Roman"/>
          <w:sz w:val="20"/>
          <w:u w:val="single"/>
        </w:rPr>
        <w:t>Section 7.2(a)</w:t>
      </w:r>
      <w:r>
        <w:rPr>
          <w:rFonts w:ascii="Times New Roman" w:hAnsi="Times New Roman"/>
          <w:sz w:val="20"/>
        </w:rPr>
        <w:t xml:space="preserve">, and (following disclosure thereof by Bakkt Opco to VIH pursuant to this </w:t>
      </w:r>
      <w:r>
        <w:rPr>
          <w:rFonts w:ascii="Times New Roman" w:hAnsi="Times New Roman"/>
          <w:sz w:val="20"/>
          <w:u w:val="single"/>
        </w:rPr>
        <w:t>Section 5.18</w:t>
      </w:r>
      <w:r>
        <w:rPr>
          <w:rFonts w:ascii="Times New Roman" w:hAnsi="Times New Roman"/>
          <w:sz w:val="20"/>
        </w:rPr>
        <w:t xml:space="preserve">) VIH elects to proceed with the Closing, such modifications shall be deemed to have been accepted and the condition waived and VIH shall not be entitled to exercise its rights of termination. For the avoidance of doubt, </w:t>
      </w:r>
      <w:r>
        <w:rPr>
          <w:rFonts w:ascii="Times New Roman" w:hAnsi="Times New Roman"/>
          <w:sz w:val="20"/>
          <w:u w:val="single"/>
        </w:rPr>
        <w:t>Section 11.17</w:t>
      </w:r>
      <w:r>
        <w:rPr>
          <w:rFonts w:ascii="Times New Roman" w:hAnsi="Times New Roman"/>
          <w:sz w:val="20"/>
        </w:rPr>
        <w:t xml:space="preserve"> shall not be applicable to this </w:t>
      </w:r>
      <w:r>
        <w:rPr>
          <w:rFonts w:ascii="Times New Roman" w:hAnsi="Times New Roman"/>
          <w:sz w:val="20"/>
          <w:u w:val="single"/>
        </w:rPr>
        <w:t>Section 5.18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Cooperation Agreement</w:t>
      </w:r>
      <w:r>
        <w:rPr>
          <w:rFonts w:ascii="Times New Roman" w:hAnsi="Times New Roman"/>
          <w:sz w:val="20"/>
        </w:rPr>
        <w:t xml:space="preserve">. Promptly following the execution of this Agreement, VIH, in consultation with Bakkt Opco, will work in good faith with the parent company of the Majority Bakkt Equity Holder to memorialize a cooperation agreement between Bakkt Pubco and the parent company of the Majority Bakkt Equity Holder, to be effective as of the Closing and in a form reasonably acceptable to VIH and the parent company of the Majority Bakkt Equity Holder, which agreement will contain customary cooperation, information sharing and related provisions intended to facilitate compliance by the Majority Bakkt Equity Holder and its Affiliates following the Closing with its accounting, financial reporting, public disclosure and similar requirements insofar as they relate to the Majority Bakkt Equity Holders ownership interest in Bakkt Pubco and Bakkt Opco. </w:t>
      </w:r>
    </w:p>
    <w:p>
      <w:pPr>
        <w:pStyle w:val="TextBody"/>
        <w:spacing w:before="480" w:after="0"/>
        <w:jc w:val="center"/>
        <w:rPr>
          <w:rFonts w:ascii="Times New Roman" w:hAnsi="Times New Roman"/>
          <w:b/>
          <w:sz w:val="20"/>
        </w:rPr>
      </w:pPr>
      <w:r>
        <w:rPr>
          <w:rFonts w:ascii="Times New Roman" w:hAnsi="Times New Roman"/>
          <w:b/>
          <w:sz w:val="20"/>
        </w:rPr>
        <w:t xml:space="preserve">ARTICLE VI </w:t>
      </w:r>
    </w:p>
    <w:p>
      <w:pPr>
        <w:pStyle w:val="TextBody"/>
        <w:spacing w:before="240" w:after="0"/>
        <w:jc w:val="center"/>
        <w:rPr>
          <w:rFonts w:ascii="Times New Roman" w:hAnsi="Times New Roman"/>
          <w:b/>
          <w:sz w:val="20"/>
        </w:rPr>
      </w:pPr>
      <w:r>
        <w:rPr>
          <w:rFonts w:ascii="Times New Roman" w:hAnsi="Times New Roman"/>
          <w:b/>
          <w:sz w:val="20"/>
        </w:rPr>
        <w:t xml:space="preserve">OTHER COVENANTS </w:t>
      </w:r>
    </w:p>
    <w:p>
      <w:pPr>
        <w:pStyle w:val="TextBody"/>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Tax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Intended Tax Treatment</w:t>
      </w:r>
      <w:r>
        <w:rPr>
          <w:rFonts w:ascii="Times New Roman" w:hAnsi="Times New Roman"/>
          <w:sz w:val="20"/>
        </w:rPr>
        <w:t xml:space="preserve">. The Parties intend that (i) the conversion contemplated by </w:t>
      </w:r>
      <w:r>
        <w:rPr>
          <w:rFonts w:ascii="Times New Roman" w:hAnsi="Times New Roman"/>
          <w:sz w:val="20"/>
          <w:u w:val="single"/>
        </w:rPr>
        <w:t>Section 2.2(c)</w:t>
      </w:r>
      <w:r>
        <w:rPr>
          <w:rFonts w:ascii="Times New Roman" w:hAnsi="Times New Roman"/>
          <w:sz w:val="20"/>
        </w:rPr>
        <w:t xml:space="preserve"> is treated as a reorganization within the meaning of Section 368(a)(1)(E) of the Code, the Domestication is treated as a reorganization within the meaning of Section 368(a)(1)(F) of the Code, and that this Agreement shall be adopted as a plan of reorganization, within the meaning of Section 1.368-2(g) of the Treasury Regulations (ii) Surviving Company is a continuation of Bakkt Opco for U.S. federal income tax purposes, (iii) the Available Cash to be paid to Bakkt Opco at Closing pursuant to </w:t>
      </w:r>
      <w:r>
        <w:rPr>
          <w:rFonts w:ascii="Times New Roman" w:hAnsi="Times New Roman"/>
          <w:sz w:val="20"/>
          <w:u w:val="single"/>
        </w:rPr>
        <w:t>Section 2.3(a)(iii)</w:t>
      </w:r>
      <w:r>
        <w:rPr>
          <w:rFonts w:ascii="Times New Roman" w:hAnsi="Times New Roman"/>
          <w:sz w:val="20"/>
        </w:rPr>
        <w:t xml:space="preserve">, together with the amount of Bakkt Transaction Expenses paid at Closing pursuant to </w:t>
      </w:r>
      <w:r>
        <w:rPr>
          <w:rFonts w:ascii="Times New Roman" w:hAnsi="Times New Roman"/>
          <w:sz w:val="20"/>
          <w:u w:val="single"/>
        </w:rPr>
        <w:t>Section 2.3(a)(i)</w:t>
      </w:r>
      <w:r>
        <w:rPr>
          <w:rFonts w:ascii="Times New Roman" w:hAnsi="Times New Roman"/>
          <w:sz w:val="20"/>
        </w:rPr>
        <w:t xml:space="preserve"> or reimbursed pursuant to </w:t>
      </w:r>
      <w:r>
        <w:rPr>
          <w:rFonts w:ascii="Times New Roman" w:hAnsi="Times New Roman"/>
          <w:sz w:val="20"/>
          <w:u w:val="single"/>
        </w:rPr>
        <w:t>Section 2.3(a)(ii)</w:t>
      </w:r>
      <w:r>
        <w:rPr>
          <w:rFonts w:ascii="Times New Roman" w:hAnsi="Times New Roman"/>
          <w:sz w:val="20"/>
        </w:rPr>
        <w:t>, is treated as a contribution by Bakkt Pubco to Surviving Company in exchange for Surviving Company Common Units under Section 721 of the Code, and (iv) for U.S. federal income tax purposes, no Bakkt Equity Holder is treated as transferring an interest in Bakkt Opco or any other property or value to Bakkt Pubco in exchange for the Bakkt Pubco Class V Shares or any other property as a result of the Merger (collectively, the </w:t>
      </w:r>
      <w:r>
        <w:rPr>
          <w:rFonts w:ascii="Times New Roman" w:hAnsi="Times New Roman"/>
          <w:sz w:val="20"/>
          <w:u w:val="single"/>
        </w:rPr>
        <w:t>Intended Tax Treatment</w:t>
      </w:r>
      <w:r>
        <w:rPr>
          <w:rFonts w:ascii="Times New Roman" w:hAnsi="Times New Roman"/>
          <w:sz w:val="20"/>
        </w:rPr>
        <w:t xml:space="preserve">). The Parties shall report consistently with the Intended Tax Treatment on all Tax Returns, and no Party shall take any position in any Tax Return or with any Governmental Authority that is inconsistent with the Intended Tax Treatment unless required to do so by a determination as defined in Section 1313 of the Code.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Returns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Surviving Company shall have in effect an election under Section 754 of the Code for the taxable period which includes the Closing Date. </w:t>
      </w:r>
    </w:p>
    <w:p>
      <w:pPr>
        <w:pStyle w:val="TextBody"/>
        <w:spacing w:before="120" w:after="0"/>
        <w:jc w:val="left"/>
        <w:rPr>
          <w:rFonts w:ascii="Times New Roman" w:hAnsi="Times New Roman"/>
          <w:sz w:val="20"/>
        </w:rPr>
      </w:pPr>
      <w:r>
        <w:rPr>
          <w:rFonts w:ascii="Times New Roman" w:hAnsi="Times New Roman"/>
          <w:sz w:val="20"/>
        </w:rPr>
        <w:t xml:space="preserve">(ii) Bakkt Pubco and the Bakkt Equity Holders agree that in connection with the preparation and filing of Tax Returns of or with respect to Bakkt Opco and its Subsidiaries, to the extent permitted by applicable Law, deductions and/or losses of, attributable to or with respect to indebtedness of Bakkt Opco and its Subsidiaries, Employee Payments and Bakkt Transaction Expenses shall be claimed in taxable periods, or portions thereof, ending on or before the Closing Date.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Taxes</w:t>
      </w:r>
      <w:r>
        <w:rPr>
          <w:rFonts w:ascii="Times New Roman" w:hAnsi="Times New Roman"/>
          <w:sz w:val="20"/>
        </w:rPr>
        <w:t>. Notwithstanding any other provision in this Agreement or the Transaction Documents, all transfer, documentary, sales, use, stamp, registration and other such Taxes and fees (including any penalties and interest) incurred in connection with this Agreement or the Transaction Documents (including any transfer or similar tax imposed by states or subdivisions) (</w:t>
      </w:r>
      <w:r>
        <w:rPr>
          <w:rFonts w:ascii="Times New Roman" w:hAnsi="Times New Roman"/>
          <w:sz w:val="20"/>
          <w:u w:val="single"/>
        </w:rPr>
        <w:t>Transfer Taxes</w:t>
      </w:r>
      <w:r>
        <w:rPr>
          <w:rFonts w:ascii="Times New Roman" w:hAnsi="Times New Roman"/>
          <w:sz w:val="20"/>
        </w:rPr>
        <w:t xml:space="preserve">) shall be borne by Bakkt Pubco, and paid when due. Bakkt Pubco shall, at its own expense, timely file all necessary Tax Returns and other documentation with respect to all such Taxes, and, if required by applicable Law, the Bakkt Equity Holders will join in the execution of any such Tax Returns and other documentation.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Cooperation</w:t>
      </w:r>
      <w:r>
        <w:rPr>
          <w:rFonts w:ascii="Times New Roman" w:hAnsi="Times New Roman"/>
          <w:sz w:val="20"/>
        </w:rPr>
        <w:t xml:space="preserve">. After the Closing, the Bakkt Equity Holders and Bakkt Pubco shall reasonably cooperate in connection with the filing of Tax Returns of Bakkt Opco and its Subsidiaries and any Tax Proceeding of Bakkt Opco or one of its Subsidiaries that, in each case, relates to a taxable period beginning on or prior to the Closing Date. Such cooperation shall include the provisions of records and information that are reasonably relevant to any such Tax Return or Tax Proceeding and making employees available on a mutually convenient basis to provide additional information and explanation of any material provided hereunder. Following the Closing, Bakkt Pubco and Bakkt Opco and its Subsidiaries shall retain all books and records with respect to Tax matters pertinent to Bakkt Opco and its Subsidiaries for any taxable period beginning on or prior to the Closing Date until the seven (7)-year anniversary of the Closing Date.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Tax Sharing Agreement</w:t>
      </w:r>
      <w:r>
        <w:rPr>
          <w:rFonts w:ascii="Times New Roman" w:hAnsi="Times New Roman"/>
          <w:sz w:val="20"/>
        </w:rPr>
        <w:t xml:space="preserve">. Each Bakkt Equity Holder shall terminate or cause to be terminated any and all of the Tax Sharing Agreements (excluding, for the avoidance of doubt, the Bakkt Opco LLC Agreement) on the Closing Date as between such Bakkt Equity Holder or any predecessor or Affiliate thereof, on the one hand, and Bakkt Opco (or Surviving Company) or any of its Subsidiaries, on the other hand, for all Taxes, regardless of the period in which such Taxes are imposed, and there shall be no continuing obligation to make any payments under any such Tax Sharing Agreements.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Partnership Audit Regime</w:t>
      </w:r>
      <w:r>
        <w:rPr>
          <w:rFonts w:ascii="Times New Roman" w:hAnsi="Times New Roman"/>
          <w:sz w:val="20"/>
        </w:rPr>
        <w:t xml:space="preserve">. Without the prior written consent of VIH (or Bakkt Pubco), the Bakkt Equity Holders and Bakkt Opco (or Surviving Company) shall not, and shall cause their respective Affiliates not to, make or cause to be made any election under Treasury Regulations Section 301.9100-22 (or any similar provision of state, local, or non-U.S. Laws) with respect to Bakkt Opco (or Surviving Company) or its Subsidiaries. To the extent permitted by applicable Law, a push out election pursuant to Section 6226 of the Code (or any state or local equivalent thereof) with respect to Bakkt Opco (or Surviving Company) or any of its Subsidiaries that is or previously has been, as of the Closing Date, treated as a partnership for U.S. federal income tax purposes, shall be made, or caused to be made, in connection with any imputed underpayment of Taxes for any taxable period ending on or before the Closing Date. </w:t>
      </w:r>
    </w:p>
    <w:p>
      <w:pPr>
        <w:pStyle w:val="TextBody"/>
        <w:spacing w:before="12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Further Assurances</w:t>
      </w:r>
      <w:r>
        <w:rPr>
          <w:rFonts w:ascii="Times New Roman" w:hAnsi="Times New Roman"/>
          <w:sz w:val="20"/>
        </w:rPr>
        <w:t xml:space="preserve">. From time to time after the Closing Date, upon reasonable request of any Party, each Party shall execute, acknowledge and deliver all such other instruments and documents, and shall take all such other actions, as may be required to carry out the provisions of this Agreement and consummate and make effective the Transactions. </w:t>
      </w:r>
    </w:p>
    <w:p>
      <w:pPr>
        <w:pStyle w:val="TextBody"/>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Bakkt Pubco, from and after the Closing Date through the sixth (6th) anniversary of the Closing Date, shall cause the Organizational Documents of Bakkt Pubco, Surviving Company and their respective Subsidiaries to contain provisions no less favorable to the current or former directors, managers, officers or employees of such companies (collectively, </w:t>
      </w:r>
      <w:r>
        <w:rPr>
          <w:rFonts w:ascii="Times New Roman" w:hAnsi="Times New Roman"/>
          <w:sz w:val="20"/>
          <w:u w:val="single"/>
        </w:rPr>
        <w:t>D&amp;O Indemnitees</w:t>
      </w:r>
      <w:r>
        <w:rPr>
          <w:rFonts w:ascii="Times New Roman" w:hAnsi="Times New Roman"/>
          <w:sz w:val="20"/>
        </w:rPr>
        <w:t xml:space="preserve">) with respect to limitation of certain liabilities, advancement of expenses and indemnification than are set forth as of the date of this Agreement in the Organizational Documents of such companies (which for Bakkt Pubco shall be the Bakkt Pubco Charter, the Bakkt Pubco Bylaws and an indemnification agreement with each director of Bakkt Pubco, and for Surviving Company shall be the Surviving Company LLC Agreement), which provisions are no less favorable than those in existence as of the date hereof and in each case shall not be amended, repealed or otherwise modified in a manner that would adversely affect the rights thereunder of the D&amp;O Indemnitees with respect to any acts or omissions occurring at or prior to the Closing. </w:t>
      </w:r>
    </w:p>
    <w:p>
      <w:pPr>
        <w:pStyle w:val="TextBody"/>
        <w:spacing w:before="120" w:after="0"/>
        <w:jc w:val="left"/>
        <w:rPr>
          <w:rFonts w:ascii="Times New Roman" w:hAnsi="Times New Roman"/>
          <w:sz w:val="20"/>
        </w:rPr>
      </w:pPr>
      <w:r>
        <w:rPr>
          <w:rFonts w:ascii="Times New Roman" w:hAnsi="Times New Roman"/>
          <w:sz w:val="20"/>
        </w:rPr>
        <w:t xml:space="preserve">(b) Prior to the Closing, Bakkt Pubco, Bakkt Opco shall obtain tail coverage, for a period of at least six (6) years from and after Closing, with respect to Bakkt Opcos and its Subsidiaries directors and officers liability insurance policies with coverage amounts, terms and conditions substantially similar to those of Bakkt Opcos and its Subsidiaries directors and officers liability insurance policies in effect as of the date hereof and covering each D&amp;O Indemnitee covered by Bakkt Opcos and its Subsidiaries directors and officers liability insurance policies in effect as of the date hereof. Prior to the Closing, VIH shall obtain tail coverage, for a period of at least six (6) years, with respect to VIHs or Merger Subs directors and officers liability insurance policies with coverage amounts, terms and conditions substantially similar to those of VIHs or Merger Subs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directors and officers liability insurance policies in effect as of the date hereof and covering each D&amp;O Indemnitee covered by VIHs or Merger Subs directors and officers liability insurance policies in effect as of the date hereof. Bakkt Pubco shall and shall cause Surviving Company to maintain each such tail policy and not take any action to adversely modify or terminate any such tail policy during the applicable tail period thereof. </w:t>
      </w:r>
    </w:p>
    <w:p>
      <w:pPr>
        <w:pStyle w:val="TextBody"/>
        <w:spacing w:before="120" w:after="0"/>
        <w:jc w:val="left"/>
        <w:rPr>
          <w:rFonts w:ascii="Times New Roman" w:hAnsi="Times New Roman"/>
          <w:sz w:val="20"/>
        </w:rPr>
      </w:pPr>
      <w:r>
        <w:rPr>
          <w:rFonts w:ascii="Times New Roman" w:hAnsi="Times New Roman"/>
          <w:sz w:val="20"/>
        </w:rPr>
        <w:t xml:space="preserve">(c) The provisions of this </w:t>
      </w:r>
      <w:r>
        <w:rPr>
          <w:rFonts w:ascii="Times New Roman" w:hAnsi="Times New Roman"/>
          <w:sz w:val="20"/>
          <w:u w:val="single"/>
        </w:rPr>
        <w:t>Section 6.3</w:t>
      </w:r>
      <w:r>
        <w:rPr>
          <w:rFonts w:ascii="Times New Roman" w:hAnsi="Times New Roman"/>
          <w:sz w:val="20"/>
        </w:rPr>
        <w:t xml:space="preserve">: (i) are intended to be for the benefit of, and shall be enforceable by, each D&amp;O Indemnitee, who is an intended third-party beneficiary of this </w:t>
      </w:r>
      <w:r>
        <w:rPr>
          <w:rFonts w:ascii="Times New Roman" w:hAnsi="Times New Roman"/>
          <w:sz w:val="20"/>
          <w:u w:val="single"/>
        </w:rPr>
        <w:t>Section 6.3</w:t>
      </w:r>
      <w:r>
        <w:rPr>
          <w:rFonts w:ascii="Times New Roman" w:hAnsi="Times New Roman"/>
          <w:sz w:val="20"/>
        </w:rPr>
        <w:t xml:space="preserve">; and (ii) are in addition to any rights such D&amp;O Indemnitees may have under the Organizational Documents of Bakkt Pubco, Bakkt Opco or their respective Subsidiaries, as the case may be, or under any applicable Contracts or Laws and not intended to, nor shall be construed or shall release or impair any rights to directors and officers insurance claims under any policy that is or has been in existence with respect to the Bakkt Pubco, Bakkt Opco or their respective Subsidiaries for any of their respective directors, officers or other employees (it being understood and agreed that the indemnification provided for in this </w:t>
      </w:r>
      <w:r>
        <w:rPr>
          <w:rFonts w:ascii="Times New Roman" w:hAnsi="Times New Roman"/>
          <w:sz w:val="20"/>
          <w:u w:val="single"/>
        </w:rPr>
        <w:t>Section 6.3</w:t>
      </w:r>
      <w:r>
        <w:rPr>
          <w:rFonts w:ascii="Times New Roman" w:hAnsi="Times New Roman"/>
          <w:sz w:val="20"/>
        </w:rPr>
        <w:t xml:space="preserve"> is not prior to or in substitution of any such claims under such policies). </w:t>
      </w:r>
    </w:p>
    <w:p>
      <w:pPr>
        <w:pStyle w:val="TextBody"/>
        <w:spacing w:before="120" w:after="0"/>
        <w:jc w:val="left"/>
        <w:rPr>
          <w:rFonts w:ascii="Times New Roman" w:hAnsi="Times New Roman"/>
          <w:sz w:val="20"/>
        </w:rPr>
      </w:pPr>
      <w:r>
        <w:rPr>
          <w:rFonts w:ascii="Times New Roman" w:hAnsi="Times New Roman"/>
          <w:sz w:val="20"/>
        </w:rPr>
        <w:t xml:space="preserve">(d) In the event Bakkt Pubco, Bakkt Opco, Surviving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provisions shall be made so that the successors and assigns of Bakkt Pubco, Bakkt Opco or Surviving Company (as applicable) shall assume, at and as of the closing of the applicable transaction referred to in this </w:t>
      </w:r>
      <w:r>
        <w:rPr>
          <w:rFonts w:ascii="Times New Roman" w:hAnsi="Times New Roman"/>
          <w:sz w:val="20"/>
          <w:u w:val="single"/>
        </w:rPr>
        <w:t>Section 6.3(d)</w:t>
      </w:r>
      <w:r>
        <w:rPr>
          <w:rFonts w:ascii="Times New Roman" w:hAnsi="Times New Roman"/>
          <w:sz w:val="20"/>
        </w:rPr>
        <w:t xml:space="preserve">, all of the obligations set forth in this </w:t>
      </w:r>
      <w:r>
        <w:rPr>
          <w:rFonts w:ascii="Times New Roman" w:hAnsi="Times New Roman"/>
          <w:sz w:val="20"/>
          <w:u w:val="single"/>
        </w:rPr>
        <w:t>Section 6.3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Equity Incentive Plan</w:t>
      </w:r>
      <w:r>
        <w:rPr>
          <w:rFonts w:ascii="Times New Roman" w:hAnsi="Times New Roman"/>
          <w:sz w:val="20"/>
        </w:rPr>
        <w:t xml:space="preserve">. Prior to the Closing Date, VIH Shareholders shall approve the Equity Incentive Plan (with such changes as may be mutually agreed in writing by VIH and Bakkt Opco). Within two (2) Business Days following the expiration of the sixty (60)-day period following the date Bakkt Pubco has filed current Form 10 information with the SEC reflecting its status as an entity that is not a shell company, Bakkt Pubco shall file an effective registration statement on Form S-8 (or other applicable form, including Form S-3) with respect to the equity awards issuable under the Equity Incentive Plan, and Bakkt Pubco shall use reasonable best efforts to maintain the effectiveness of such registration statement(s) (and maintain the current status of the prospectus or prospectus contained therein) for so long as awards granted pursuant to the Equity Incentive Plan remain outstanding. </w:t>
      </w:r>
    </w:p>
    <w:p>
      <w:pPr>
        <w:pStyle w:val="TextBody"/>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Shareholder Litigation</w:t>
      </w:r>
      <w:r>
        <w:rPr>
          <w:rFonts w:ascii="Times New Roman" w:hAnsi="Times New Roman"/>
          <w:sz w:val="20"/>
        </w:rPr>
        <w:t xml:space="preserve">. VIH shall promptly notify Bakkt Opco of, and give Bakkt Opco the opportunity to participate in (but not control) (subject to a customary joint defense agreement), the defense or settlement of any shareholder litigation against VIH or its directors or officers relating to the Transactions or any other transaction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settlement shall be agreed to without Bakkt Opcos consent (not to be unreasonably withheld, conditioned or delayed).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240" w:after="0"/>
        <w:jc w:val="center"/>
        <w:rPr>
          <w:rFonts w:ascii="Times New Roman" w:hAnsi="Times New Roman"/>
          <w:b/>
          <w:sz w:val="20"/>
        </w:rPr>
      </w:pPr>
      <w:r>
        <w:rPr>
          <w:rFonts w:ascii="Times New Roman" w:hAnsi="Times New Roman"/>
          <w:b/>
          <w:sz w:val="20"/>
        </w:rPr>
        <w:t xml:space="preserve">CONDITIONS PRECEDENT </w:t>
      </w:r>
    </w:p>
    <w:p>
      <w:pPr>
        <w:pStyle w:val="TextBody"/>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Conditions Precedent to Obligations of VIH, Merger Sub and Bakkt Opco</w:t>
      </w:r>
      <w:r>
        <w:rPr>
          <w:rFonts w:ascii="Times New Roman" w:hAnsi="Times New Roman"/>
          <w:sz w:val="20"/>
        </w:rPr>
        <w:t>. The obligations of VIH, Merger Sub and Bakkt Opco to effect the Closing are subject to the satisfaction or waiver (</w:t>
      </w:r>
      <w:r>
        <w:rPr>
          <w:rFonts w:ascii="Times New Roman" w:hAnsi="Times New Roman"/>
          <w:sz w:val="20"/>
          <w:u w:val="single"/>
        </w:rPr>
        <w:t>provided</w:t>
      </w:r>
      <w:r>
        <w:rPr>
          <w:rFonts w:ascii="Times New Roman" w:hAnsi="Times New Roman"/>
          <w:sz w:val="20"/>
        </w:rPr>
        <w:t xml:space="preserve"> that, for the avoidance of doubt, the conditions set forth in this </w:t>
      </w:r>
      <w:r>
        <w:rPr>
          <w:rFonts w:ascii="Times New Roman" w:hAnsi="Times New Roman"/>
          <w:sz w:val="20"/>
          <w:u w:val="single"/>
        </w:rPr>
        <w:t>Section 7.1</w:t>
      </w:r>
      <w:r>
        <w:rPr>
          <w:rFonts w:ascii="Times New Roman" w:hAnsi="Times New Roman"/>
          <w:sz w:val="20"/>
        </w:rPr>
        <w:t xml:space="preserve"> may only be waived jointly by Bakkt Opco and VIH), at or before the Closing,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Injunctions or Restraints</w:t>
      </w:r>
      <w:r>
        <w:rPr>
          <w:rFonts w:ascii="Times New Roman" w:hAnsi="Times New Roman"/>
          <w:sz w:val="20"/>
        </w:rPr>
        <w:t xml:space="preserve">. No Law shall be in effect that prohibits, makes illegal, enjoins or prevents the consummation of the Transactions.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VIH Shareholders Approval</w:t>
      </w:r>
      <w:r>
        <w:rPr>
          <w:rFonts w:ascii="Times New Roman" w:hAnsi="Times New Roman"/>
          <w:sz w:val="20"/>
        </w:rPr>
        <w:t xml:space="preserve">. The VIH Shareholders Approval shall have been obtained.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Bakkt Equity Holders Approval</w:t>
      </w:r>
      <w:r>
        <w:rPr>
          <w:rFonts w:ascii="Times New Roman" w:hAnsi="Times New Roman"/>
          <w:sz w:val="20"/>
        </w:rPr>
        <w:t xml:space="preserve">. The Bakkt Equity Holders Approval shall have been obtained.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Regulatory Approvals</w:t>
      </w:r>
      <w:r>
        <w:rPr>
          <w:rFonts w:ascii="Times New Roman" w:hAnsi="Times New Roman"/>
          <w:sz w:val="20"/>
        </w:rPr>
        <w:t xml:space="preserve">. The authorizations, consents, orders, approvals, non-objections, declarations, filings or waiting periods set forth on Section 7.1(d) of the Bakkt Disclosure Letter, including all required Regulatory Filings, shall have been made, received or expired, as applicable.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 Statement Effectiveness</w:t>
      </w:r>
      <w:r>
        <w:rPr>
          <w:rFonts w:ascii="Times New Roman" w:hAnsi="Times New Roman"/>
          <w:sz w:val="20"/>
        </w:rPr>
        <w:t xml:space="preserve">. The Registration Statement shall have been declared effective by the SEC and no stop order suspending the effectiveness of the Registration Statement shall have been issued and no proceedings for that purpose shall have been initiated or threatened by the SEC or any other Governmental Authority. </w:t>
      </w:r>
    </w:p>
    <w:p>
      <w:pPr>
        <w:pStyle w:val="TextBody"/>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Conditions Precedent to Obligations of VIH and Merger Sub</w:t>
      </w:r>
      <w:r>
        <w:rPr>
          <w:rFonts w:ascii="Times New Roman" w:hAnsi="Times New Roman"/>
          <w:sz w:val="20"/>
        </w:rPr>
        <w:t xml:space="preserve">. The obligations of VIH and Merger Sub to effect the Closing are subject to the satisfaction or waiver, at or before the Closing,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 and Warranties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The Bakkt Fundamental Representations shall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xml:space="preserve">) as of the date of this Agreement and as of the Closing as if made as of the Closing (except for representations and warranties made as of a specific date, which shall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xml:space="preserve">) as of such date); </w:t>
      </w:r>
    </w:p>
    <w:p>
      <w:pPr>
        <w:pStyle w:val="TextBody"/>
        <w:spacing w:before="120" w:after="0"/>
        <w:jc w:val="left"/>
        <w:rPr>
          <w:rFonts w:ascii="Times New Roman" w:hAnsi="Times New Roman"/>
          <w:sz w:val="20"/>
        </w:rPr>
      </w:pPr>
      <w:r>
        <w:rPr>
          <w:rFonts w:ascii="Times New Roman" w:hAnsi="Times New Roman"/>
          <w:sz w:val="20"/>
        </w:rPr>
        <w:t xml:space="preserve">(ii) the representations and warranties made by Bakkt Opco set forth in </w:t>
      </w:r>
      <w:r>
        <w:rPr>
          <w:rFonts w:ascii="Times New Roman" w:hAnsi="Times New Roman"/>
          <w:sz w:val="20"/>
          <w:u w:val="single"/>
        </w:rPr>
        <w:t>Section 3.20</w:t>
      </w:r>
      <w:r>
        <w:rPr>
          <w:rFonts w:ascii="Times New Roman" w:hAnsi="Times New Roman"/>
          <w:sz w:val="20"/>
        </w:rPr>
        <w:t xml:space="preserve"> shall be true and correct in all material respects as of the date of this Agreement and as of the Closing as if made as of the Closing ((A) </w:t>
      </w:r>
      <w:r>
        <w:rPr>
          <w:rFonts w:ascii="Times New Roman" w:hAnsi="Times New Roman"/>
          <w:sz w:val="20"/>
          <w:u w:val="single"/>
        </w:rPr>
        <w:t>provided</w:t>
      </w:r>
      <w:r>
        <w:rPr>
          <w:rFonts w:ascii="Times New Roman" w:hAnsi="Times New Roman"/>
          <w:sz w:val="20"/>
        </w:rPr>
        <w:t>, that representations and warranties qualified by Material Adverse Effect or other materiality qualifications shall be true and correct in all respects as of the date of this Agreement and as of the Closing as if made as of the Closing; and (B)</w:t>
      </w:r>
      <w:r>
        <w:rPr>
          <w:rFonts w:ascii="Times New Roman" w:hAnsi="Times New Roman"/>
          <w:sz w:val="20"/>
          <w:u w:val="single"/>
        </w:rPr>
        <w:t>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 </w:t>
      </w:r>
    </w:p>
    <w:p>
      <w:pPr>
        <w:pStyle w:val="TextBody"/>
        <w:spacing w:before="120" w:after="0"/>
        <w:jc w:val="left"/>
        <w:rPr>
          <w:rFonts w:ascii="Times New Roman" w:hAnsi="Times New Roman"/>
          <w:sz w:val="20"/>
        </w:rPr>
      </w:pPr>
      <w:r>
        <w:rPr>
          <w:rFonts w:ascii="Times New Roman" w:hAnsi="Times New Roman"/>
          <w:sz w:val="20"/>
        </w:rPr>
        <w:t xml:space="preserve">(iii) the representations and warranties (other than the representations and warranties set forth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made by Bakkt Opco in </w:t>
      </w:r>
      <w:r>
        <w:rPr>
          <w:rFonts w:ascii="Times New Roman" w:hAnsi="Times New Roman"/>
          <w:sz w:val="20"/>
          <w:u w:val="single"/>
        </w:rPr>
        <w:t>Article III</w:t>
      </w:r>
      <w:r>
        <w:rPr>
          <w:rFonts w:ascii="Times New Roman" w:hAnsi="Times New Roman"/>
          <w:sz w:val="20"/>
        </w:rPr>
        <w:t xml:space="preserve">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Bakkt Opco shall have performed or complied in all material respects with all obligations, agreements and covenants contained in this Agreement to be performed or complied with by Bakkt Opco prior to the Closing.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 Material Adverse Effect.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Bakkt Opco Deliverables</w:t>
      </w:r>
      <w:r>
        <w:rPr>
          <w:rFonts w:ascii="Times New Roman" w:hAnsi="Times New Roman"/>
          <w:sz w:val="20"/>
        </w:rPr>
        <w:t xml:space="preserve">. Bakkt Pubco shall have received the deliverables set forth in </w:t>
      </w:r>
      <w:r>
        <w:rPr>
          <w:rFonts w:ascii="Times New Roman" w:hAnsi="Times New Roman"/>
          <w:sz w:val="20"/>
          <w:u w:val="single"/>
        </w:rPr>
        <w:t>Section 1.8(b)</w:t>
      </w:r>
      <w:r>
        <w:rPr>
          <w:rFonts w:ascii="Times New Roman" w:hAnsi="Times New Roman"/>
          <w:sz w:val="20"/>
        </w:rPr>
        <w:t xml:space="preserve"> required to be delivered by Bakkt Opco upon the Closing. </w:t>
      </w:r>
    </w:p>
    <w:p>
      <w:pPr>
        <w:pStyle w:val="TextBody"/>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Conditions Precedent to Obligations of Bakkt Opco</w:t>
      </w:r>
      <w:r>
        <w:rPr>
          <w:rFonts w:ascii="Times New Roman" w:hAnsi="Times New Roman"/>
          <w:sz w:val="20"/>
        </w:rPr>
        <w:t xml:space="preserve">. The obligation of Bakkt Opco to effect the Closing is subject to the satisfaction or waiver, at or before the Closing,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 and Warranties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The VIH Fundamental Representations shall (except for representations and warranties made as of a specific date, which shall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xml:space="preserve">) as of such date) be true and correct in all respects (except for inaccuracies that, individually or in the aggregate, are </w:t>
      </w:r>
      <w:r>
        <w:rPr>
          <w:rFonts w:ascii="Times New Roman" w:hAnsi="Times New Roman"/>
          <w:i/>
          <w:sz w:val="20"/>
        </w:rPr>
        <w:t>de minimis</w:t>
      </w:r>
      <w:r>
        <w:rPr>
          <w:rFonts w:ascii="Times New Roman" w:hAnsi="Times New Roman"/>
          <w:sz w:val="20"/>
        </w:rPr>
        <w:t xml:space="preserve">) as of the date of this Agreement and as of the Closing as if made as of the Closing;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the representations and warranties made by VIH and Merger Sub set forth in </w:t>
      </w:r>
      <w:r>
        <w:rPr>
          <w:rFonts w:ascii="Times New Roman" w:hAnsi="Times New Roman"/>
          <w:sz w:val="20"/>
          <w:u w:val="single"/>
        </w:rPr>
        <w:t>Section 4.20</w:t>
      </w:r>
      <w:r>
        <w:rPr>
          <w:rFonts w:ascii="Times New Roman" w:hAnsi="Times New Roman"/>
          <w:sz w:val="20"/>
        </w:rPr>
        <w:t xml:space="preserve"> shall be true and correct in all material respects as of the date of this Agreement and as of the Closing as if made as of the Closing ((A) </w:t>
      </w:r>
      <w:r>
        <w:rPr>
          <w:rFonts w:ascii="Times New Roman" w:hAnsi="Times New Roman"/>
          <w:sz w:val="20"/>
          <w:u w:val="single"/>
        </w:rPr>
        <w:t>provided</w:t>
      </w:r>
      <w:r>
        <w:rPr>
          <w:rFonts w:ascii="Times New Roman" w:hAnsi="Times New Roman"/>
          <w:sz w:val="20"/>
        </w:rPr>
        <w:t>, that representations and warranties qualified by Material Adverse Effect or other materiality qualifications shall be true and correct in all respects as of the date of this Agreement and as of the Closing as if made as of the Closing; and (B)</w:t>
      </w:r>
      <w:r>
        <w:rPr>
          <w:rFonts w:ascii="Times New Roman" w:hAnsi="Times New Roman"/>
          <w:sz w:val="20"/>
          <w:u w:val="single"/>
        </w:rPr>
        <w:t>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 </w:t>
      </w:r>
    </w:p>
    <w:p>
      <w:pPr>
        <w:pStyle w:val="TextBody"/>
        <w:spacing w:before="120" w:after="0"/>
        <w:jc w:val="left"/>
        <w:rPr>
          <w:rFonts w:ascii="Times New Roman" w:hAnsi="Times New Roman"/>
          <w:sz w:val="20"/>
        </w:rPr>
      </w:pPr>
      <w:r>
        <w:rPr>
          <w:rFonts w:ascii="Times New Roman" w:hAnsi="Times New Roman"/>
          <w:sz w:val="20"/>
        </w:rPr>
        <w:t xml:space="preserve">(iii) the representations and warranties (other than the representations and warranties set forth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made by VIH and Merger Sub in Article IV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VIH Material Adverse Effect.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VIH and Merger Sub shall have performed or complied in all material respects with all obligations, agreements and covenants contained in this Agreement to be performed or complied with by such Party prior to the Closing.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VIH Material Adverse Effect</w:t>
      </w:r>
      <w:r>
        <w:rPr>
          <w:rFonts w:ascii="Times New Roman" w:hAnsi="Times New Roman"/>
          <w:sz w:val="20"/>
        </w:rPr>
        <w:t xml:space="preserve">. Since the date of this Agreement, there shall not have occurred a VIH Material Adverse Effect.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National Stock Exchange Listing Requirements</w:t>
      </w:r>
      <w:r>
        <w:rPr>
          <w:rFonts w:ascii="Times New Roman" w:hAnsi="Times New Roman"/>
          <w:sz w:val="20"/>
        </w:rPr>
        <w:t xml:space="preserve">.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shall have been listed on a National Stock Exchange and shall be eligible for continued listing on a National Stock Exchange immediately following the Closing and after giving effect to the Redemption (as if it were a new initial listing by an issuer that had never been listed prior to Closing).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Appointment to the Board</w:t>
      </w:r>
      <w:r>
        <w:rPr>
          <w:rFonts w:ascii="Times New Roman" w:hAnsi="Times New Roman"/>
          <w:sz w:val="20"/>
        </w:rPr>
        <w:t xml:space="preserve">. The existing directors of VIH shall have resigned effective as of the Closing, and the Post-Closing Directors designated pursuant to </w:t>
      </w:r>
      <w:r>
        <w:rPr>
          <w:rFonts w:ascii="Times New Roman" w:hAnsi="Times New Roman"/>
          <w:sz w:val="20"/>
          <w:u w:val="single"/>
        </w:rPr>
        <w:t>Section 5.12(a)</w:t>
      </w:r>
      <w:r>
        <w:rPr>
          <w:rFonts w:ascii="Times New Roman" w:hAnsi="Times New Roman"/>
          <w:sz w:val="20"/>
        </w:rPr>
        <w:t xml:space="preserve"> shall have been appointed in accordance with the DGCL and the Bakkt Pubco Organizational Documents to serve on the Post-Closing Bakkt Pubco Board effective as of the Closing.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Appointment of Officers</w:t>
      </w:r>
      <w:r>
        <w:rPr>
          <w:rFonts w:ascii="Times New Roman" w:hAnsi="Times New Roman"/>
          <w:sz w:val="20"/>
        </w:rPr>
        <w:t xml:space="preserve">. The existing officers of VIH shall have resigned effective as of the Closing, and the post-Closing officers shall have been appointed in accordance with </w:t>
      </w:r>
      <w:r>
        <w:rPr>
          <w:rFonts w:ascii="Times New Roman" w:hAnsi="Times New Roman"/>
          <w:sz w:val="20"/>
          <w:u w:val="single"/>
        </w:rPr>
        <w:t>Section 5.12(b)</w:t>
      </w:r>
      <w:r>
        <w:rPr>
          <w:rFonts w:ascii="Times New Roman" w:hAnsi="Times New Roman"/>
          <w:sz w:val="20"/>
        </w:rPr>
        <w:t xml:space="preserve">, the DGCL and the Bakkt Pubco Organizational Documents to serve effective as of the Closing.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Domestication</w:t>
      </w:r>
      <w:r>
        <w:rPr>
          <w:rFonts w:ascii="Times New Roman" w:hAnsi="Times New Roman"/>
          <w:sz w:val="20"/>
        </w:rPr>
        <w:t xml:space="preserve">. The Domestication shall be consummated immediately prior to the Merger.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PIPE Financing</w:t>
      </w:r>
      <w:r>
        <w:rPr>
          <w:rFonts w:ascii="Times New Roman" w:hAnsi="Times New Roman"/>
          <w:sz w:val="20"/>
        </w:rPr>
        <w:t xml:space="preserve">. The PIPE Financing shall have been consummated (subject to </w:t>
      </w:r>
      <w:r>
        <w:rPr>
          <w:rFonts w:ascii="Times New Roman" w:hAnsi="Times New Roman"/>
          <w:sz w:val="20"/>
          <w:u w:val="single"/>
        </w:rPr>
        <w:t>Section 5.6(b)</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Available Cash</w:t>
      </w:r>
      <w:r>
        <w:rPr>
          <w:rFonts w:ascii="Times New Roman" w:hAnsi="Times New Roman"/>
          <w:sz w:val="20"/>
        </w:rPr>
        <w:t xml:space="preserve">. Available Cash shall be at least equal to the Minimum Available Cash.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Bakkt Pubco Deliverables</w:t>
      </w:r>
      <w:r>
        <w:rPr>
          <w:rFonts w:ascii="Times New Roman" w:hAnsi="Times New Roman"/>
          <w:sz w:val="20"/>
        </w:rPr>
        <w:t xml:space="preserve">. Bakkt Opco shall have received the deliverables set forth in </w:t>
      </w:r>
      <w:r>
        <w:rPr>
          <w:rFonts w:ascii="Times New Roman" w:hAnsi="Times New Roman"/>
          <w:sz w:val="20"/>
          <w:u w:val="single"/>
        </w:rPr>
        <w:t>Section 1.8(a)</w:t>
      </w:r>
      <w:r>
        <w:rPr>
          <w:rFonts w:ascii="Times New Roman" w:hAnsi="Times New Roman"/>
          <w:sz w:val="20"/>
        </w:rPr>
        <w:t xml:space="preserve"> required to be delivered by Bakkt Pubco upon the Closing. </w:t>
      </w:r>
    </w:p>
    <w:p>
      <w:pPr>
        <w:pStyle w:val="TextBody"/>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Frustration of Closing Conditions</w:t>
      </w:r>
      <w:r>
        <w:rPr>
          <w:rFonts w:ascii="Times New Roman" w:hAnsi="Times New Roman"/>
          <w:sz w:val="20"/>
        </w:rPr>
        <w:t xml:space="preserve">. No Party may rely on the failure of any condition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as the case may be, to be satisfied if such failure was due to the failure of such Party to perform any of its obligations under this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VIII </w:t>
      </w:r>
    </w:p>
    <w:p>
      <w:pPr>
        <w:pStyle w:val="TextBody"/>
        <w:spacing w:before="240" w:after="0"/>
        <w:jc w:val="center"/>
        <w:rPr>
          <w:rFonts w:ascii="Times New Roman" w:hAnsi="Times New Roman"/>
          <w:b/>
          <w:sz w:val="20"/>
        </w:rPr>
      </w:pPr>
      <w:r>
        <w:rPr>
          <w:rFonts w:ascii="Times New Roman" w:hAnsi="Times New Roman"/>
          <w:b/>
          <w:sz w:val="20"/>
        </w:rPr>
        <w:t xml:space="preserve">TERMINATION </w:t>
      </w:r>
    </w:p>
    <w:p>
      <w:pPr>
        <w:pStyle w:val="TextBody"/>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Termination</w:t>
      </w:r>
      <w:r>
        <w:rPr>
          <w:rFonts w:ascii="Times New Roman" w:hAnsi="Times New Roman"/>
          <w:sz w:val="20"/>
        </w:rPr>
        <w:t xml:space="preserve">. This Agreement may be terminated at any time prior to the Closing solely: </w:t>
      </w:r>
    </w:p>
    <w:p>
      <w:pPr>
        <w:pStyle w:val="TextBody"/>
        <w:spacing w:before="120" w:after="0"/>
        <w:jc w:val="left"/>
        <w:rPr>
          <w:rFonts w:ascii="Times New Roman" w:hAnsi="Times New Roman"/>
          <w:sz w:val="20"/>
        </w:rPr>
      </w:pPr>
      <w:r>
        <w:rPr>
          <w:rFonts w:ascii="Times New Roman" w:hAnsi="Times New Roman"/>
          <w:sz w:val="20"/>
        </w:rPr>
        <w:t xml:space="preserve">(a) by mutual written consent of VIH and Bakkt Opco; </w:t>
      </w:r>
    </w:p>
    <w:p>
      <w:pPr>
        <w:pStyle w:val="TextBody"/>
        <w:spacing w:before="120" w:after="0"/>
        <w:jc w:val="left"/>
        <w:rPr>
          <w:rFonts w:ascii="Times New Roman" w:hAnsi="Times New Roman"/>
          <w:sz w:val="20"/>
        </w:rPr>
      </w:pPr>
      <w:r>
        <w:rPr>
          <w:rFonts w:ascii="Times New Roman" w:hAnsi="Times New Roman"/>
          <w:sz w:val="20"/>
        </w:rPr>
        <w:t xml:space="preserve">(b) by either VIH or Bakkt Opco if the Closing shall not have occurred by the Termination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8.1(b)</w:t>
      </w:r>
      <w:r>
        <w:rPr>
          <w:rFonts w:ascii="Times New Roman" w:hAnsi="Times New Roman"/>
          <w:sz w:val="20"/>
        </w:rPr>
        <w:t xml:space="preserve"> shall not be available to any Party whose failure (or with respect to VIH, Merger Subs failure) to materially fulfill any representation, warranty, covenant or obligation under this Agreement or other action has been the actual or proximate cause of the failure of the Closing to occur on or before the Termination Date; </w:t>
      </w:r>
    </w:p>
    <w:p>
      <w:pPr>
        <w:pStyle w:val="TextBody"/>
        <w:spacing w:before="120" w:after="0"/>
        <w:jc w:val="left"/>
        <w:rPr>
          <w:rFonts w:ascii="Times New Roman" w:hAnsi="Times New Roman"/>
          <w:sz w:val="20"/>
        </w:rPr>
      </w:pPr>
      <w:r>
        <w:rPr>
          <w:rFonts w:ascii="Times New Roman" w:hAnsi="Times New Roman"/>
          <w:sz w:val="20"/>
        </w:rPr>
        <w:t xml:space="preserve">(c) by either VIH or Bakkt Opco, if any Governmental Authority having competent jurisdiction shall have issued a final, non-appealable order, decree or ruling, or there shall exist any Law, in each case that permanently prohibits, makes illegal, enjoins or prevents the consummation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8.1(c)</w:t>
      </w:r>
      <w:r>
        <w:rPr>
          <w:rFonts w:ascii="Times New Roman" w:hAnsi="Times New Roman"/>
          <w:sz w:val="20"/>
        </w:rPr>
        <w:t xml:space="preserve"> shall not be available to any Party whose failure (or with respect to VIH, Merger Subs failure) to materially fulfill any representation, warranty, covenant or obligation under this Agreement or other material action has been the actual or proximate cause of such order, decree, ruling or Law; </w:t>
      </w:r>
    </w:p>
    <w:p>
      <w:pPr>
        <w:pStyle w:val="TextBody"/>
        <w:spacing w:before="120" w:after="0"/>
        <w:jc w:val="left"/>
        <w:rPr>
          <w:rFonts w:ascii="Times New Roman" w:hAnsi="Times New Roman"/>
          <w:sz w:val="20"/>
        </w:rPr>
      </w:pPr>
      <w:r>
        <w:rPr>
          <w:rFonts w:ascii="Times New Roman" w:hAnsi="Times New Roman"/>
          <w:sz w:val="20"/>
        </w:rPr>
        <w:t xml:space="preserve">(d) by either VIH or Bakkt Opco, if the VIH Shareholder Meeting has been held (including any adjournment or postponement thereof permitted by </w:t>
      </w:r>
      <w:r>
        <w:rPr>
          <w:rFonts w:ascii="Times New Roman" w:hAnsi="Times New Roman"/>
          <w:sz w:val="20"/>
          <w:u w:val="single"/>
        </w:rPr>
        <w:t>Section 5.8(f)</w:t>
      </w:r>
      <w:r>
        <w:rPr>
          <w:rFonts w:ascii="Times New Roman" w:hAnsi="Times New Roman"/>
          <w:sz w:val="20"/>
        </w:rPr>
        <w:t xml:space="preserve">), has concluded, VIHs Shareholders have duly voted, and the VIH Shareholders Approval has not been obtained; </w:t>
      </w:r>
    </w:p>
    <w:p>
      <w:pPr>
        <w:pStyle w:val="TextBody"/>
        <w:spacing w:before="120" w:after="0"/>
        <w:jc w:val="left"/>
        <w:rPr>
          <w:rFonts w:ascii="Times New Roman" w:hAnsi="Times New Roman"/>
          <w:sz w:val="20"/>
        </w:rPr>
      </w:pPr>
      <w:r>
        <w:rPr>
          <w:rFonts w:ascii="Times New Roman" w:hAnsi="Times New Roman"/>
          <w:sz w:val="20"/>
        </w:rPr>
        <w:t xml:space="preserve">(e) by VIH (if neither it nor Merger Sub is in material breach of their respective representations, warranties, covenants and obligations under this Agreement) if there has been a breach of, or inaccuracy in, any representation, warranty, covenant or agreement of Bakkt Opco set forth in this Agreement, which breach or inaccuracy would cause any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not to be satisfied if it remained uncured as of the Termination Date (and such breach or inaccuracy has not been cured or such condition has not been satisfied within twenty (20) Business Days after the receipt by Bakkt Opco of written notice thereof from VIH); </w:t>
      </w:r>
    </w:p>
    <w:p>
      <w:pPr>
        <w:pStyle w:val="TextBody"/>
        <w:spacing w:before="120" w:after="0"/>
        <w:jc w:val="left"/>
        <w:rPr>
          <w:rFonts w:ascii="Times New Roman" w:hAnsi="Times New Roman"/>
          <w:sz w:val="20"/>
        </w:rPr>
      </w:pPr>
      <w:r>
        <w:rPr>
          <w:rFonts w:ascii="Times New Roman" w:hAnsi="Times New Roman"/>
          <w:sz w:val="20"/>
        </w:rPr>
        <w:t xml:space="preserve">(f) by Bakkt Opco (if it is not in material breach of its representations, warranties, covenants and obligations under this Agreement) if there has been a breach of, or inaccuracy in, any representation, warranty, covenant or agreement of VIH or Merger Sub set forth in this Agreement, which breach or inaccuracy would cause any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not to be satisfied if it remained uncured as of the Termination Date (and such breach or inaccuracy has not been cured or such condition has not been satisfied within twenty (20) Business Days after the receipt by VIH of written notice thereof from Bakkt Opco); </w:t>
      </w:r>
    </w:p>
    <w:p>
      <w:pPr>
        <w:pStyle w:val="TextBody"/>
        <w:spacing w:before="120" w:after="0"/>
        <w:jc w:val="left"/>
        <w:rPr>
          <w:rFonts w:ascii="Times New Roman" w:hAnsi="Times New Roman"/>
          <w:sz w:val="20"/>
        </w:rPr>
      </w:pPr>
      <w:r>
        <w:rPr>
          <w:rFonts w:ascii="Times New Roman" w:hAnsi="Times New Roman"/>
          <w:sz w:val="20"/>
        </w:rPr>
        <w:t xml:space="preserve">(g) by Bakkt Opco if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satisfied or waived (other than conditions that by their terms or nature are to be satisfied at the Closing) on the date that the Closing should have been consummated in accordance with </w:t>
      </w:r>
      <w:r>
        <w:rPr>
          <w:rFonts w:ascii="Times New Roman" w:hAnsi="Times New Roman"/>
          <w:sz w:val="20"/>
          <w:u w:val="single"/>
        </w:rPr>
        <w:t>Section 1.3</w:t>
      </w:r>
      <w:r>
        <w:rPr>
          <w:rFonts w:ascii="Times New Roman" w:hAnsi="Times New Roman"/>
          <w:sz w:val="20"/>
        </w:rPr>
        <w:t xml:space="preserve">, (ii) Bakkt Opco has irrevocably confirmed by written notice to VIH and Merger Sub that all of the conditions set forth in </w:t>
      </w:r>
      <w:r>
        <w:rPr>
          <w:rFonts w:ascii="Times New Roman" w:hAnsi="Times New Roman"/>
          <w:sz w:val="20"/>
          <w:u w:val="single"/>
        </w:rPr>
        <w:t>Section 7.3</w:t>
      </w:r>
      <w:r>
        <w:rPr>
          <w:rFonts w:ascii="Times New Roman" w:hAnsi="Times New Roman"/>
          <w:sz w:val="20"/>
        </w:rPr>
        <w:t xml:space="preserve"> have been satisfied (other than conditions that by their terms or nature are to be satisfied at the Closing) or that it is willing to waive any such unsatisfied conditions and that Bakkt Opco is ready, willing and able to consummate the Closing and (iii) VIH and Merger Sub have failed to consummate the Transactions by the earlier of the day that is (x) ten (10) Business Days after the day the Closing is required to occur pursuant to </w:t>
      </w:r>
      <w:r>
        <w:rPr>
          <w:rFonts w:ascii="Times New Roman" w:hAnsi="Times New Roman"/>
          <w:sz w:val="20"/>
          <w:u w:val="single"/>
        </w:rPr>
        <w:t>Section 1.3</w:t>
      </w:r>
      <w:r>
        <w:rPr>
          <w:rFonts w:ascii="Times New Roman" w:hAnsi="Times New Roman"/>
          <w:sz w:val="20"/>
        </w:rPr>
        <w:t xml:space="preserve"> or (y) five (5) Business Days prior to the Termination Date; </w:t>
      </w:r>
    </w:p>
    <w:p>
      <w:pPr>
        <w:pStyle w:val="TextBody"/>
        <w:spacing w:before="120" w:after="0"/>
        <w:jc w:val="left"/>
        <w:rPr>
          <w:rFonts w:ascii="Times New Roman" w:hAnsi="Times New Roman"/>
          <w:sz w:val="20"/>
        </w:rPr>
      </w:pPr>
      <w:r>
        <w:rPr>
          <w:rFonts w:ascii="Times New Roman" w:hAnsi="Times New Roman"/>
          <w:sz w:val="20"/>
        </w:rPr>
        <w:t xml:space="preserve">(h) by Bakkt Opco, if Available Cash set forth on the Closing Statement is less than Minimum Available Cash; or </w:t>
      </w:r>
    </w:p>
    <w:p>
      <w:pPr>
        <w:pStyle w:val="TextBody"/>
        <w:spacing w:before="120" w:after="0"/>
        <w:jc w:val="left"/>
        <w:rPr>
          <w:rFonts w:ascii="Times New Roman" w:hAnsi="Times New Roman"/>
          <w:sz w:val="20"/>
        </w:rPr>
      </w:pPr>
      <w:r>
        <w:rPr>
          <w:rFonts w:ascii="Times New Roman" w:hAnsi="Times New Roman"/>
          <w:sz w:val="20"/>
        </w:rPr>
        <w:t xml:space="preserve">(i) By VIH, if (i) the Initial Bakkt Equity Holder Support Agreement (including the written consents contemplated therein) have not been executed and delivered within twenty-four (24) hours following the Parties execution of this Agreement and (ii) the Bakkt Equity Holders Approval shall not have been obtained within seven (7) days following the Parties execution of this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A-49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This Agreement may only be terminated in the circumstances described in </w:t>
      </w:r>
      <w:r>
        <w:rPr>
          <w:rFonts w:ascii="Times New Roman" w:hAnsi="Times New Roman"/>
          <w:sz w:val="20"/>
          <w:u w:val="single"/>
        </w:rPr>
        <w:t>Section 8.1</w:t>
      </w:r>
      <w:r>
        <w:rPr>
          <w:rFonts w:ascii="Times New Roman" w:hAnsi="Times New Roman"/>
          <w:sz w:val="20"/>
        </w:rPr>
        <w:t xml:space="preserve"> and pursuant to a written notice delivered by the applicable Party to the other applicable Party, which sets forth the provision of </w:t>
      </w:r>
      <w:r>
        <w:rPr>
          <w:rFonts w:ascii="Times New Roman" w:hAnsi="Times New Roman"/>
          <w:sz w:val="20"/>
          <w:u w:val="single"/>
        </w:rPr>
        <w:t>Section 8.1</w:t>
      </w:r>
      <w:r>
        <w:rPr>
          <w:rFonts w:ascii="Times New Roman" w:hAnsi="Times New Roman"/>
          <w:sz w:val="20"/>
        </w:rPr>
        <w:t xml:space="preserve"> under which such termination is made. In the event of any termination of this Agreement pursuant to </w:t>
      </w:r>
      <w:r>
        <w:rPr>
          <w:rFonts w:ascii="Times New Roman" w:hAnsi="Times New Roman"/>
          <w:sz w:val="20"/>
          <w:u w:val="single"/>
        </w:rPr>
        <w:t>Section 8.1</w:t>
      </w:r>
      <w:r>
        <w:rPr>
          <w:rFonts w:ascii="Times New Roman" w:hAnsi="Times New Roman"/>
          <w:sz w:val="20"/>
        </w:rPr>
        <w:t xml:space="preserve">, this Agreement forthwith shall become void and of no further force or effect, and no Party (nor any of its Representatives) shall have any liability or obligation hereunder, except (i) the provisions of </w:t>
      </w:r>
      <w:r>
        <w:rPr>
          <w:rFonts w:ascii="Times New Roman" w:hAnsi="Times New Roman"/>
          <w:sz w:val="20"/>
          <w:u w:val="single"/>
        </w:rPr>
        <w:t>Article X</w:t>
      </w:r>
      <w:r>
        <w:rPr>
          <w:rFonts w:ascii="Times New Roman" w:hAnsi="Times New Roman"/>
          <w:sz w:val="20"/>
        </w:rPr>
        <w:t xml:space="preserve"> (Definitions) and the following Sections shall survive any such termination: </w:t>
      </w:r>
      <w:r>
        <w:rPr>
          <w:rFonts w:ascii="Times New Roman" w:hAnsi="Times New Roman"/>
          <w:sz w:val="20"/>
          <w:u w:val="single"/>
        </w:rPr>
        <w:t>Section 5.3(b)</w:t>
      </w:r>
      <w:r>
        <w:rPr>
          <w:rFonts w:ascii="Times New Roman" w:hAnsi="Times New Roman"/>
          <w:sz w:val="20"/>
        </w:rPr>
        <w:t xml:space="preserve"> (Continued Effect of Confidentiality Agreement), </w:t>
      </w:r>
      <w:r>
        <w:rPr>
          <w:rFonts w:ascii="Times New Roman" w:hAnsi="Times New Roman"/>
          <w:sz w:val="20"/>
          <w:u w:val="single"/>
        </w:rPr>
        <w:t>Section 8.2</w:t>
      </w:r>
      <w:r>
        <w:rPr>
          <w:rFonts w:ascii="Times New Roman" w:hAnsi="Times New Roman"/>
          <w:sz w:val="20"/>
        </w:rPr>
        <w:t xml:space="preserve"> (Effect of Termination), </w:t>
      </w:r>
      <w:r>
        <w:rPr>
          <w:rFonts w:ascii="Times New Roman" w:hAnsi="Times New Roman"/>
          <w:sz w:val="20"/>
          <w:u w:val="single"/>
        </w:rPr>
        <w:t>Section 9.2</w:t>
      </w:r>
      <w:r>
        <w:rPr>
          <w:rFonts w:ascii="Times New Roman" w:hAnsi="Times New Roman"/>
          <w:sz w:val="20"/>
        </w:rPr>
        <w:t xml:space="preserve"> (Trust Account Waiver), and </w:t>
      </w:r>
      <w:r>
        <w:rPr>
          <w:rFonts w:ascii="Times New Roman" w:hAnsi="Times New Roman"/>
          <w:sz w:val="20"/>
          <w:u w:val="single"/>
        </w:rPr>
        <w:t>Article XI</w:t>
      </w:r>
      <w:r>
        <w:rPr>
          <w:rFonts w:ascii="Times New Roman" w:hAnsi="Times New Roman"/>
          <w:sz w:val="20"/>
        </w:rPr>
        <w:t xml:space="preserve">, and (ii) nothing herein shall relieve any Party from liability for a Willful and Intentional Breach of this Agreement or any Transaction Document prior to such termination. </w:t>
      </w:r>
    </w:p>
    <w:p>
      <w:pPr>
        <w:pStyle w:val="TextBody"/>
        <w:spacing w:before="480" w:after="0"/>
        <w:jc w:val="center"/>
        <w:rPr>
          <w:rFonts w:ascii="Times New Roman" w:hAnsi="Times New Roman"/>
          <w:b/>
          <w:sz w:val="20"/>
        </w:rPr>
      </w:pPr>
      <w:r>
        <w:rPr>
          <w:rFonts w:ascii="Times New Roman" w:hAnsi="Times New Roman"/>
          <w:b/>
          <w:sz w:val="20"/>
        </w:rPr>
        <w:t xml:space="preserve">ARTICLE IX </w:t>
      </w:r>
    </w:p>
    <w:p>
      <w:pPr>
        <w:pStyle w:val="TextBody"/>
        <w:spacing w:before="240" w:after="0"/>
        <w:jc w:val="center"/>
        <w:rPr>
          <w:rFonts w:ascii="Times New Roman" w:hAnsi="Times New Roman"/>
          <w:b/>
          <w:sz w:val="20"/>
        </w:rPr>
      </w:pPr>
      <w:r>
        <w:rPr>
          <w:rFonts w:ascii="Times New Roman" w:hAnsi="Times New Roman"/>
          <w:b/>
          <w:sz w:val="20"/>
        </w:rPr>
        <w:t xml:space="preserve">NO SURVIVAL; WAIVERS; GUARANTY </w:t>
      </w:r>
    </w:p>
    <w:p>
      <w:pPr>
        <w:pStyle w:val="TextBody"/>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No Survival; Waivers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representations, warranties, covenants and agreements of the Parties and their Affiliates in this Agreement, any Transaction Document or in any agreement or document delivered pursuant to this Agreement prior to the Closing will not survive beyond the Closing such that no claim for breach of any such representation, warranty, covenant or agreement, detrimental reliance or other right or remedy (whether in contract, in tort or at law or in equity) may be brought after the Closing with respect thereto against any of the Parties or any of their respective Affiliates, and there will be no liability in respect thereof, whether such liability has accrued prior to or after the Closing, on the part of any of the Parties or any of their respective Affiliates, except only for the following: (i) (A) Fraud Claims, (B) the representations and warranties by any Bakkt Equity Holder expressly set forth within the Letter of Transmittal, or (C) those covenants and agreements of Bakkt Opco contained herein or those covenants and agreements of Bakkt Opco, any Bakkt Equity Holder, any of their respective Affiliates, or any other Person in any other Transaction Document or agreement or document delivered pursuant to this Agreement, in each case, that by their terms are to be performed in whole or in part at or after the Closing (including any representations and warranties made by such Person in such other Transaction Document, agreement or document which is made after the Closing or is contemplated to survive the Closing or the termination of this Agreement) (the </w:t>
      </w:r>
      <w:r>
        <w:rPr>
          <w:rFonts w:ascii="Times New Roman" w:hAnsi="Times New Roman"/>
          <w:sz w:val="20"/>
          <w:u w:val="single"/>
        </w:rPr>
        <w:t>Excluded Bakkt Matters</w:t>
      </w:r>
      <w:r>
        <w:rPr>
          <w:rFonts w:ascii="Times New Roman" w:hAnsi="Times New Roman"/>
          <w:sz w:val="20"/>
        </w:rPr>
        <w:t xml:space="preserve">) and (ii) (A) Fraud Claims, (B) those covenants and agreements of VIH or Merger Sub contained herein or those covenants and agreements of VIH or Merger Sub in any Transaction Document, in each case, that by their terms are to be performed in whole or in part at or after the Closing (including any representations and warranties made by such Person in such other Transaction Document which is made after the Closing or is contemplated to survive the Closing or the termination of this Agreement) and (C) the right to seek specific performance pursuant to </w:t>
      </w:r>
      <w:r>
        <w:rPr>
          <w:rFonts w:ascii="Times New Roman" w:hAnsi="Times New Roman"/>
          <w:sz w:val="20"/>
          <w:u w:val="single"/>
        </w:rPr>
        <w:t>Section 11.8</w:t>
      </w:r>
      <w:r>
        <w:rPr>
          <w:rFonts w:ascii="Times New Roman" w:hAnsi="Times New Roman"/>
          <w:sz w:val="20"/>
        </w:rPr>
        <w:t xml:space="preserve"> (</w:t>
      </w:r>
      <w:r>
        <w:rPr>
          <w:rFonts w:ascii="Times New Roman" w:hAnsi="Times New Roman"/>
          <w:sz w:val="20"/>
          <w:u w:val="single"/>
        </w:rPr>
        <w:t>Excluded VIH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VIH, for itself and on behalf of its Subsidiaries and, after the Closing, Surviving Company and its Subsidiaries, acknowledges and agrees that, from and after the Closing, to the fullest extent permitted under applicable Law, any and all rights, claims and causes of action it may have against any of Bakkt Opco, the Bakkt Equity Holders or any of their respective directors, managers, officers or Affiliates relating to the operation of Bakkt Opco and its Subsidiaries or their respective businesses prior to the Closing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Bakkt Matters. Furthermore, without limiting the generality of this </w:t>
      </w:r>
      <w:r>
        <w:rPr>
          <w:rFonts w:ascii="Times New Roman" w:hAnsi="Times New Roman"/>
          <w:sz w:val="20"/>
          <w:u w:val="single"/>
        </w:rPr>
        <w:t>Section 9.1(b)</w:t>
      </w:r>
      <w:r>
        <w:rPr>
          <w:rFonts w:ascii="Times New Roman" w:hAnsi="Times New Roman"/>
          <w:sz w:val="20"/>
        </w:rPr>
        <w:t xml:space="preserve">, (i) no claim will be brought or maintained by, or on behalf of, VIH, Merger Sub or any of their respective Affiliates (including, after the Closing, Surviving Company and its Subsidiaries) against Bakkt Opco, the Bakkt Equity Holders or any of their respective directors, managers, officers or Affiliates in connection with this Agreement, any Transaction Document or the Transactions; and (ii) no recourse will be sought or granted against any of them, by virtue of, or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based upon, any alleged misrepresentation or inaccuracy in, or breach of, any of the representations, warranties, covenants or agreements of Bakkt Opco or any other Person set forth or contained in this Agreement or any Transaction Document, or as a result of any of the Transactions, except, in each case of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only for the Excluded Bakkt Matters or the rights provided to the Parties under </w:t>
      </w:r>
      <w:r>
        <w:rPr>
          <w:rFonts w:ascii="Times New Roman" w:hAnsi="Times New Roman"/>
          <w:sz w:val="20"/>
          <w:u w:val="single"/>
        </w:rPr>
        <w:t>Article VII</w:t>
      </w:r>
      <w:r>
        <w:rPr>
          <w:rFonts w:ascii="Times New Roman" w:hAnsi="Times New Roman"/>
          <w:sz w:val="20"/>
        </w:rPr>
        <w:t xml:space="preserve"> and/or </w:t>
      </w:r>
      <w:r>
        <w:rPr>
          <w:rFonts w:ascii="Times New Roman" w:hAnsi="Times New Roman"/>
          <w:sz w:val="20"/>
          <w:u w:val="single"/>
        </w:rPr>
        <w:t>Article VIII</w:t>
      </w:r>
      <w:r>
        <w:rPr>
          <w:rFonts w:ascii="Times New Roman" w:hAnsi="Times New Roman"/>
          <w:sz w:val="20"/>
        </w:rPr>
        <w:t xml:space="preserve">. VIH acknowledges and agrees that neither it, nor any of its Subsidiaries, nor any of their respective Affiliates may avoid such limitation on liability set forth in this </w:t>
      </w:r>
      <w:r>
        <w:rPr>
          <w:rFonts w:ascii="Times New Roman" w:hAnsi="Times New Roman"/>
          <w:sz w:val="20"/>
          <w:u w:val="single"/>
        </w:rPr>
        <w:t>Section 9.1(b)</w:t>
      </w:r>
      <w:r>
        <w:rPr>
          <w:rFonts w:ascii="Times New Roman" w:hAnsi="Times New Roman"/>
          <w:sz w:val="20"/>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for Excluded Bakkt Matters). </w:t>
      </w:r>
    </w:p>
    <w:p>
      <w:pPr>
        <w:pStyle w:val="TextBody"/>
        <w:spacing w:before="120" w:after="0"/>
        <w:jc w:val="left"/>
        <w:rPr>
          <w:rFonts w:ascii="Times New Roman" w:hAnsi="Times New Roman"/>
          <w:sz w:val="20"/>
        </w:rPr>
      </w:pPr>
      <w:r>
        <w:rPr>
          <w:rFonts w:ascii="Times New Roman" w:hAnsi="Times New Roman"/>
          <w:sz w:val="20"/>
        </w:rPr>
        <w:t xml:space="preserve">(c) Bakkt Opco, for itself and on behalf of its Subsidiaries, acknowledges and agrees that, from and after the Closing, to the fullest extent permitted under applicable law, any and all rights, claims and causes of action it may have against any of VIH, Bakkt Pubco, the VIH Shareholders (including VIH Sponsor) or any of their respective directors, members, managers, officers, investment managers, partners, employees, principals, investors, representatives, agents, predecessors, successors, assigns or Affiliates relating to the operation of VIH or Merger Sub or their respective businesses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VIH Matters. Furthermore, without limiting the generality of this </w:t>
      </w:r>
      <w:r>
        <w:rPr>
          <w:rFonts w:ascii="Times New Roman" w:hAnsi="Times New Roman"/>
          <w:sz w:val="20"/>
          <w:u w:val="single"/>
        </w:rPr>
        <w:t>Section 9.1(c)</w:t>
      </w:r>
      <w:r>
        <w:rPr>
          <w:rFonts w:ascii="Times New Roman" w:hAnsi="Times New Roman"/>
          <w:sz w:val="20"/>
        </w:rPr>
        <w:t xml:space="preserve">, (i) no claim will be brought or maintained by, or on behalf of, Bakkt Opco or any Bakkt Equity Holder or any of their respective Affiliates against VIH, Bakkt Pubco, the VIH Shareholders (including VIH Sponsor) or any of their respective directors, members, managers, officers, investment managers, partners, employees, principals, investors, representatives, agents, predecessors, successors, assigns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VIH or Merger Sub set forth or contained in this Agreement or any Transaction Document, or as a result of any of the Transactions, except, in each case of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only for Excluded VIH Matters or the rights provided to the Parties under </w:t>
      </w:r>
      <w:r>
        <w:rPr>
          <w:rFonts w:ascii="Times New Roman" w:hAnsi="Times New Roman"/>
          <w:sz w:val="20"/>
          <w:u w:val="single"/>
        </w:rPr>
        <w:t>Article VII</w:t>
      </w:r>
      <w:r>
        <w:rPr>
          <w:rFonts w:ascii="Times New Roman" w:hAnsi="Times New Roman"/>
          <w:sz w:val="20"/>
        </w:rPr>
        <w:t xml:space="preserve"> and/or </w:t>
      </w:r>
      <w:r>
        <w:rPr>
          <w:rFonts w:ascii="Times New Roman" w:hAnsi="Times New Roman"/>
          <w:sz w:val="20"/>
          <w:u w:val="single"/>
        </w:rPr>
        <w:t>Article VIII</w:t>
      </w:r>
      <w:r>
        <w:rPr>
          <w:rFonts w:ascii="Times New Roman" w:hAnsi="Times New Roman"/>
          <w:sz w:val="20"/>
        </w:rPr>
        <w:t xml:space="preserve">. Bakkt Opco acknowledges and agrees that neither it, nor any of its Subsidiaries, nor any of their respective Affiliates may avoid such limitation on liability under this </w:t>
      </w:r>
      <w:r>
        <w:rPr>
          <w:rFonts w:ascii="Times New Roman" w:hAnsi="Times New Roman"/>
          <w:sz w:val="20"/>
          <w:u w:val="single"/>
        </w:rPr>
        <w:t>Section 9.1(c)</w:t>
      </w:r>
      <w:r>
        <w:rPr>
          <w:rFonts w:ascii="Times New Roman" w:hAnsi="Times New Roman"/>
          <w:sz w:val="20"/>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Excluded VIH Matters). </w:t>
      </w:r>
    </w:p>
    <w:p>
      <w:pPr>
        <w:pStyle w:val="TextBody"/>
        <w:spacing w:before="120" w:after="0"/>
        <w:jc w:val="left"/>
        <w:rPr>
          <w:rFonts w:ascii="Times New Roman" w:hAnsi="Times New Roman"/>
          <w:sz w:val="20"/>
        </w:rPr>
      </w:pPr>
      <w:r>
        <w:rPr>
          <w:rFonts w:ascii="Times New Roman" w:hAnsi="Times New Roman"/>
          <w:sz w:val="20"/>
        </w:rPr>
        <w:t xml:space="preserve">(d) The Parties hereto agree that the limits imposed on each Partys remedies with respect to this Agreement and the Transactions were specifically bargained for between sophisticated parties and were specifically taken into account in the determination of the amounts to be paid hereunder. </w:t>
      </w:r>
    </w:p>
    <w:p>
      <w:pPr>
        <w:pStyle w:val="TextBody"/>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Trust Account Waiver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Bakkt Opco understands that VIH has established a trust account (the </w:t>
      </w:r>
      <w:r>
        <w:rPr>
          <w:rFonts w:ascii="Times New Roman" w:hAnsi="Times New Roman"/>
          <w:sz w:val="20"/>
          <w:u w:val="single"/>
        </w:rPr>
        <w:t>Trust Account</w:t>
      </w:r>
      <w:r>
        <w:rPr>
          <w:rFonts w:ascii="Times New Roman" w:hAnsi="Times New Roman"/>
          <w:sz w:val="20"/>
        </w:rPr>
        <w:t>) containing the proceeds of its initial public offering (the </w:t>
      </w:r>
      <w:r>
        <w:rPr>
          <w:rFonts w:ascii="Times New Roman" w:hAnsi="Times New Roman"/>
          <w:sz w:val="20"/>
          <w:u w:val="single"/>
        </w:rPr>
        <w:t>IPO</w:t>
      </w:r>
      <w:r>
        <w:rPr>
          <w:rFonts w:ascii="Times New Roman" w:hAnsi="Times New Roman"/>
          <w:sz w:val="20"/>
        </w:rPr>
        <w:t>) and the overallotment shares acquired by its underwriters and from certain private placements occurring simultaneously with the IPO (including interest accrued from time to time thereon) for the benefit of VIHs public stockholders (including overallotment shares acquired by VIHs underwriters) (the </w:t>
      </w:r>
      <w:r>
        <w:rPr>
          <w:rFonts w:ascii="Times New Roman" w:hAnsi="Times New Roman"/>
          <w:sz w:val="20"/>
          <w:u w:val="single"/>
        </w:rPr>
        <w:t>Public Stockholders</w:t>
      </w:r>
      <w:r>
        <w:rPr>
          <w:rFonts w:ascii="Times New Roman" w:hAnsi="Times New Roman"/>
          <w:sz w:val="20"/>
        </w:rPr>
        <w:t>), and that, except as otherwise described in the IPO Prospectus or as set forth in the Trust Agreement, VIH may disburse monies from the Trust Account only: (i) to the Public Stockholders in the event they elect to redeem their shares in connection with the consummation of VIHs initial business combination (as such term is used in the IPO Prospectus) (the </w:t>
      </w:r>
      <w:r>
        <w:rPr>
          <w:rFonts w:ascii="Times New Roman" w:hAnsi="Times New Roman"/>
          <w:sz w:val="20"/>
          <w:u w:val="single"/>
        </w:rPr>
        <w:t>Business Combination</w:t>
      </w:r>
      <w:r>
        <w:rPr>
          <w:rFonts w:ascii="Times New Roman" w:hAnsi="Times New Roman"/>
          <w:sz w:val="20"/>
        </w:rPr>
        <w:t xml:space="preserve">) or in connection with an extension of the deadline to consummate a Business Combination, (ii) to the Public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Stockholders if VIH fails to consummate a Business Combination within twenty-four (24) months after the closing of the IPO, (iii) with respect to any interest earned on the amounts held in the Trust Account, amounts necessary to pay for any franchise or income taxes and up to one hundred thousand dollars ($100,000) in liquidation expenses or (iv) to VIH after or concurrently with the consummation of a Business Combination. </w:t>
      </w:r>
    </w:p>
    <w:p>
      <w:pPr>
        <w:pStyle w:val="TextBody"/>
        <w:spacing w:before="120" w:after="0"/>
        <w:jc w:val="left"/>
        <w:rPr>
          <w:rFonts w:ascii="Times New Roman" w:hAnsi="Times New Roman"/>
          <w:sz w:val="20"/>
        </w:rPr>
      </w:pPr>
      <w:r>
        <w:rPr>
          <w:rFonts w:ascii="Times New Roman" w:hAnsi="Times New Roman"/>
          <w:sz w:val="20"/>
        </w:rPr>
        <w:t xml:space="preserve">(b) Bakkt Opco hereby agrees on behalf of itself and its Affiliates that: </w:t>
      </w:r>
    </w:p>
    <w:p>
      <w:pPr>
        <w:pStyle w:val="TextBody"/>
        <w:spacing w:before="120" w:after="0"/>
        <w:jc w:val="left"/>
        <w:rPr>
          <w:rFonts w:ascii="Times New Roman" w:hAnsi="Times New Roman"/>
          <w:sz w:val="20"/>
        </w:rPr>
      </w:pPr>
      <w:r>
        <w:rPr>
          <w:rFonts w:ascii="Times New Roman" w:hAnsi="Times New Roman"/>
          <w:sz w:val="20"/>
        </w:rPr>
        <w:t>(i) neither Bakkt Opco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VIH or its Representatives, on the one hand, and Bakkt Opco or its Representatives, on the other hand, or any other matter, and regardless of whether such claim arises based on contract, tort, equity or any other theory of legal liability (any and all such claims against the Trust Account are collectively referred to hereafter as the </w:t>
      </w:r>
      <w:r>
        <w:rPr>
          <w:rFonts w:ascii="Times New Roman" w:hAnsi="Times New Roman"/>
          <w:sz w:val="20"/>
          <w:u w:val="single"/>
        </w:rPr>
        <w:t>Released Claims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Bakkt Opco on behalf of itself and its Affiliates hereby irrevocably waives any Released Claims that Bakkt Opco or any of its Affiliates may have against the Trust Account (including any distributions therefrom) now or in the future as a result of, or arising out of, any negotiations, Contracts or agreements with VIH or its Representatives, including this Agreement or the Transactions, and will not seek recourse against the Trust Account (including any distributions therefrom) in connection therewith (including for an alleged breach of this Agreement or any other agreement with VIH or its Affiliates); </w:t>
      </w:r>
    </w:p>
    <w:p>
      <w:pPr>
        <w:pStyle w:val="TextBody"/>
        <w:spacing w:before="120" w:after="0"/>
        <w:jc w:val="left"/>
        <w:rPr>
          <w:rFonts w:ascii="Times New Roman" w:hAnsi="Times New Roman"/>
          <w:sz w:val="20"/>
        </w:rPr>
      </w:pPr>
      <w:r>
        <w:rPr>
          <w:rFonts w:ascii="Times New Roman" w:hAnsi="Times New Roman"/>
          <w:sz w:val="20"/>
        </w:rPr>
        <w:t xml:space="preserve">(iii) the irrevocable waiver set forth in the immediately preceding </w:t>
      </w:r>
      <w:r>
        <w:rPr>
          <w:rFonts w:ascii="Times New Roman" w:hAnsi="Times New Roman"/>
          <w:sz w:val="20"/>
          <w:u w:val="single"/>
        </w:rPr>
        <w:t>clause (ii)</w:t>
      </w:r>
      <w:r>
        <w:rPr>
          <w:rFonts w:ascii="Times New Roman" w:hAnsi="Times New Roman"/>
          <w:sz w:val="20"/>
        </w:rPr>
        <w:t xml:space="preserve"> is material to this Agreement and specifically relied upon by VIH and its Affiliates to induce VIH to enter in this Agreement, and Bakkt Opco further intends and understands such waiver to be valid, binding and enforceable against Bakkt Opco and each of its Affiliates under applicable Law; and </w:t>
      </w:r>
    </w:p>
    <w:p>
      <w:pPr>
        <w:pStyle w:val="TextBody"/>
        <w:spacing w:before="120" w:after="0"/>
        <w:jc w:val="left"/>
        <w:rPr>
          <w:rFonts w:ascii="Times New Roman" w:hAnsi="Times New Roman"/>
          <w:sz w:val="20"/>
        </w:rPr>
      </w:pPr>
      <w:r>
        <w:rPr>
          <w:rFonts w:ascii="Times New Roman" w:hAnsi="Times New Roman"/>
          <w:sz w:val="20"/>
        </w:rPr>
        <w:t xml:space="preserve">(iv) to the extent Bakkt Opco or any of its Affiliates commences any action or proceeding based upon, in connection with, relating to or arising out of any matter relating to VIH or its Representatives, including this Agreement or the Transactions, which proceeding seeks, in whole or in part, monetary relief against VIH or Representatives, Bakkt Opco hereby acknowledges and agrees that Bakkt Opcos and its Affiliates sole remedy shall be against funds held outside of the Trust Account and such claim shall not permit Bakkt Opco or its Affiliates (or any Person claiming on any of their behalves or in lieu of any of them) to have any claim against the Trust Account (including any distributions therefrom) or any amounts contained therein. </w:t>
      </w:r>
    </w:p>
    <w:p>
      <w:pPr>
        <w:pStyle w:val="TextBody"/>
        <w:spacing w:before="120" w:after="0"/>
        <w:jc w:val="left"/>
        <w:rPr>
          <w:rFonts w:ascii="Times New Roman" w:hAnsi="Times New Roman"/>
          <w:sz w:val="20"/>
        </w:rPr>
      </w:pPr>
      <w:r>
        <w:rPr>
          <w:rFonts w:ascii="Times New Roman" w:hAnsi="Times New Roman"/>
          <w:sz w:val="20"/>
        </w:rPr>
        <w:t xml:space="preserve">(c) Notwithstanding the foregoing or anything to the contrary in the Confidentiality Agreement, nothing in this </w:t>
      </w:r>
      <w:r>
        <w:rPr>
          <w:rFonts w:ascii="Times New Roman" w:hAnsi="Times New Roman"/>
          <w:sz w:val="20"/>
          <w:u w:val="single"/>
        </w:rPr>
        <w:t>Section 9.2</w:t>
      </w:r>
      <w:r>
        <w:rPr>
          <w:rFonts w:ascii="Times New Roman" w:hAnsi="Times New Roman"/>
          <w:sz w:val="20"/>
        </w:rPr>
        <w:t xml:space="preserve"> or the Confidentiality Agreement shall waive, limit, amend, alter, change, supersede or otherwise modify the right of Bakkt Opco or any of its Affiliates to (i) bring any action or actions for specific performance, injunctive and/or equitable relief (including the right of Bakkt Opco to compel specific performance by VIH and/or Merger Sub of their respective obligations under this Agreement), (ii) bring or seek a claim for damages against VIH and/or Merger Sub, or any of their respective successors or assigns, for any breach of this Agreement against monies or other assets held outside the Trust Account (other than distributions therefrom to Public Stockholders as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w:t>
      </w:r>
      <w:r>
        <w:rPr>
          <w:rFonts w:ascii="Times New Roman" w:hAnsi="Times New Roman"/>
          <w:sz w:val="20"/>
          <w:u w:val="single"/>
        </w:rPr>
        <w:t>Section 9.2(a)</w:t>
      </w:r>
      <w:r>
        <w:rPr>
          <w:rFonts w:ascii="Times New Roman" w:hAnsi="Times New Roman"/>
          <w:sz w:val="20"/>
        </w:rPr>
        <w:t xml:space="preserve">), (iii) bring or seek a claim that Bakkt Opco or its Affiliates may have in the future against VIHs assets or funds that are not held in the Trust Account (including any funds that have been released from the Trust Account and any assets that have been purchased or acquired with any such funds), but excluding distributions therefrom to Public Stockholders as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w:t>
      </w:r>
      <w:r>
        <w:rPr>
          <w:rFonts w:ascii="Times New Roman" w:hAnsi="Times New Roman"/>
          <w:sz w:val="20"/>
          <w:u w:val="single"/>
        </w:rPr>
        <w:t>Section 9.2(a)</w:t>
      </w:r>
      <w:r>
        <w:rPr>
          <w:rFonts w:ascii="Times New Roman" w:hAnsi="Times New Roman"/>
          <w:sz w:val="20"/>
        </w:rPr>
        <w:t xml:space="preserve">, or (iv) bring or seek a claim against any other Person (or any Affiliate thereof) that is party to an alternative Business Combination consummated by VIH. Furthermore, VIH shall not execute any definitive agreement related to such alternative Business Combination that (A) attempts to prevent Bakkt Opco or any Affiliate thereof from so bringing or seeking any such claim, or (B) permits the entity that survives such alternative Business Combination to not assume VIHs obligation for damages in connection with this Agreement and the Transactions.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X </w:t>
      </w:r>
    </w:p>
    <w:p>
      <w:pPr>
        <w:pStyle w:val="TextBody"/>
        <w:spacing w:before="240" w:after="0"/>
        <w:jc w:val="center"/>
        <w:rPr>
          <w:rFonts w:ascii="Times New Roman" w:hAnsi="Times New Roman"/>
          <w:b/>
          <w:sz w:val="20"/>
        </w:rPr>
      </w:pPr>
      <w:r>
        <w:rPr>
          <w:rFonts w:ascii="Times New Roman" w:hAnsi="Times New Roman"/>
          <w:b/>
          <w:sz w:val="20"/>
        </w:rPr>
        <w:t xml:space="preserve">DEFINITIONS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Specific Definitions</w:t>
      </w:r>
      <w:r>
        <w:rPr>
          <w:rFonts w:ascii="Times New Roman" w:hAnsi="Times New Roman"/>
          <w:sz w:val="20"/>
        </w:rPr>
        <w:t xml:space="preserve">. </w:t>
      </w:r>
      <w:r>
        <w:rPr>
          <w:rFonts w:ascii="Times New Roman" w:hAnsi="Times New Roman"/>
          <w:sz w:val="20"/>
          <w:u w:val="single"/>
        </w:rPr>
        <w:t>Section 10.4</w:t>
      </w:r>
      <w:r>
        <w:rPr>
          <w:rFonts w:ascii="Times New Roman" w:hAnsi="Times New Roman"/>
          <w:sz w:val="20"/>
        </w:rPr>
        <w:t xml:space="preserve"> includes cross references for capitalized terms that are not otherwise defined in this </w:t>
      </w:r>
      <w:r>
        <w:rPr>
          <w:rFonts w:ascii="Times New Roman" w:hAnsi="Times New Roman"/>
          <w:sz w:val="20"/>
          <w:u w:val="single"/>
        </w:rPr>
        <w:t>Section 10.1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Action</w:t>
      </w:r>
      <w:r>
        <w:rPr>
          <w:rFonts w:ascii="Times New Roman" w:hAnsi="Times New Roman"/>
          <w:sz w:val="20"/>
        </w:rPr>
        <w:t xml:space="preserve"> means a civil, criminal or administrative action, suit, claim, complaint, stipulation, demand, charge, hearing, audit, investigation, request (including request for information), arbitration or proceeding by or before any Governmental Authority. </w:t>
      </w:r>
    </w:p>
    <w:p>
      <w:pPr>
        <w:pStyle w:val="TextBody"/>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Advisory Charter Proposals</w:t>
      </w:r>
      <w:r>
        <w:rPr>
          <w:rFonts w:ascii="Times New Roman" w:hAnsi="Times New Roman"/>
          <w:sz w:val="20"/>
        </w:rPr>
        <w:t xml:space="preserve"> means the non-binding proposals submitted for a vote at the VIH Shareholder Meeting. </w:t>
      </w:r>
    </w:p>
    <w:p>
      <w:pPr>
        <w:pStyle w:val="TextBody"/>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Affiliate</w:t>
      </w:r>
      <w:r>
        <w:rPr>
          <w:rFonts w:ascii="Times New Roman" w:hAnsi="Times New Roman"/>
          <w:sz w:val="20"/>
        </w:rPr>
        <w:t xml:space="preserve"> means, with respect to any specified Person, any Person that, directly or indirectly through one or more entities, controls or is controlled by, or is under common control with, such specified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With respect to VIH, Affiliates shall include, without limitation, funds, accounts and/or other investment vehicles managed by Victory Park Capital Advisors, LLC. </w:t>
      </w:r>
    </w:p>
    <w:p>
      <w:pPr>
        <w:pStyle w:val="TextBody"/>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Aggregate Merger Consideration</w:t>
      </w:r>
      <w:r>
        <w:rPr>
          <w:rFonts w:ascii="Times New Roman" w:hAnsi="Times New Roman"/>
          <w:sz w:val="20"/>
        </w:rPr>
        <w:t xml:space="preserve"> means (i) an aggregate of 208,200,000 Surviving Company Common Units and (ii) an equal number of Bakkt Pubco Class V Shares. </w:t>
      </w:r>
    </w:p>
    <w:p>
      <w:pPr>
        <w:pStyle w:val="TextBody"/>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Available Cash</w:t>
      </w:r>
      <w:r>
        <w:rPr>
          <w:rFonts w:ascii="Times New Roman" w:hAnsi="Times New Roman"/>
          <w:sz w:val="20"/>
        </w:rPr>
        <w:t> means, as set forth in the finally determined Closing Statement, an amount in cash equal to (i) the amount of funds available to VIH in the Trust Account following payment to all holders of VIH Class A Shares who have elected to redeem their shares in connection with the Transactions, (ii) </w:t>
      </w:r>
      <w:r>
        <w:rPr>
          <w:rFonts w:ascii="Times New Roman" w:hAnsi="Times New Roman"/>
          <w:i/>
          <w:sz w:val="20"/>
        </w:rPr>
        <w:t xml:space="preserve">plus </w:t>
      </w:r>
      <w:r>
        <w:rPr>
          <w:rFonts w:ascii="Times New Roman" w:hAnsi="Times New Roman"/>
          <w:sz w:val="20"/>
        </w:rPr>
        <w:t>the amount of funds available to VIH outside the Trust Account, and (iii) </w:t>
      </w:r>
      <w:r>
        <w:rPr>
          <w:rFonts w:ascii="Times New Roman" w:hAnsi="Times New Roman"/>
          <w:i/>
          <w:sz w:val="20"/>
        </w:rPr>
        <w:t>plus</w:t>
      </w:r>
      <w:r>
        <w:rPr>
          <w:rFonts w:ascii="Times New Roman" w:hAnsi="Times New Roman"/>
          <w:sz w:val="20"/>
        </w:rPr>
        <w:t xml:space="preserve"> the gross cash proceeds of the PIPE Financing; in each case, prior to, and without taking account of, any VIH Transaction Expenses or Bakkt Transaction Expenses. </w:t>
      </w:r>
    </w:p>
    <w:p>
      <w:pPr>
        <w:pStyle w:val="TextBody"/>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Bakkt Benefit Arrangement</w:t>
      </w:r>
      <w:r>
        <w:rPr>
          <w:rFonts w:ascii="Times New Roman" w:hAnsi="Times New Roman"/>
          <w:sz w:val="20"/>
        </w:rPr>
        <w:t xml:space="preserve"> means any Benefit Arrangement sponsored, maintained or contributed to by Bakkt Opco or any of its Subsidiaries or with respect to which Bakkt Opco or any of its Subsidiaries has any current or future Liability (whether direct or indirect, actual, contingent or otherwise, with respect to any of its assets or otherwise), in each case with respect to any present or former employees, consultants or service providers of Bakkt Opco or any of its Subsidiaries. </w:t>
      </w:r>
    </w:p>
    <w:p>
      <w:pPr>
        <w:pStyle w:val="TextBody"/>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Bakkt Benefit Plan</w:t>
      </w:r>
      <w:r>
        <w:rPr>
          <w:rFonts w:ascii="Times New Roman" w:hAnsi="Times New Roman"/>
          <w:sz w:val="20"/>
        </w:rPr>
        <w:t xml:space="preserve"> means any Benefit Plan for which Bakkt Opco or any of its Subsidiaries is or has been the plan sponsor (as defined in 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Bakkt Opco or any of its Subsidiaries maintains, sponsors, contributes to or to which it is obligated to make payments or has any current or future Liability, in each case with respect to any present or former employees of Bakkt Opco or any of its Subsidiaries. </w:t>
      </w:r>
    </w:p>
    <w:p>
      <w:pPr>
        <w:pStyle w:val="TextBody"/>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Bakkt Equity Holders</w:t>
      </w:r>
      <w:r>
        <w:rPr>
          <w:rFonts w:ascii="Times New Roman" w:hAnsi="Times New Roman"/>
          <w:sz w:val="20"/>
        </w:rPr>
        <w:t xml:space="preserve"> means, collectively, the holders of all of Bakkt Interests. </w:t>
      </w:r>
    </w:p>
    <w:p>
      <w:pPr>
        <w:pStyle w:val="TextBody"/>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Bakkt Equity Holders Approval</w:t>
      </w:r>
      <w:r>
        <w:rPr>
          <w:rFonts w:ascii="Times New Roman" w:hAnsi="Times New Roman"/>
          <w:sz w:val="20"/>
        </w:rPr>
        <w:t xml:space="preserve"> means the affirmative vote or written consent of the holders of the requisite number of the then outstanding Bakkt Interests voting or consenting together in favor of the adoption of this Agreement, the Transaction Documents, the Merger and the other Transactions in accordance with the DLLCA and the Organizational Documents of Bakkt Opco. </w:t>
      </w:r>
    </w:p>
    <w:p>
      <w:pPr>
        <w:pStyle w:val="TextBody"/>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Bakkt Equity Incentive Plan</w:t>
      </w:r>
      <w:r>
        <w:rPr>
          <w:rFonts w:ascii="Times New Roman" w:hAnsi="Times New Roman"/>
          <w:sz w:val="20"/>
        </w:rPr>
        <w:t xml:space="preserve"> means the Amended and Restated Bakkt Equity Incentive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(k) </w:t>
      </w:r>
      <w:r>
        <w:rPr>
          <w:rFonts w:ascii="Times New Roman" w:hAnsi="Times New Roman"/>
          <w:sz w:val="20"/>
          <w:u w:val="single"/>
        </w:rPr>
        <w:t>Bakkt Fundamental Representations</w:t>
      </w:r>
      <w:r>
        <w:rPr>
          <w:rFonts w:ascii="Times New Roman" w:hAnsi="Times New Roman"/>
          <w:sz w:val="20"/>
        </w:rPr>
        <w:t xml:space="preserve"> means the representations and warranties set forth in </w:t>
      </w:r>
      <w:r>
        <w:rPr>
          <w:rFonts w:ascii="Times New Roman" w:hAnsi="Times New Roman"/>
          <w:sz w:val="20"/>
          <w:u w:val="single"/>
        </w:rPr>
        <w:t>Section 3.1(a)</w:t>
      </w:r>
      <w:r>
        <w:rPr>
          <w:rFonts w:ascii="Times New Roman" w:hAnsi="Times New Roman"/>
          <w:sz w:val="20"/>
        </w:rPr>
        <w:t xml:space="preserve"> (Due Organization), </w:t>
      </w:r>
      <w:r>
        <w:rPr>
          <w:rFonts w:ascii="Times New Roman" w:hAnsi="Times New Roman"/>
          <w:sz w:val="20"/>
          <w:u w:val="single"/>
        </w:rPr>
        <w:t>Section 3.1(b)</w:t>
      </w:r>
      <w:r>
        <w:rPr>
          <w:rFonts w:ascii="Times New Roman" w:hAnsi="Times New Roman"/>
          <w:sz w:val="20"/>
        </w:rPr>
        <w:t xml:space="preserve"> (Due Organization), </w:t>
      </w:r>
      <w:r>
        <w:rPr>
          <w:rFonts w:ascii="Times New Roman" w:hAnsi="Times New Roman"/>
          <w:sz w:val="20"/>
          <w:u w:val="single"/>
        </w:rPr>
        <w:t>Section 3.2(a)</w:t>
      </w:r>
      <w:r>
        <w:rPr>
          <w:rFonts w:ascii="Times New Roman" w:hAnsi="Times New Roman"/>
          <w:sz w:val="20"/>
        </w:rPr>
        <w:t xml:space="preserve"> (Authorization), </w:t>
      </w:r>
      <w:r>
        <w:rPr>
          <w:rFonts w:ascii="Times New Roman" w:hAnsi="Times New Roman"/>
          <w:sz w:val="20"/>
          <w:u w:val="single"/>
        </w:rPr>
        <w:t>Section 3.3</w:t>
      </w:r>
      <w:r>
        <w:rPr>
          <w:rFonts w:ascii="Times New Roman" w:hAnsi="Times New Roman"/>
          <w:sz w:val="20"/>
        </w:rPr>
        <w:t xml:space="preserve"> (Capitalization), and </w:t>
      </w:r>
      <w:r>
        <w:rPr>
          <w:rFonts w:ascii="Times New Roman" w:hAnsi="Times New Roman"/>
          <w:sz w:val="20"/>
          <w:u w:val="single"/>
        </w:rPr>
        <w:t>Section 3.18</w:t>
      </w:r>
      <w:r>
        <w:rPr>
          <w:rFonts w:ascii="Times New Roman" w:hAnsi="Times New Roman"/>
          <w:sz w:val="20"/>
        </w:rPr>
        <w:t xml:space="preserve"> (Brokers and Agents). </w:t>
      </w:r>
    </w:p>
    <w:p>
      <w:pPr>
        <w:pStyle w:val="TextBody"/>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Bakkt Indebtedness</w:t>
      </w:r>
      <w:r>
        <w:rPr>
          <w:rFonts w:ascii="Times New Roman" w:hAnsi="Times New Roman"/>
          <w:sz w:val="20"/>
        </w:rPr>
        <w:t xml:space="preserve"> means, without duplication, (i) indebtedness of the Bakkt Opco or any of its Subsidiaries for borrowed money (including the outstanding principal and accrued but unpaid interest), (ii) any other indebtedness of the Bakkt Opco or its any of its Subsidiaries that is evidenced by a note, performance or other bond, debenture, mortgage, credit agreement or other debt instrument or debt security, (iii) all obligations of the Bakkt Opco or any of its Subsidiaries for the reimbursement of any obligor on any line or letter of credit, bankers acceptance, guarantee or similar credit transaction, in each case, that has been drawn, called or claimed against, (iv) any premiums, prepayment fees or other penalties, fees, costs or expenses associated with payment of any Bakkt Indebtedness, and (v) all obligations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of any other Person which is guaranteed by the Bakkt Opco or any of its Subsidiaries (as surety or otherwise) or which is secured by any of the assets of the Bakkt Opco or any of its Subsidiaries and all accrued and unpaid interest thereon, if any. </w:t>
      </w:r>
    </w:p>
    <w:p>
      <w:pPr>
        <w:pStyle w:val="TextBody"/>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Bakkt Interests</w:t>
      </w:r>
      <w:r>
        <w:rPr>
          <w:rFonts w:ascii="Times New Roman" w:hAnsi="Times New Roman"/>
          <w:sz w:val="20"/>
        </w:rPr>
        <w:t xml:space="preserve"> means all of the outstanding units of limited liability company interests in Bakkt Opco, including the Class A Voting Units, the Class B Voting Units, the Class C Voting Units and the Bakkt Opco Incentive Units, each as set forth and defined in the Bakkt Opco LLC Agreement, but excluding the Participation Units. </w:t>
      </w:r>
    </w:p>
    <w:p>
      <w:pPr>
        <w:pStyle w:val="TextBody"/>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Bakkt IP</w:t>
      </w:r>
      <w:r>
        <w:rPr>
          <w:rFonts w:ascii="Times New Roman" w:hAnsi="Times New Roman"/>
          <w:sz w:val="20"/>
        </w:rPr>
        <w:t xml:space="preserve"> means all Intellectual Property owned by Bakkt Opco or any of its Subsidiaries. </w:t>
      </w:r>
    </w:p>
    <w:p>
      <w:pPr>
        <w:pStyle w:val="TextBody"/>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Bakkt Leased Real Property</w:t>
      </w:r>
      <w:r>
        <w:rPr>
          <w:rFonts w:ascii="Times New Roman" w:hAnsi="Times New Roman"/>
          <w:sz w:val="20"/>
        </w:rPr>
        <w:t xml:space="preserve"> means all Real Property leased by Bakkt Opco or any of its Subsidiaries. </w:t>
      </w:r>
    </w:p>
    <w:p>
      <w:pPr>
        <w:pStyle w:val="TextBody"/>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Bakkt Management</w:t>
      </w:r>
      <w:r>
        <w:rPr>
          <w:rFonts w:ascii="Times New Roman" w:hAnsi="Times New Roman"/>
          <w:sz w:val="20"/>
        </w:rPr>
        <w:t xml:space="preserve"> means Bakkt Management, LLC, a Delaware limited liability company. </w:t>
      </w:r>
    </w:p>
    <w:p>
      <w:pPr>
        <w:pStyle w:val="TextBody"/>
        <w:spacing w:before="0" w:after="0"/>
        <w:jc w:val="left"/>
        <w:rPr>
          <w:rFonts w:ascii="Times New Roman" w:hAnsi="Times New Roman"/>
          <w:sz w:val="20"/>
        </w:rPr>
      </w:pPr>
      <w:r>
        <w:rPr>
          <w:rFonts w:ascii="Times New Roman" w:hAnsi="Times New Roman"/>
          <w:sz w:val="20"/>
        </w:rPr>
        <w:t>(q) </w:t>
      </w:r>
      <w:r>
        <w:rPr>
          <w:rFonts w:ascii="Times New Roman" w:hAnsi="Times New Roman"/>
          <w:sz w:val="20"/>
          <w:u w:val="single"/>
        </w:rPr>
        <w:t>Bakkt Opco Incentive Units</w:t>
      </w:r>
      <w:r>
        <w:rPr>
          <w:rFonts w:ascii="Times New Roman" w:hAnsi="Times New Roman"/>
          <w:sz w:val="20"/>
        </w:rPr>
        <w:t xml:space="preserve"> means the Incentive Units of Bakkt Opco (as defined in the Bakkt Opco LLC Agreement). </w:t>
      </w:r>
    </w:p>
    <w:p>
      <w:pPr>
        <w:pStyle w:val="TextBody"/>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Bakkt Opcos knowledge</w:t>
      </w:r>
      <w:r>
        <w:rPr>
          <w:rFonts w:ascii="Times New Roman" w:hAnsi="Times New Roman"/>
          <w:sz w:val="20"/>
        </w:rPr>
        <w:t>, </w:t>
      </w:r>
      <w:r>
        <w:rPr>
          <w:rFonts w:ascii="Times New Roman" w:hAnsi="Times New Roman"/>
          <w:sz w:val="20"/>
          <w:u w:val="single"/>
        </w:rPr>
        <w:t>knowledge of Bakkt Opco</w:t>
      </w:r>
      <w:r>
        <w:rPr>
          <w:rFonts w:ascii="Times New Roman" w:hAnsi="Times New Roman"/>
          <w:sz w:val="20"/>
        </w:rPr>
        <w:t>, </w:t>
      </w:r>
      <w:r>
        <w:rPr>
          <w:rFonts w:ascii="Times New Roman" w:hAnsi="Times New Roman"/>
          <w:sz w:val="20"/>
          <w:u w:val="single"/>
        </w:rPr>
        <w:t>known by Bakkt Opco</w:t>
      </w:r>
      <w:r>
        <w:rPr>
          <w:rFonts w:ascii="Times New Roman" w:hAnsi="Times New Roman"/>
          <w:sz w:val="20"/>
        </w:rPr>
        <w:t xml:space="preserve"> or phrases of similar import, mean the actual, after reasonable inquiry, knowledge of any Person named on </w:t>
      </w:r>
      <w:r>
        <w:rPr>
          <w:rFonts w:ascii="Times New Roman" w:hAnsi="Times New Roman"/>
          <w:sz w:val="20"/>
          <w:u w:val="single"/>
        </w:rPr>
        <w:t>Section 10.1(r)</w:t>
      </w:r>
      <w:r>
        <w:rPr>
          <w:rFonts w:ascii="Times New Roman" w:hAnsi="Times New Roman"/>
          <w:sz w:val="20"/>
        </w:rPr>
        <w:t xml:space="preserve"> of the Bakkt Disclosure Letter. </w:t>
      </w:r>
    </w:p>
    <w:p>
      <w:pPr>
        <w:pStyle w:val="TextBody"/>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Bakkt Opco LLC Agreement</w:t>
      </w:r>
      <w:r>
        <w:rPr>
          <w:rFonts w:ascii="Times New Roman" w:hAnsi="Times New Roman"/>
          <w:sz w:val="20"/>
        </w:rPr>
        <w:t xml:space="preserve"> means the Second Amended and Restated Limited Liability Company Agreement of Bakkt Opco, dated as of February 28, 2020. </w:t>
      </w:r>
    </w:p>
    <w:p>
      <w:pPr>
        <w:pStyle w:val="TextBody"/>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Bakkt Owned Real Property</w:t>
      </w:r>
      <w:r>
        <w:rPr>
          <w:rFonts w:ascii="Times New Roman" w:hAnsi="Times New Roman"/>
          <w:sz w:val="20"/>
        </w:rPr>
        <w:t xml:space="preserve"> means all Real Property owned by Bakkt Opco or any of its Subsidiaries. </w:t>
      </w:r>
    </w:p>
    <w:p>
      <w:pPr>
        <w:pStyle w:val="TextBody"/>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Bakkt Pubco Class A Share</w:t>
      </w:r>
      <w:r>
        <w:rPr>
          <w:rFonts w:ascii="Times New Roman" w:hAnsi="Times New Roman"/>
          <w:sz w:val="20"/>
        </w:rPr>
        <w:t xml:space="preserve"> means a share of Class A common stock, par value $0.0001, of Bakkt Pubco, as set forth in the Bakkt Pubco Charter. </w:t>
      </w:r>
    </w:p>
    <w:p>
      <w:pPr>
        <w:pStyle w:val="TextBody"/>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Bakkt Pubco Class V Share</w:t>
      </w:r>
      <w:r>
        <w:rPr>
          <w:rFonts w:ascii="Times New Roman" w:hAnsi="Times New Roman"/>
          <w:sz w:val="20"/>
        </w:rPr>
        <w:t xml:space="preserve"> means a share of Class V common stock, par value $0.0001, of Bakkt Pubco, as set forth in the Bakkt Pubco Charter. </w:t>
      </w:r>
    </w:p>
    <w:p>
      <w:pPr>
        <w:pStyle w:val="TextBody"/>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Bakkt Pubco Public Warrants</w:t>
      </w:r>
      <w:r>
        <w:rPr>
          <w:rFonts w:ascii="Times New Roman" w:hAnsi="Times New Roman"/>
          <w:sz w:val="20"/>
        </w:rPr>
        <w:t xml:space="preserve"> means the Bakkt Pubco Warrants issued in exchange for the VIH Public Warrants in the Domestication. </w:t>
      </w:r>
    </w:p>
    <w:p>
      <w:pPr>
        <w:pStyle w:val="TextBody"/>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Bakkt Real Property</w:t>
      </w:r>
      <w:r>
        <w:rPr>
          <w:rFonts w:ascii="Times New Roman" w:hAnsi="Times New Roman"/>
          <w:sz w:val="20"/>
        </w:rPr>
        <w:t xml:space="preserve"> means all Bakkt Owned Real Property and Bakkt Leased Real Property. </w:t>
      </w:r>
    </w:p>
    <w:p>
      <w:pPr>
        <w:pStyle w:val="TextBody"/>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Bakkt Software</w:t>
      </w:r>
      <w:r>
        <w:rPr>
          <w:rFonts w:ascii="Times New Roman" w:hAnsi="Times New Roman"/>
          <w:sz w:val="20"/>
        </w:rPr>
        <w:t xml:space="preserve"> means all Software owned by Bakkt Opco or any of its Subsidiaries. </w:t>
      </w:r>
    </w:p>
    <w:p>
      <w:pPr>
        <w:pStyle w:val="TextBody"/>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Bakkt Transaction Expenses</w:t>
      </w:r>
      <w:r>
        <w:rPr>
          <w:rFonts w:ascii="Times New Roman" w:hAnsi="Times New Roman"/>
          <w:sz w:val="20"/>
        </w:rPr>
        <w:t xml:space="preserve"> means (a) all costs and expenses incurred by or on behalf of Bakkt Opco or any of its Subsidiaries at or prior to the Closing in connection with the negotiation, preparation, execution and performance of this Agreement, the Transaction Documents and consummation of the Transactions and any related agreements in connection with the Transactions, including all fees and out of pocket expenses due all attorneys, accountants and financial advisors of Bakkt Opco or any of its Subsidiaries, and (b) Employee Payments.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Benefit Arrangement</w:t>
      </w:r>
      <w:r>
        <w:rPr>
          <w:rFonts w:ascii="Times New Roman" w:hAnsi="Times New Roman"/>
          <w:sz w:val="20"/>
        </w:rPr>
        <w:t xml:space="preserve"> means any benefit plan, policy or arrangement, whether written or unwritten, that is not a Benefit Plan and that provides benefits, compensation, including employment agreements or consulting agreements, severance pay, stay or retention bonuses or compensation, termination or change in control payments or benefits, executive or incentive compensation, sick leave, vacation pay, disability pay, retirement, deferred compensation, bonus, stock-based or other equity based compensation, supplemental retirement, profit-sharing, hospitalization, medical or disability insurance, life insurance, tuition reimbursement, material fringe benefit and any plans subject to Section 125 of the Code. </w:t>
      </w:r>
    </w:p>
    <w:p>
      <w:pPr>
        <w:pStyle w:val="TextBody"/>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Benefit Plan</w:t>
      </w:r>
      <w:r>
        <w:rPr>
          <w:rFonts w:ascii="Times New Roman" w:hAnsi="Times New Roman"/>
          <w:sz w:val="20"/>
        </w:rPr>
        <w:t xml:space="preserve"> has the meaning given in Section 3(3) of ERISA, together with plans or arrangements that would be so defined if they were not otherwise exempt from ERISA by that or another section. </w:t>
      </w:r>
    </w:p>
    <w:p>
      <w:pPr>
        <w:pStyle w:val="TextBody"/>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Board of Managers</w:t>
      </w:r>
      <w:r>
        <w:rPr>
          <w:rFonts w:ascii="Times New Roman" w:hAnsi="Times New Roman"/>
          <w:sz w:val="20"/>
        </w:rPr>
        <w:t xml:space="preserve"> means the board of managers of Bakkt Opco. </w:t>
      </w:r>
    </w:p>
    <w:p>
      <w:pPr>
        <w:pStyle w:val="TextBody"/>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Books and Records</w:t>
      </w:r>
      <w:r>
        <w:rPr>
          <w:rFonts w:ascii="Times New Roman" w:hAnsi="Times New Roman"/>
          <w:sz w:val="20"/>
        </w:rPr>
        <w:t xml:space="preserve"> means, with respect to any Person, any and all business records, financial books and records, minute books, sales order files, purchase order files, supplier lists, customer lists, studies, surveys, analyses, strategies, plans, forms, designs, diagrams, drawings, specifications and technical data. </w:t>
      </w:r>
    </w:p>
    <w:p>
      <w:pPr>
        <w:pStyle w:val="TextBody"/>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Business Day</w:t>
      </w:r>
      <w:r>
        <w:rPr>
          <w:rFonts w:ascii="Times New Roman" w:hAnsi="Times New Roman"/>
          <w:sz w:val="20"/>
        </w:rPr>
        <w:t xml:space="preserve"> means a day other than a Saturday, Sunday, federal or New York State holiday or other day on which commercial banks in New York City are authorized or required by law to be closed for business; </w:t>
      </w:r>
      <w:r>
        <w:rPr>
          <w:rFonts w:ascii="Times New Roman" w:hAnsi="Times New Roman"/>
          <w:sz w:val="20"/>
          <w:u w:val="single"/>
        </w:rPr>
        <w:t>provided</w:t>
      </w:r>
      <w:r>
        <w:rPr>
          <w:rFonts w:ascii="Times New Roman" w:hAnsi="Times New Roman"/>
          <w:sz w:val="20"/>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 </w:t>
      </w:r>
    </w:p>
    <w:p>
      <w:pPr>
        <w:pStyle w:val="TextBody"/>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Code</w:t>
      </w:r>
      <w:r>
        <w:rPr>
          <w:rFonts w:ascii="Times New Roman" w:hAnsi="Times New Roman"/>
          <w:sz w:val="20"/>
        </w:rPr>
        <w:t xml:space="preserve"> means the United States Internal Revenue Code of 1986, as amended. </w:t>
      </w:r>
    </w:p>
    <w:p>
      <w:pPr>
        <w:pStyle w:val="TextBody"/>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Commercial Tax Agreement</w:t>
      </w:r>
      <w:r>
        <w:rPr>
          <w:rFonts w:ascii="Times New Roman" w:hAnsi="Times New Roman"/>
          <w:sz w:val="20"/>
        </w:rPr>
        <w:t xml:space="preserve"> means commercial agreements not primarily related to Taxes that contain agreements or arrangements relating to the apportionment, sharing, assignment or allocation of Taxes (such as financing agreements with Tax gross-up obligations or leases with Tax escalation provisions). </w:t>
      </w:r>
    </w:p>
    <w:p>
      <w:pPr>
        <w:pStyle w:val="TextBody"/>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Confidentiality Agreement</w:t>
      </w:r>
      <w:r>
        <w:rPr>
          <w:rFonts w:ascii="Times New Roman" w:hAnsi="Times New Roman"/>
          <w:sz w:val="20"/>
        </w:rPr>
        <w:t xml:space="preserve"> means the Non-Disclosure Agreement, dated November 18, 2020, by and between VIH and Bakkt Opco. </w:t>
      </w:r>
    </w:p>
    <w:p>
      <w:pPr>
        <w:pStyle w:val="TextBody"/>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Contract</w:t>
      </w:r>
      <w:r>
        <w:rPr>
          <w:rFonts w:ascii="Times New Roman" w:hAnsi="Times New Roman"/>
          <w:sz w:val="20"/>
        </w:rPr>
        <w:t xml:space="preserve"> means any legally binding contract, plan, undertaking, arrangement, concession, understanding, agreement, agreement in principle, franchise, permit, instrument, license, lease, sublease, note, bond, indenture, deed of trust, mortgage, loan agreement or other binding commitment, whether written or oral (including any amendments and other modifications thereto). </w:t>
      </w:r>
    </w:p>
    <w:p>
      <w:pPr>
        <w:pStyle w:val="TextBody"/>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Covered Representations</w:t>
      </w:r>
      <w:r>
        <w:rPr>
          <w:rFonts w:ascii="Times New Roman" w:hAnsi="Times New Roman"/>
          <w:sz w:val="20"/>
        </w:rPr>
        <w:t xml:space="preserve"> means the express representations and warranties (i) of Bakkt Opco, VIH and Merger Sub set forth in </w:t>
      </w:r>
      <w:r>
        <w:rPr>
          <w:rFonts w:ascii="Times New Roman" w:hAnsi="Times New Roman"/>
          <w:sz w:val="20"/>
          <w:u w:val="single"/>
        </w:rPr>
        <w:t>Article III</w:t>
      </w:r>
      <w:r>
        <w:rPr>
          <w:rFonts w:ascii="Times New Roman" w:hAnsi="Times New Roman"/>
          <w:sz w:val="20"/>
        </w:rPr>
        <w:t xml:space="preserve"> or </w:t>
      </w:r>
      <w:r>
        <w:rPr>
          <w:rFonts w:ascii="Times New Roman" w:hAnsi="Times New Roman"/>
          <w:sz w:val="20"/>
          <w:u w:val="single"/>
        </w:rPr>
        <w:t>Article IV</w:t>
      </w:r>
      <w:r>
        <w:rPr>
          <w:rFonts w:ascii="Times New Roman" w:hAnsi="Times New Roman"/>
          <w:sz w:val="20"/>
        </w:rPr>
        <w:t xml:space="preserve"> of this Agreement, respectively, as qualified by the Bakkt Disclosure Letter and the VIH Disclosure Letter, respectively or (ii) in any Transaction Document. </w:t>
      </w:r>
    </w:p>
    <w:p>
      <w:pPr>
        <w:pStyle w:val="TextBody"/>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Deemed Liquidation</w:t>
      </w:r>
      <w:r>
        <w:rPr>
          <w:rFonts w:ascii="Times New Roman" w:hAnsi="Times New Roman"/>
          <w:sz w:val="20"/>
        </w:rPr>
        <w:t xml:space="preserve"> means a hypothetical complete liquidation of Bakkt Opco immediately prior to the Effective Time pursuant to the rights and preferences of all outstanding classes of Bakkt Interests and Bakkt Opco Warrants of Bakkt Opco as of such time pursuant to Section 14.2 of the Bakkt Opco LLC Agreement, assuming the exercise in full immediately prior to the Effective Time of all outstanding Bakkt Opco Warrants. </w:t>
      </w:r>
    </w:p>
    <w:p>
      <w:pPr>
        <w:pStyle w:val="TextBody"/>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Employee Payments</w:t>
      </w:r>
      <w:r>
        <w:rPr>
          <w:rFonts w:ascii="Times New Roman" w:hAnsi="Times New Roman"/>
          <w:sz w:val="20"/>
        </w:rPr>
        <w:t xml:space="preserve"> means any change of control bonuses, transaction bonus, retention bonus, severance, phantom equity, profit participation or similar compensatory payments or rights, payable by Bakkt Opco or any of its Subsidiaries, in any case, made or required to be made, to any current or former employee, independent contractor, director, manager or officer of Bakkt Opco or one of its Subsidiaries solely as a result of the Transactions, in all cases, including the employer portion of any payroll and other employment Taxes payable in connection therewith, excluding any payments included on the Final Merger Consideration Spreadsheet. </w:t>
      </w:r>
    </w:p>
    <w:p>
      <w:pPr>
        <w:pStyle w:val="TextBody"/>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Environmental Law</w:t>
      </w:r>
      <w:r>
        <w:rPr>
          <w:rFonts w:ascii="Times New Roman" w:hAnsi="Times New Roman"/>
          <w:sz w:val="20"/>
        </w:rPr>
        <w:t xml:space="preserve"> means any Law in any way relating to (i) the protection of human health and safety, to the extent relating to exposure to Hazardous Materials, (ii) the protection, preservation or restoration of the environment and natural resources (including air, water vapor, surface water, groundwater,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drinking water supply, surface land, subsurface land, plant and animal life or any other natural resource), or (iii) the exposure to, or the use, storage, recycling, treatment, generation, transportation, processing, handling, labeling, production, release or disposal of Hazardous Materials, including the Comprehensive Environmental Response, Compensation and Liability Act, 42 USC. Section 9601 et. seq., the Resource Conservation and Recovery Act, 42 USC. Section 6901 et. seq., the Toxic Substances Control Act, 15 USC. Section 2601 et. seq., the Federal Water Pollution Control Act, 33 USC. Section 1151 et seq., the Clean Air Act, 42 USC. Section 7401 et seq., the Federal Insecticide, Fungicide and Rodenticide Act, 7 USC. Section 111 et. seq., Occupational Safety and Health Act, 29 USC. Section 651 et. seq. (to the extent it relates to exposure to Hazardous Materials), the Asbestos Hazard Emergency Response Act, 15 USC. Section 2601 et. seq., the Safe Drinking Water Act, 42 USC. Section 300f et. seq., the Oil Pollution Act of 1990 and analogous state acts. </w:t>
      </w:r>
    </w:p>
    <w:p>
      <w:pPr>
        <w:pStyle w:val="TextBody"/>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Equity Interest</w:t>
      </w:r>
      <w:r>
        <w:rPr>
          <w:rFonts w:ascii="Times New Roman" w:hAnsi="Times New Roman"/>
          <w:sz w:val="20"/>
        </w:rPr>
        <w:t xml:space="preserve"> means, with respect to any Person, (i) any share, partnership or limited liability company interest, unit of participation or other similar interest (however designated) in such Person and (ii) any option, warrant, security, purchase right, conversion right, exchange right or other agreement that would entitle any other Person to acquire, exchange, convert or exercise any such interest in such Person (including share appreciation, phantom share, profit participation or other similar rights). </w:t>
      </w:r>
    </w:p>
    <w:p>
      <w:pPr>
        <w:pStyle w:val="TextBody"/>
        <w:spacing w:before="12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ERISA Affiliate</w:t>
      </w:r>
      <w:r>
        <w:rPr>
          <w:rFonts w:ascii="Times New Roman" w:hAnsi="Times New Roman"/>
          <w:sz w:val="20"/>
        </w:rPr>
        <w:t xml:space="preserve"> means any Person that, together with Bakkt Opco or any of its Subsidiaries, is treated as a single employer under Section 414 of the Code and the regulations issued thereunder. </w:t>
      </w:r>
    </w:p>
    <w:p>
      <w:pPr>
        <w:pStyle w:val="TextBody"/>
        <w:spacing w:before="12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as they may be amended from time to time. </w:t>
      </w:r>
    </w:p>
    <w:p>
      <w:pPr>
        <w:pStyle w:val="TextBody"/>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FCPA</w:t>
      </w:r>
      <w:r>
        <w:rPr>
          <w:rFonts w:ascii="Times New Roman" w:hAnsi="Times New Roman"/>
          <w:sz w:val="20"/>
        </w:rPr>
        <w:t xml:space="preserve"> means the Foreign Corrupt Practices Act of 1977, as amended. </w:t>
      </w:r>
    </w:p>
    <w:p>
      <w:pPr>
        <w:pStyle w:val="TextBody"/>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Fraud Claim</w:t>
      </w:r>
      <w:r>
        <w:rPr>
          <w:rFonts w:ascii="Times New Roman" w:hAnsi="Times New Roman"/>
          <w:sz w:val="20"/>
        </w:rPr>
        <w:t xml:space="preserve"> means a claim against a Person for actual intentional fraud (not constructive fraud, negligent misrepresentation or similar theories) of such Person with respect to the making of a Covered Representation when made, with the intent to mislead or deceive and to induce reliance on such Covered Representation; </w:t>
      </w:r>
      <w:r>
        <w:rPr>
          <w:rFonts w:ascii="Times New Roman" w:hAnsi="Times New Roman"/>
          <w:sz w:val="20"/>
          <w:u w:val="single"/>
        </w:rPr>
        <w:t>provided</w:t>
      </w:r>
      <w:r>
        <w:rPr>
          <w:rFonts w:ascii="Times New Roman" w:hAnsi="Times New Roman"/>
          <w:sz w:val="20"/>
        </w:rPr>
        <w:t xml:space="preserve">, that, for the avoidance of doubt, no Person shall be liable for or as a result of any other Persons actual intentional fraud. </w:t>
      </w:r>
    </w:p>
    <w:p>
      <w:pPr>
        <w:pStyle w:val="TextBody"/>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Governmental Authority</w:t>
      </w:r>
      <w:r>
        <w:rPr>
          <w:rFonts w:ascii="Times New Roman" w:hAnsi="Times New Roman"/>
          <w:sz w:val="20"/>
        </w:rPr>
        <w:t xml:space="preserve">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 </w:t>
      </w:r>
    </w:p>
    <w:p>
      <w:pPr>
        <w:pStyle w:val="TextBody"/>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Hazardous Material</w:t>
      </w:r>
      <w:r>
        <w:rPr>
          <w:rFonts w:ascii="Times New Roman" w:hAnsi="Times New Roman"/>
          <w:sz w:val="20"/>
        </w:rPr>
        <w:t xml:space="preserve">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under any Environmental Law. </w:t>
      </w:r>
    </w:p>
    <w:p>
      <w:pPr>
        <w:pStyle w:val="TextBody"/>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Intellectual Property</w:t>
      </w:r>
      <w:r>
        <w:rPr>
          <w:rFonts w:ascii="Times New Roman" w:hAnsi="Times New Roman"/>
          <w:sz w:val="20"/>
        </w:rPr>
        <w:t xml:space="preserve"> means the following subsisting in any jurisdiction throughout the world: (i) patents, patent disclosures and patent applications (including all related continuations, continuations-in-part, divisionals, reissues and reexaminations); (ii) trademarks, service marks, trade dress, trade names, Internet domain names, corporate names and other indicia of origin, in each case, whether or not registered, and all registrations and applications for registration or renewal of the foregoing, including intent-to-use registrations or similar reservations of marks, and any goodwill related thereto; (iii) copyrights, including copyrights in Software and other works of authorship, design rights, database rights and other rights in copyrightable work, whether registered as copyrights or unregistered, and registrations and applications for registration or renewal thereof, including moral rights of authors; (iv) rights in Trade Secrets; (v) rights in Software programs, including rights in all source code, object code and documentation related thereto, and rights in all Software modules, tools and databases; and (vi) all rights to seek past and future damages with respect to any infringement, misappropriation or violation of the foregoing. </w:t>
      </w:r>
    </w:p>
    <w:p>
      <w:pPr>
        <w:pStyle w:val="TextBody"/>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IPO Prospectus</w:t>
      </w:r>
      <w:r>
        <w:rPr>
          <w:rFonts w:ascii="Times New Roman" w:hAnsi="Times New Roman"/>
          <w:sz w:val="20"/>
        </w:rPr>
        <w:t xml:space="preserve"> means that certain prospectus filed with the SEC pursuant to Rule 424(b)(4) on September 22, 2020 in connection with the completion of VIHs IPO.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Law</w:t>
      </w:r>
      <w:r>
        <w:rPr>
          <w:rFonts w:ascii="Times New Roman" w:hAnsi="Times New Roman"/>
          <w:sz w:val="20"/>
        </w:rPr>
        <w:t xml:space="preserve">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 </w:t>
      </w:r>
    </w:p>
    <w:p>
      <w:pPr>
        <w:pStyle w:val="TextBody"/>
        <w:spacing w:before="12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License</w:t>
      </w:r>
      <w:r>
        <w:rPr>
          <w:rFonts w:ascii="Times New Roman" w:hAnsi="Times New Roman"/>
          <w:sz w:val="20"/>
        </w:rPr>
        <w:t xml:space="preserve"> means any license, franchise, charter, Permit, order, approval or non-objection, no-action letter, regulatory waiver or exemptive relief, registration, membership, authorization or qualification issued under any applicable Law by any Governmental Authority, other than any licenses relating to Intellectual Property. </w:t>
      </w:r>
    </w:p>
    <w:p>
      <w:pPr>
        <w:pStyle w:val="TextBody"/>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Lien</w:t>
      </w:r>
      <w:r>
        <w:rPr>
          <w:rFonts w:ascii="Times New Roman" w:hAnsi="Times New Roman"/>
          <w:sz w:val="20"/>
        </w:rPr>
        <w:t xml:space="preserve"> means any mortgage, security interest, pledge, hypothecation, assignment, deposit arrangement, encumbrance, lien (statutory or otherwise), charge, preference, priority or other security agreement, option, warrant, attachment, right of first refusal, preemption, proxy, voting trust, conversion, put, call or other claim or right, restriction on transfer, under any shareholder or similar agreement, any subordination arrangement in favor of another Person, or any filing or agreement to file a financing statement as debtor under the Uniform Commercial Code or any similar Law. </w:t>
      </w:r>
    </w:p>
    <w:p>
      <w:pPr>
        <w:pStyle w:val="TextBody"/>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Majority Bakkt Equity Holder</w:t>
      </w:r>
      <w:r>
        <w:rPr>
          <w:rFonts w:ascii="Times New Roman" w:hAnsi="Times New Roman"/>
          <w:sz w:val="20"/>
        </w:rPr>
        <w:t xml:space="preserve"> means Intercontinental Exchange Holdings, Inc., a Delaware corporation. </w:t>
      </w:r>
    </w:p>
    <w:p>
      <w:pPr>
        <w:pStyle w:val="TextBody"/>
        <w:spacing w:before="12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Material Adverse Effect</w:t>
      </w:r>
      <w:r>
        <w:rPr>
          <w:rFonts w:ascii="Times New Roman" w:hAnsi="Times New Roman"/>
          <w:sz w:val="20"/>
        </w:rPr>
        <w:t> means any result, occurrence, fact, change, event or effect (collectively, </w:t>
      </w:r>
      <w:r>
        <w:rPr>
          <w:rFonts w:ascii="Times New Roman" w:hAnsi="Times New Roman"/>
          <w:sz w:val="20"/>
          <w:u w:val="single"/>
        </w:rPr>
        <w:t>Events</w:t>
      </w:r>
      <w:r>
        <w:rPr>
          <w:rFonts w:ascii="Times New Roman" w:hAnsi="Times New Roman"/>
          <w:sz w:val="20"/>
        </w:rPr>
        <w:t xml:space="preserve">) that, individually or in the aggregate with any other results, occurrences, facts, changes, events and/or effects, has had or would be reasonably likely to have a material adverse effect on (i) the business, assets, Liabilities, results of operations or condition (financial or otherwise) of Bakkt Opco and its Subsidiaries, taken as a whole, or (ii) the ability of Bakkt Opco to consummate the Transactions or to perform their respective obligations hereunder or under the Transaction Documents to which they are a party or bound. Notwithstanding the foregoing, for purposes of </w:t>
      </w:r>
      <w:r>
        <w:rPr>
          <w:rFonts w:ascii="Times New Roman" w:hAnsi="Times New Roman"/>
          <w:sz w:val="20"/>
          <w:u w:val="single"/>
        </w:rPr>
        <w:t>clause (i)</w:t>
      </w:r>
      <w:r>
        <w:rPr>
          <w:rFonts w:ascii="Times New Roman" w:hAnsi="Times New Roman"/>
          <w:sz w:val="20"/>
        </w:rPr>
        <w:t xml:space="preserve"> above, no Event (by itself or taken with any and all of the other Events) that results from or arises out of or is related to any of the following shall be deemed to constitute or be taken into account in determining whether there has been, a Material Adverse Effect: (A) any change affecting generally the industries or markets in which Bakkt Opco and its Subsidiaries operate, including in any change in the financial markets, credit markets or capital markets in the United States or any other country or region in the world, (B) acts of God, including pandemics (including the COVID-19 virus or any mutation thereof) and the impact of such pandemics on the health of any officer, employee or consultant of Bakkt Opco and the actions of Governmental Authorities in response thereto, (C) any change in national or international political or social conditions, including (1)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or (2) social unrest, including protests, demonstrations, riots, arson, conflagration, looting, boycotts, or the response of any Governmental Authorities or their authorized or unauthorized representatives to such actions, (D) any change in GAAP (or the interpretation thereof), (E) any change in Law, rules, regulations, Orders, or other binding directives issued by any Governmental Authority (or the interpretation thereof), (F) any failure by Bakkt Opco to meet any internal or external operating projections or forecasts or revenue or earnings predictions (</w:t>
      </w:r>
      <w:r>
        <w:rPr>
          <w:rFonts w:ascii="Times New Roman" w:hAnsi="Times New Roman"/>
          <w:sz w:val="20"/>
          <w:u w:val="single"/>
        </w:rPr>
        <w:t>provided</w:t>
      </w:r>
      <w:r>
        <w:rPr>
          <w:rFonts w:ascii="Times New Roman" w:hAnsi="Times New Roman"/>
          <w:sz w:val="20"/>
        </w:rPr>
        <w:t xml:space="preserve">, that the underlying cause of any such failure may be considered in determining whether a Material Adverse Effect has occurred or would reasonably be expected to occur to the extent not excluded by another exception herein), (G) the taking of any action expressly required by this Agreement or (H) the public announcement or pendency of this Agreement or any of the Transactions (including but not limited to any impact on the relationships of Bakkt Opco and its Subsidiaries with customers, vendors, or employees, including voluntary departures of employees in anticipation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in each case under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above, that such change does not affect Bakkt Opco and its Subsidiaries in a disproportionate manner relative to other Persons operating in the industries or markets in which Bakkt Opco and its Subsidiaries operate (in which case it shall be taken into account in determining whether there has been a Material Adverse Effect but only to the extent of the incremental disproportionate effect thereof).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Merger Sub Equity Holders Approval</w:t>
      </w:r>
      <w:r>
        <w:rPr>
          <w:rFonts w:ascii="Times New Roman" w:hAnsi="Times New Roman"/>
          <w:sz w:val="20"/>
        </w:rPr>
        <w:t xml:space="preserve"> means the affirmative vote or written consent of VIH voting or consenting in favor of the adoption of this Agreement, which Merger Sub Equity Holders Approval has been effectuated. </w:t>
      </w:r>
    </w:p>
    <w:p>
      <w:pPr>
        <w:pStyle w:val="TextBody"/>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Minimum Available Cash</w:t>
      </w:r>
      <w:r>
        <w:rPr>
          <w:rFonts w:ascii="Times New Roman" w:hAnsi="Times New Roman"/>
          <w:sz w:val="20"/>
        </w:rPr>
        <w:t xml:space="preserve"> means an amount equal to four hundred twenty-five million dollars ($425,000,000). </w:t>
      </w:r>
    </w:p>
    <w:p>
      <w:pPr>
        <w:pStyle w:val="TextBody"/>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Multiemployer Plan</w:t>
      </w:r>
      <w:r>
        <w:rPr>
          <w:rFonts w:ascii="Times New Roman" w:hAnsi="Times New Roman"/>
          <w:sz w:val="20"/>
        </w:rPr>
        <w:t xml:space="preserve"> means any Benefit Plan described in Section 3(37) of ERISA, a multiple employer plan as defined in Section 413(c) of the Code, or a multiple employer welfare arrangement within the meaning of Section 3(40) of ERISA. </w:t>
      </w:r>
    </w:p>
    <w:p>
      <w:pPr>
        <w:pStyle w:val="TextBody"/>
        <w:spacing w:before="120" w:after="0"/>
        <w:jc w:val="left"/>
        <w:rPr>
          <w:rFonts w:ascii="Times New Roman" w:hAnsi="Times New Roman"/>
          <w:sz w:val="20"/>
        </w:rPr>
      </w:pPr>
      <w:r>
        <w:rPr>
          <w:rFonts w:ascii="Times New Roman" w:hAnsi="Times New Roman"/>
          <w:sz w:val="20"/>
        </w:rPr>
        <w:t>(fff) </w:t>
      </w:r>
      <w:r>
        <w:rPr>
          <w:rFonts w:ascii="Times New Roman" w:hAnsi="Times New Roman"/>
          <w:sz w:val="20"/>
          <w:u w:val="single"/>
        </w:rPr>
        <w:t>National Stock Exchange</w:t>
      </w:r>
      <w:r>
        <w:rPr>
          <w:rFonts w:ascii="Times New Roman" w:hAnsi="Times New Roman"/>
          <w:sz w:val="20"/>
        </w:rPr>
        <w:t xml:space="preserve"> means either The Nasdaq Stock Market LLC or the New York Stock Exchange, as applicable. </w:t>
      </w:r>
    </w:p>
    <w:p>
      <w:pPr>
        <w:pStyle w:val="TextBody"/>
        <w:spacing w:before="120" w:after="0"/>
        <w:jc w:val="left"/>
        <w:rPr>
          <w:rFonts w:ascii="Times New Roman" w:hAnsi="Times New Roman"/>
          <w:sz w:val="20"/>
        </w:rPr>
      </w:pPr>
      <w:r>
        <w:rPr>
          <w:rFonts w:ascii="Times New Roman" w:hAnsi="Times New Roman"/>
          <w:sz w:val="20"/>
        </w:rPr>
        <w:t>(ggg) </w:t>
      </w:r>
      <w:r>
        <w:rPr>
          <w:rFonts w:ascii="Times New Roman" w:hAnsi="Times New Roman"/>
          <w:sz w:val="20"/>
          <w:u w:val="single"/>
        </w:rPr>
        <w:t>Order</w:t>
      </w:r>
      <w:r>
        <w:rPr>
          <w:rFonts w:ascii="Times New Roman" w:hAnsi="Times New Roman"/>
          <w:sz w:val="20"/>
        </w:rPr>
        <w:t xml:space="preserve"> means any order, decree, ruling, judgment, injunction, writ, determination, binding decision, verdict, judicial award or other action that is or has been made, entered, rendered, or otherwise put into effect by or under the authority of any Governmental Authority. </w:t>
      </w:r>
    </w:p>
    <w:p>
      <w:pPr>
        <w:pStyle w:val="TextBody"/>
        <w:spacing w:before="120" w:after="0"/>
        <w:jc w:val="left"/>
        <w:rPr>
          <w:rFonts w:ascii="Times New Roman" w:hAnsi="Times New Roman"/>
          <w:sz w:val="20"/>
        </w:rPr>
      </w:pPr>
      <w:r>
        <w:rPr>
          <w:rFonts w:ascii="Times New Roman" w:hAnsi="Times New Roman"/>
          <w:sz w:val="20"/>
        </w:rPr>
        <w:t>(hhh) </w:t>
      </w:r>
      <w:r>
        <w:rPr>
          <w:rFonts w:ascii="Times New Roman" w:hAnsi="Times New Roman"/>
          <w:sz w:val="20"/>
          <w:u w:val="single"/>
        </w:rPr>
        <w:t>ordinary course of business</w:t>
      </w:r>
      <w:r>
        <w:rPr>
          <w:rFonts w:ascii="Times New Roman" w:hAnsi="Times New Roman"/>
          <w:sz w:val="20"/>
        </w:rPr>
        <w:t xml:space="preserve"> as used herein means the applicable Persons ordinary course of business, consistent with past practice, as such practices may be modified from time to time to take into account any pandemic (including the COVID-19 virus or any mutation thereof), actions taken by Governmental Authorities arising out of any such pandemic. </w:t>
      </w:r>
    </w:p>
    <w:p>
      <w:pPr>
        <w:pStyle w:val="TextBody"/>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Organizational Documents</w:t>
      </w:r>
      <w:r>
        <w:rPr>
          <w:rFonts w:ascii="Times New Roman" w:hAnsi="Times New Roman"/>
          <w:sz w:val="20"/>
        </w:rPr>
        <w:t xml:space="preserve">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operating agreement and the certificate of organization of a limited liability company, (v) the trust agreement and any documents that govern the formation of a trust; (vi) any charter or similar document adopted or filed in connection with the creation, formation, or organization of a Person; and (vii) any amendment to any of the foregoing. </w:t>
      </w:r>
    </w:p>
    <w:p>
      <w:pPr>
        <w:pStyle w:val="TextBody"/>
        <w:spacing w:before="120" w:after="0"/>
        <w:jc w:val="left"/>
        <w:rPr>
          <w:rFonts w:ascii="Times New Roman" w:hAnsi="Times New Roman"/>
          <w:sz w:val="20"/>
        </w:rPr>
      </w:pPr>
      <w:r>
        <w:rPr>
          <w:rFonts w:ascii="Times New Roman" w:hAnsi="Times New Roman"/>
          <w:sz w:val="20"/>
        </w:rPr>
        <w:t>(jjj) </w:t>
      </w:r>
      <w:r>
        <w:rPr>
          <w:rFonts w:ascii="Times New Roman" w:hAnsi="Times New Roman"/>
          <w:sz w:val="20"/>
          <w:u w:val="single"/>
        </w:rPr>
        <w:t>Parent Benefit Plans</w:t>
      </w:r>
      <w:r>
        <w:rPr>
          <w:rFonts w:ascii="Times New Roman" w:hAnsi="Times New Roman"/>
          <w:sz w:val="20"/>
        </w:rPr>
        <w:t xml:space="preserve"> means any Benefit Plan for which Intercontinental Exchange, Inc. is or has been the plan sponsor (as defined in Section 3(16)(B) of ERISA) or any Benefit Plan that Intercontinental Exchange, Inc. maintains or to which it is obligated to make payments or has any current or future Liability, in each case with respect to any present or former employees of Bakkt Opco or any of its Subsidiaries. </w:t>
      </w:r>
    </w:p>
    <w:p>
      <w:pPr>
        <w:pStyle w:val="TextBody"/>
        <w:spacing w:before="120" w:after="0"/>
        <w:jc w:val="left"/>
        <w:rPr>
          <w:rFonts w:ascii="Times New Roman" w:hAnsi="Times New Roman"/>
          <w:sz w:val="20"/>
        </w:rPr>
      </w:pPr>
      <w:r>
        <w:rPr>
          <w:rFonts w:ascii="Times New Roman" w:hAnsi="Times New Roman"/>
          <w:sz w:val="20"/>
        </w:rPr>
        <w:t>(kkk) </w:t>
      </w:r>
      <w:r>
        <w:rPr>
          <w:rFonts w:ascii="Times New Roman" w:hAnsi="Times New Roman"/>
          <w:sz w:val="20"/>
          <w:u w:val="single"/>
        </w:rPr>
        <w:t>Participation Units</w:t>
      </w:r>
      <w:r>
        <w:rPr>
          <w:rFonts w:ascii="Times New Roman" w:hAnsi="Times New Roman"/>
          <w:sz w:val="20"/>
        </w:rPr>
        <w:t xml:space="preserve"> means the Participation Units as defined in the Bakkt Equity Incentive Plan, including any Phantom Unit (as defined in the Bakkt Equity Incentive Plan) as set forth in the Bakkt Opco LLC Agreement. </w:t>
      </w:r>
    </w:p>
    <w:p>
      <w:pPr>
        <w:pStyle w:val="TextBody"/>
        <w:spacing w:before="120" w:after="0"/>
        <w:jc w:val="left"/>
        <w:rPr>
          <w:rFonts w:ascii="Times New Roman" w:hAnsi="Times New Roman"/>
          <w:sz w:val="20"/>
        </w:rPr>
      </w:pPr>
      <w:r>
        <w:rPr>
          <w:rFonts w:ascii="Times New Roman" w:hAnsi="Times New Roman"/>
          <w:sz w:val="20"/>
        </w:rPr>
        <w:t>(lll) </w:t>
      </w:r>
      <w:r>
        <w:rPr>
          <w:rFonts w:ascii="Times New Roman" w:hAnsi="Times New Roman"/>
          <w:sz w:val="20"/>
          <w:u w:val="single"/>
        </w:rPr>
        <w:t>Pension Plan</w:t>
      </w:r>
      <w:r>
        <w:rPr>
          <w:rFonts w:ascii="Times New Roman" w:hAnsi="Times New Roman"/>
          <w:sz w:val="20"/>
        </w:rPr>
        <w:t xml:space="preserve"> means any Benefit Plan subject to Section 412 of the Code or Section 302 of ERISA or Title IV of ERISA (including any Multiemployer Plan). </w:t>
      </w:r>
    </w:p>
    <w:p>
      <w:pPr>
        <w:pStyle w:val="TextBody"/>
        <w:spacing w:before="120" w:after="0"/>
        <w:jc w:val="left"/>
        <w:rPr>
          <w:rFonts w:ascii="Times New Roman" w:hAnsi="Times New Roman"/>
          <w:sz w:val="20"/>
        </w:rPr>
      </w:pPr>
      <w:r>
        <w:rPr>
          <w:rFonts w:ascii="Times New Roman" w:hAnsi="Times New Roman"/>
          <w:sz w:val="20"/>
        </w:rPr>
        <w:t>(mmm) </w:t>
      </w:r>
      <w:r>
        <w:rPr>
          <w:rFonts w:ascii="Times New Roman" w:hAnsi="Times New Roman"/>
          <w:sz w:val="20"/>
          <w:u w:val="single"/>
        </w:rPr>
        <w:t>Permit</w:t>
      </w:r>
      <w:r>
        <w:rPr>
          <w:rFonts w:ascii="Times New Roman" w:hAnsi="Times New Roman"/>
          <w:sz w:val="20"/>
        </w:rPr>
        <w:t xml:space="preserve"> with respect to any Person, any License, accreditation, bond,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 </w:t>
      </w:r>
    </w:p>
    <w:p>
      <w:pPr>
        <w:pStyle w:val="TextBody"/>
        <w:spacing w:before="120" w:after="0"/>
        <w:jc w:val="left"/>
        <w:rPr>
          <w:rFonts w:ascii="Times New Roman" w:hAnsi="Times New Roman"/>
          <w:sz w:val="20"/>
        </w:rPr>
      </w:pPr>
      <w:r>
        <w:rPr>
          <w:rFonts w:ascii="Times New Roman" w:hAnsi="Times New Roman"/>
          <w:sz w:val="20"/>
        </w:rPr>
        <w:t>(nnn) </w:t>
      </w:r>
      <w:r>
        <w:rPr>
          <w:rFonts w:ascii="Times New Roman" w:hAnsi="Times New Roman"/>
          <w:sz w:val="20"/>
          <w:u w:val="single"/>
        </w:rPr>
        <w:t>Permitted Liens</w:t>
      </w:r>
      <w:r>
        <w:rPr>
          <w:rFonts w:ascii="Times New Roman" w:hAnsi="Times New Roman"/>
          <w:sz w:val="20"/>
        </w:rPr>
        <w:t xml:space="preserve"> means (i) any Liens for Taxes that are not yet due and payable as of the Closing Date or for Taxes that the taxpayer is diligently contesting in good faith and by appropriate proceedings and for which adequate reserves have been established in accordance with GAAP, (ii) any landlords, mechanics, carriers, workmens, repairmens or other similar statutory Lien arising or incurred in the ordinary course of business that does not materially detract from the value or use of the property encumbered thereby, (iii)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 or interfere or otherwise impair the current use, occupancy, value or marketability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title of the assets subject thereto, (iv) restrictions on transfers as required by state and federal securities Laws or pursuant to the terms of the Bakkt Opco LLC Agreement, (v) zoning, entitlement, building and other land use regulations and codes imposed by any Governmental Authority having jurisdiction over the Bakkt Real Property which are not violated in any material respect by the current use thereof, (vi) non-exclusive licenses of Intellectual Property granted in the ordinary course of business, and (vii) statutory Liens of lessors under the Real Property Leases for amounts not yet due, or Liens encumbering the fee interests (or any superior leasehold interest) in the Bakkt Leased Real Property. </w:t>
      </w:r>
    </w:p>
    <w:p>
      <w:pPr>
        <w:pStyle w:val="TextBody"/>
        <w:spacing w:before="120" w:after="0"/>
        <w:jc w:val="left"/>
        <w:rPr>
          <w:rFonts w:ascii="Times New Roman" w:hAnsi="Times New Roman"/>
          <w:sz w:val="20"/>
        </w:rPr>
      </w:pPr>
      <w:r>
        <w:rPr>
          <w:rFonts w:ascii="Times New Roman" w:hAnsi="Times New Roman"/>
          <w:sz w:val="20"/>
        </w:rPr>
        <w:t>(ooo) </w:t>
      </w:r>
      <w:r>
        <w:rPr>
          <w:rFonts w:ascii="Times New Roman" w:hAnsi="Times New Roman"/>
          <w:sz w:val="20"/>
          <w:u w:val="single"/>
        </w:rPr>
        <w:t>Person</w:t>
      </w:r>
      <w:r>
        <w:rPr>
          <w:rFonts w:ascii="Times New Roman" w:hAnsi="Times New Roman"/>
          <w:sz w:val="20"/>
        </w:rPr>
        <w:t xml:space="preserve"> means any natural person, corporation, general partnership, limited partnership, limited liability company, limited liability partnership, proprietorship, trust, union, association, Governmental Authority or other entity, enterprise, authority or business organization. </w:t>
      </w:r>
    </w:p>
    <w:p>
      <w:pPr>
        <w:pStyle w:val="TextBody"/>
        <w:spacing w:before="120" w:after="0"/>
        <w:jc w:val="left"/>
        <w:rPr>
          <w:rFonts w:ascii="Times New Roman" w:hAnsi="Times New Roman"/>
          <w:sz w:val="20"/>
        </w:rPr>
      </w:pPr>
      <w:r>
        <w:rPr>
          <w:rFonts w:ascii="Times New Roman" w:hAnsi="Times New Roman"/>
          <w:sz w:val="20"/>
        </w:rPr>
        <w:t>(ppp) </w:t>
      </w:r>
      <w:r>
        <w:rPr>
          <w:rFonts w:ascii="Times New Roman" w:hAnsi="Times New Roman"/>
          <w:sz w:val="20"/>
          <w:u w:val="single"/>
        </w:rPr>
        <w:t>Pre-Closing Tax Period</w:t>
      </w:r>
      <w:r>
        <w:rPr>
          <w:rFonts w:ascii="Times New Roman" w:hAnsi="Times New Roman"/>
          <w:sz w:val="20"/>
        </w:rPr>
        <w:t xml:space="preserve"> means all taxable years or other taxable periods that end on or before the Closing Date and, with respect to any Straddle Period, the portion of such Straddle Period ending on and including the Closing Date. </w:t>
      </w:r>
    </w:p>
    <w:p>
      <w:pPr>
        <w:pStyle w:val="TextBody"/>
        <w:spacing w:before="120" w:after="0"/>
        <w:jc w:val="left"/>
        <w:rPr>
          <w:rFonts w:ascii="Times New Roman" w:hAnsi="Times New Roman"/>
          <w:sz w:val="20"/>
        </w:rPr>
      </w:pPr>
      <w:r>
        <w:rPr>
          <w:rFonts w:ascii="Times New Roman" w:hAnsi="Times New Roman"/>
          <w:sz w:val="20"/>
        </w:rPr>
        <w:t>(qqq) </w:t>
      </w:r>
      <w:r>
        <w:rPr>
          <w:rFonts w:ascii="Times New Roman" w:hAnsi="Times New Roman"/>
          <w:sz w:val="20"/>
          <w:u w:val="single"/>
        </w:rPr>
        <w:t>Public Software</w:t>
      </w:r>
      <w:r>
        <w:rPr>
          <w:rFonts w:ascii="Times New Roman" w:hAnsi="Times New Roman"/>
          <w:sz w:val="20"/>
        </w:rPr>
        <w:t xml:space="preserve"> means any Software that is licensed or distributed as (a) free software or open source software; (b) pursuant to any license identified as an open source license by the Open Source Initiative (www.opensource.org/licenses), including, but not limited to, any version of the GNU General Public License (GPL), GNU Lesser General Public License (LGPL), GNU Affero General Public License (AGPL), MIT License (MIT), Common Public License, CDDL, Mozilla Public License, Academic Free License, Apache License, Artistic License (e.g., PERL) and BSD Licenses; or (c) pursuant to any copyleft license or any other license that substantially conforms to the Open Source Definition provided by the Open Source Initiative at opensource.org/osd. </w:t>
      </w:r>
    </w:p>
    <w:p>
      <w:pPr>
        <w:pStyle w:val="TextBody"/>
        <w:spacing w:before="120" w:after="0"/>
        <w:jc w:val="left"/>
        <w:rPr>
          <w:rFonts w:ascii="Times New Roman" w:hAnsi="Times New Roman"/>
          <w:sz w:val="20"/>
        </w:rPr>
      </w:pPr>
      <w:r>
        <w:rPr>
          <w:rFonts w:ascii="Times New Roman" w:hAnsi="Times New Roman"/>
          <w:sz w:val="20"/>
        </w:rPr>
        <w:t>(rrr) </w:t>
      </w:r>
      <w:r>
        <w:rPr>
          <w:rFonts w:ascii="Times New Roman" w:hAnsi="Times New Roman"/>
          <w:sz w:val="20"/>
          <w:u w:val="single"/>
        </w:rPr>
        <w:t>Qualified Plan</w:t>
      </w:r>
      <w:r>
        <w:rPr>
          <w:rFonts w:ascii="Times New Roman" w:hAnsi="Times New Roman"/>
          <w:sz w:val="20"/>
        </w:rPr>
        <w:t xml:space="preserve"> means any Bakkt Benefit Plan that is intended to meet the requirements of Section 401(a) of the Code. </w:t>
      </w:r>
    </w:p>
    <w:p>
      <w:pPr>
        <w:pStyle w:val="TextBody"/>
        <w:spacing w:before="120" w:after="0"/>
        <w:jc w:val="left"/>
        <w:rPr>
          <w:rFonts w:ascii="Times New Roman" w:hAnsi="Times New Roman"/>
          <w:sz w:val="20"/>
        </w:rPr>
      </w:pPr>
      <w:r>
        <w:rPr>
          <w:rFonts w:ascii="Times New Roman" w:hAnsi="Times New Roman"/>
          <w:sz w:val="20"/>
        </w:rPr>
        <w:t>(sss) </w:t>
      </w:r>
      <w:r>
        <w:rPr>
          <w:rFonts w:ascii="Times New Roman" w:hAnsi="Times New Roman"/>
          <w:sz w:val="20"/>
          <w:u w:val="single"/>
        </w:rPr>
        <w:t>Real Property</w:t>
      </w:r>
      <w:r>
        <w:rPr>
          <w:rFonts w:ascii="Times New Roman" w:hAnsi="Times New Roman"/>
          <w:sz w:val="20"/>
        </w:rPr>
        <w:t xml:space="preserve"> means all interests in real property including fee estates, leaseholds and subleaseholds, purchase options, easements, licenses, rights to access, and rights of way, and all buildings and other improvements thereon, together with any additions thereto or replacements thereof. </w:t>
      </w:r>
    </w:p>
    <w:p>
      <w:pPr>
        <w:pStyle w:val="TextBody"/>
        <w:spacing w:before="120" w:after="0"/>
        <w:jc w:val="left"/>
        <w:rPr>
          <w:rFonts w:ascii="Times New Roman" w:hAnsi="Times New Roman"/>
          <w:sz w:val="20"/>
        </w:rPr>
      </w:pPr>
      <w:r>
        <w:rPr>
          <w:rFonts w:ascii="Times New Roman" w:hAnsi="Times New Roman"/>
          <w:sz w:val="20"/>
        </w:rPr>
        <w:t>(ttt) </w:t>
      </w:r>
      <w:r>
        <w:rPr>
          <w:rFonts w:ascii="Times New Roman" w:hAnsi="Times New Roman"/>
          <w:sz w:val="20"/>
          <w:u w:val="single"/>
        </w:rPr>
        <w:t>Real Property Lease</w:t>
      </w:r>
      <w:r>
        <w:rPr>
          <w:rFonts w:ascii="Times New Roman" w:hAnsi="Times New Roman"/>
          <w:sz w:val="20"/>
        </w:rPr>
        <w:t xml:space="preserve"> means any lease, sublease, license or other Contract with respect to Real Property. </w:t>
      </w:r>
    </w:p>
    <w:p>
      <w:pPr>
        <w:pStyle w:val="TextBody"/>
        <w:spacing w:before="120" w:after="0"/>
        <w:jc w:val="left"/>
        <w:rPr>
          <w:rFonts w:ascii="Times New Roman" w:hAnsi="Times New Roman"/>
          <w:sz w:val="20"/>
        </w:rPr>
      </w:pPr>
      <w:r>
        <w:rPr>
          <w:rFonts w:ascii="Times New Roman" w:hAnsi="Times New Roman"/>
          <w:sz w:val="20"/>
        </w:rPr>
        <w:t>(uuu) </w:t>
      </w:r>
      <w:r>
        <w:rPr>
          <w:rFonts w:ascii="Times New Roman" w:hAnsi="Times New Roman"/>
          <w:sz w:val="20"/>
          <w:u w:val="single"/>
        </w:rPr>
        <w:t>Redemption Price</w:t>
      </w:r>
      <w:r>
        <w:rPr>
          <w:rFonts w:ascii="Times New Roman" w:hAnsi="Times New Roman"/>
          <w:sz w:val="20"/>
        </w:rPr>
        <w:t xml:space="preserve"> means an amount equal to the price at which each VIH Class A Share (or after the Domestication, Bakkt Pubco Class A Share) is redeemed pursuant to the Redemption (as equitably adjusted for stock splits, stock dividends, reorganizations, combinations, recapitalizations and similar transactions affecting the Bakkt Pubco Class A Shares after the Closing). </w:t>
      </w:r>
    </w:p>
    <w:p>
      <w:pPr>
        <w:pStyle w:val="TextBody"/>
        <w:spacing w:before="120" w:after="0"/>
        <w:jc w:val="left"/>
        <w:rPr>
          <w:rFonts w:ascii="Times New Roman" w:hAnsi="Times New Roman"/>
          <w:sz w:val="20"/>
        </w:rPr>
      </w:pPr>
      <w:r>
        <w:rPr>
          <w:rFonts w:ascii="Times New Roman" w:hAnsi="Times New Roman"/>
          <w:sz w:val="20"/>
        </w:rPr>
        <w:t>(vvv) </w:t>
      </w:r>
      <w:r>
        <w:rPr>
          <w:rFonts w:ascii="Times New Roman" w:hAnsi="Times New Roman"/>
          <w:sz w:val="20"/>
          <w:u w:val="single"/>
        </w:rPr>
        <w:t>Related Party</w:t>
      </w:r>
      <w:r>
        <w:rPr>
          <w:rFonts w:ascii="Times New Roman" w:hAnsi="Times New Roman"/>
          <w:sz w:val="20"/>
        </w:rPr>
        <w:t xml:space="preserve"> means, with respect to any Person, such Persons Affiliates, an executive officer or director of such Person or its Affiliates, or any immediate family member of any of the foregoing (or any of their Affiliates). </w:t>
      </w:r>
    </w:p>
    <w:p>
      <w:pPr>
        <w:pStyle w:val="TextBody"/>
        <w:spacing w:before="120" w:after="0"/>
        <w:jc w:val="left"/>
        <w:rPr>
          <w:rFonts w:ascii="Times New Roman" w:hAnsi="Times New Roman"/>
          <w:sz w:val="20"/>
        </w:rPr>
      </w:pPr>
      <w:r>
        <w:rPr>
          <w:rFonts w:ascii="Times New Roman" w:hAnsi="Times New Roman"/>
          <w:sz w:val="20"/>
        </w:rPr>
        <w:t>(www) </w:t>
      </w:r>
      <w:r>
        <w:rPr>
          <w:rFonts w:ascii="Times New Roman" w:hAnsi="Times New Roman"/>
          <w:sz w:val="20"/>
          <w:u w:val="single"/>
        </w:rPr>
        <w:t>Release</w:t>
      </w:r>
      <w:r>
        <w:rPr>
          <w:rFonts w:ascii="Times New Roman" w:hAnsi="Times New Roman"/>
          <w:sz w:val="20"/>
        </w:rPr>
        <w:t xml:space="preserve"> means any release, spill, emission, leaking, pumping, injection, deposit, disposal, discharge, dispersal, or leaching into the indoor or outdoor environment, or into or out of any property. </w:t>
      </w:r>
    </w:p>
    <w:p>
      <w:pPr>
        <w:pStyle w:val="TextBody"/>
        <w:spacing w:before="120" w:after="0"/>
        <w:jc w:val="left"/>
        <w:rPr>
          <w:rFonts w:ascii="Times New Roman" w:hAnsi="Times New Roman"/>
          <w:sz w:val="20"/>
        </w:rPr>
      </w:pPr>
      <w:r>
        <w:rPr>
          <w:rFonts w:ascii="Times New Roman" w:hAnsi="Times New Roman"/>
          <w:sz w:val="20"/>
        </w:rPr>
        <w:t>(xxx) </w:t>
      </w:r>
      <w:r>
        <w:rPr>
          <w:rFonts w:ascii="Times New Roman" w:hAnsi="Times New Roman"/>
          <w:sz w:val="20"/>
          <w:u w:val="single"/>
        </w:rPr>
        <w:t>Representatives</w:t>
      </w:r>
      <w:r>
        <w:rPr>
          <w:rFonts w:ascii="Times New Roman" w:hAnsi="Times New Roman"/>
          <w:sz w:val="20"/>
        </w:rPr>
        <w:t xml:space="preserve"> means, with respect to any Person, such Persons Affiliates and its and its Affiliates respective officers and directors (or Persons holding comparable positions), employees, consultants, independent contractors, subcontractors, advisors (including investment bankers), accountants, legal and other agents or legal representatives. For the avoidance of doubt, with respect to Bakkt Opco, the Majority Bakkt Equity Holder shall be deemed to be a Representative of Bakkt Opco. </w:t>
      </w:r>
    </w:p>
    <w:p>
      <w:pPr>
        <w:pStyle w:val="TextBody"/>
        <w:spacing w:before="120" w:after="0"/>
        <w:jc w:val="left"/>
        <w:rPr>
          <w:rFonts w:ascii="Times New Roman" w:hAnsi="Times New Roman"/>
          <w:sz w:val="20"/>
        </w:rPr>
      </w:pPr>
      <w:r>
        <w:rPr>
          <w:rFonts w:ascii="Times New Roman" w:hAnsi="Times New Roman"/>
          <w:sz w:val="20"/>
        </w:rPr>
        <w:t>(yyy) </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spacing w:before="120" w:after="0"/>
        <w:jc w:val="left"/>
        <w:rPr>
          <w:rFonts w:ascii="Times New Roman" w:hAnsi="Times New Roman"/>
          <w:sz w:val="20"/>
        </w:rPr>
      </w:pPr>
      <w:r>
        <w:rPr>
          <w:rFonts w:ascii="Times New Roman" w:hAnsi="Times New Roman"/>
          <w:sz w:val="20"/>
        </w:rPr>
        <w:t>(zzz) </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as they may be amended from time to time. </w:t>
      </w:r>
    </w:p>
    <w:p>
      <w:pPr>
        <w:pStyle w:val="TextBody"/>
        <w:spacing w:before="120" w:after="0"/>
        <w:jc w:val="left"/>
        <w:rPr>
          <w:rFonts w:ascii="Times New Roman" w:hAnsi="Times New Roman"/>
          <w:sz w:val="20"/>
        </w:rPr>
      </w:pPr>
      <w:r>
        <w:rPr>
          <w:rFonts w:ascii="Times New Roman" w:hAnsi="Times New Roman"/>
          <w:sz w:val="20"/>
        </w:rPr>
        <w:t>(aaaa) </w:t>
      </w:r>
      <w:r>
        <w:rPr>
          <w:rFonts w:ascii="Times New Roman" w:hAnsi="Times New Roman"/>
          <w:sz w:val="20"/>
          <w:u w:val="single"/>
        </w:rPr>
        <w:t>Sensitive Data</w:t>
      </w:r>
      <w:r>
        <w:rPr>
          <w:rFonts w:ascii="Times New Roman" w:hAnsi="Times New Roman"/>
          <w:sz w:val="20"/>
        </w:rPr>
        <w:t xml:space="preserve"> means cardholder data and sensitive authentication data that must be protected in accordance with the requirements of the Payment Card Industry Data Security Standard.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A-59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(bbbb) </w:t>
      </w:r>
      <w:r>
        <w:rPr>
          <w:rFonts w:ascii="Times New Roman" w:hAnsi="Times New Roman"/>
          <w:sz w:val="20"/>
          <w:u w:val="single"/>
        </w:rPr>
        <w:t>Software</w:t>
      </w:r>
      <w:r>
        <w:rPr>
          <w:rFonts w:ascii="Times New Roman" w:hAnsi="Times New Roman"/>
          <w:sz w:val="20"/>
        </w:rPr>
        <w:t xml:space="preserve"> means all (a) computer programs, applications, middleware, firmware, microcode, mobile applications and other software (and all derivative works, foreign language versions, enhancements, versions, releases, fixes, upgrades and updates thereto), including operating systems, algorithms, heuristics, models and methodologies, compilations, development tools, compilers, comments, user interfaces, menus, buttons and icons, application programming interfaces, files, data scripts, architecture, algorithms, and higher level or proprietary languages, in each case, whether in source code, object code or other form or format, including code, libraries, subroutines and other components thereof, all documentation relating thereto, and including any offerings of the foregoing as a service (SaaS); (b) testing, validation, verification and quality assurance materials; (c) databases, conversions, interpreters and compilations, including any and all data and collections of data, whether machine readable or otherwise; (d) descriptions, schematics, flow-charts and other work product used to design, plan, organize and develop any of the foregoing; (e) all documentation, including user manuals, web materials and architectural and design specifications and training materials, relating to any of the foregoing; (f) software development processes, practices, methods and policies recorded in permanent form, relating to any of the foregoing; and (g) performance metrics, sightings, bug and feature lists, build, release and change control manifests recorded in permanent form, relating to any of the foregoing. </w:t>
      </w:r>
    </w:p>
    <w:p>
      <w:pPr>
        <w:pStyle w:val="TextBody"/>
        <w:spacing w:before="120" w:after="0"/>
        <w:jc w:val="left"/>
        <w:rPr>
          <w:rFonts w:ascii="Times New Roman" w:hAnsi="Times New Roman"/>
          <w:sz w:val="20"/>
        </w:rPr>
      </w:pPr>
      <w:r>
        <w:rPr>
          <w:rFonts w:ascii="Times New Roman" w:hAnsi="Times New Roman"/>
          <w:sz w:val="20"/>
        </w:rPr>
        <w:t>(cccc) </w:t>
      </w:r>
      <w:r>
        <w:rPr>
          <w:rFonts w:ascii="Times New Roman" w:hAnsi="Times New Roman"/>
          <w:sz w:val="20"/>
          <w:u w:val="single"/>
        </w:rPr>
        <w:t>Straddle Period</w:t>
      </w:r>
      <w:r>
        <w:rPr>
          <w:rFonts w:ascii="Times New Roman" w:hAnsi="Times New Roman"/>
          <w:sz w:val="20"/>
        </w:rPr>
        <w:t xml:space="preserve"> means any taxable year or period beginning on or before and ending after the Closing Date. </w:t>
      </w:r>
    </w:p>
    <w:p>
      <w:pPr>
        <w:pStyle w:val="TextBody"/>
        <w:spacing w:before="120" w:after="0"/>
        <w:jc w:val="left"/>
        <w:rPr>
          <w:rFonts w:ascii="Times New Roman" w:hAnsi="Times New Roman"/>
          <w:sz w:val="20"/>
        </w:rPr>
      </w:pPr>
      <w:r>
        <w:rPr>
          <w:rFonts w:ascii="Times New Roman" w:hAnsi="Times New Roman"/>
          <w:sz w:val="20"/>
        </w:rPr>
        <w:t>(dddd) </w:t>
      </w:r>
      <w:r>
        <w:rPr>
          <w:rFonts w:ascii="Times New Roman" w:hAnsi="Times New Roman"/>
          <w:sz w:val="20"/>
          <w:u w:val="single"/>
        </w:rPr>
        <w:t>Subsidiaries</w:t>
      </w:r>
      <w:r>
        <w:rPr>
          <w:rFonts w:ascii="Times New Roman" w:hAnsi="Times New Roman"/>
          <w:sz w:val="20"/>
        </w:rPr>
        <w:t xml:space="preserve">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 </w:t>
      </w:r>
    </w:p>
    <w:p>
      <w:pPr>
        <w:pStyle w:val="TextBody"/>
        <w:spacing w:before="120" w:after="0"/>
        <w:jc w:val="left"/>
        <w:rPr>
          <w:rFonts w:ascii="Times New Roman" w:hAnsi="Times New Roman"/>
          <w:sz w:val="20"/>
        </w:rPr>
      </w:pPr>
      <w:r>
        <w:rPr>
          <w:rFonts w:ascii="Times New Roman" w:hAnsi="Times New Roman"/>
          <w:sz w:val="20"/>
        </w:rPr>
        <w:t>(eeee) </w:t>
      </w:r>
      <w:r>
        <w:rPr>
          <w:rFonts w:ascii="Times New Roman" w:hAnsi="Times New Roman"/>
          <w:sz w:val="20"/>
          <w:u w:val="single"/>
        </w:rPr>
        <w:t>Surviving Company Common Units</w:t>
      </w:r>
      <w:r>
        <w:rPr>
          <w:rFonts w:ascii="Times New Roman" w:hAnsi="Times New Roman"/>
          <w:sz w:val="20"/>
        </w:rPr>
        <w:t xml:space="preserve"> means the common units of Surviving Company, which such common units shall be non-voting common units, and which shall otherwise provide the holder thereof with, and subject the holder to, such rights, privileges, restrictions and obligations as set forth in the Surviving Company LLC Agreement. </w:t>
      </w:r>
    </w:p>
    <w:p>
      <w:pPr>
        <w:pStyle w:val="TextBody"/>
        <w:spacing w:before="120" w:after="0"/>
        <w:jc w:val="left"/>
        <w:rPr>
          <w:rFonts w:ascii="Times New Roman" w:hAnsi="Times New Roman"/>
          <w:sz w:val="20"/>
        </w:rPr>
      </w:pPr>
      <w:r>
        <w:rPr>
          <w:rFonts w:ascii="Times New Roman" w:hAnsi="Times New Roman"/>
          <w:sz w:val="20"/>
        </w:rPr>
        <w:t>(ffff) </w:t>
      </w:r>
      <w:r>
        <w:rPr>
          <w:rFonts w:ascii="Times New Roman" w:hAnsi="Times New Roman"/>
          <w:sz w:val="20"/>
          <w:u w:val="single"/>
        </w:rPr>
        <w:t>Tax</w:t>
      </w:r>
      <w:r>
        <w:rPr>
          <w:rFonts w:ascii="Times New Roman" w:hAnsi="Times New Roman"/>
          <w:sz w:val="20"/>
        </w:rPr>
        <w:t> (including with correlative meaning the term </w:t>
      </w:r>
      <w:r>
        <w:rPr>
          <w:rFonts w:ascii="Times New Roman" w:hAnsi="Times New Roman"/>
          <w:sz w:val="20"/>
          <w:u w:val="single"/>
        </w:rPr>
        <w:t>Taxes</w:t>
      </w:r>
      <w:r>
        <w:rPr>
          <w:rFonts w:ascii="Times New Roman" w:hAnsi="Times New Roman"/>
          <w:sz w:val="20"/>
        </w:rPr>
        <w:t xml:space="preserve">) means any and all United States federal, state, local, foreign, and other direct or indirect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and other taxes or similar assessments imposed by any Governmental Authority (whether payable directly or by withholding and whether or not requiring the filing of a tax return), and any deficiency assessments, interest, fines, penalties or additions to tax imposed with respect to such items; </w:t>
      </w:r>
      <w:r>
        <w:rPr>
          <w:rFonts w:ascii="Times New Roman" w:hAnsi="Times New Roman"/>
          <w:sz w:val="20"/>
          <w:u w:val="single"/>
        </w:rPr>
        <w:t>provided</w:t>
      </w:r>
      <w:r>
        <w:rPr>
          <w:rFonts w:ascii="Times New Roman" w:hAnsi="Times New Roman"/>
          <w:sz w:val="20"/>
        </w:rPr>
        <w:t xml:space="preserve">, that, for the avoidance of doubt, Tax and Taxes shall not include any unclaimed property or escheat obligations. </w:t>
      </w:r>
    </w:p>
    <w:p>
      <w:pPr>
        <w:pStyle w:val="TextBody"/>
        <w:spacing w:before="120" w:after="0"/>
        <w:jc w:val="left"/>
        <w:rPr>
          <w:rFonts w:ascii="Times New Roman" w:hAnsi="Times New Roman"/>
          <w:sz w:val="20"/>
        </w:rPr>
      </w:pPr>
      <w:r>
        <w:rPr>
          <w:rFonts w:ascii="Times New Roman" w:hAnsi="Times New Roman"/>
          <w:sz w:val="20"/>
        </w:rPr>
        <w:t>(gggg) </w:t>
      </w:r>
      <w:r>
        <w:rPr>
          <w:rFonts w:ascii="Times New Roman" w:hAnsi="Times New Roman"/>
          <w:sz w:val="20"/>
          <w:u w:val="single"/>
        </w:rPr>
        <w:t>Tax Proceeding</w:t>
      </w:r>
      <w:r>
        <w:rPr>
          <w:rFonts w:ascii="Times New Roman" w:hAnsi="Times New Roman"/>
          <w:sz w:val="20"/>
        </w:rPr>
        <w:t xml:space="preserve"> means any audit, examination, investigation, litigation, dispute or other similar proceeding with respect to Taxes. </w:t>
      </w:r>
    </w:p>
    <w:p>
      <w:pPr>
        <w:pStyle w:val="TextBody"/>
        <w:spacing w:before="120" w:after="0"/>
        <w:jc w:val="left"/>
        <w:rPr>
          <w:rFonts w:ascii="Times New Roman" w:hAnsi="Times New Roman"/>
          <w:sz w:val="20"/>
        </w:rPr>
      </w:pPr>
      <w:r>
        <w:rPr>
          <w:rFonts w:ascii="Times New Roman" w:hAnsi="Times New Roman"/>
          <w:sz w:val="20"/>
        </w:rPr>
        <w:t>(hhhh) </w:t>
      </w:r>
      <w:r>
        <w:rPr>
          <w:rFonts w:ascii="Times New Roman" w:hAnsi="Times New Roman"/>
          <w:sz w:val="20"/>
          <w:u w:val="single"/>
        </w:rPr>
        <w:t>Tax Return</w:t>
      </w:r>
      <w:r>
        <w:rPr>
          <w:rFonts w:ascii="Times New Roman" w:hAnsi="Times New Roman"/>
          <w:sz w:val="20"/>
        </w:rPr>
        <w:t xml:space="preserve"> means any and all United States federal, state, local, foreign, and other reports, returns (including elections, disclosures, information returns and claims for refunds), declarations, forms or statements relating to Taxes, including any schedule or attachment thereto and any amendment thereof filed or required to be filed with any Governmental Authority in connection with the determination, assessment,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collection or payment of Taxes or in connection with the administration, implementation or enforcement of or compliance with any legal requirement relating to any Tax. </w:t>
      </w:r>
    </w:p>
    <w:p>
      <w:pPr>
        <w:pStyle w:val="TextBody"/>
        <w:spacing w:before="120" w:after="0"/>
        <w:jc w:val="left"/>
        <w:rPr>
          <w:rFonts w:ascii="Times New Roman" w:hAnsi="Times New Roman"/>
          <w:sz w:val="20"/>
        </w:rPr>
      </w:pPr>
      <w:r>
        <w:rPr>
          <w:rFonts w:ascii="Times New Roman" w:hAnsi="Times New Roman"/>
          <w:sz w:val="20"/>
        </w:rPr>
        <w:t>(iiii) </w:t>
      </w:r>
      <w:r>
        <w:rPr>
          <w:rFonts w:ascii="Times New Roman" w:hAnsi="Times New Roman"/>
          <w:sz w:val="20"/>
          <w:u w:val="single"/>
        </w:rPr>
        <w:t>Tax Sharing Agreement</w:t>
      </w:r>
      <w:r>
        <w:rPr>
          <w:rFonts w:ascii="Times New Roman" w:hAnsi="Times New Roman"/>
          <w:sz w:val="20"/>
        </w:rPr>
        <w:t xml:space="preserve"> means any agreement or arrangement primarily related to Taxes pursuant to which Bakkt Opco (or Surviving Company) or any of its Subsidiaries (or VIH (or Bakkt Pubco), as applicable) is or may be obligated to indemnify any Person for, or otherwise pay, any Tax of or imposed on another Person, or indemnify, or pay over to, any other Person any amount determined by reference to actual or deemed Tax benefits, Tax assets, or Tax savings, excluding, for the avoidance of doubt, the Tax Receivable Agreement and any Commercial Tax Agreement. </w:t>
      </w:r>
    </w:p>
    <w:p>
      <w:pPr>
        <w:pStyle w:val="TextBody"/>
        <w:spacing w:before="120" w:after="0"/>
        <w:jc w:val="left"/>
        <w:rPr>
          <w:rFonts w:ascii="Times New Roman" w:hAnsi="Times New Roman"/>
          <w:sz w:val="20"/>
        </w:rPr>
      </w:pPr>
      <w:r>
        <w:rPr>
          <w:rFonts w:ascii="Times New Roman" w:hAnsi="Times New Roman"/>
          <w:sz w:val="20"/>
        </w:rPr>
        <w:t>(jjjj) </w:t>
      </w:r>
      <w:r>
        <w:rPr>
          <w:rFonts w:ascii="Times New Roman" w:hAnsi="Times New Roman"/>
          <w:sz w:val="20"/>
          <w:u w:val="single"/>
        </w:rPr>
        <w:t>Termination Date</w:t>
      </w:r>
      <w:r>
        <w:rPr>
          <w:rFonts w:ascii="Times New Roman" w:hAnsi="Times New Roman"/>
          <w:sz w:val="20"/>
        </w:rPr>
        <w:t xml:space="preserve"> means September 30, 2021. </w:t>
      </w:r>
    </w:p>
    <w:p>
      <w:pPr>
        <w:pStyle w:val="TextBody"/>
        <w:spacing w:before="120" w:after="0"/>
        <w:jc w:val="left"/>
        <w:rPr>
          <w:rFonts w:ascii="Times New Roman" w:hAnsi="Times New Roman"/>
          <w:sz w:val="20"/>
        </w:rPr>
      </w:pPr>
      <w:r>
        <w:rPr>
          <w:rFonts w:ascii="Times New Roman" w:hAnsi="Times New Roman"/>
          <w:sz w:val="20"/>
        </w:rPr>
        <w:t>(kkkk) </w:t>
      </w:r>
      <w:r>
        <w:rPr>
          <w:rFonts w:ascii="Times New Roman" w:hAnsi="Times New Roman"/>
          <w:sz w:val="20"/>
          <w:u w:val="single"/>
        </w:rPr>
        <w:t>Trade Secret</w:t>
      </w:r>
      <w:r>
        <w:rPr>
          <w:rFonts w:ascii="Times New Roman" w:hAnsi="Times New Roman"/>
          <w:sz w:val="20"/>
        </w:rPr>
        <w:t xml:space="preserve"> means mean any trade secrets or other rights in proprietary and confidential information, including rights in unpatented inventions, invention disclosures, technical data, financial data, personal information, supplier lists, customer lists, business production, or marketing plans, know-how, formulae, methods (whether or not patentable), designs, processes, procedures, compositions, schematics, ideas, algorithms, techniques, analyses, proposals, source code, object code, and data collections. </w:t>
      </w:r>
    </w:p>
    <w:p>
      <w:pPr>
        <w:pStyle w:val="TextBody"/>
        <w:spacing w:before="120" w:after="0"/>
        <w:jc w:val="left"/>
        <w:rPr>
          <w:rFonts w:ascii="Times New Roman" w:hAnsi="Times New Roman"/>
          <w:sz w:val="20"/>
        </w:rPr>
      </w:pPr>
      <w:r>
        <w:rPr>
          <w:rFonts w:ascii="Times New Roman" w:hAnsi="Times New Roman"/>
          <w:sz w:val="20"/>
        </w:rPr>
        <w:t>(llll) </w:t>
      </w:r>
      <w:r>
        <w:rPr>
          <w:rFonts w:ascii="Times New Roman" w:hAnsi="Times New Roman"/>
          <w:sz w:val="20"/>
          <w:u w:val="single"/>
        </w:rPr>
        <w:t>Transaction Documents</w:t>
      </w:r>
      <w:r>
        <w:rPr>
          <w:rFonts w:ascii="Times New Roman" w:hAnsi="Times New Roman"/>
          <w:sz w:val="20"/>
        </w:rPr>
        <w:t xml:space="preserve"> means each of the agreements and instruments contemplated by this Agreement or otherwise related to the Transaction, in each case to be executed and delivered on the date hereof or on or prior to the Closing Date by a Bakkt Equity Holder, Bakkt Opco, VIH, Merger Sub, VIH Sponsor and/or any of their respective Affiliates. The Transaction Documents include the VIH Sponsor Letter, the Surviving Company LLC Agreement, the Exchange Agreement, the Tax Receivable Agreement, the Registration Rights Agreement, the Letter of Transmittal, the Bakkt Pubco Charter, the Bakkt Pubco Bylaws, the Voting Agreement, the Stockholders Agreement, Support Agreements, all documents and agreements entered into in connection with the PIPE Financing, including the PIPE Subscription Agreements. </w:t>
      </w:r>
    </w:p>
    <w:p>
      <w:pPr>
        <w:pStyle w:val="TextBody"/>
        <w:spacing w:before="120" w:after="0"/>
        <w:jc w:val="left"/>
        <w:rPr>
          <w:rFonts w:ascii="Times New Roman" w:hAnsi="Times New Roman"/>
          <w:sz w:val="20"/>
        </w:rPr>
      </w:pPr>
      <w:r>
        <w:rPr>
          <w:rFonts w:ascii="Times New Roman" w:hAnsi="Times New Roman"/>
          <w:sz w:val="20"/>
        </w:rPr>
        <w:t>(mmmm) </w:t>
      </w:r>
      <w:r>
        <w:rPr>
          <w:rFonts w:ascii="Times New Roman" w:hAnsi="Times New Roman"/>
          <w:sz w:val="20"/>
          <w:u w:val="single"/>
        </w:rPr>
        <w:t>Treasury Regulations</w:t>
      </w:r>
      <w:r>
        <w:rPr>
          <w:rFonts w:ascii="Times New Roman" w:hAnsi="Times New Roman"/>
          <w:sz w:val="20"/>
        </w:rPr>
        <w:t xml:space="preserve"> means the Treasury Regulations promulgated pursuant to the Code, as amended from time to time, including the corresponding provisions of any successor regulations. </w:t>
      </w:r>
    </w:p>
    <w:p>
      <w:pPr>
        <w:pStyle w:val="TextBody"/>
        <w:spacing w:before="120" w:after="0"/>
        <w:jc w:val="left"/>
        <w:rPr>
          <w:rFonts w:ascii="Times New Roman" w:hAnsi="Times New Roman"/>
          <w:sz w:val="20"/>
        </w:rPr>
      </w:pPr>
      <w:r>
        <w:rPr>
          <w:rFonts w:ascii="Times New Roman" w:hAnsi="Times New Roman"/>
          <w:sz w:val="20"/>
        </w:rPr>
        <w:t>(nnnn) </w:t>
      </w:r>
      <w:r>
        <w:rPr>
          <w:rFonts w:ascii="Times New Roman" w:hAnsi="Times New Roman"/>
          <w:sz w:val="20"/>
          <w:u w:val="single"/>
        </w:rPr>
        <w:t>VIH Benefit Arrangement</w:t>
      </w:r>
      <w:r>
        <w:rPr>
          <w:rFonts w:ascii="Times New Roman" w:hAnsi="Times New Roman"/>
          <w:sz w:val="20"/>
        </w:rPr>
        <w:t xml:space="preserve"> means any Benefit Arrangement sponsored, maintained or contributed to by VIH or Merger Sub or with respect to which VIH or Merger Sub has any current or future Liability (whether direct or indirect, actual, contingent or otherwise, with respect to any of its assets or otherwise), in each case with respect to any present or former employees, consultants or service providers of VIH or Merger Sub. </w:t>
      </w:r>
    </w:p>
    <w:p>
      <w:pPr>
        <w:pStyle w:val="TextBody"/>
        <w:spacing w:before="120" w:after="0"/>
        <w:jc w:val="left"/>
        <w:rPr>
          <w:rFonts w:ascii="Times New Roman" w:hAnsi="Times New Roman"/>
          <w:sz w:val="20"/>
        </w:rPr>
      </w:pPr>
      <w:r>
        <w:rPr>
          <w:rFonts w:ascii="Times New Roman" w:hAnsi="Times New Roman"/>
          <w:sz w:val="20"/>
        </w:rPr>
        <w:t>(oooo) </w:t>
      </w:r>
      <w:r>
        <w:rPr>
          <w:rFonts w:ascii="Times New Roman" w:hAnsi="Times New Roman"/>
          <w:sz w:val="20"/>
          <w:u w:val="single"/>
        </w:rPr>
        <w:t>VIH Benefit Plan</w:t>
      </w:r>
      <w:r>
        <w:rPr>
          <w:rFonts w:ascii="Times New Roman" w:hAnsi="Times New Roman"/>
          <w:sz w:val="20"/>
        </w:rPr>
        <w:t xml:space="preserve"> means any Benefit Plan for which VIH or Merger Sub is or has been the plan sponsor (as defined in 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VIH or Merger Sub maintains, sponsors, contributes to or to which it is obligated to make payments or has any current or future Liability, in each case with respect to any present or former employees of VIH or Merger Sub. </w:t>
      </w:r>
    </w:p>
    <w:p>
      <w:pPr>
        <w:pStyle w:val="TextBody"/>
        <w:spacing w:before="120" w:after="0"/>
        <w:jc w:val="left"/>
        <w:rPr>
          <w:rFonts w:ascii="Times New Roman" w:hAnsi="Times New Roman"/>
          <w:sz w:val="20"/>
        </w:rPr>
      </w:pPr>
      <w:r>
        <w:rPr>
          <w:rFonts w:ascii="Times New Roman" w:hAnsi="Times New Roman"/>
          <w:sz w:val="20"/>
        </w:rPr>
        <w:t>(pppp) </w:t>
      </w:r>
      <w:r>
        <w:rPr>
          <w:rFonts w:ascii="Times New Roman" w:hAnsi="Times New Roman"/>
          <w:sz w:val="20"/>
          <w:u w:val="single"/>
        </w:rPr>
        <w:t>VIH Fundamental Representations</w:t>
      </w:r>
      <w:r>
        <w:rPr>
          <w:rFonts w:ascii="Times New Roman" w:hAnsi="Times New Roman"/>
          <w:sz w:val="20"/>
        </w:rPr>
        <w:t xml:space="preserve"> means the representations and warranties set forth </w:t>
      </w:r>
      <w:r>
        <w:rPr>
          <w:rFonts w:ascii="Times New Roman" w:hAnsi="Times New Roman"/>
          <w:sz w:val="20"/>
          <w:u w:val="single"/>
        </w:rPr>
        <w:t>Section 4.1</w:t>
      </w:r>
      <w:r>
        <w:rPr>
          <w:rFonts w:ascii="Times New Roman" w:hAnsi="Times New Roman"/>
          <w:sz w:val="20"/>
        </w:rPr>
        <w:t xml:space="preserve"> (Due Organization), </w:t>
      </w:r>
      <w:r>
        <w:rPr>
          <w:rFonts w:ascii="Times New Roman" w:hAnsi="Times New Roman"/>
          <w:sz w:val="20"/>
          <w:u w:val="single"/>
        </w:rPr>
        <w:t>Section 4.2(a)</w:t>
      </w:r>
      <w:r>
        <w:rPr>
          <w:rFonts w:ascii="Times New Roman" w:hAnsi="Times New Roman"/>
          <w:sz w:val="20"/>
        </w:rPr>
        <w:t xml:space="preserve"> (Authorization), </w:t>
      </w:r>
      <w:r>
        <w:rPr>
          <w:rFonts w:ascii="Times New Roman" w:hAnsi="Times New Roman"/>
          <w:sz w:val="20"/>
          <w:u w:val="single"/>
        </w:rPr>
        <w:t>Section 4.3</w:t>
      </w:r>
      <w:r>
        <w:rPr>
          <w:rFonts w:ascii="Times New Roman" w:hAnsi="Times New Roman"/>
          <w:sz w:val="20"/>
        </w:rPr>
        <w:t xml:space="preserve"> (Capitalization) and </w:t>
      </w:r>
      <w:r>
        <w:rPr>
          <w:rFonts w:ascii="Times New Roman" w:hAnsi="Times New Roman"/>
          <w:sz w:val="20"/>
          <w:u w:val="single"/>
        </w:rPr>
        <w:t>Section 4.7</w:t>
      </w:r>
      <w:r>
        <w:rPr>
          <w:rFonts w:ascii="Times New Roman" w:hAnsi="Times New Roman"/>
          <w:sz w:val="20"/>
        </w:rPr>
        <w:t xml:space="preserve"> (Brokers and Agents). </w:t>
      </w:r>
    </w:p>
    <w:p>
      <w:pPr>
        <w:pStyle w:val="TextBody"/>
        <w:spacing w:before="120" w:after="0"/>
        <w:jc w:val="left"/>
        <w:rPr>
          <w:rFonts w:ascii="Times New Roman" w:hAnsi="Times New Roman"/>
          <w:sz w:val="20"/>
        </w:rPr>
      </w:pPr>
      <w:r>
        <w:rPr>
          <w:rFonts w:ascii="Times New Roman" w:hAnsi="Times New Roman"/>
          <w:sz w:val="20"/>
        </w:rPr>
        <w:t>(qqqq) </w:t>
      </w:r>
      <w:r>
        <w:rPr>
          <w:rFonts w:ascii="Times New Roman" w:hAnsi="Times New Roman"/>
          <w:sz w:val="20"/>
          <w:u w:val="single"/>
        </w:rPr>
        <w:t>VIHs knowledge</w:t>
      </w:r>
      <w:r>
        <w:rPr>
          <w:rFonts w:ascii="Times New Roman" w:hAnsi="Times New Roman"/>
          <w:sz w:val="20"/>
        </w:rPr>
        <w:t>, </w:t>
      </w:r>
      <w:r>
        <w:rPr>
          <w:rFonts w:ascii="Times New Roman" w:hAnsi="Times New Roman"/>
          <w:sz w:val="20"/>
          <w:u w:val="single"/>
        </w:rPr>
        <w:t>knowledge of VIH</w:t>
      </w:r>
      <w:r>
        <w:rPr>
          <w:rFonts w:ascii="Times New Roman" w:hAnsi="Times New Roman"/>
          <w:sz w:val="20"/>
        </w:rPr>
        <w:t>, </w:t>
      </w:r>
      <w:r>
        <w:rPr>
          <w:rFonts w:ascii="Times New Roman" w:hAnsi="Times New Roman"/>
          <w:sz w:val="20"/>
          <w:u w:val="single"/>
        </w:rPr>
        <w:t>known by VIH</w:t>
      </w:r>
      <w:r>
        <w:rPr>
          <w:rFonts w:ascii="Times New Roman" w:hAnsi="Times New Roman"/>
          <w:sz w:val="20"/>
        </w:rPr>
        <w:t xml:space="preserve"> or phrases of similar import or any of the foregoing with respect to VIH, mean the actual knowledge, after reasonable inquiry, of each Person named on </w:t>
      </w:r>
      <w:r>
        <w:rPr>
          <w:rFonts w:ascii="Times New Roman" w:hAnsi="Times New Roman"/>
          <w:sz w:val="20"/>
          <w:u w:val="single"/>
        </w:rPr>
        <w:t>Section 10.1(qqqq)</w:t>
      </w:r>
      <w:r>
        <w:rPr>
          <w:rFonts w:ascii="Times New Roman" w:hAnsi="Times New Roman"/>
          <w:sz w:val="20"/>
        </w:rPr>
        <w:t xml:space="preserve"> of VIH Disclosure Letter. </w:t>
      </w:r>
    </w:p>
    <w:p>
      <w:pPr>
        <w:pStyle w:val="TextBody"/>
        <w:spacing w:before="120" w:after="0"/>
        <w:jc w:val="left"/>
        <w:rPr>
          <w:rFonts w:ascii="Times New Roman" w:hAnsi="Times New Roman"/>
          <w:sz w:val="20"/>
        </w:rPr>
      </w:pPr>
      <w:r>
        <w:rPr>
          <w:rFonts w:ascii="Times New Roman" w:hAnsi="Times New Roman"/>
          <w:sz w:val="20"/>
        </w:rPr>
        <w:t>(rrrr) </w:t>
      </w:r>
      <w:r>
        <w:rPr>
          <w:rFonts w:ascii="Times New Roman" w:hAnsi="Times New Roman"/>
          <w:sz w:val="20"/>
          <w:u w:val="single"/>
        </w:rPr>
        <w:t>VIH Material Adverse Effect</w:t>
      </w:r>
      <w:r>
        <w:rPr>
          <w:rFonts w:ascii="Times New Roman" w:hAnsi="Times New Roman"/>
          <w:sz w:val="20"/>
        </w:rPr>
        <w:t xml:space="preserve"> means any Event that, individually or in the aggregate with any other results, occurrences, facts, changes, events and/or effects, has had or would be reasonably likely to have a material adverse effect on (i) the business, assets, Liabilities, results of operations or condition (financial or otherwise) of VIH and Merger Sub, taken as a whole, or (ii) the ability of VIH or Merger Sub to consummate the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Transactions or to perform their respective obligations hereunder or under the Transaction Documents to which they are a party or bound. Notwithstanding the foregoing, for purposes of </w:t>
      </w:r>
      <w:r>
        <w:rPr>
          <w:rFonts w:ascii="Times New Roman" w:hAnsi="Times New Roman"/>
          <w:sz w:val="20"/>
          <w:u w:val="single"/>
        </w:rPr>
        <w:t>clause (i)</w:t>
      </w:r>
      <w:r>
        <w:rPr>
          <w:rFonts w:ascii="Times New Roman" w:hAnsi="Times New Roman"/>
          <w:sz w:val="20"/>
        </w:rPr>
        <w:t xml:space="preserve"> above, no Event (by itself or taken with any and all of the other Events) that results from or arises out of or is related to any of the following shall be deemed to constitute or be taken into account in determining whether there has been, a VIH Material Adverse Effect: (A) any change affecting generally the industries or markets in which VIH and Merger Sub operate, including in any change in the financial markets, credit markets or capital markets in the United States or any other country or region in the world, (B) acts of God, including pandemics (including the COVID-19 virus or any mutation thereof) and the actions of Governmental Authorities in response thereto which are binding on VIH and Merger Sub, (C) 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(D) any change in GAAP (or the interpretation thereof), (E) any change in Law, rules, regulations, orders, or other binding directives issued by any Governmental Authority (or the interpretation thereof), (F) the taking of any action expressly required by this Agreement, (G) the public announcement or pendency of this Agreement or any of the Transactions or (H) the consummation and effects of the Redemption;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in each case under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above, that such change does not affect VIH or Merger Sub in a disproportionate manner relative to other Persons operating in the industries or markets in which VIH or Merger Sub operate. </w:t>
      </w:r>
    </w:p>
    <w:p>
      <w:pPr>
        <w:pStyle w:val="TextBody"/>
        <w:spacing w:before="120" w:after="0"/>
        <w:jc w:val="left"/>
        <w:rPr>
          <w:rFonts w:ascii="Times New Roman" w:hAnsi="Times New Roman"/>
          <w:sz w:val="20"/>
        </w:rPr>
      </w:pPr>
      <w:r>
        <w:rPr>
          <w:rFonts w:ascii="Times New Roman" w:hAnsi="Times New Roman"/>
          <w:sz w:val="20"/>
        </w:rPr>
        <w:t>(ssss) </w:t>
      </w:r>
      <w:r>
        <w:rPr>
          <w:rFonts w:ascii="Times New Roman" w:hAnsi="Times New Roman"/>
          <w:sz w:val="20"/>
          <w:u w:val="single"/>
        </w:rPr>
        <w:t>VIH Public Units</w:t>
      </w:r>
      <w:r>
        <w:rPr>
          <w:rFonts w:ascii="Times New Roman" w:hAnsi="Times New Roman"/>
          <w:sz w:val="20"/>
        </w:rPr>
        <w:t xml:space="preserve"> means the units issued in the IPO or the overallotment consisting of one (1) VIH Class A Share and one-half (1/2) of a VIH Warrant. </w:t>
      </w:r>
    </w:p>
    <w:p>
      <w:pPr>
        <w:pStyle w:val="TextBody"/>
        <w:spacing w:before="120" w:after="0"/>
        <w:jc w:val="left"/>
        <w:rPr>
          <w:rFonts w:ascii="Times New Roman" w:hAnsi="Times New Roman"/>
          <w:sz w:val="20"/>
        </w:rPr>
      </w:pPr>
      <w:r>
        <w:rPr>
          <w:rFonts w:ascii="Times New Roman" w:hAnsi="Times New Roman"/>
          <w:sz w:val="20"/>
        </w:rPr>
        <w:t>(tttt) </w:t>
      </w:r>
      <w:r>
        <w:rPr>
          <w:rFonts w:ascii="Times New Roman" w:hAnsi="Times New Roman"/>
          <w:sz w:val="20"/>
          <w:u w:val="single"/>
        </w:rPr>
        <w:t>VIH Shareholder</w:t>
      </w:r>
      <w:r>
        <w:rPr>
          <w:rFonts w:ascii="Times New Roman" w:hAnsi="Times New Roman"/>
          <w:sz w:val="20"/>
        </w:rPr>
        <w:t xml:space="preserve"> means any holders of VIH Class A Shares, VIH Class B Shares or VIH Preference Shares. </w:t>
      </w:r>
    </w:p>
    <w:p>
      <w:pPr>
        <w:pStyle w:val="TextBody"/>
        <w:spacing w:before="120" w:after="0"/>
        <w:jc w:val="left"/>
        <w:rPr>
          <w:rFonts w:ascii="Times New Roman" w:hAnsi="Times New Roman"/>
          <w:sz w:val="20"/>
        </w:rPr>
      </w:pPr>
      <w:r>
        <w:rPr>
          <w:rFonts w:ascii="Times New Roman" w:hAnsi="Times New Roman"/>
          <w:sz w:val="20"/>
        </w:rPr>
        <w:t>(uuuu) </w:t>
      </w:r>
      <w:r>
        <w:rPr>
          <w:rFonts w:ascii="Times New Roman" w:hAnsi="Times New Roman"/>
          <w:sz w:val="20"/>
          <w:u w:val="single"/>
        </w:rPr>
        <w:t>VIH Shareholders Approval</w:t>
      </w:r>
      <w:r>
        <w:rPr>
          <w:rFonts w:ascii="Times New Roman" w:hAnsi="Times New Roman"/>
          <w:sz w:val="20"/>
        </w:rPr>
        <w:t xml:space="preserve"> means the affirmative vote of the holders of, (i) a special resolution under Cayman Islands law with respect to the Domestication (including the adoption and approval of a certificate of corporate domestication and the Bakkt Pubco Charter), which requires a majority of at least two-thirds of the VIH Class A Shares and VIH Class B Shares that are present for and vote at the VIH Shareholder Meeting to vote in favor thereof, (ii) an ordinary resolution under Cayman Islands law with respect to (A) adoption and approval of this Agreement and the Merger, (B) adoption and approval of the Equity Incentive Plan, (C) the approval of the issuance of Bakkt Pubco Class A Shares issuable pursuant to the PIPE Financing and approval of the issuance of Bakkt Pubco Class A Shares and Bakkt Pubco Class V Shares issuable to Bakkt Equity Holders pursuant this Agreement, if required under National Stock Exchange rules and regulations, and (D) approval of the adjournment of the VIH Shareholder Meeting in accordance with </w:t>
      </w:r>
      <w:r>
        <w:rPr>
          <w:rFonts w:ascii="Times New Roman" w:hAnsi="Times New Roman"/>
          <w:sz w:val="20"/>
          <w:u w:val="single"/>
        </w:rPr>
        <w:t>Section 5.8(f)</w:t>
      </w:r>
      <w:r>
        <w:rPr>
          <w:rFonts w:ascii="Times New Roman" w:hAnsi="Times New Roman"/>
          <w:sz w:val="20"/>
        </w:rPr>
        <w:t xml:space="preserve">, if necessary, which requires a majority of the VIH Class A Shares and VIH Class B Shares that are present for and vote at the VIH Shareholder Meeting to vote in favor thereof; and (iii) an ordinary resolution of the VIH Class B Shares with respect to the election of each of the Post-Closing Directors set forth in </w:t>
      </w:r>
      <w:r>
        <w:rPr>
          <w:rFonts w:ascii="Times New Roman" w:hAnsi="Times New Roman"/>
          <w:sz w:val="20"/>
          <w:u w:val="single"/>
        </w:rPr>
        <w:t>Section 5.12</w:t>
      </w:r>
      <w:r>
        <w:rPr>
          <w:rFonts w:ascii="Times New Roman" w:hAnsi="Times New Roman"/>
          <w:sz w:val="20"/>
        </w:rPr>
        <w:t xml:space="preserve">, which requires a majority of the VIH Class B Shares that are present for and vote at the VIH Shareholder Meeting to vote in favor thereof. The vote at the VIH Shareholder Meeting on any other matter than those described in the first sentence of this definition, including a vote on the Advisory Charter Proposals, shall not affect whether the VIH Shareholders Approval shall have been obtained. </w:t>
      </w:r>
    </w:p>
    <w:p>
      <w:pPr>
        <w:pStyle w:val="TextBody"/>
        <w:spacing w:before="120" w:after="0"/>
        <w:jc w:val="left"/>
        <w:rPr>
          <w:rFonts w:ascii="Times New Roman" w:hAnsi="Times New Roman"/>
          <w:sz w:val="20"/>
        </w:rPr>
      </w:pPr>
      <w:r>
        <w:rPr>
          <w:rFonts w:ascii="Times New Roman" w:hAnsi="Times New Roman"/>
          <w:sz w:val="20"/>
        </w:rPr>
        <w:t>(vvvv) </w:t>
      </w:r>
      <w:r>
        <w:rPr>
          <w:rFonts w:ascii="Times New Roman" w:hAnsi="Times New Roman"/>
          <w:sz w:val="20"/>
          <w:u w:val="single"/>
        </w:rPr>
        <w:t>VIH Sponsor</w:t>
      </w:r>
      <w:r>
        <w:rPr>
          <w:rFonts w:ascii="Times New Roman" w:hAnsi="Times New Roman"/>
          <w:sz w:val="20"/>
        </w:rPr>
        <w:t xml:space="preserve"> means VPC Impact Acquisition Holdings Sponsor, LLC, a Delaware limited liability company. </w:t>
      </w:r>
    </w:p>
    <w:p>
      <w:pPr>
        <w:pStyle w:val="TextBody"/>
        <w:spacing w:before="120" w:after="0"/>
        <w:jc w:val="left"/>
        <w:rPr>
          <w:rFonts w:ascii="Times New Roman" w:hAnsi="Times New Roman"/>
          <w:sz w:val="20"/>
        </w:rPr>
      </w:pPr>
      <w:r>
        <w:rPr>
          <w:rFonts w:ascii="Times New Roman" w:hAnsi="Times New Roman"/>
          <w:sz w:val="20"/>
        </w:rPr>
        <w:t>(wwww) </w:t>
      </w:r>
      <w:r>
        <w:rPr>
          <w:rFonts w:ascii="Times New Roman" w:hAnsi="Times New Roman"/>
          <w:sz w:val="20"/>
          <w:u w:val="single"/>
        </w:rPr>
        <w:t>VIH Transaction Expenses</w:t>
      </w:r>
      <w:r>
        <w:rPr>
          <w:rFonts w:ascii="Times New Roman" w:hAnsi="Times New Roman"/>
          <w:sz w:val="20"/>
        </w:rPr>
        <w:t xml:space="preserve"> means (i) all costs and expenses incurred or payable by VIH at or prior to the Closing in connection with the negotiation, preparation, execution and performance of this Agreement, the Transaction Documents and consummation of the Transactions, including the PIPE Financing, and any related agreements in connection with the Transactions, including all fees and out of pocket expenses due all attorneys, accountants and financial advisors of VIH, and the cost of preparing, filing and mailing the Registration Statement and the Proxy Statement, and any success fees due or otherwise earned upon the Closing (but in all cases excluding the cost of the tail directors and officers liability insurance policies purchased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6.3</w:t>
      </w:r>
      <w:r>
        <w:rPr>
          <w:rFonts w:ascii="Times New Roman" w:hAnsi="Times New Roman"/>
          <w:sz w:val="20"/>
        </w:rPr>
        <w:t xml:space="preserve">), (ii) all deferred costs and expenses incurred by VIH in connection with its initial public offering, including $7,258,020.70 payable to VIHs financial advisor in connection with deferred underwriting fees, and (iii) all other costs and expenses incurred or payable and unpaid by VIH in connection with the operation of VIH through the Effective Time, including, without double counting, all outstanding indebtedness of VIH. </w:t>
      </w:r>
    </w:p>
    <w:p>
      <w:pPr>
        <w:pStyle w:val="TextBody"/>
        <w:spacing w:before="120" w:after="0"/>
        <w:jc w:val="left"/>
        <w:rPr>
          <w:rFonts w:ascii="Times New Roman" w:hAnsi="Times New Roman"/>
          <w:sz w:val="20"/>
        </w:rPr>
      </w:pPr>
      <w:r>
        <w:rPr>
          <w:rFonts w:ascii="Times New Roman" w:hAnsi="Times New Roman"/>
          <w:sz w:val="20"/>
        </w:rPr>
        <w:t>(xxxx) </w:t>
      </w:r>
      <w:r>
        <w:rPr>
          <w:rFonts w:ascii="Times New Roman" w:hAnsi="Times New Roman"/>
          <w:sz w:val="20"/>
          <w:u w:val="single"/>
        </w:rPr>
        <w:t>Warrant Interests</w:t>
      </w:r>
      <w:r>
        <w:rPr>
          <w:rFonts w:ascii="Times New Roman" w:hAnsi="Times New Roman"/>
          <w:sz w:val="20"/>
        </w:rPr>
        <w:t xml:space="preserve"> means that portion of the Aggregate Merger Consideration that would have been allocable (pursuant to </w:t>
      </w:r>
      <w:r>
        <w:rPr>
          <w:rFonts w:ascii="Times New Roman" w:hAnsi="Times New Roman"/>
          <w:sz w:val="20"/>
          <w:u w:val="single"/>
        </w:rPr>
        <w:t>Section 2.3(b)(ii)</w:t>
      </w:r>
      <w:r>
        <w:rPr>
          <w:rFonts w:ascii="Times New Roman" w:hAnsi="Times New Roman"/>
          <w:sz w:val="20"/>
        </w:rPr>
        <w:t xml:space="preserve"> of this Agreement) to the Bakkt Opco Warrants outstanding immediately prior to the Effective Time if such Bakkt Opco Warrants had hypothetically been exercised in full into Bakkt Interests as of such time. </w:t>
      </w:r>
    </w:p>
    <w:p>
      <w:pPr>
        <w:pStyle w:val="TextBody"/>
        <w:spacing w:before="120" w:after="0"/>
        <w:jc w:val="left"/>
        <w:rPr>
          <w:rFonts w:ascii="Times New Roman" w:hAnsi="Times New Roman"/>
          <w:sz w:val="20"/>
        </w:rPr>
      </w:pPr>
      <w:r>
        <w:rPr>
          <w:rFonts w:ascii="Times New Roman" w:hAnsi="Times New Roman"/>
          <w:sz w:val="20"/>
        </w:rPr>
        <w:t>(yyyy) </w:t>
      </w:r>
      <w:r>
        <w:rPr>
          <w:rFonts w:ascii="Times New Roman" w:hAnsi="Times New Roman"/>
          <w:sz w:val="20"/>
          <w:u w:val="single"/>
        </w:rPr>
        <w:t>Willful and Intentional Breach</w:t>
      </w:r>
      <w:r>
        <w:rPr>
          <w:rFonts w:ascii="Times New Roman" w:hAnsi="Times New Roman"/>
          <w:sz w:val="20"/>
        </w:rPr>
        <w:t xml:space="preserve"> means, with respect to any representation, warranty, agreement or covenant in this Agreement, a deliberate action or omission (including a failure to cure circumstances) where the breaching Party knows such action or omission is or would reasonably be expected to result in a breach of such representation, warranty, agreement or covenant, it being understood that such term shall include, in any event, the failure to consummate the Closing when required to do so by this Agreement.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Accounting Terms</w:t>
      </w:r>
      <w:r>
        <w:rPr>
          <w:rFonts w:ascii="Times New Roman" w:hAnsi="Times New Roman"/>
          <w:sz w:val="20"/>
        </w:rPr>
        <w:t xml:space="preserve">. Except as otherwise expressly provided in this Agreement, all accounting terms used herein shall be interpreted, and all financial statements and certificates and reports as to financial matters required to be delivered hereunder shall be prepared, in accordance with GAAP. </w:t>
      </w:r>
    </w:p>
    <w:p>
      <w:pPr>
        <w:pStyle w:val="TextBody"/>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Usage</w:t>
      </w:r>
      <w:r>
        <w:rPr>
          <w:rFonts w:ascii="Times New Roman" w:hAnsi="Times New Roman"/>
          <w:sz w:val="20"/>
        </w:rPr>
        <w:t xml:space="preserve">. The defined terms herein shall apply equally to both the singular and plural forms of the terms defined. Whenever the context may require, any pronoun shall include the corresponding masculine, feminine and neuter forms. All references herein to Articles, Sections, Exhibits, Annexes and Schedules shall be deemed to be references to articles and sections of and exhibits, annexes and schedules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References to the date hereof, the date of this Agreement, the execution of this Agreement, and phrases of similar import when used in this Agreement shall refer to the effective date of this Agreement as set forth on the first page hereof.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statute or law shall be deemed also to refer to all rules and regulations promulgated thereunder, unless the context requires otherwise. Unless otherwise expressly provided, wherever the consent of any Person is required or permitted herein, such consent may be withheld in such Persons sole and absolute discretion. The table of contents and the Article and Section headings contained in this Agreement are solely for the purpose of reference, are not part of the agreement of the Parties and shall not in any way affect the meaning or interpretation of this Agreement. Reference to any Person includes such Persons successors and assigns but, if applicable, only if such successors and assigns are permitted by this Agreement (including, in respect of VIH, Bakkt Pubco, and in respect of Bakkt Opco or Merger Sub, Surviving Company), and reference to a Person in a particular capacity excludes such Person in any other capacity. Unless context requires otherwise, any reference in this Agreement to a Persons directors shall including any member of such Persons governing body and any reference in this Agreement to a Persons officers shall including any Person filling a substantially similar position for such Person. Any reference in this Agreement or any Transaction Document to a Persons shareholders or stockholders shall include any applicable direct owners of the Equity Interests of such Person, in whatever form.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Index of Defined Terms</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75"/>
        <w:gridCol w:w="122"/>
        <w:gridCol w:w="4908"/>
      </w:tblGrid>
      <w:tr>
        <w:trPr/>
        <w:tc>
          <w:tcPr>
            <w:tcW w:w="517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908" w:type="dxa"/>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spacing w:before="0" w:after="0"/>
              <w:rPr>
                <w:rFonts w:ascii="Times New Roman" w:hAnsi="Times New Roman"/>
                <w:b/>
                <w:sz w:val="16"/>
              </w:rPr>
            </w:pPr>
            <w:r>
              <w:rPr>
                <w:rFonts w:ascii="Times New Roman" w:hAnsi="Times New Roman"/>
                <w:b/>
                <w:sz w:val="16"/>
              </w:rPr>
              <w:t>Defined Term</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b/>
              </w:rPr>
            </w:pPr>
            <w:r>
              <w:rPr>
                <w:b/>
              </w:rPr>
              <w:t>Section          </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Acquisition Proposal</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5.11(a)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Agreement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Introduction</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Alternative Transaction</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5.11(a)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Announcement 8-K</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5.9(a)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Disclosure Letter</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Article III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Non-Recourse Party</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11.16(a)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Opco</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Introduction</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Opco Warrant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2.5</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Pubco</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Pubco Bylaws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2.1(d)</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Pubco Charter</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2.1(c)</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Pubco Public Warrants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Pubco Warrants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Bakkt Representations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4.24</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Business Combination</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9.2(a)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Certificate of Merger</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1.4</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Class I Directors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5.12(a)(i)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Class II Directors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5.12(a)(ii)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Class III Directors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5.12(a)(iii)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Closing</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1.3</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Closing Date</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1.3</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Closing Press Release</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5.9(a)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Closing Statement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2.7</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Companies Act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Completion 8-K</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5.9(a)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Computer Systems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3.15(a)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control</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10.1(c)</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controlled by</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10.1(c)</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D&amp;O Indemnitees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6.3(a)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Data Privacy Practices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3.15(b)</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DGCL</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DLLCA</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Domestication</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Effective Time</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1.4</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Enforcement Exceptions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3.2(a)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Environmental Permits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3.17</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Equity Incentive Plan</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5.8(a)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Exchange Agreement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1.8(a)(ii)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Excluded Bakkt Interests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2.3(b)(i)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Excluded Bakkt Matters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9.1(a)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Excluded VIH Matters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9.1(c)</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Final Merger Consideration Spreadsheet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2.3(b)(ii)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Financial Statements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3.4(a)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Formation Date</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3.4(a)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GAAP</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3.4(a)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Illustrative Merger Consideration Spreadsheet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2.3(b)(ii)</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Information Statement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5.8(g)</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Initial Bakkt Equity Holder Support Agreement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Intended Tax Treatment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6.1(a)</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74"/>
        <w:gridCol w:w="121"/>
        <w:gridCol w:w="4910"/>
      </w:tblGrid>
      <w:tr>
        <w:trPr/>
        <w:tc>
          <w:tcPr>
            <w:tcW w:w="517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910" w:type="dxa"/>
            <w:tcBorders/>
            <w:shd w:fill="auto" w:val="clear"/>
            <w:vAlign w:val="center"/>
          </w:tcPr>
          <w:p>
            <w:pPr>
              <w:pStyle w:val="TableContents"/>
              <w:spacing w:before="0" w:after="283"/>
              <w:rPr>
                <w:sz w:val="4"/>
                <w:szCs w:val="4"/>
              </w:rPr>
            </w:pPr>
            <w:r>
              <w:rPr>
                <w:sz w:val="4"/>
                <w:szCs w:val="4"/>
              </w:rPr>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Interim Period</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5.1</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IPO</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9.2(a)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Joinder</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Letter of Transmittal</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2.6(a)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Liabilities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3.4(d)</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Material Contracts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3.13(a)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Material Permits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3.2(b)</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Material VIH Contracts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4.17(a)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Merger</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Merger Consideration</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2.3(b)(ii)</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Merger Sub</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Introduction</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Most Recent Balance Sheet Date</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3.4(a)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Name Change</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OFAC</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3.20(d)</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Original RRA</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Parties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Introduction</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Party</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Introduction</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PCAOB Financial Statements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5.9(b)</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PIPE Financing</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PIPE Investors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PIPE Subscription Agreements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Post-Closing Bakkt Pubco Board</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5.12(a)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Post-Closing Directors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5.12(a)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Proxy Statement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5.8(a)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Public Certifications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4.11(a)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Public Stockholders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9.2(a)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Redemption</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4.14</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Registered Bakkt IP</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3.14(a)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Registration Rights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Registration Statement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5.8(a)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Regulatory Filings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5.7</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Related Party</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3.19</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Released Claims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9.2(b)(i)</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Requisite Bakkt Equity Holders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Reviewable Document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5.9(c)</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SDN List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3.20(d)</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SEC Reports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4.11(a)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Signing Press Release</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5.9(a)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Stockholders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1.8(a)(vi)</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Support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Surviving Company</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Surviving Company LLC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1.6</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Tax Receivable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1.8(a)(iii)</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Transactions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Transfer Taxes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6.1(c)</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Trust Account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9.2(a)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Trust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4.14</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Trustee</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4.14</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under common control with</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10.1(c)</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Voting Agreement</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1.8(a)(v)</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Voting Matters</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u w:val="single"/>
              </w:rPr>
            </w:pPr>
            <w:r>
              <w:rPr>
                <w:u w:val="single"/>
              </w:rPr>
              <w:t>Section 5.8(a)</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VIH</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Introduction</w:t>
            </w:r>
          </w:p>
        </w:tc>
      </w:tr>
      <w:tr>
        <w:trPr/>
        <w:tc>
          <w:tcPr>
            <w:tcW w:w="5174" w:type="dxa"/>
            <w:tcBorders/>
            <w:shd w:fill="auto" w:val="clear"/>
          </w:tcPr>
          <w:p>
            <w:pPr>
              <w:pStyle w:val="TableContents"/>
              <w:spacing w:before="0" w:after="0"/>
              <w:rPr>
                <w:rFonts w:ascii="Times New Roman" w:hAnsi="Times New Roman"/>
                <w:sz w:val="20"/>
              </w:rPr>
            </w:pPr>
            <w:r>
              <w:rPr>
                <w:rFonts w:ascii="Times New Roman" w:hAnsi="Times New Roman"/>
                <w:sz w:val="20"/>
              </w:rPr>
              <w:t>VIH Board</w:t>
            </w:r>
          </w:p>
        </w:tc>
        <w:tc>
          <w:tcPr>
            <w:tcW w:w="121" w:type="dxa"/>
            <w:tcBorders/>
            <w:shd w:fill="auto" w:val="clear"/>
            <w:vAlign w:val="bottom"/>
          </w:tcPr>
          <w:p>
            <w:pPr>
              <w:pStyle w:val="TableContents"/>
              <w:spacing w:before="0" w:after="283"/>
              <w:rPr/>
            </w:pPr>
            <w:r>
              <w:rPr/>
              <w:t>  </w:t>
            </w:r>
          </w:p>
        </w:tc>
        <w:tc>
          <w:tcPr>
            <w:tcW w:w="4910" w:type="dxa"/>
            <w:tcBorders/>
            <w:shd w:fill="auto" w:val="clear"/>
            <w:vAlign w:val="bottom"/>
          </w:tcPr>
          <w:p>
            <w:pPr>
              <w:pStyle w:val="TableContents"/>
              <w:spacing w:before="0" w:after="283"/>
              <w:jc w:val="right"/>
              <w:rPr/>
            </w:pPr>
            <w:r>
              <w:rPr/>
              <w:t>Recitals</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75"/>
        <w:gridCol w:w="122"/>
        <w:gridCol w:w="4908"/>
      </w:tblGrid>
      <w:tr>
        <w:trPr/>
        <w:tc>
          <w:tcPr>
            <w:tcW w:w="517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908" w:type="dxa"/>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Class A Shares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4.3(a)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Class B Shares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4.3(a)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Disclosure Letter</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Article IV</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Financials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4.11(b)</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Memorandum and Articles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Non-Recourse Party</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11.16(b)</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Ordinary Shares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4.3(a)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Preference Shares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4.3(a)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Public Warrants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4.12</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Representations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3.22</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Shareholder Meeting</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5.8(a)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Sponsor Letter</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pPr>
            <w:r>
              <w:rPr/>
              <w:t>Recitals</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VIH Warrants</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4.3(a)</w:t>
            </w:r>
          </w:p>
        </w:tc>
      </w:tr>
      <w:tr>
        <w:trPr/>
        <w:tc>
          <w:tcPr>
            <w:tcW w:w="5175" w:type="dxa"/>
            <w:tcBorders/>
            <w:shd w:fill="auto" w:val="clear"/>
          </w:tcPr>
          <w:p>
            <w:pPr>
              <w:pStyle w:val="TableContents"/>
              <w:spacing w:before="0" w:after="0"/>
              <w:rPr>
                <w:rFonts w:ascii="Times New Roman" w:hAnsi="Times New Roman"/>
                <w:sz w:val="20"/>
              </w:rPr>
            </w:pPr>
            <w:r>
              <w:rPr>
                <w:rFonts w:ascii="Times New Roman" w:hAnsi="Times New Roman"/>
                <w:sz w:val="20"/>
              </w:rPr>
              <w:t>Written Consent</w:t>
            </w:r>
          </w:p>
        </w:tc>
        <w:tc>
          <w:tcPr>
            <w:tcW w:w="122"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u w:val="single"/>
              </w:rPr>
            </w:pPr>
            <w:r>
              <w:rPr>
                <w:u w:val="single"/>
              </w:rPr>
              <w:t>Section 5.8(g)</w:t>
            </w:r>
          </w:p>
        </w:tc>
      </w:tr>
    </w:tbl>
    <w:p>
      <w:pPr>
        <w:pStyle w:val="TextBody"/>
        <w:spacing w:before="480" w:after="0"/>
        <w:jc w:val="center"/>
        <w:rPr>
          <w:rFonts w:ascii="Times New Roman" w:hAnsi="Times New Roman"/>
          <w:b/>
          <w:sz w:val="20"/>
        </w:rPr>
      </w:pPr>
      <w:r>
        <w:rPr>
          <w:rFonts w:ascii="Times New Roman" w:hAnsi="Times New Roman"/>
          <w:b/>
          <w:sz w:val="20"/>
        </w:rPr>
        <w:t xml:space="preserve">ARTICLE XI </w:t>
      </w:r>
    </w:p>
    <w:p>
      <w:pPr>
        <w:pStyle w:val="TextBody"/>
        <w:spacing w:before="240" w:after="0"/>
        <w:jc w:val="center"/>
        <w:rPr>
          <w:rFonts w:ascii="Times New Roman" w:hAnsi="Times New Roman"/>
          <w:b/>
          <w:sz w:val="20"/>
        </w:rPr>
      </w:pPr>
      <w:r>
        <w:rPr>
          <w:rFonts w:ascii="Times New Roman" w:hAnsi="Times New Roman"/>
          <w:b/>
          <w:sz w:val="20"/>
        </w:rPr>
        <w:t xml:space="preserve">GENERAL </w:t>
      </w:r>
    </w:p>
    <w:p>
      <w:pPr>
        <w:pStyle w:val="TextBody"/>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Notices</w:t>
      </w:r>
      <w:r>
        <w:rPr>
          <w:rFonts w:ascii="Times New Roman" w:hAnsi="Times New Roman"/>
          <w:sz w:val="20"/>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hAnsi="Times New Roman"/>
          <w:sz w:val="20"/>
          <w:u w:val="single"/>
        </w:rPr>
        <w:t>Section 11.1</w:t>
      </w:r>
      <w:r>
        <w:rPr>
          <w:rFonts w:ascii="Times New Roman" w:hAnsi="Times New Roman"/>
          <w:sz w:val="20"/>
        </w:rPr>
        <w:t xml:space="preserve"> within two (2) Business Days thereafter) if sent during normal business hours of the recipient, and on the next Business Day if sent after normal business hours of the recipient or (d) on the third (3</w:t>
      </w:r>
      <w:r>
        <w:rPr>
          <w:rFonts w:ascii="Times New Roman" w:hAnsi="Times New Roman"/>
          <w:sz w:val="20"/>
          <w:u w:val="single"/>
        </w:rPr>
        <w:t>rd</w:t>
      </w:r>
      <w:r>
        <w:rPr>
          <w:rFonts w:ascii="Times New Roman" w:hAnsi="Times New Roman"/>
          <w:sz w:val="20"/>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hAnsi="Times New Roman"/>
          <w:sz w:val="20"/>
          <w:u w:val="single"/>
        </w:rPr>
        <w:t>Section 11.1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u w:val="single"/>
        </w:rPr>
        <w:t>If to VIH or Merger Sub prior to the Closing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VPC Impact Acquisition Holdings </w:t>
      </w:r>
    </w:p>
    <w:p>
      <w:pPr>
        <w:pStyle w:val="TextBody"/>
        <w:spacing w:before="0" w:after="0"/>
        <w:jc w:val="left"/>
        <w:rPr>
          <w:rFonts w:ascii="Times New Roman" w:hAnsi="Times New Roman"/>
          <w:sz w:val="20"/>
        </w:rPr>
      </w:pPr>
      <w:r>
        <w:rPr>
          <w:rFonts w:ascii="Times New Roman" w:hAnsi="Times New Roman"/>
          <w:sz w:val="20"/>
        </w:rPr>
        <w:t xml:space="preserve">Victory Park Capital Advisors, LLC </w:t>
      </w:r>
    </w:p>
    <w:p>
      <w:pPr>
        <w:pStyle w:val="TextBody"/>
        <w:spacing w:before="0" w:after="0"/>
        <w:jc w:val="left"/>
        <w:rPr>
          <w:rFonts w:ascii="Times New Roman" w:hAnsi="Times New Roman"/>
          <w:sz w:val="20"/>
        </w:rPr>
      </w:pPr>
      <w:r>
        <w:rPr>
          <w:rFonts w:ascii="Times New Roman" w:hAnsi="Times New Roman"/>
          <w:sz w:val="20"/>
        </w:rPr>
        <w:t xml:space="preserve">150 North Riverside Plaza, Suite 5200 </w:t>
      </w:r>
    </w:p>
    <w:p>
      <w:pPr>
        <w:pStyle w:val="TextBody"/>
        <w:spacing w:before="0" w:after="0"/>
        <w:jc w:val="left"/>
        <w:rPr>
          <w:rFonts w:ascii="Times New Roman" w:hAnsi="Times New Roman"/>
          <w:sz w:val="20"/>
        </w:rPr>
      </w:pPr>
      <w:r>
        <w:rPr>
          <w:rFonts w:ascii="Times New Roman" w:hAnsi="Times New Roman"/>
          <w:sz w:val="20"/>
        </w:rPr>
        <w:t xml:space="preserve">Chicago, Illinois 60606 </w:t>
      </w:r>
    </w:p>
    <w:p>
      <w:pPr>
        <w:pStyle w:val="TextBody"/>
        <w:spacing w:before="0" w:after="0"/>
        <w:jc w:val="left"/>
        <w:rPr>
          <w:rFonts w:ascii="Times New Roman" w:hAnsi="Times New Roman"/>
          <w:sz w:val="20"/>
        </w:rPr>
      </w:pPr>
      <w:r>
        <w:rPr>
          <w:rFonts w:ascii="Times New Roman" w:hAnsi="Times New Roman"/>
          <w:sz w:val="20"/>
        </w:rPr>
        <w:t xml:space="preserve">Attn: Scott R. Zemnick </w:t>
      </w:r>
    </w:p>
    <w:p>
      <w:pPr>
        <w:pStyle w:val="TextBody"/>
        <w:spacing w:before="0" w:after="0"/>
        <w:jc w:val="left"/>
        <w:rPr>
          <w:rFonts w:ascii="Times New Roman" w:hAnsi="Times New Roman"/>
          <w:sz w:val="20"/>
        </w:rPr>
      </w:pPr>
      <w:r>
        <w:rPr>
          <w:rFonts w:ascii="Times New Roman" w:hAnsi="Times New Roman"/>
          <w:sz w:val="20"/>
        </w:rPr>
        <w:t xml:space="preserve">Email: szemnick@vpcadvisors.com </w:t>
      </w:r>
    </w:p>
    <w:p>
      <w:pPr>
        <w:pStyle w:val="TextBody"/>
        <w:spacing w:before="120" w:after="0"/>
        <w:jc w:val="left"/>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White &amp; Case LLP </w:t>
      </w:r>
    </w:p>
    <w:p>
      <w:pPr>
        <w:pStyle w:val="TextBody"/>
        <w:spacing w:before="0" w:after="0"/>
        <w:jc w:val="left"/>
        <w:rPr>
          <w:rFonts w:ascii="Times New Roman" w:hAnsi="Times New Roman"/>
          <w:sz w:val="20"/>
        </w:rPr>
      </w:pPr>
      <w:r>
        <w:rPr>
          <w:rFonts w:ascii="Times New Roman" w:hAnsi="Times New Roman"/>
          <w:sz w:val="20"/>
        </w:rPr>
        <w:t xml:space="preserve">111 South Wacker Drive, Suite 5100 </w:t>
      </w:r>
    </w:p>
    <w:p>
      <w:pPr>
        <w:pStyle w:val="TextBody"/>
        <w:spacing w:before="0" w:after="0"/>
        <w:jc w:val="left"/>
        <w:rPr>
          <w:rFonts w:ascii="Times New Roman" w:hAnsi="Times New Roman"/>
          <w:sz w:val="20"/>
        </w:rPr>
      </w:pPr>
      <w:r>
        <w:rPr>
          <w:rFonts w:ascii="Times New Roman" w:hAnsi="Times New Roman"/>
          <w:sz w:val="20"/>
        </w:rPr>
        <w:t xml:space="preserve">Chicago, IL 60606 </w:t>
      </w:r>
    </w:p>
    <w:p>
      <w:pPr>
        <w:pStyle w:val="TextBody"/>
        <w:spacing w:before="0" w:after="0"/>
        <w:jc w:val="left"/>
        <w:rPr>
          <w:rFonts w:ascii="Times New Roman" w:hAnsi="Times New Roman"/>
          <w:sz w:val="20"/>
        </w:rPr>
      </w:pPr>
      <w:r>
        <w:rPr>
          <w:rFonts w:ascii="Times New Roman" w:hAnsi="Times New Roman"/>
          <w:sz w:val="20"/>
        </w:rPr>
        <w:t xml:space="preserve">Attn: Raymond Bogenrief </w:t>
      </w:r>
    </w:p>
    <w:p>
      <w:pPr>
        <w:pStyle w:val="TextBody"/>
        <w:spacing w:before="0" w:after="0"/>
        <w:jc w:val="left"/>
        <w:rPr>
          <w:rFonts w:ascii="Times New Roman" w:hAnsi="Times New Roman"/>
          <w:sz w:val="20"/>
        </w:rPr>
      </w:pPr>
      <w:r>
        <w:rPr>
          <w:rFonts w:ascii="Times New Roman" w:hAnsi="Times New Roman"/>
          <w:sz w:val="20"/>
        </w:rPr>
        <w:t xml:space="preserve">Email: raymond.bogenrief@whitecase.com </w:t>
      </w:r>
    </w:p>
    <w:p>
      <w:pPr>
        <w:pStyle w:val="TextBody"/>
        <w:spacing w:before="120" w:after="0"/>
        <w:jc w:val="left"/>
        <w:rPr>
          <w:rFonts w:ascii="Times New Roman" w:hAnsi="Times New Roman"/>
          <w:sz w:val="20"/>
        </w:rPr>
      </w:pPr>
      <w:r>
        <w:rPr>
          <w:rFonts w:ascii="Times New Roman" w:hAnsi="Times New Roman"/>
          <w:sz w:val="20"/>
          <w:u w:val="single"/>
        </w:rPr>
        <w:t>If to Bakkt Opco (prior to Closing)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Bakkt Holdings, LLC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marc.dannunzio@bakkt.com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Shearman &amp; Sterling LLP </w:t>
      </w:r>
    </w:p>
    <w:p>
      <w:pPr>
        <w:pStyle w:val="TextBody"/>
        <w:spacing w:before="0" w:after="0"/>
        <w:jc w:val="left"/>
        <w:rPr>
          <w:rFonts w:ascii="Times New Roman" w:hAnsi="Times New Roman"/>
          <w:sz w:val="20"/>
        </w:rPr>
      </w:pPr>
      <w:r>
        <w:rPr>
          <w:rFonts w:ascii="Times New Roman" w:hAnsi="Times New Roman"/>
          <w:sz w:val="20"/>
        </w:rPr>
        <w:t xml:space="preserve">300 W. 6th Street, 22nd Floor </w:t>
      </w:r>
    </w:p>
    <w:p>
      <w:pPr>
        <w:pStyle w:val="TextBody"/>
        <w:spacing w:before="0" w:after="0"/>
        <w:jc w:val="left"/>
        <w:rPr>
          <w:rFonts w:ascii="Times New Roman" w:hAnsi="Times New Roman"/>
          <w:sz w:val="20"/>
        </w:rPr>
      </w:pPr>
      <w:r>
        <w:rPr>
          <w:rFonts w:ascii="Times New Roman" w:hAnsi="Times New Roman"/>
          <w:sz w:val="20"/>
        </w:rPr>
        <w:t xml:space="preserve">Austin, Texas 78701 </w:t>
      </w:r>
    </w:p>
    <w:p>
      <w:pPr>
        <w:pStyle w:val="TextBody"/>
        <w:spacing w:before="0" w:after="0"/>
        <w:jc w:val="left"/>
        <w:rPr>
          <w:rFonts w:ascii="Times New Roman" w:hAnsi="Times New Roman"/>
          <w:sz w:val="20"/>
        </w:rPr>
      </w:pPr>
      <w:r>
        <w:rPr>
          <w:rFonts w:ascii="Times New Roman" w:hAnsi="Times New Roman"/>
          <w:sz w:val="20"/>
        </w:rPr>
        <w:t xml:space="preserve">Attention: J. Matthew Lyons </w:t>
      </w:r>
    </w:p>
    <w:p>
      <w:pPr>
        <w:pStyle w:val="TextBody"/>
        <w:spacing w:before="0" w:after="0"/>
        <w:jc w:val="left"/>
        <w:rPr>
          <w:rFonts w:ascii="Times New Roman" w:hAnsi="Times New Roman"/>
          <w:sz w:val="20"/>
        </w:rPr>
      </w:pPr>
      <w:r>
        <w:rPr>
          <w:rFonts w:ascii="Times New Roman" w:hAnsi="Times New Roman"/>
          <w:sz w:val="20"/>
        </w:rPr>
        <w:t xml:space="preserve">Email: matt.lyons@shearman.com </w:t>
      </w:r>
    </w:p>
    <w:p>
      <w:pPr>
        <w:pStyle w:val="TextBody"/>
        <w:spacing w:before="120" w:after="0"/>
        <w:jc w:val="left"/>
        <w:rPr>
          <w:rFonts w:ascii="Times New Roman" w:hAnsi="Times New Roman"/>
          <w:sz w:val="20"/>
        </w:rPr>
      </w:pPr>
      <w:r>
        <w:rPr>
          <w:rFonts w:ascii="Times New Roman" w:hAnsi="Times New Roman"/>
          <w:sz w:val="20"/>
          <w:u w:val="single"/>
        </w:rPr>
        <w:t>If to Bakkt Pubco or Surviving Company after Closing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Bakkt Holdings, LLC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marc.dannunzio@bakkt.com </w:t>
      </w:r>
    </w:p>
    <w:p>
      <w:pPr>
        <w:pStyle w:val="TextBody"/>
        <w:spacing w:before="120" w:after="0"/>
        <w:jc w:val="left"/>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Shearman &amp; Sterling LLP </w:t>
      </w:r>
    </w:p>
    <w:p>
      <w:pPr>
        <w:pStyle w:val="TextBody"/>
        <w:spacing w:before="0" w:after="0"/>
        <w:jc w:val="left"/>
        <w:rPr>
          <w:rFonts w:ascii="Times New Roman" w:hAnsi="Times New Roman"/>
          <w:sz w:val="20"/>
        </w:rPr>
      </w:pPr>
      <w:r>
        <w:rPr>
          <w:rFonts w:ascii="Times New Roman" w:hAnsi="Times New Roman"/>
          <w:sz w:val="20"/>
        </w:rPr>
        <w:t xml:space="preserve">300 W. 6th Street, 22nd Floor </w:t>
      </w:r>
    </w:p>
    <w:p>
      <w:pPr>
        <w:pStyle w:val="TextBody"/>
        <w:spacing w:before="0" w:after="0"/>
        <w:jc w:val="left"/>
        <w:rPr>
          <w:rFonts w:ascii="Times New Roman" w:hAnsi="Times New Roman"/>
          <w:sz w:val="20"/>
        </w:rPr>
      </w:pPr>
      <w:r>
        <w:rPr>
          <w:rFonts w:ascii="Times New Roman" w:hAnsi="Times New Roman"/>
          <w:sz w:val="20"/>
        </w:rPr>
        <w:t xml:space="preserve">Austin, Texas 78701 </w:t>
      </w:r>
    </w:p>
    <w:p>
      <w:pPr>
        <w:pStyle w:val="TextBody"/>
        <w:spacing w:before="0" w:after="0"/>
        <w:jc w:val="left"/>
        <w:rPr>
          <w:rFonts w:ascii="Times New Roman" w:hAnsi="Times New Roman"/>
          <w:sz w:val="20"/>
        </w:rPr>
      </w:pPr>
      <w:r>
        <w:rPr>
          <w:rFonts w:ascii="Times New Roman" w:hAnsi="Times New Roman"/>
          <w:sz w:val="20"/>
        </w:rPr>
        <w:t xml:space="preserve">Attention: J. Matthew Lyons </w:t>
      </w:r>
    </w:p>
    <w:p>
      <w:pPr>
        <w:pStyle w:val="TextBody"/>
        <w:spacing w:before="0" w:after="0"/>
        <w:jc w:val="left"/>
        <w:rPr>
          <w:rFonts w:ascii="Times New Roman" w:hAnsi="Times New Roman"/>
          <w:sz w:val="20"/>
        </w:rPr>
      </w:pPr>
      <w:r>
        <w:rPr>
          <w:rFonts w:ascii="Times New Roman" w:hAnsi="Times New Roman"/>
          <w:sz w:val="20"/>
        </w:rPr>
        <w:t xml:space="preserve">Email: matt.lyons@shearman.com </w:t>
      </w:r>
    </w:p>
    <w:p>
      <w:pPr>
        <w:pStyle w:val="TextBody"/>
        <w:spacing w:before="120" w:after="0"/>
        <w:jc w:val="left"/>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White &amp; Case LLP </w:t>
      </w:r>
    </w:p>
    <w:p>
      <w:pPr>
        <w:pStyle w:val="TextBody"/>
        <w:spacing w:before="0" w:after="0"/>
        <w:jc w:val="left"/>
        <w:rPr>
          <w:rFonts w:ascii="Times New Roman" w:hAnsi="Times New Roman"/>
          <w:sz w:val="20"/>
        </w:rPr>
      </w:pPr>
      <w:r>
        <w:rPr>
          <w:rFonts w:ascii="Times New Roman" w:hAnsi="Times New Roman"/>
          <w:sz w:val="20"/>
        </w:rPr>
        <w:t xml:space="preserve">111 South Wacker Drive, Suite 5100 </w:t>
      </w:r>
    </w:p>
    <w:p>
      <w:pPr>
        <w:pStyle w:val="TextBody"/>
        <w:spacing w:before="0" w:after="0"/>
        <w:jc w:val="left"/>
        <w:rPr>
          <w:rFonts w:ascii="Times New Roman" w:hAnsi="Times New Roman"/>
          <w:sz w:val="20"/>
        </w:rPr>
      </w:pPr>
      <w:r>
        <w:rPr>
          <w:rFonts w:ascii="Times New Roman" w:hAnsi="Times New Roman"/>
          <w:sz w:val="20"/>
        </w:rPr>
        <w:t xml:space="preserve">Chicago, IL 60606 </w:t>
      </w:r>
    </w:p>
    <w:p>
      <w:pPr>
        <w:pStyle w:val="TextBody"/>
        <w:spacing w:before="0" w:after="0"/>
        <w:jc w:val="left"/>
        <w:rPr>
          <w:rFonts w:ascii="Times New Roman" w:hAnsi="Times New Roman"/>
          <w:sz w:val="20"/>
        </w:rPr>
      </w:pPr>
      <w:r>
        <w:rPr>
          <w:rFonts w:ascii="Times New Roman" w:hAnsi="Times New Roman"/>
          <w:sz w:val="20"/>
        </w:rPr>
        <w:t xml:space="preserve">Attn: Raymond Bogenrief </w:t>
      </w:r>
    </w:p>
    <w:p>
      <w:pPr>
        <w:pStyle w:val="TextBody"/>
        <w:spacing w:before="0" w:after="0"/>
        <w:jc w:val="left"/>
        <w:rPr>
          <w:rFonts w:ascii="Times New Roman" w:hAnsi="Times New Roman"/>
          <w:sz w:val="20"/>
        </w:rPr>
      </w:pPr>
      <w:r>
        <w:rPr>
          <w:rFonts w:ascii="Times New Roman" w:hAnsi="Times New Roman"/>
          <w:sz w:val="20"/>
        </w:rPr>
        <w:t xml:space="preserve">Email: raymond.bogenrief@whitecase.com </w:t>
      </w:r>
    </w:p>
    <w:p>
      <w:pPr>
        <w:pStyle w:val="TextBody"/>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Entire Agreement</w:t>
      </w:r>
      <w:r>
        <w:rPr>
          <w:rFonts w:ascii="Times New Roman" w:hAnsi="Times New Roman"/>
          <w:sz w:val="20"/>
        </w:rPr>
        <w:t xml:space="preserve">. This Agreement (which includes the Bakkt Disclosure Letter, the VIH Disclosure Letter, the other schedules hereto and the exhibits hereto),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Agreement. Each of the Bakkt Disclosure Letter, the VIH Disclosure Letter, the other schedules and the exhibits is incorporated herein by this reference and expressly made a part hereof, and all terms used in the Bakkt Disclosure Letter, the VIH Disclosure Letter or any schedule or exhibit shall have the meaning ascribed to such term in this Agreement. </w:t>
      </w:r>
    </w:p>
    <w:p>
      <w:pPr>
        <w:pStyle w:val="TextBody"/>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Successors and Assigns</w:t>
      </w:r>
      <w:r>
        <w:rPr>
          <w:rFonts w:ascii="Times New Roman" w:hAnsi="Times New Roman"/>
          <w:sz w:val="20"/>
        </w:rPr>
        <w:t xml:space="preserve">. This Agreement shall be binding upon and shall inure to the benefit of the Parties and their respective successors and permitted assigns. None of the Parties hereto may assign its rights or obligations hereunder without the prior written consent of the other Parties, which consent shall not be unreasonably conditioned, withheld or delayed. No assignment shall relieve the assigning Party of any of its obligations hereunder. </w:t>
      </w:r>
    </w:p>
    <w:p>
      <w:pPr>
        <w:pStyle w:val="TextBody"/>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 </w:t>
      </w:r>
    </w:p>
    <w:p>
      <w:pPr>
        <w:pStyle w:val="TextBody"/>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Expenses and Fees</w:t>
      </w:r>
      <w:r>
        <w:rPr>
          <w:rFonts w:ascii="Times New Roman" w:hAnsi="Times New Roman"/>
          <w:sz w:val="20"/>
        </w:rPr>
        <w:t xml:space="preserve">. If this Agreement is terminated in accordance with its terms, each of the Parties shall bear its own expenses in connection with the negotiation and execution of this Agreement, the performance of its obligations hereunder and the consummation of the Transactions, including, all fees and expenses of its legal counsel, investment bankers, financial advisors, accountants and other advisors. If the Merger is consummated, all Bakkt Transaction Expenses and VIH Transaction Expenses shall be borne by Bakkt Pubco.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 </w:t>
      </w:r>
    </w:p>
    <w:p>
      <w:pPr>
        <w:pStyle w:val="TextBody"/>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Submission to Jurisdiction; WAIVER OF JURY TRIAL</w:t>
      </w:r>
      <w:r>
        <w:rPr>
          <w:rFonts w:ascii="Times New Roman" w:hAnsi="Times New Roman"/>
          <w:sz w:val="20"/>
        </w:rPr>
        <w:t xml:space="preserve">.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or any of the Transactions,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or any of the Transactions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hAnsi="Times New Roman"/>
          <w:sz w:val="20"/>
          <w:u w:val="single"/>
        </w:rPr>
        <w:t>Section 11.1</w:t>
      </w:r>
      <w:r>
        <w:rPr>
          <w:rFonts w:ascii="Times New Roman" w:hAnsi="Times New Roman"/>
          <w:sz w:val="20"/>
        </w:rPr>
        <w:t xml:space="preserve">. Nothing in this </w:t>
      </w:r>
      <w:r>
        <w:rPr>
          <w:rFonts w:ascii="Times New Roman" w:hAnsi="Times New Roman"/>
          <w:sz w:val="20"/>
          <w:u w:val="single"/>
        </w:rPr>
        <w:t>Section 11.7</w:t>
      </w:r>
      <w:r>
        <w:rPr>
          <w:rFonts w:ascii="Times New Roman" w:hAnsi="Times New Roman"/>
          <w:sz w:val="20"/>
        </w:rPr>
        <w:t xml:space="preserve">, however, shall affect the right of any party to serve legal process in any other manner permitted by law. TO THE EXTENT PERMITTED BY APPLICABLE LAW, EACH PARTY HEREBY IRREVOCABLY AND UNCONDITIONALLY WAIVES ALL RIGHTS TO TRIAL BY JURY IN ANY ACTION OR PROCEEDING CONTEMPLATED HEREBY. </w:t>
      </w:r>
    </w:p>
    <w:p>
      <w:pPr>
        <w:pStyle w:val="TextBody"/>
        <w:spacing w:before="240" w:after="0"/>
        <w:jc w:val="left"/>
        <w:rPr>
          <w:rFonts w:ascii="Times New Roman" w:hAnsi="Times New Roman"/>
          <w:sz w:val="20"/>
        </w:rPr>
      </w:pPr>
      <w:r>
        <w:rPr>
          <w:rFonts w:ascii="Times New Roman" w:hAnsi="Times New Roman"/>
          <w:sz w:val="20"/>
        </w:rPr>
        <w:t xml:space="preserve">Section 11.8 </w:t>
      </w:r>
      <w:r>
        <w:rPr>
          <w:rFonts w:ascii="Times New Roman" w:hAnsi="Times New Roman"/>
          <w:sz w:val="20"/>
          <w:u w:val="single"/>
        </w:rPr>
        <w:t>Specific Performance</w:t>
      </w:r>
      <w:r>
        <w:rPr>
          <w:rFonts w:ascii="Times New Roman" w:hAnsi="Times New Roman"/>
          <w:sz w:val="20"/>
        </w:rPr>
        <w:t xml:space="preserve">. Each Party acknowledges that the other Parties will be irreparably harmed and that there will be no adequate remedy at law for any violation by any Party of any of the covenants or agreements contained in this Agreement or the Transaction Documents.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Parties covenants and agreements contained in this Agreement and the Transaction Documents,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or the Transaction Documents and to enforce specifically the terms and provisions of this Agreement or the Transaction Documents shall not be required to provide any bond or other security in connection with such order or injunction. </w:t>
      </w:r>
    </w:p>
    <w:p>
      <w:pPr>
        <w:pStyle w:val="TextBody"/>
        <w:spacing w:before="240" w:after="0"/>
        <w:jc w:val="left"/>
        <w:rPr>
          <w:rFonts w:ascii="Times New Roman" w:hAnsi="Times New Roman"/>
          <w:sz w:val="20"/>
        </w:rPr>
      </w:pPr>
      <w:r>
        <w:rPr>
          <w:rFonts w:ascii="Times New Roman" w:hAnsi="Times New Roman"/>
          <w:sz w:val="20"/>
        </w:rPr>
        <w:t xml:space="preserve">Section 11.9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 </w:t>
      </w:r>
    </w:p>
    <w:p>
      <w:pPr>
        <w:pStyle w:val="TextBody"/>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Amendment; Waiver</w:t>
      </w:r>
      <w:r>
        <w:rPr>
          <w:rFonts w:ascii="Times New Roman" w:hAnsi="Times New Roman"/>
          <w:sz w:val="20"/>
        </w:rPr>
        <w:t xml:space="preserve">. This Agreement may be amended by the Parties at any time by execution of an instrument in writing signed on behalf of each of the Parties. Any extension or waiver by any Party of any provision hereto shall be valid only if set forth in an instrument in writing signed on behalf of such Party. </w:t>
      </w:r>
    </w:p>
    <w:p>
      <w:pPr>
        <w:pStyle w:val="TextBody"/>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Absence of Third Party Beneficiary Rights</w:t>
      </w:r>
      <w:r>
        <w:rPr>
          <w:rFonts w:ascii="Times New Roman" w:hAnsi="Times New Roman"/>
          <w:sz w:val="20"/>
        </w:rPr>
        <w:t xml:space="preserve">. Except for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w:t>
      </w:r>
      <w:r>
        <w:rPr>
          <w:rFonts w:ascii="Times New Roman" w:hAnsi="Times New Roman"/>
          <w:sz w:val="20"/>
          <w:u w:val="single"/>
        </w:rPr>
        <w:t>Section 11.14</w:t>
      </w:r>
      <w:r>
        <w:rPr>
          <w:rFonts w:ascii="Times New Roman" w:hAnsi="Times New Roman"/>
          <w:sz w:val="20"/>
        </w:rPr>
        <w:t xml:space="preserve"> and </w:t>
      </w:r>
      <w:r>
        <w:rPr>
          <w:rFonts w:ascii="Times New Roman" w:hAnsi="Times New Roman"/>
          <w:sz w:val="20"/>
          <w:u w:val="single"/>
        </w:rPr>
        <w:t>Section 11.16</w:t>
      </w:r>
      <w:r>
        <w:rPr>
          <w:rFonts w:ascii="Times New Roman" w:hAnsi="Times New Roman"/>
          <w:sz w:val="20"/>
        </w:rPr>
        <w:t xml:space="preserve">, no provision of this Agreement is intended, nor will be interpreted, to provide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to create any third party beneficiary rights or any other rights of any kind in any client, customer, Affiliate, stockholder, officer, director, employee or partner of any Party or any other Person, other than the Parties. </w:t>
      </w:r>
    </w:p>
    <w:p>
      <w:pPr>
        <w:pStyle w:val="TextBody"/>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Mutual Drafting</w:t>
      </w:r>
      <w:r>
        <w:rPr>
          <w:rFonts w:ascii="Times New Roman" w:hAnsi="Times New Roman"/>
          <w:sz w:val="20"/>
        </w:rPr>
        <w:t xml:space="preserve">. This Agreement is the mutual product of the Parties, and each provision hereof has been subject to the mutual consultation, negotiation and agreement of each of the Parties, and shall not be construed for or against any Party. </w:t>
      </w:r>
    </w:p>
    <w:p>
      <w:pPr>
        <w:pStyle w:val="TextBody"/>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Further Representations</w:t>
      </w:r>
      <w:r>
        <w:rPr>
          <w:rFonts w:ascii="Times New Roman" w:hAnsi="Times New Roman"/>
          <w:sz w:val="20"/>
        </w:rPr>
        <w:t xml:space="preserve">. Each Party acknowledges and represents that it has been represented by its own legal counsel in connection with the Transactions, with the opportunity to seek advice as to its legal rights from such counsel. Each Party further represents that it is being independently advised as to the tax consequences of the Transactions and is not relying on any representation or statements made by any other Party as to such tax consequences. </w:t>
      </w:r>
    </w:p>
    <w:p>
      <w:pPr>
        <w:pStyle w:val="TextBody"/>
        <w:spacing w:before="240" w:after="0"/>
        <w:jc w:val="left"/>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Waiver of Conflicts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Parties agree, on their own behalf and on behalf their respective directors, officers, managers, employees and Affiliates, that, following the Closing, Shearman &amp; Sterling LLP may serve as counsel to one or more of the Bakkt Equity Holders or their Affiliates in connection with any matters related to this Agreement and the Transactions, including any litigation, claim or obligation arising out of or relating to this Agreement or the Transactions notwithstanding any representation by Shearman &amp; Sterling LLP prior to the Closing Date of Bakkt Opco. The Parties hereby (i) waive any claim they have or may have that Shearman &amp; Sterling LLP has a conflict of interest or is otherwise prohibited from engaging in such representation and (ii) agree that, in the event that a dispute arises after the Closing between VIH (or Bakkt Pubco), Merger Sub or Bakkt Opco (or Surviving Company), on the one hand, and one or more of the Bakkt Equity Holders or any of their respective Affiliates, on the other hand, Shearman &amp; Sterling LLP may represent one or more of the Bakkt Equity Holders or any of their respective Affiliates in such dispute even though the interests of such Person(s) may be directly adverse to VIH (or Bakkt Pubco), Merger Sub or Bakkt Opco (or Surviving Company) and even though Shearman &amp; Sterling LLP may have represented Bakkt Opco in a matter substantially related to such dispute. The Parties also further agree that, as to all communications prior to the Closing among Shearman &amp; Sterling LLP and Bakkt Opco (or its Subsidiaries), one or more of the Bakkt Equity Holders or such Bakkt Equity Holders Affiliates and Representatives, that relate in any way to the Transactions, the attorney-client privilege and the expectation of client confidence belong to the applicable Bakkt Equity Holders and may be controlled by such Bakkt Equity Holders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Surviving Company may assert the attorney-client privilege to prevent disclosure of confidential communications by Shearman &amp; Sterling LLP to such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Surviving Company may not waive such privilege without the prior written consent of the holders of a majority in interest of the Surviving Company Common Units held by the Bakkt Equity Holders at the Closing (which shall for the avoidance of doubt shall exclude the Surviving Company Common Units issued to Bakkt Pubco). </w:t>
      </w:r>
    </w:p>
    <w:p>
      <w:pPr>
        <w:pStyle w:val="TextBody"/>
        <w:spacing w:before="120" w:after="0"/>
        <w:jc w:val="left"/>
        <w:rPr>
          <w:rFonts w:ascii="Times New Roman" w:hAnsi="Times New Roman"/>
          <w:sz w:val="20"/>
        </w:rPr>
      </w:pPr>
      <w:r>
        <w:rPr>
          <w:rFonts w:ascii="Times New Roman" w:hAnsi="Times New Roman"/>
          <w:sz w:val="20"/>
        </w:rPr>
        <w:t xml:space="preserve">(b) The Parties agree, on their own behalf and on behalf their respective directors, officers, managers, employees and Affiliates, that, following the Closing, White &amp; Case LLP may serve as counsel to VIH Sponsor and its Affiliates in connection with any matters related to this Agreement and the Transactions, including any litigation, claim or obligation arising out of or relating to this Agreement or the Transactions notwithstanding any representation by White &amp; Case LLP prior to the Closing Date of VIH. The Parties hereby (i) waive any claim they have or may have that White &amp; Case LLP has a conflict of interest or is otherwise prohibited from engaging in such representation and (ii) agree that, in the event that a dispute arises after the Closing between VIH (or Bakkt Pubco), Merger Sub or Bakkt Opco (or Surviving Company), on the one hand, and VIH Sponsor or any of its Affiliates, on the other hand, White &amp; Case LLP may represent VIH Sponsor or any of its Affiliates in such dispute even though the interests of such Person(s) may be directly adverse to VIH (or Bakkt Pubco), Merger Sub or Bakkt Opco (or Surviving Company) and even though White &amp; Case LLP may have represented VIH in 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matter substantially related to such dispute. The Parties also further agree that, as to all communications prior to the Closing among White &amp; Case LLP and VIH, VIH Sponsor or VIH Sponsors Affiliates and Representatives, that relate in any way to the Transactions, the attorney-client privilege and the expectation of client confidence belong to VIH Sponsor and may be controlled by VIH Sponsor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Bakkt Pubco may assert the attorney-client privilege to prevent disclosure of confidential communications by White &amp; Case LLP to such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Bakkt Pubco may not waive such privilege without the prior written consent of the VIH Sponsor. </w:t>
      </w:r>
    </w:p>
    <w:p>
      <w:pPr>
        <w:pStyle w:val="TextBody"/>
        <w:spacing w:before="240" w:after="0"/>
        <w:jc w:val="left"/>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Currency</w:t>
      </w:r>
      <w:r>
        <w:rPr>
          <w:rFonts w:ascii="Times New Roman" w:hAnsi="Times New Roman"/>
          <w:sz w:val="20"/>
        </w:rPr>
        <w:t xml:space="preserve">. Whenever any payment hereunder is to be paid in cash, payment shall be made in the legal tender of the United States and the method for payment shall be by wire transfer of immediately available funds. In the event there is any need to convert U.S. dollars into any foreign currency, or vice versa, for any purpose under this Agreement, the exchange rate shall be that published by the </w:t>
      </w:r>
      <w:r>
        <w:rPr>
          <w:rFonts w:ascii="Times New Roman" w:hAnsi="Times New Roman"/>
          <w:i/>
          <w:sz w:val="20"/>
        </w:rPr>
        <w:t>Wall Street Journal</w:t>
      </w:r>
      <w:r>
        <w:rPr>
          <w:rFonts w:ascii="Times New Roman" w:hAnsi="Times New Roman"/>
          <w:sz w:val="20"/>
        </w:rPr>
        <w:t xml:space="preserve"> on the date an obligation is paid (or if the </w:t>
      </w:r>
      <w:r>
        <w:rPr>
          <w:rFonts w:ascii="Times New Roman" w:hAnsi="Times New Roman"/>
          <w:i/>
          <w:sz w:val="20"/>
        </w:rPr>
        <w:t>Wall Street Journal</w:t>
      </w:r>
      <w:r>
        <w:rPr>
          <w:rFonts w:ascii="Times New Roman" w:hAnsi="Times New Roman"/>
          <w:sz w:val="20"/>
        </w:rPr>
        <w:t xml:space="preserve"> is not published on such date, the first date thereafter on which the Wall Street Journal is published). </w:t>
      </w:r>
    </w:p>
    <w:p>
      <w:pPr>
        <w:pStyle w:val="TextBody"/>
        <w:spacing w:before="240" w:after="0"/>
        <w:jc w:val="left"/>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No Recourse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Notwithstanding anything that may be expressed or implied in this Agreement or any Transaction Document, except with respect to Excluded Bakkt Matters, by its acceptance of the benefits of this Agreement, VIH and Merger Sub each covenants, agrees and acknowledges that no Persons other than Bakkt Opco have any liabilities, obligations, commitments (whether known or unknown or whether contingent or otherwise) hereunder and thereunder (except to the extent such Person is expressly identified as a party to such Transaction Document), and that, notwithstanding that the Bakkt Equity Holders or their respective managing members or general partners may be partnerships or limited liability companies, none of VIH or Merger Sub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or general or limited partners of any of Bakkt Opco or any former, current or future stockholder, controlling Person, director, officer, employee, general or limited partner, member, manager, Affiliate or agent of any of the foregoing (collectively, but not including Bakkt Opco, a </w:t>
      </w:r>
      <w:r>
        <w:rPr>
          <w:rFonts w:ascii="Times New Roman" w:hAnsi="Times New Roman"/>
          <w:sz w:val="20"/>
          <w:u w:val="single"/>
        </w:rPr>
        <w:t>Bakkt Non-Recourse Party</w:t>
      </w:r>
      <w:r>
        <w:rPr>
          <w:rFonts w:ascii="Times New Roman" w:hAnsi="Times New Roman"/>
          <w:sz w:val="20"/>
        </w:rPr>
        <w:t xml:space="preserve">), through Bakkt Opco, whether by or through attempted piercing of the corporate veil, by or through a claim by or on behalf of Bakkt Opco against any Bakkt Non-Recourse Party, by the enforcement of any assessment or by any legal or equitable proceeding, by virtue of any statute, regulation or Law, or otherwise. Without limiting the foregoing, other than with respect to any Excluded Bakkt Matters, no claim will be brought or maintained by VIH, Merger Sub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(other than Bakkt Pubco) against any Bakkt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Times New Roman" w:hAnsi="Times New Roman"/>
          <w:sz w:val="20"/>
          <w:u w:val="single"/>
        </w:rPr>
        <w:t>Section 11.16(a)</w:t>
      </w:r>
      <w:r>
        <w:rPr>
          <w:rFonts w:ascii="Times New Roman" w:hAnsi="Times New Roman"/>
          <w:sz w:val="20"/>
        </w:rPr>
        <w:t xml:space="preserve"> shall limit the ability of VIH to exercise the rights expressly granted to VIH under </w:t>
      </w:r>
      <w:r>
        <w:rPr>
          <w:rFonts w:ascii="Times New Roman" w:hAnsi="Times New Roman"/>
          <w:sz w:val="20"/>
          <w:u w:val="single"/>
        </w:rPr>
        <w:t>Article VIII</w:t>
      </w:r>
      <w:r>
        <w:rPr>
          <w:rFonts w:ascii="Times New Roman" w:hAnsi="Times New Roman"/>
          <w:sz w:val="20"/>
        </w:rPr>
        <w:t xml:space="preserve"> to terminate this Agreement in accordance with </w:t>
      </w:r>
      <w:r>
        <w:rPr>
          <w:rFonts w:ascii="Times New Roman" w:hAnsi="Times New Roman"/>
          <w:sz w:val="20"/>
          <w:u w:val="single"/>
        </w:rPr>
        <w:t>Article VIII</w:t>
      </w:r>
      <w:r>
        <w:rPr>
          <w:rFonts w:ascii="Times New Roman" w:hAnsi="Times New Roman"/>
          <w:sz w:val="20"/>
        </w:rPr>
        <w:t xml:space="preserve"> or the rights expressly granted to VIH under </w:t>
      </w:r>
      <w:r>
        <w:rPr>
          <w:rFonts w:ascii="Times New Roman" w:hAnsi="Times New Roman"/>
          <w:sz w:val="20"/>
          <w:u w:val="single"/>
        </w:rPr>
        <w:t>Article VII</w:t>
      </w:r>
      <w:r>
        <w:rPr>
          <w:rFonts w:ascii="Times New Roman" w:hAnsi="Times New Roman"/>
          <w:sz w:val="20"/>
        </w:rPr>
        <w:t xml:space="preserve"> to enforce or waive any closing condition to the extent provided in </w:t>
      </w:r>
      <w:r>
        <w:rPr>
          <w:rFonts w:ascii="Times New Roman" w:hAnsi="Times New Roman"/>
          <w:sz w:val="20"/>
          <w:u w:val="single"/>
        </w:rPr>
        <w:t>Article VII</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A-70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(b) Notwithstanding anything that may be expressed or implied in this Agreement or any Transaction Document, except with respect to Excluded VIH Matters, by its acceptance of the benefits of this Agreement (and with respect to each Bakkt Equity Holder, in accordance with the Letter of Transmittal delivered by such Bakkt Equity Holder in accordance with the requirements of this Agreement), Bakkt Opco and each Bakkt Equity Holder each covenants, agrees and acknowledges that no Persons other than VIH and Merger Sub have any liabilities, obligations, commitments (whether known or unknown or whether contingent or otherwise) hereunder and thereunder (except to the extent such Person is expressly identified as a party to such Transaction Document), and that, notwithstanding that the VIH Shareholders (including VIH Sponsor) or their respective managing members, investment managers or general partners may be partnerships or limited liability companies, none of Bakkt Opco, or the Bakkt Equity Holders,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investment managers, funds, or general or limited partners of any of VIH or Merger Sub or any former, current or future stockholder, controlling Person, director, officer, employee, general or limited partner, member, manager, investment manager, funds, Affiliate or agent of any of the foregoing (collectively, but not including VIH or Merger Sub, a </w:t>
      </w:r>
      <w:r>
        <w:rPr>
          <w:rFonts w:ascii="Times New Roman" w:hAnsi="Times New Roman"/>
          <w:sz w:val="20"/>
          <w:u w:val="single"/>
        </w:rPr>
        <w:t>VIH Non-Recourse Party</w:t>
      </w:r>
      <w:r>
        <w:rPr>
          <w:rFonts w:ascii="Times New Roman" w:hAnsi="Times New Roman"/>
          <w:sz w:val="20"/>
        </w:rPr>
        <w:t xml:space="preserve">), through VIH or Merger Sub or otherwise, whether by or through attempted piercing of the corporate veil, by or through a claim by or on behalf of VIH or Merger Sub (or their respective successors) against any VIH Non-Recourse Party, by the enforcement of any assessment or by any legal or equitable proceeding, by virtue of any statute, regulation or Law, or otherwise. Without limiting the foregoing, other than with respect to any Excluded VIH Matters, no claim will be brought or maintained by Bakkt Opco, the Bakkt Equity Holders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against any VIH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Times New Roman" w:hAnsi="Times New Roman"/>
          <w:sz w:val="20"/>
          <w:u w:val="single"/>
        </w:rPr>
        <w:t>Section 11.16(b)</w:t>
      </w:r>
      <w:r>
        <w:rPr>
          <w:rFonts w:ascii="Times New Roman" w:hAnsi="Times New Roman"/>
          <w:sz w:val="20"/>
        </w:rPr>
        <w:t xml:space="preserve"> shall limit the ability of Bakkt Opco to exercise the rights expressly granted to Bakkt Opco under </w:t>
      </w:r>
      <w:r>
        <w:rPr>
          <w:rFonts w:ascii="Times New Roman" w:hAnsi="Times New Roman"/>
          <w:sz w:val="20"/>
          <w:u w:val="single"/>
        </w:rPr>
        <w:t>Article VIII</w:t>
      </w:r>
      <w:r>
        <w:rPr>
          <w:rFonts w:ascii="Times New Roman" w:hAnsi="Times New Roman"/>
          <w:sz w:val="20"/>
        </w:rPr>
        <w:t xml:space="preserve"> to terminate this Agreement in accordance with </w:t>
      </w:r>
      <w:r>
        <w:rPr>
          <w:rFonts w:ascii="Times New Roman" w:hAnsi="Times New Roman"/>
          <w:sz w:val="20"/>
          <w:u w:val="single"/>
        </w:rPr>
        <w:t>Article VIII</w:t>
      </w:r>
      <w:r>
        <w:rPr>
          <w:rFonts w:ascii="Times New Roman" w:hAnsi="Times New Roman"/>
          <w:sz w:val="20"/>
        </w:rPr>
        <w:t xml:space="preserve"> or the rights expressly granted to Bakkt Opco under </w:t>
      </w:r>
      <w:r>
        <w:rPr>
          <w:rFonts w:ascii="Times New Roman" w:hAnsi="Times New Roman"/>
          <w:sz w:val="20"/>
          <w:u w:val="single"/>
        </w:rPr>
        <w:t>Article VII</w:t>
      </w:r>
      <w:r>
        <w:rPr>
          <w:rFonts w:ascii="Times New Roman" w:hAnsi="Times New Roman"/>
          <w:sz w:val="20"/>
        </w:rPr>
        <w:t xml:space="preserve"> to enforce or waive any closing condition to the extent provided in </w:t>
      </w:r>
      <w:r>
        <w:rPr>
          <w:rFonts w:ascii="Times New Roman" w:hAnsi="Times New Roman"/>
          <w:sz w:val="20"/>
          <w:u w:val="single"/>
        </w:rPr>
        <w:t>Article VII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11.17 </w:t>
      </w:r>
      <w:r>
        <w:rPr>
          <w:rFonts w:ascii="Times New Roman" w:hAnsi="Times New Roman"/>
          <w:sz w:val="20"/>
          <w:u w:val="single"/>
        </w:rPr>
        <w:t>Made Available</w:t>
      </w:r>
      <w:r>
        <w:rPr>
          <w:rFonts w:ascii="Times New Roman" w:hAnsi="Times New Roman"/>
          <w:sz w:val="20"/>
        </w:rPr>
        <w:t xml:space="preserve">. The phrases made available to VIH, provided to VIH or other similar phrases as used in this Agreement shall mean that the subject documents were posted to the virtual data room maintained by Bakkt Opco or otherwise delivered to VIH or its Representatives at least two (2) days prior to the date of this Agreement. </w:t>
      </w:r>
    </w:p>
    <w:p>
      <w:pPr>
        <w:pStyle w:val="TextBody"/>
        <w:spacing w:before="1920" w:after="0"/>
        <w:jc w:val="center"/>
        <w:rPr>
          <w:rFonts w:ascii="Times New Roman" w:hAnsi="Times New Roman"/>
          <w:i/>
          <w:sz w:val="20"/>
        </w:rPr>
      </w:pPr>
      <w:r>
        <w:rPr>
          <w:rFonts w:ascii="Times New Roman" w:hAnsi="Times New Roman"/>
          <w:i/>
          <w:sz w:val="20"/>
        </w:rPr>
        <w:t xml:space="preserve">[Signature Pages Follow]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A-71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TextBody"/>
        <w:spacing w:before="0" w:after="0"/>
        <w:jc w:val="left"/>
        <w:rPr>
          <w:rFonts w:ascii="Times New Roman" w:hAnsi="Times New Roman"/>
          <w:sz w:val="20"/>
        </w:rPr>
      </w:pPr>
      <w:r>
        <w:rPr>
          <w:rFonts w:ascii="Times New Roman" w:hAnsi="Times New Roman"/>
          <w:sz w:val="20"/>
        </w:rPr>
        <w:t xml:space="preserve">IN WITNESS WHEREOF, the Parties have executed this Agreement effective as of the day and year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4"/>
        <w:gridCol w:w="60"/>
        <w:gridCol w:w="657"/>
        <w:gridCol w:w="60"/>
        <w:gridCol w:w="2941"/>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b/>
              </w:rPr>
              <w:t>BAKKT OPCO</w:t>
            </w:r>
            <w:r>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BAKKT HOLDINGS, LLC</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David Clifton</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David Clifton</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Chief Executive Officer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b/>
              </w:rPr>
              <w:t>VIH</w:t>
            </w:r>
            <w:r>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VPC IMPACT ACQUISITION HOLDINGS</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Gordon Watson</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Gordon Watson</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President and Chief Operating Officer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b/>
              </w:rPr>
              <w:t>MERGER SUB</w:t>
            </w:r>
            <w:r>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PYLON MERGER COMPANY LLC</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Gordon Watson</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Gordon Watson</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President and Chief Operating Officer</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34" w:name="toc108105_43a"/>
      <w:bookmarkStart w:id="135" w:name="ii108105_a2"/>
      <w:bookmarkEnd w:id="134"/>
      <w:bookmarkEnd w:id="135"/>
      <w:r>
        <w:rPr>
          <w:rFonts w:ascii="Times New Roman" w:hAnsi="Times New Roman"/>
          <w:b/>
          <w:sz w:val="20"/>
        </w:rPr>
        <w:t xml:space="preserve">Annex A-2 </w:t>
      </w:r>
    </w:p>
    <w:p>
      <w:pPr>
        <w:pStyle w:val="TextBody"/>
        <w:spacing w:before="240" w:after="0"/>
        <w:jc w:val="center"/>
        <w:rPr>
          <w:rFonts w:ascii="Times New Roman" w:hAnsi="Times New Roman"/>
          <w:b/>
          <w:sz w:val="20"/>
        </w:rPr>
      </w:pPr>
      <w:r>
        <w:rPr>
          <w:rFonts w:ascii="Times New Roman" w:hAnsi="Times New Roman"/>
          <w:b/>
          <w:sz w:val="20"/>
          <w:u w:val="single"/>
        </w:rPr>
        <w:t>AMENDMENT TO AGREEMENT AND PLAN OF MERGER</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This Amendment (this </w:t>
      </w:r>
      <w:r>
        <w:rPr>
          <w:rFonts w:ascii="Times New Roman" w:hAnsi="Times New Roman"/>
          <w:sz w:val="20"/>
          <w:u w:val="single"/>
        </w:rPr>
        <w:t>Amendment</w:t>
      </w:r>
      <w:r>
        <w:rPr>
          <w:rFonts w:ascii="Times New Roman" w:hAnsi="Times New Roman"/>
          <w:sz w:val="20"/>
        </w:rPr>
        <w:t>) to that certain Agreement and Plan of Merger, dated as of January 11, 2021, by and among VPC Impact Acquisition Holdings, a Cayman Islands exempted company (</w:t>
      </w:r>
      <w:r>
        <w:rPr>
          <w:rFonts w:ascii="Times New Roman" w:hAnsi="Times New Roman"/>
          <w:sz w:val="20"/>
          <w:u w:val="single"/>
        </w:rPr>
        <w:t>VIH</w:t>
      </w:r>
      <w:r>
        <w:rPr>
          <w:rFonts w:ascii="Times New Roman" w:hAnsi="Times New Roman"/>
          <w:sz w:val="20"/>
        </w:rPr>
        <w:t>), Pylon Merger Company LLC, a Delaware limited liability company and wholly-owned subsidiary of VIH (</w:t>
      </w:r>
      <w:r>
        <w:rPr>
          <w:rFonts w:ascii="Times New Roman" w:hAnsi="Times New Roman"/>
          <w:sz w:val="20"/>
          <w:u w:val="single"/>
        </w:rPr>
        <w:t>Merger Sub</w:t>
      </w:r>
      <w:r>
        <w:rPr>
          <w:rFonts w:ascii="Times New Roman" w:hAnsi="Times New Roman"/>
          <w:sz w:val="20"/>
        </w:rPr>
        <w:t>), and Bakkt Holdings, LLC, a Delaware limited liability company (</w:t>
      </w:r>
      <w:r>
        <w:rPr>
          <w:rFonts w:ascii="Times New Roman" w:hAnsi="Times New Roman"/>
          <w:sz w:val="20"/>
          <w:u w:val="single"/>
        </w:rPr>
        <w:t>Bakkt Opco</w:t>
      </w:r>
      <w:r>
        <w:rPr>
          <w:rFonts w:ascii="Times New Roman" w:hAnsi="Times New Roman"/>
          <w:sz w:val="20"/>
        </w:rPr>
        <w:t>) (as the same may be further amended, modified, supplemented or waived from time to time, the </w:t>
      </w:r>
      <w:r>
        <w:rPr>
          <w:rFonts w:ascii="Times New Roman" w:hAnsi="Times New Roman"/>
          <w:sz w:val="20"/>
          <w:u w:val="single"/>
        </w:rPr>
        <w:t>Merger Agreement</w:t>
      </w:r>
      <w:r>
        <w:rPr>
          <w:rFonts w:ascii="Times New Roman" w:hAnsi="Times New Roman"/>
          <w:sz w:val="20"/>
        </w:rPr>
        <w:t>) is entered into on March 30, 2021, by and among VIH, Merger Sub, and Bakkt Opco (collectively, the </w:t>
      </w:r>
      <w:r>
        <w:rPr>
          <w:rFonts w:ascii="Times New Roman" w:hAnsi="Times New Roman"/>
          <w:sz w:val="20"/>
          <w:u w:val="single"/>
        </w:rPr>
        <w:t>Parties</w:t>
      </w:r>
      <w:r>
        <w:rPr>
          <w:rFonts w:ascii="Times New Roman" w:hAnsi="Times New Roman"/>
          <w:sz w:val="20"/>
        </w:rPr>
        <w:t xml:space="preserve">). Capitalized terms used and not otherwise defined herein have the meanings set forth in the Merger Agreement. </w:t>
      </w:r>
    </w:p>
    <w:p>
      <w:pPr>
        <w:pStyle w:val="TextBody"/>
        <w:spacing w:before="240" w:after="0"/>
        <w:jc w:val="left"/>
        <w:rPr>
          <w:rFonts w:ascii="Times New Roman" w:hAnsi="Times New Roman"/>
          <w:sz w:val="20"/>
        </w:rPr>
      </w:pPr>
      <w:r>
        <w:rPr>
          <w:rFonts w:ascii="Times New Roman" w:hAnsi="Times New Roman"/>
          <w:sz w:val="20"/>
        </w:rPr>
        <w:t xml:space="preserve">WHEREAS, pursuant to Section 11.10 of the Merger Agreement, the Merger Agreement may be amended by an instrument in writing and signed by the Parties; and </w:t>
      </w:r>
    </w:p>
    <w:p>
      <w:pPr>
        <w:pStyle w:val="TextBody"/>
        <w:spacing w:before="240" w:after="0"/>
        <w:jc w:val="left"/>
        <w:rPr>
          <w:rFonts w:ascii="Times New Roman" w:hAnsi="Times New Roman"/>
          <w:sz w:val="20"/>
        </w:rPr>
      </w:pPr>
      <w:r>
        <w:rPr>
          <w:rFonts w:ascii="Times New Roman" w:hAnsi="Times New Roman"/>
          <w:sz w:val="20"/>
        </w:rPr>
        <w:t xml:space="preserve">WHEREAS, the Parties wish to amend the Merger Agreement on the terms set forth herein.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foregoing recitals, which shall constitute a part of this Amendment, and the mutual promises contained in this Amendment, and intending to be legally bound thereby, the Parties agree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Certain Amendments to the Merger Agreement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first sentence of Section 5.12(a) of the Merger Agreement is hereby replaced in its entirety with the following: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Parties shall take all necessary action, including causing the directors of VIH to resign, so that effective as of the Closing, the board of directors of Bakkt Pubco (the </w:t>
            </w:r>
            <w:r>
              <w:rPr>
                <w:rFonts w:ascii="Times New Roman" w:hAnsi="Times New Roman"/>
                <w:sz w:val="20"/>
                <w:u w:val="single"/>
              </w:rPr>
              <w:t>Post-Closing Bakkt Pubco Board</w:t>
            </w:r>
            <w:r>
              <w:rPr>
                <w:rFonts w:ascii="Times New Roman" w:hAnsi="Times New Roman"/>
                <w:sz w:val="20"/>
              </w:rPr>
              <w:t>) will consist of five to nine (5 to 9) members, with one (1) designated by Bakkt Opco, one (1) designated by the VIH Sponsor, and the remaining members to be appointed jointly by Bakkt Opco and the VIH Sponsor (collectively, the </w:t>
            </w:r>
            <w:r>
              <w:rPr>
                <w:rFonts w:ascii="Times New Roman" w:hAnsi="Times New Roman"/>
                <w:sz w:val="20"/>
                <w:u w:val="single"/>
              </w:rPr>
              <w:t>Post-Closing Directors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Exhibit F to the Merger Agreement (the Stockholders Agreement), is hereby replaced in its entirety by the form attached hereto as </w:t>
            </w:r>
            <w:r>
              <w:rPr>
                <w:rFonts w:ascii="Times New Roman" w:hAnsi="Times New Roman"/>
                <w:sz w:val="20"/>
                <w:u w:val="single"/>
              </w:rPr>
              <w:t>Attachment 1</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Effect of Amendment</w:t>
            </w:r>
            <w:r>
              <w:rPr>
                <w:rFonts w:ascii="Times New Roman" w:hAnsi="Times New Roman"/>
                <w:sz w:val="20"/>
              </w:rPr>
              <w:t xml:space="preserve">. Except as otherwise expressly set forth in this Amendment, the provisions of the Merger Agreement, as amended by this Amendment, remain in full force and effect. From and after the date hereof, references to this Agreement or Section 5.12 in the Merger Agreement shall be deemed references to the Merger Agreement or Section 5.12, respectively, in each case as amended by this Amendment. From and after the date hereof, references to (i) Exhibit F and/or the Stockholders Agreement including in the Merger Agreement and/or any Exhibit thereto or (ii) this Agreement in the Stockholders Agreement, as applicable, shall be deemed references to the form of Exhibit F attached hereto as </w:t>
            </w:r>
            <w:r>
              <w:rPr>
                <w:rFonts w:ascii="Times New Roman" w:hAnsi="Times New Roman"/>
                <w:sz w:val="20"/>
                <w:u w:val="single"/>
              </w:rPr>
              <w:t>Attachment 1</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Amendment and the Merger Agreement (which includes the Bakkt Disclosure Letter, the VIH Disclosure Letter, the other schedules thereto and the exhibits thereto), as amended pursuant to this Amendment,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the documents and agreements referred to in this section.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Article XI of the Merger Agreement is hereby incorporated by reference and shall apply </w:t>
            </w:r>
            <w:r>
              <w:rPr>
                <w:rFonts w:ascii="Times New Roman" w:hAnsi="Times New Roman"/>
                <w:i/>
                <w:sz w:val="20"/>
              </w:rPr>
              <w:t>mutatis mutandis</w:t>
            </w:r>
            <w:r>
              <w:rPr>
                <w:rFonts w:ascii="Times New Roman" w:hAnsi="Times New Roman"/>
                <w:sz w:val="20"/>
              </w:rPr>
              <w:t xml:space="preserve"> as if set forth at length herein. Descriptive headings are for convenience only and shall not control or affect the meaning or construction of any provision of this Amendment. </w:t>
            </w:r>
          </w:p>
        </w:tc>
      </w:tr>
    </w:tbl>
    <w:p>
      <w:pPr>
        <w:pStyle w:val="TextBody"/>
        <w:spacing w:before="120" w:after="0"/>
        <w:jc w:val="center"/>
        <w:rPr>
          <w:rFonts w:ascii="Times New Roman" w:hAnsi="Times New Roman"/>
          <w:sz w:val="20"/>
        </w:rPr>
      </w:pPr>
      <w:r>
        <w:rPr>
          <w:rFonts w:ascii="Times New Roman" w:hAnsi="Times New Roman"/>
          <w:sz w:val="20"/>
        </w:rPr>
        <w:t xml:space="preserve">* *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each of the undersigned has caused this Amendment to the Merger Agreement to be duly executed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4"/>
        <w:gridCol w:w="61"/>
        <w:gridCol w:w="3627"/>
      </w:tblGrid>
      <w:tr>
        <w:trPr/>
        <w:tc>
          <w:tcPr>
            <w:tcW w:w="39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OPCO:</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LLC</w:t>
            </w:r>
          </w:p>
        </w:tc>
      </w:tr>
      <w:tr>
        <w:trPr>
          <w:trHeight w:val="240" w:hRule="atLeast"/>
        </w:trPr>
        <w:tc>
          <w:tcPr>
            <w:tcW w:w="394" w:type="dxa"/>
            <w:tcBorders/>
            <w:shd w:fill="auto" w:val="clear"/>
            <w:vAlign w:val="center"/>
          </w:tcPr>
          <w:p>
            <w:pPr>
              <w:pStyle w:val="TableContents"/>
              <w:spacing w:before="0" w:after="283"/>
              <w:rPr>
                <w:sz w:val="4"/>
                <w:szCs w:val="4"/>
              </w:rPr>
            </w:pPr>
            <w:r>
              <w:rPr>
                <w:sz w:val="4"/>
                <w:szCs w:val="4"/>
              </w:rPr>
            </w:r>
          </w:p>
        </w:tc>
        <w:tc>
          <w:tcPr>
            <w:tcW w:w="3688" w:type="dxa"/>
            <w:gridSpan w:val="2"/>
            <w:tcBorders/>
            <w:shd w:fill="auto" w:val="clear"/>
            <w:vAlign w:val="center"/>
          </w:tcPr>
          <w:p>
            <w:pPr>
              <w:pStyle w:val="TableContents"/>
              <w:spacing w:before="0" w:after="283"/>
              <w:rPr>
                <w:sz w:val="4"/>
                <w:szCs w:val="4"/>
              </w:rPr>
            </w:pPr>
            <w:r>
              <w:rPr>
                <w:sz w:val="4"/>
                <w:szCs w:val="4"/>
              </w:rPr>
            </w:r>
          </w:p>
        </w:tc>
      </w:tr>
      <w:tr>
        <w:trPr/>
        <w:tc>
          <w:tcPr>
            <w:tcW w:w="394" w:type="dxa"/>
            <w:tcBorders/>
            <w:shd w:fill="auto" w:val="clear"/>
            <w:vAlign w:val="bottom"/>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27" w:type="dxa"/>
            <w:tcBorders/>
            <w:shd w:fill="auto" w:val="clear"/>
          </w:tcPr>
          <w:p>
            <w:pPr>
              <w:pStyle w:val="TableContents"/>
              <w:spacing w:before="0" w:after="20"/>
              <w:rPr/>
            </w:pPr>
            <w:r>
              <w:rPr/>
              <w:drawing>
                <wp:inline distT="0" distB="0" distL="0" distR="0">
                  <wp:extent cx="127000" cy="4381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7000" cy="43815"/>
                          </a:xfrm>
                          <a:prstGeom prst="rect">
                            <a:avLst/>
                          </a:prstGeom>
                        </pic:spPr>
                      </pic:pic>
                    </a:graphicData>
                  </a:graphic>
                </wp:inline>
              </w:drawing>
            </w:r>
            <w:r>
              <w:rPr/>
              <w:t xml:space="preserve"> </w:t>
            </w:r>
          </w:p>
        </w:tc>
      </w:tr>
      <w:tr>
        <w:trPr/>
        <w:tc>
          <w:tcPr>
            <w:tcW w:w="394"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tcPr>
          <w:p>
            <w:pPr>
              <w:pStyle w:val="TableContents"/>
              <w:spacing w:before="0" w:after="283"/>
              <w:rPr/>
            </w:pPr>
            <w:r>
              <w:rPr/>
              <w:t>Name:  Gavin Michael</w:t>
            </w:r>
          </w:p>
        </w:tc>
      </w:tr>
      <w:tr>
        <w:trPr/>
        <w:tc>
          <w:tcPr>
            <w:tcW w:w="394"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tcPr>
          <w:p>
            <w:pPr>
              <w:pStyle w:val="TableContents"/>
              <w:spacing w:before="0" w:after="283"/>
              <w:rPr/>
            </w:pPr>
            <w:r>
              <w:rPr/>
              <w:t>Title:  Chief Executive Officer</w:t>
            </w:r>
          </w:p>
        </w:tc>
      </w:tr>
    </w:tbl>
    <w:p>
      <w:pPr>
        <w:pStyle w:val="TextBody"/>
        <w:spacing w:before="0" w:after="0"/>
        <w:jc w:val="left"/>
        <w:rPr/>
      </w:pPr>
      <w:r>
        <w:rPr/>
        <w:t> </w:t>
      </w:r>
    </w:p>
    <w:p>
      <w:pPr>
        <w:pStyle w:val="TextBody"/>
        <w:spacing w:before="8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to Merger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each of the undersigned has caused this Amendment to the Merger Agreement to be duly executed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9"/>
        <w:gridCol w:w="60"/>
        <w:gridCol w:w="3623"/>
      </w:tblGrid>
      <w:tr>
        <w:trPr/>
        <w:tc>
          <w:tcPr>
            <w:tcW w:w="3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VIH:</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VPC IMPACT ACQUISITION HOLDINGS</w:t>
            </w:r>
          </w:p>
        </w:tc>
      </w:tr>
      <w:tr>
        <w:trPr>
          <w:trHeight w:val="240" w:hRule="atLeast"/>
        </w:trPr>
        <w:tc>
          <w:tcPr>
            <w:tcW w:w="399" w:type="dxa"/>
            <w:tcBorders/>
            <w:shd w:fill="auto" w:val="clear"/>
            <w:vAlign w:val="center"/>
          </w:tcPr>
          <w:p>
            <w:pPr>
              <w:pStyle w:val="TableContents"/>
              <w:spacing w:before="0" w:after="283"/>
              <w:rPr>
                <w:sz w:val="4"/>
                <w:szCs w:val="4"/>
              </w:rPr>
            </w:pPr>
            <w:r>
              <w:rPr>
                <w:sz w:val="4"/>
                <w:szCs w:val="4"/>
              </w:rPr>
            </w:r>
          </w:p>
        </w:tc>
        <w:tc>
          <w:tcPr>
            <w:tcW w:w="3683" w:type="dxa"/>
            <w:gridSpan w:val="2"/>
            <w:tcBorders/>
            <w:shd w:fill="auto" w:val="clear"/>
            <w:vAlign w:val="center"/>
          </w:tcPr>
          <w:p>
            <w:pPr>
              <w:pStyle w:val="TableContents"/>
              <w:spacing w:before="0" w:after="283"/>
              <w:rPr>
                <w:sz w:val="4"/>
                <w:szCs w:val="4"/>
              </w:rPr>
            </w:pPr>
            <w:r>
              <w:rPr>
                <w:sz w:val="4"/>
                <w:szCs w:val="4"/>
              </w:rPr>
            </w:r>
          </w:p>
        </w:tc>
      </w:tr>
      <w:tr>
        <w:trPr/>
        <w:tc>
          <w:tcPr>
            <w:tcW w:w="399" w:type="dxa"/>
            <w:tcBorders/>
            <w:shd w:fill="auto" w:val="clear"/>
            <w:vAlign w:val="bottom"/>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3" w:type="dxa"/>
            <w:tcBorders/>
            <w:shd w:fill="auto" w:val="clear"/>
          </w:tcPr>
          <w:p>
            <w:pPr>
              <w:pStyle w:val="TableContents"/>
              <w:spacing w:before="0" w:after="20"/>
              <w:rPr/>
            </w:pPr>
            <w:r>
              <w:rPr/>
              <w:drawing>
                <wp:inline distT="0" distB="0" distL="0" distR="0">
                  <wp:extent cx="130175" cy="546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0175" cy="54610"/>
                          </a:xfrm>
                          <a:prstGeom prst="rect">
                            <a:avLst/>
                          </a:prstGeom>
                        </pic:spPr>
                      </pic:pic>
                    </a:graphicData>
                  </a:graphic>
                </wp:inline>
              </w:drawing>
            </w:r>
            <w:r>
              <w:rPr/>
              <w:t xml:space="preserve"> </w:t>
            </w:r>
          </w:p>
        </w:tc>
      </w:tr>
      <w:tr>
        <w:trPr/>
        <w:tc>
          <w:tcPr>
            <w:tcW w:w="39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3" w:type="dxa"/>
            <w:tcBorders/>
            <w:shd w:fill="auto" w:val="clear"/>
          </w:tcPr>
          <w:p>
            <w:pPr>
              <w:pStyle w:val="TableContents"/>
              <w:spacing w:before="0" w:after="283"/>
              <w:rPr/>
            </w:pPr>
            <w:r>
              <w:rPr/>
              <w:t>Name: Gordon Watson</w:t>
            </w:r>
          </w:p>
        </w:tc>
      </w:tr>
      <w:tr>
        <w:trPr/>
        <w:tc>
          <w:tcPr>
            <w:tcW w:w="39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3" w:type="dxa"/>
            <w:tcBorders/>
            <w:shd w:fill="auto" w:val="clear"/>
          </w:tcPr>
          <w:p>
            <w:pPr>
              <w:pStyle w:val="TableContents"/>
              <w:spacing w:before="0" w:after="283"/>
              <w:rPr/>
            </w:pPr>
            <w:r>
              <w:rPr/>
              <w:t>Title: President and COO</w:t>
            </w:r>
          </w:p>
        </w:tc>
      </w:tr>
    </w:tbl>
    <w:p>
      <w:pPr>
        <w:pStyle w:val="TextBody"/>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to Merger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each of the undersigned has caused this Amendment to the Merger Agreement to be duly executed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9"/>
        <w:gridCol w:w="60"/>
        <w:gridCol w:w="3653"/>
      </w:tblGrid>
      <w:tr>
        <w:trPr/>
        <w:tc>
          <w:tcPr>
            <w:tcW w:w="3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MERGER SUB:</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PYLON MERGER COMPANY LLC</w:t>
            </w:r>
          </w:p>
        </w:tc>
      </w:tr>
      <w:tr>
        <w:trPr>
          <w:trHeight w:val="240" w:hRule="atLeast"/>
        </w:trPr>
        <w:tc>
          <w:tcPr>
            <w:tcW w:w="369" w:type="dxa"/>
            <w:tcBorders/>
            <w:shd w:fill="auto" w:val="clear"/>
            <w:vAlign w:val="center"/>
          </w:tcPr>
          <w:p>
            <w:pPr>
              <w:pStyle w:val="TableContents"/>
              <w:spacing w:before="0" w:after="283"/>
              <w:rPr>
                <w:sz w:val="4"/>
                <w:szCs w:val="4"/>
              </w:rPr>
            </w:pPr>
            <w:r>
              <w:rPr>
                <w:sz w:val="4"/>
                <w:szCs w:val="4"/>
              </w:rPr>
            </w:r>
          </w:p>
        </w:tc>
        <w:tc>
          <w:tcPr>
            <w:tcW w:w="3713" w:type="dxa"/>
            <w:gridSpan w:val="2"/>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      </w:t>
            </w:r>
            <w:r>
              <w:rPr/>
              <w:t>VPC Impact Acquisition Holdings</w:t>
            </w:r>
          </w:p>
        </w:tc>
      </w:tr>
      <w:tr>
        <w:trPr/>
        <w:tc>
          <w:tcPr>
            <w:tcW w:w="369" w:type="dxa"/>
            <w:tcBorders/>
            <w:shd w:fill="auto" w:val="clear"/>
          </w:tcPr>
          <w:p>
            <w:pPr>
              <w:pStyle w:val="TableContents"/>
              <w:spacing w:before="0" w:after="283"/>
              <w:rPr/>
            </w:pPr>
            <w:r>
              <w:rPr/>
              <w:t>Its:</w:t>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      </w:t>
            </w:r>
            <w:r>
              <w:rPr/>
              <w:t>Managing Member</w:t>
            </w:r>
          </w:p>
        </w:tc>
      </w:tr>
      <w:tr>
        <w:trPr>
          <w:trHeight w:val="240" w:hRule="atLeast"/>
        </w:trPr>
        <w:tc>
          <w:tcPr>
            <w:tcW w:w="369" w:type="dxa"/>
            <w:tcBorders/>
            <w:shd w:fill="auto" w:val="clear"/>
            <w:vAlign w:val="center"/>
          </w:tcPr>
          <w:p>
            <w:pPr>
              <w:pStyle w:val="TableContents"/>
              <w:spacing w:before="0" w:after="283"/>
              <w:rPr>
                <w:sz w:val="4"/>
                <w:szCs w:val="4"/>
              </w:rPr>
            </w:pPr>
            <w:r>
              <w:rPr>
                <w:sz w:val="4"/>
                <w:szCs w:val="4"/>
              </w:rPr>
            </w:r>
          </w:p>
        </w:tc>
        <w:tc>
          <w:tcPr>
            <w:tcW w:w="3713" w:type="dxa"/>
            <w:gridSpan w:val="2"/>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bottom"/>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0"/>
              <w:rPr/>
            </w:pPr>
            <w:r>
              <w:rPr/>
              <w:t xml:space="preserve">                 </w:t>
            </w:r>
            <w:r>
              <w:rPr/>
              <w:drawing>
                <wp:inline distT="0" distB="0" distL="0" distR="0">
                  <wp:extent cx="130175" cy="552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0175" cy="55245"/>
                          </a:xfrm>
                          <a:prstGeom prst="rect">
                            <a:avLst/>
                          </a:prstGeom>
                        </pic:spPr>
                      </pic:pic>
                    </a:graphicData>
                  </a:graphic>
                </wp:inline>
              </w:drawing>
            </w:r>
            <w:r>
              <w:rPr/>
              <w:t xml:space="preserve"> </w:t>
            </w:r>
          </w:p>
        </w:tc>
      </w:tr>
      <w:tr>
        <w:trPr/>
        <w:tc>
          <w:tcPr>
            <w:tcW w:w="36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Name: Gordon Watson</w:t>
            </w:r>
          </w:p>
        </w:tc>
      </w:tr>
      <w:tr>
        <w:trPr/>
        <w:tc>
          <w:tcPr>
            <w:tcW w:w="36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Title: President and COO</w:t>
            </w:r>
          </w:p>
        </w:tc>
      </w:tr>
    </w:tbl>
    <w:p>
      <w:pPr>
        <w:pStyle w:val="TextBody"/>
        <w:spacing w:before="0" w:after="0"/>
        <w:jc w:val="left"/>
        <w:rPr/>
      </w:pPr>
      <w:r>
        <w:rPr/>
        <w:t> </w:t>
      </w:r>
    </w:p>
    <w:p>
      <w:pPr>
        <w:pStyle w:val="TextBody"/>
        <w:spacing w:before="8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to Merger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ATTACHMENT 1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EXHIBIT F </w:t>
      </w:r>
    </w:p>
    <w:p>
      <w:pPr>
        <w:pStyle w:val="TextBody"/>
        <w:spacing w:before="240" w:after="0"/>
        <w:jc w:val="center"/>
        <w:rPr>
          <w:rFonts w:ascii="Times New Roman" w:hAnsi="Times New Roman"/>
          <w:sz w:val="20"/>
        </w:rPr>
      </w:pPr>
      <w:r>
        <w:rPr>
          <w:rFonts w:ascii="Times New Roman" w:hAnsi="Times New Roman"/>
          <w:sz w:val="20"/>
        </w:rPr>
        <w:t xml:space="preserve">FORM OF STOCKHOLDERS AGREEMENT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FINAL FORM </w:t>
      </w:r>
    </w:p>
    <w:p>
      <w:pPr>
        <w:pStyle w:val="TextBody"/>
        <w:spacing w:before="0" w:after="0"/>
        <w:jc w:val="left"/>
        <w:rPr/>
      </w:pPr>
      <w:r>
        <w:rPr/>
        <w:t> </w:t>
      </w:r>
    </w:p>
    <w:p>
      <w:pPr>
        <w:pStyle w:val="TextBody"/>
        <w:spacing w:before="5000" w:after="0"/>
        <w:jc w:val="center"/>
        <w:rPr>
          <w:rFonts w:ascii="Times New Roman" w:hAnsi="Times New Roman"/>
          <w:b/>
          <w:sz w:val="20"/>
        </w:rPr>
      </w:pPr>
      <w:r>
        <w:rPr>
          <w:rFonts w:ascii="Times New Roman" w:hAnsi="Times New Roman"/>
          <w:b/>
          <w:sz w:val="20"/>
        </w:rPr>
        <w:t xml:space="preserve">STOCKHOLDERS AGREEMENT </w:t>
      </w:r>
    </w:p>
    <w:p>
      <w:pPr>
        <w:pStyle w:val="TextBody"/>
        <w:spacing w:before="240" w:after="0"/>
        <w:jc w:val="center"/>
        <w:rPr>
          <w:rFonts w:ascii="Times New Roman" w:hAnsi="Times New Roman"/>
          <w:b/>
          <w:sz w:val="20"/>
        </w:rPr>
      </w:pPr>
      <w:r>
        <w:rPr>
          <w:rFonts w:ascii="Times New Roman" w:hAnsi="Times New Roman"/>
          <w:b/>
          <w:sz w:val="20"/>
        </w:rPr>
        <w:t xml:space="preserve">OF </w:t>
      </w:r>
    </w:p>
    <w:p>
      <w:pPr>
        <w:pStyle w:val="TextBody"/>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spacing w:before="240" w:after="0"/>
        <w:jc w:val="center"/>
        <w:rPr>
          <w:rFonts w:ascii="Times New Roman" w:hAnsi="Times New Roman"/>
          <w:sz w:val="20"/>
        </w:rPr>
      </w:pPr>
      <w:r>
        <w:rPr>
          <w:rFonts w:ascii="Times New Roman" w:hAnsi="Times New Roman"/>
          <w:b/>
          <w:sz w:val="20"/>
        </w:rPr>
        <w:t>DATED AS OF [</w:t>
      </w:r>
      <w:r>
        <w:rPr>
          <w:rFonts w:ascii="Times New Roman" w:hAnsi="Times New Roman"/>
          <w:sz w:val="20"/>
        </w:rPr>
        <w:t>●</w:t>
      </w:r>
      <w:r>
        <w:rPr>
          <w:rFonts w:ascii="Times New Roman" w:hAnsi="Times New Roman"/>
          <w:b/>
          <w:sz w:val="20"/>
        </w:rPr>
        <w:t xml:space="preserve">], 2021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72"/>
        <w:gridCol w:w="223"/>
        <w:gridCol w:w="7640"/>
        <w:gridCol w:w="134"/>
        <w:gridCol w:w="60"/>
        <w:gridCol w:w="713"/>
        <w:gridCol w:w="63"/>
      </w:tblGrid>
      <w:tr>
        <w:trPr/>
        <w:tc>
          <w:tcPr>
            <w:tcW w:w="137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764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37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6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73" w:type="dxa"/>
            <w:gridSpan w:val="2"/>
            <w:tcBorders/>
            <w:shd w:fill="auto" w:val="cle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3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 INTRODUCTORY MATTERS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Defined Terms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A-2-9</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Construction</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A-2-14</w:t>
            </w:r>
          </w:p>
        </w:tc>
        <w:tc>
          <w:tcPr>
            <w:tcW w:w="63" w:type="dxa"/>
            <w:tcBorders/>
            <w:shd w:fill="auto" w:val="clear"/>
            <w:vAlign w:val="bottom"/>
          </w:tcPr>
          <w:p>
            <w:pPr>
              <w:pStyle w:val="TableContents"/>
              <w:spacing w:before="0" w:after="283"/>
              <w:rPr/>
            </w:pPr>
            <w:r>
              <w:rPr/>
              <w:t> </w:t>
            </w:r>
          </w:p>
        </w:tc>
      </w:tr>
      <w:tr>
        <w:trPr>
          <w:trHeight w:val="120" w:hRule="atLeast"/>
        </w:trPr>
        <w:tc>
          <w:tcPr>
            <w:tcW w:w="9235" w:type="dxa"/>
            <w:gridSpan w:val="3"/>
            <w:tcBorders/>
            <w:shd w:fill="auto" w:val="clear"/>
            <w:vAlign w:val="center"/>
          </w:tcPr>
          <w:p>
            <w:pPr>
              <w:pStyle w:val="TableContents"/>
              <w:spacing w:before="0" w:after="283"/>
              <w:rPr>
                <w:sz w:val="4"/>
                <w:szCs w:val="4"/>
              </w:rPr>
            </w:pPr>
            <w:r>
              <w:rPr>
                <w:sz w:val="4"/>
                <w:szCs w:val="4"/>
              </w:rPr>
            </w:r>
          </w:p>
        </w:tc>
        <w:tc>
          <w:tcPr>
            <w:tcW w:w="970" w:type="dxa"/>
            <w:gridSpan w:val="4"/>
            <w:tcBorders/>
            <w:shd w:fill="auto" w:val="clear"/>
            <w:vAlign w:val="center"/>
          </w:tcPr>
          <w:p>
            <w:pPr>
              <w:pStyle w:val="TableContents"/>
              <w:spacing w:before="0" w:after="283"/>
              <w:rPr>
                <w:sz w:val="4"/>
                <w:szCs w:val="4"/>
              </w:rPr>
            </w:pPr>
            <w:r>
              <w:rPr>
                <w:sz w:val="4"/>
                <w:szCs w:val="4"/>
              </w:rPr>
            </w:r>
          </w:p>
        </w:tc>
      </w:tr>
      <w:tr>
        <w:trPr/>
        <w:tc>
          <w:tcPr>
            <w:tcW w:w="923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 CORPORATE GOVERNANCE MATTERS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A-2-14</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2.01</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Election of Directors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A-2-14</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2.02</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Committees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A-2-15</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2.03</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Independent Directors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A-2-15</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2.04</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Compensation; Reimbursement of Expenses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A-2-15</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2.05</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Indemnification</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A-2-16</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2.06</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D&amp;O Insurance</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A-2-16</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2.07</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Information Sharing</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A-2-16</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2.08</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Confidentiality</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A-2-16</w:t>
            </w:r>
          </w:p>
        </w:tc>
        <w:tc>
          <w:tcPr>
            <w:tcW w:w="63" w:type="dxa"/>
            <w:tcBorders/>
            <w:shd w:fill="auto" w:val="clear"/>
            <w:vAlign w:val="bottom"/>
          </w:tcPr>
          <w:p>
            <w:pPr>
              <w:pStyle w:val="TableContents"/>
              <w:spacing w:before="0" w:after="283"/>
              <w:rPr/>
            </w:pPr>
            <w:r>
              <w:rPr/>
              <w:t> </w:t>
            </w:r>
          </w:p>
        </w:tc>
      </w:tr>
      <w:tr>
        <w:trPr>
          <w:trHeight w:val="120" w:hRule="atLeast"/>
        </w:trPr>
        <w:tc>
          <w:tcPr>
            <w:tcW w:w="9235" w:type="dxa"/>
            <w:gridSpan w:val="3"/>
            <w:tcBorders/>
            <w:shd w:fill="auto" w:val="clear"/>
            <w:vAlign w:val="center"/>
          </w:tcPr>
          <w:p>
            <w:pPr>
              <w:pStyle w:val="TableContents"/>
              <w:spacing w:before="0" w:after="283"/>
              <w:rPr>
                <w:sz w:val="4"/>
                <w:szCs w:val="4"/>
              </w:rPr>
            </w:pPr>
            <w:r>
              <w:rPr>
                <w:sz w:val="4"/>
                <w:szCs w:val="4"/>
              </w:rPr>
            </w:r>
          </w:p>
        </w:tc>
        <w:tc>
          <w:tcPr>
            <w:tcW w:w="970" w:type="dxa"/>
            <w:gridSpan w:val="4"/>
            <w:tcBorders/>
            <w:shd w:fill="auto" w:val="clear"/>
            <w:vAlign w:val="center"/>
          </w:tcPr>
          <w:p>
            <w:pPr>
              <w:pStyle w:val="TableContents"/>
              <w:spacing w:before="0" w:after="283"/>
              <w:rPr>
                <w:sz w:val="4"/>
                <w:szCs w:val="4"/>
              </w:rPr>
            </w:pPr>
            <w:r>
              <w:rPr>
                <w:sz w:val="4"/>
                <w:szCs w:val="4"/>
              </w:rPr>
            </w:r>
          </w:p>
        </w:tc>
      </w:tr>
      <w:tr>
        <w:trPr/>
        <w:tc>
          <w:tcPr>
            <w:tcW w:w="923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III RESTRICTIONS ON TRANSFER</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A-2-17</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3.01</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General Restrictions on Transfer</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A-2-17</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3.02</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Permitted Transfers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A-2-17</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3.03</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Miscellaneous Provisions Relating to Transfers.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A-2-18</w:t>
            </w:r>
          </w:p>
        </w:tc>
        <w:tc>
          <w:tcPr>
            <w:tcW w:w="63" w:type="dxa"/>
            <w:tcBorders/>
            <w:shd w:fill="auto" w:val="clear"/>
            <w:vAlign w:val="bottom"/>
          </w:tcPr>
          <w:p>
            <w:pPr>
              <w:pStyle w:val="TableContents"/>
              <w:spacing w:before="0" w:after="283"/>
              <w:rPr/>
            </w:pPr>
            <w:r>
              <w:rPr/>
              <w:t> </w:t>
            </w:r>
          </w:p>
        </w:tc>
      </w:tr>
      <w:tr>
        <w:trPr>
          <w:trHeight w:val="120" w:hRule="atLeast"/>
        </w:trPr>
        <w:tc>
          <w:tcPr>
            <w:tcW w:w="9235" w:type="dxa"/>
            <w:gridSpan w:val="3"/>
            <w:tcBorders/>
            <w:shd w:fill="auto" w:val="clear"/>
            <w:vAlign w:val="center"/>
          </w:tcPr>
          <w:p>
            <w:pPr>
              <w:pStyle w:val="TableContents"/>
              <w:spacing w:before="0" w:after="283"/>
              <w:rPr>
                <w:sz w:val="4"/>
                <w:szCs w:val="4"/>
              </w:rPr>
            </w:pPr>
            <w:r>
              <w:rPr>
                <w:sz w:val="4"/>
                <w:szCs w:val="4"/>
              </w:rPr>
            </w:r>
          </w:p>
        </w:tc>
        <w:tc>
          <w:tcPr>
            <w:tcW w:w="970" w:type="dxa"/>
            <w:gridSpan w:val="4"/>
            <w:tcBorders/>
            <w:shd w:fill="auto" w:val="clear"/>
            <w:vAlign w:val="center"/>
          </w:tcPr>
          <w:p>
            <w:pPr>
              <w:pStyle w:val="TableContents"/>
              <w:spacing w:before="0" w:after="283"/>
              <w:rPr>
                <w:sz w:val="4"/>
                <w:szCs w:val="4"/>
              </w:rPr>
            </w:pPr>
            <w:r>
              <w:rPr>
                <w:sz w:val="4"/>
                <w:szCs w:val="4"/>
              </w:rPr>
            </w:r>
          </w:p>
        </w:tc>
      </w:tr>
      <w:tr>
        <w:trPr/>
        <w:tc>
          <w:tcPr>
            <w:tcW w:w="923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IV GENERAL PROVISIONS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A-2-18</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4.01</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Termination</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A-2-18</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4.02</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Notices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A-2-18</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4.03</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Amendment; Waiver</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A-2-19</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4.04</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Further Assurances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A-2-20</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4.05</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Assignment</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A-2-20</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4.06</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Third-Party Beneficiaries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A-2-20</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4.07</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Governing Law</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A-2-20</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4.08</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Jurisdiction; WAIVER OF JURY TRIAL</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A-2-20</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4.09</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Specific Performance</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4.10</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Entire Agreement</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4.11</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Severability</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4.12</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Table of Contents, Headings and Captions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4.13</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Counterparts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4.14</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Subsequent Acquisition of Securities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r>
        <w:trPr/>
        <w:tc>
          <w:tcPr>
            <w:tcW w:w="1372" w:type="dxa"/>
            <w:tcBorders/>
            <w:shd w:fill="auto" w:val="clear"/>
          </w:tcPr>
          <w:p>
            <w:pPr>
              <w:pStyle w:val="TableContents"/>
              <w:spacing w:before="0" w:after="0"/>
              <w:rPr>
                <w:rFonts w:ascii="Times New Roman" w:hAnsi="Times New Roman"/>
                <w:sz w:val="20"/>
              </w:rPr>
            </w:pPr>
            <w:r>
              <w:rPr>
                <w:rFonts w:ascii="Times New Roman" w:hAnsi="Times New Roman"/>
                <w:sz w:val="20"/>
              </w:rPr>
              <w:t>Section 4.15</w:t>
            </w:r>
          </w:p>
        </w:tc>
        <w:tc>
          <w:tcPr>
            <w:tcW w:w="223" w:type="dxa"/>
            <w:tcBorders/>
            <w:shd w:fill="auto" w:val="clear"/>
            <w:vAlign w:val="bottom"/>
          </w:tcPr>
          <w:p>
            <w:pPr>
              <w:pStyle w:val="TableContents"/>
              <w:spacing w:before="0" w:after="283"/>
              <w:rPr/>
            </w:pPr>
            <w:r>
              <w:rPr/>
              <w:t>  </w:t>
            </w:r>
          </w:p>
        </w:tc>
        <w:tc>
          <w:tcPr>
            <w:tcW w:w="7640" w:type="dxa"/>
            <w:tcBorders/>
            <w:shd w:fill="auto" w:val="clear"/>
          </w:tcPr>
          <w:p>
            <w:pPr>
              <w:pStyle w:val="TableContents"/>
              <w:spacing w:before="0" w:after="0"/>
              <w:rPr>
                <w:rFonts w:ascii="Times New Roman" w:hAnsi="Times New Roman"/>
                <w:sz w:val="20"/>
              </w:rPr>
            </w:pPr>
            <w:r>
              <w:rPr>
                <w:rFonts w:ascii="Times New Roman" w:hAnsi="Times New Roman"/>
                <w:sz w:val="20"/>
              </w:rPr>
              <w:t>No Recourse</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A-2-21</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u w:val="single"/>
        </w:rPr>
        <w:t>STOCKHOLDERS AGREEMENT</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This Stockholders Agreement is entered into as of [●], 2021, by and among (i) Bakkt Holdings, Inc., a Delaware corporation (</w:t>
      </w:r>
      <w:r>
        <w:rPr>
          <w:rFonts w:ascii="Times New Roman" w:hAnsi="Times New Roman"/>
          <w:sz w:val="20"/>
          <w:u w:val="single"/>
        </w:rPr>
        <w:t>Pubco</w:t>
      </w:r>
      <w:r>
        <w:rPr>
          <w:rFonts w:ascii="Times New Roman" w:hAnsi="Times New Roman"/>
          <w:sz w:val="20"/>
        </w:rPr>
        <w:t xml:space="preserve">), (ii) each of the parties listed on </w:t>
      </w:r>
      <w:r>
        <w:rPr>
          <w:rFonts w:ascii="Times New Roman" w:hAnsi="Times New Roman"/>
          <w:sz w:val="20"/>
          <w:u w:val="single"/>
        </w:rPr>
        <w:t>Schedule 1</w:t>
      </w:r>
      <w:r>
        <w:rPr>
          <w:rFonts w:ascii="Times New Roman" w:hAnsi="Times New Roman"/>
          <w:sz w:val="20"/>
        </w:rPr>
        <w:t xml:space="preserve"> hereto (each, a </w:t>
      </w:r>
      <w:r>
        <w:rPr>
          <w:rFonts w:ascii="Times New Roman" w:hAnsi="Times New Roman"/>
          <w:sz w:val="20"/>
          <w:u w:val="single"/>
        </w:rPr>
        <w:t>Bakkt Equity Holder</w:t>
      </w:r>
      <w:r>
        <w:rPr>
          <w:rFonts w:ascii="Times New Roman" w:hAnsi="Times New Roman"/>
          <w:sz w:val="20"/>
        </w:rPr>
        <w:t> and, collectively, the </w:t>
      </w:r>
      <w:r>
        <w:rPr>
          <w:rFonts w:ascii="Times New Roman" w:hAnsi="Times New Roman"/>
          <w:sz w:val="20"/>
          <w:u w:val="single"/>
        </w:rPr>
        <w:t>Bakkt Equity Holders</w:t>
      </w:r>
      <w:r>
        <w:rPr>
          <w:rFonts w:ascii="Times New Roman" w:hAnsi="Times New Roman"/>
          <w:sz w:val="20"/>
        </w:rPr>
        <w:t>) and (iii) VPC Impact Acquisition Holdings Sponsor, LLC, a Delaware limited liability company (the </w:t>
      </w:r>
      <w:r>
        <w:rPr>
          <w:rFonts w:ascii="Times New Roman" w:hAnsi="Times New Roman"/>
          <w:sz w:val="20"/>
          <w:u w:val="single"/>
        </w:rPr>
        <w:t>Sponsor</w:t>
      </w:r>
      <w:r>
        <w:rPr>
          <w:rFonts w:ascii="Times New Roman" w:hAnsi="Times New Roman"/>
          <w:sz w:val="20"/>
        </w:rPr>
        <w:t> and, together with the Bakkt Equity Holders, the </w:t>
      </w:r>
      <w:r>
        <w:rPr>
          <w:rFonts w:ascii="Times New Roman" w:hAnsi="Times New Roman"/>
          <w:sz w:val="20"/>
          <w:u w:val="single"/>
        </w:rPr>
        <w:t>Stockholders</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WHEREAS, Pubco, Pylon Merger Company LLC, a Delaware limited liability company and wholly owned Subsidiary of Pubco (</w:t>
      </w:r>
      <w:r>
        <w:rPr>
          <w:rFonts w:ascii="Times New Roman" w:hAnsi="Times New Roman"/>
          <w:sz w:val="20"/>
          <w:u w:val="single"/>
        </w:rPr>
        <w:t>Merger Sub</w:t>
      </w:r>
      <w:r>
        <w:rPr>
          <w:rFonts w:ascii="Times New Roman" w:hAnsi="Times New Roman"/>
          <w:sz w:val="20"/>
        </w:rPr>
        <w:t>), and Bakkt Holdings, LLC, a Delaware limited liability company (</w:t>
      </w:r>
      <w:r>
        <w:rPr>
          <w:rFonts w:ascii="Times New Roman" w:hAnsi="Times New Roman"/>
          <w:sz w:val="20"/>
          <w:u w:val="single"/>
        </w:rPr>
        <w:t>Bakkt Opco</w:t>
      </w:r>
      <w:r>
        <w:rPr>
          <w:rFonts w:ascii="Times New Roman" w:hAnsi="Times New Roman"/>
          <w:sz w:val="20"/>
        </w:rPr>
        <w:t>), entered into that certain Agreement and Plan of Merger, dated as of January 11, 2021 (the </w:t>
      </w:r>
      <w:r>
        <w:rPr>
          <w:rFonts w:ascii="Times New Roman" w:hAnsi="Times New Roman"/>
          <w:sz w:val="20"/>
          <w:u w:val="single"/>
        </w:rPr>
        <w:t>Merger Agreement</w:t>
      </w:r>
      <w:r>
        <w:rPr>
          <w:rFonts w:ascii="Times New Roman" w:hAnsi="Times New Roman"/>
          <w:sz w:val="20"/>
        </w:rPr>
        <w:t>), pursuant to which Merger Sub merged with and into Bakkt Opco (the </w:t>
      </w:r>
      <w:r>
        <w:rPr>
          <w:rFonts w:ascii="Times New Roman" w:hAnsi="Times New Roman"/>
          <w:sz w:val="20"/>
          <w:u w:val="single"/>
        </w:rPr>
        <w:t>Merger</w:t>
      </w:r>
      <w:r>
        <w:rPr>
          <w:rFonts w:ascii="Times New Roman" w:hAnsi="Times New Roman"/>
          <w:sz w:val="20"/>
        </w:rPr>
        <w:t xml:space="preserve">), with Bakkt Opco being the surviving limited liability company of the Merger; </w:t>
      </w:r>
    </w:p>
    <w:p>
      <w:pPr>
        <w:pStyle w:val="TextBody"/>
        <w:spacing w:before="240" w:after="0"/>
        <w:jc w:val="left"/>
        <w:rPr>
          <w:rFonts w:ascii="Times New Roman" w:hAnsi="Times New Roman"/>
          <w:sz w:val="20"/>
        </w:rPr>
      </w:pPr>
      <w:r>
        <w:rPr>
          <w:rFonts w:ascii="Times New Roman" w:hAnsi="Times New Roman"/>
          <w:sz w:val="20"/>
        </w:rPr>
        <w:t>WHEREAS, (i) prior to the consummation of the transactions contemplated by the Merger Agreement (the </w:t>
      </w:r>
      <w:r>
        <w:rPr>
          <w:rFonts w:ascii="Times New Roman" w:hAnsi="Times New Roman"/>
          <w:sz w:val="20"/>
          <w:u w:val="single"/>
        </w:rPr>
        <w:t>Transactions</w:t>
      </w:r>
      <w:r>
        <w:rPr>
          <w:rFonts w:ascii="Times New Roman" w:hAnsi="Times New Roman"/>
          <w:sz w:val="20"/>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Times New Roman" w:hAnsi="Times New Roman"/>
          <w:sz w:val="20"/>
          <w:u w:val="single"/>
        </w:rPr>
        <w:t>Domestication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Times New Roman" w:hAnsi="Times New Roman"/>
          <w:sz w:val="20"/>
          <w:u w:val="single"/>
        </w:rPr>
        <w:t>Pubco Common Stock Conversion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 </w:t>
      </w:r>
    </w:p>
    <w:p>
      <w:pPr>
        <w:pStyle w:val="TextBody"/>
        <w:spacing w:before="240" w:after="0"/>
        <w:jc w:val="left"/>
        <w:rPr>
          <w:rFonts w:ascii="Times New Roman" w:hAnsi="Times New Roman"/>
          <w:sz w:val="20"/>
        </w:rPr>
      </w:pPr>
      <w:r>
        <w:rPr>
          <w:rFonts w:ascii="Times New Roman" w:hAnsi="Times New Roman"/>
          <w:sz w:val="20"/>
        </w:rPr>
        <w:t xml:space="preserve">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 </w:t>
      </w:r>
    </w:p>
    <w:p>
      <w:pPr>
        <w:pStyle w:val="TextBody"/>
        <w:spacing w:before="240" w:after="0"/>
        <w:jc w:val="left"/>
        <w:rPr>
          <w:rFonts w:ascii="Times New Roman" w:hAnsi="Times New Roman"/>
          <w:sz w:val="20"/>
        </w:rPr>
      </w:pPr>
      <w:r>
        <w:rPr>
          <w:rFonts w:ascii="Times New Roman" w:hAnsi="Times New Roman"/>
          <w:sz w:val="20"/>
        </w:rPr>
        <w:t xml:space="preserve">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premises set forth above and of the mutual representations, warranties, covenants and agreements herein contained, and for other good and valuable consideration,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receipt and sufficiency of which are hereby acknowledged, Pubco and the Stockholders, intending to be legally bound, hereby agree as follows: </w:t>
      </w:r>
    </w:p>
    <w:p>
      <w:pPr>
        <w:pStyle w:val="TextBody"/>
        <w:spacing w:before="36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INTRODUCTORY MATTERS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b/>
          <w:sz w:val="20"/>
          <w:u w:val="single"/>
        </w:rPr>
        <w:t>Defined Terms</w:t>
      </w:r>
      <w:r>
        <w:rPr>
          <w:rFonts w:ascii="Times New Roman" w:hAnsi="Times New Roman"/>
          <w:sz w:val="20"/>
        </w:rPr>
        <w:t xml:space="preserve">. In this Agreement, the following terms have the following meanings: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 specified Person means a Person that directly, or indirectly through one or more intermediaries, Controls, or is Controlled by, or is under common Control with, such specified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means this Stockholders Agreement, as the same may be amended, supplemented, restated or otherwise modified from time to time in accordance with the terms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Holders</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Holders Lock-Up Period</w:t>
      </w:r>
      <w:r>
        <w:rPr>
          <w:rFonts w:ascii="Times New Roman" w:hAnsi="Times New Roman"/>
          <w:sz w:val="20"/>
        </w:rPr>
        <w:t xml:space="preserve"> has the meaning set forth in </w:t>
      </w:r>
      <w:r>
        <w:rPr>
          <w:rFonts w:ascii="Times New Roman" w:hAnsi="Times New Roman"/>
          <w:sz w:val="20"/>
          <w:u w:val="single"/>
        </w:rPr>
        <w:t>Section 3.01(a)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Holders Lock-Up Shares</w:t>
      </w:r>
      <w:r>
        <w:rPr>
          <w:rFonts w:ascii="Times New Roman" w:hAnsi="Times New Roman"/>
          <w:sz w:val="20"/>
        </w:rPr>
        <w:t xml:space="preserve">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 Common Units</w:t>
      </w:r>
      <w:r>
        <w:rPr>
          <w:rFonts w:ascii="Times New Roman" w:hAnsi="Times New Roman"/>
          <w:sz w:val="20"/>
        </w:rPr>
        <w:t xml:space="preserve"> means the common units of Bakkt Opco, which provide the holder thereof with, and subject such holder to, such rights, privileges, restrictions and obligations as are set forth in the Bakkt Opco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 Director</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 LLC Agreement</w:t>
      </w:r>
      <w:r>
        <w:rPr>
          <w:rFonts w:ascii="Times New Roman" w:hAnsi="Times New Roman"/>
          <w:sz w:val="20"/>
        </w:rPr>
        <w:t xml:space="preserve"> means the Third Amended and Restated LLC Agreement of Bakkt Opco, dated as of [●], 2021, by and among Bakkt Opco, Pubco and the Bakkt Equity Holders, as the same may be amended, supplemented, restated or otherwise modified from time to time in accordance with the terms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w:t>
      </w:r>
      <w:r>
        <w:rPr>
          <w:rFonts w:ascii="Times New Roman" w:hAnsi="Times New Roman"/>
          <w:sz w:val="20"/>
        </w:rPr>
        <w:t> has the meaning set forth in Rule 13d-3 promulgated under the Exchange Act. The terms </w:t>
      </w:r>
      <w:r>
        <w:rPr>
          <w:rFonts w:ascii="Times New Roman" w:hAnsi="Times New Roman"/>
          <w:sz w:val="20"/>
          <w:u w:val="single"/>
        </w:rPr>
        <w:t>Beneficially Own</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shall have correlative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Saturday, Sunday, federal or New York State holiday or other day on which commercial banks in New York City are authorized or required by law to be closed for business; </w:t>
      </w:r>
      <w:r>
        <w:rPr>
          <w:rFonts w:ascii="Times New Roman" w:hAnsi="Times New Roman"/>
          <w:sz w:val="20"/>
          <w:u w:val="single"/>
        </w:rPr>
        <w:t>provided</w:t>
      </w:r>
      <w:r>
        <w:rPr>
          <w:rFonts w:ascii="Times New Roman" w:hAnsi="Times New Roman"/>
          <w:sz w:val="20"/>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By-Laws</w:t>
      </w:r>
      <w:r>
        <w:rPr>
          <w:rFonts w:ascii="Times New Roman" w:hAnsi="Times New Roman"/>
          <w:sz w:val="20"/>
        </w:rPr>
        <w:t xml:space="preserve"> means the by-laws of Pubco, adopted on or substantially around the date of this Agreement, as the same may be amended or restated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 of Incorporation</w:t>
      </w:r>
      <w:r>
        <w:rPr>
          <w:rFonts w:ascii="Times New Roman" w:hAnsi="Times New Roman"/>
          <w:sz w:val="20"/>
        </w:rPr>
        <w:t xml:space="preserve"> means the certificate of incorporation of Pubco, filed with the Secretary of State of the State of Delaware on or prior to the date of this Agreement, as the same may be amended or restated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I Director</w:t>
      </w:r>
      <w:r>
        <w:rPr>
          <w:rFonts w:ascii="Times New Roman" w:hAnsi="Times New Roman"/>
          <w:sz w:val="20"/>
        </w:rPr>
        <w:t xml:space="preserve"> has the meaning set forth in the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II Director</w:t>
      </w:r>
      <w:r>
        <w:rPr>
          <w:rFonts w:ascii="Times New Roman" w:hAnsi="Times New Roman"/>
          <w:sz w:val="20"/>
        </w:rPr>
        <w:t xml:space="preserve"> has the meaning set forth in the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III Director</w:t>
      </w:r>
      <w:r>
        <w:rPr>
          <w:rFonts w:ascii="Times New Roman" w:hAnsi="Times New Roman"/>
          <w:sz w:val="20"/>
        </w:rPr>
        <w:t xml:space="preserve"> has the meaning set forth in the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Common Stock</w:t>
      </w:r>
      <w:r>
        <w:rPr>
          <w:rFonts w:ascii="Times New Roman" w:hAnsi="Times New Roman"/>
          <w:sz w:val="20"/>
        </w:rPr>
        <w:t xml:space="preserve"> means the Class A common stock, par value $0.0001 per share, of Pubco, including (a) any shares of such Class A common stock issuable upon the exercise of any warrant, option, convertible security or other right to acquire shares of such Class A common stock and (b) 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V Common Stock</w:t>
      </w:r>
      <w:r>
        <w:rPr>
          <w:rFonts w:ascii="Times New Roman" w:hAnsi="Times New Roman"/>
          <w:sz w:val="20"/>
        </w:rPr>
        <w:t xml:space="preserve"> means the Class V common stock, par value $0.0001 per share, of Pubco, including (a) any shares of such Class V common stock issuable upon the exercise of any warrant, option, convertible security or other right to acquire shares of such Class V common stock and (b) any Equity Securities issued in respect of such Class V common stock, or in substitution therefor, in connection with any stock split, dividend or combination, or any reclassification, recapitalization, merger, consolidation or similar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w:t>
      </w:r>
      <w:r>
        <w:rPr>
          <w:rFonts w:ascii="Times New Roman" w:hAnsi="Times New Roman"/>
          <w:sz w:val="20"/>
        </w:rPr>
        <w:t xml:space="preserve"> has the meaning given to such term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has the meaning given to such term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Confidential Information</w:t>
      </w:r>
      <w:r>
        <w:rPr>
          <w:rFonts w:ascii="Times New Roman" w:hAnsi="Times New Roman"/>
          <w:sz w:val="20"/>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Confidential Information does not include information: </w:t>
      </w:r>
    </w:p>
    <w:p>
      <w:pPr>
        <w:pStyle w:val="TextBody"/>
        <w:spacing w:before="120" w:after="0"/>
        <w:jc w:val="left"/>
        <w:rPr>
          <w:rFonts w:ascii="Times New Roman" w:hAnsi="Times New Roman"/>
          <w:sz w:val="20"/>
        </w:rPr>
      </w:pPr>
      <w:r>
        <w:rPr>
          <w:rFonts w:ascii="Times New Roman" w:hAnsi="Times New Roman"/>
          <w:sz w:val="20"/>
        </w:rPr>
        <w:t xml:space="preserve">(a) that is or has become publicly available other than as a result of a disclosure by such Stockholder or any of its Designated Representatives in violation of this Agreement; </w:t>
      </w:r>
    </w:p>
    <w:p>
      <w:pPr>
        <w:pStyle w:val="TextBody"/>
        <w:spacing w:before="120" w:after="0"/>
        <w:jc w:val="left"/>
        <w:rPr>
          <w:rFonts w:ascii="Times New Roman" w:hAnsi="Times New Roman"/>
          <w:sz w:val="20"/>
        </w:rPr>
      </w:pPr>
      <w:r>
        <w:rPr>
          <w:rFonts w:ascii="Times New Roman" w:hAnsi="Times New Roman"/>
          <w:sz w:val="20"/>
        </w:rPr>
        <w:t xml:space="preserve">(b) 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 </w:t>
      </w:r>
    </w:p>
    <w:p>
      <w:pPr>
        <w:pStyle w:val="TextBody"/>
        <w:spacing w:before="120" w:after="0"/>
        <w:jc w:val="left"/>
        <w:rPr>
          <w:rFonts w:ascii="Times New Roman" w:hAnsi="Times New Roman"/>
          <w:sz w:val="20"/>
        </w:rPr>
      </w:pPr>
      <w:r>
        <w:rPr>
          <w:rFonts w:ascii="Times New Roman" w:hAnsi="Times New Roman"/>
          <w:sz w:val="20"/>
        </w:rPr>
        <w:t xml:space="preserve">(c) that is received by such Stockholder or any of its Designated Representatives from a source other than Pubco or its Designated Representatives; </w:t>
      </w:r>
      <w:r>
        <w:rPr>
          <w:rFonts w:ascii="Times New Roman" w:hAnsi="Times New Roman"/>
          <w:sz w:val="20"/>
          <w:u w:val="single"/>
        </w:rPr>
        <w:t>provided</w:t>
      </w:r>
      <w:r>
        <w:rPr>
          <w:rFonts w:ascii="Times New Roman" w:hAnsi="Times New Roman"/>
          <w:sz w:val="20"/>
        </w:rPr>
        <w:t xml:space="preserve">, that the source of such information was not actually known by such Stockholder or Designated Representative to be bound by a confidentiality agreement with, or other contractual obligation of confidentiality to, Pubco or any of its Affiliates; </w:t>
      </w:r>
    </w:p>
    <w:p>
      <w:pPr>
        <w:pStyle w:val="TextBody"/>
        <w:spacing w:before="120" w:after="0"/>
        <w:jc w:val="left"/>
        <w:rPr>
          <w:rFonts w:ascii="Times New Roman" w:hAnsi="Times New Roman"/>
          <w:sz w:val="20"/>
        </w:rPr>
      </w:pPr>
      <w:r>
        <w:rPr>
          <w:rFonts w:ascii="Times New Roman" w:hAnsi="Times New Roman"/>
          <w:sz w:val="20"/>
        </w:rPr>
        <w:t xml:space="preserve">(d) that was independently developed or acquired by such Stockholder or any of its Designated Representatives or on its or their behalf, in any case, without the violation of the terms of this Agreement or the use of or reference to any Confidential Information;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 that such Stockholder or any of its Designated Representatives is required or requested, in the good faith determination of such Stockholder or such Designated Representative, to disclose by applicable Law; </w:t>
      </w:r>
      <w:r>
        <w:rPr>
          <w:rFonts w:ascii="Times New Roman" w:hAnsi="Times New Roman"/>
          <w:sz w:val="20"/>
          <w:u w:val="single"/>
        </w:rPr>
        <w:t>provided</w:t>
      </w:r>
      <w:r>
        <w:rPr>
          <w:rFonts w:ascii="Times New Roman" w:hAnsi="Times New Roman"/>
          <w:sz w:val="20"/>
        </w:rPr>
        <w:t xml:space="preserve"> that such Stockholder or such Designated Representative, (i) 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(including its correlative meanings,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possession, directly or indirectly, of the power to direct or cause the direction of the management and policies of a Person (whether through ownership of securities or partnership or other ownership interests, by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Controlled Entity</w:t>
      </w:r>
      <w:r>
        <w:rPr>
          <w:rFonts w:ascii="Times New Roman" w:hAnsi="Times New Roman"/>
          <w:sz w:val="20"/>
        </w:rPr>
        <w:t xml:space="preserve">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Representatives</w:t>
      </w:r>
      <w:r>
        <w:rPr>
          <w:rFonts w:ascii="Times New Roman" w:hAnsi="Times New Roman"/>
          <w:sz w:val="20"/>
        </w:rPr>
        <w:t xml:space="preserve">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Director</w:t>
      </w:r>
      <w:r>
        <w:rPr>
          <w:rFonts w:ascii="Times New Roman" w:hAnsi="Times New Roman"/>
          <w:sz w:val="20"/>
        </w:rPr>
        <w:t xml:space="preserve"> means any member of the Board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Domestication</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Securities</w:t>
      </w:r>
      <w:r>
        <w:rPr>
          <w:rFonts w:ascii="Times New Roman" w:hAnsi="Times New Roman"/>
          <w:sz w:val="20"/>
        </w:rPr>
        <w:t xml:space="preserve">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as they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Agreement</w:t>
      </w:r>
      <w:r>
        <w:rPr>
          <w:rFonts w:ascii="Times New Roman" w:hAnsi="Times New Roman"/>
          <w:sz w:val="20"/>
        </w:rPr>
        <w:t xml:space="preserve"> means the Exchange Agreement, dated as of [●], 2021, by and among Pubco, Bakkt Opco and the other parties thereto.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ICE</w:t>
      </w:r>
      <w:r>
        <w:rPr>
          <w:rFonts w:ascii="Times New Roman" w:hAnsi="Times New Roman"/>
          <w:sz w:val="20"/>
        </w:rPr>
        <w:t xml:space="preserve"> means Intercontinental Exchange Holdings, Inc., a Delaware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Immediate Family Members</w:t>
      </w:r>
      <w:r>
        <w:rPr>
          <w:rFonts w:ascii="Times New Roman" w:hAnsi="Times New Roman"/>
          <w:sz w:val="20"/>
        </w:rPr>
        <w:t xml:space="preserve">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Board</w:t>
      </w:r>
      <w:r>
        <w:rPr>
          <w:rFonts w:ascii="Times New Roman" w:hAnsi="Times New Roman"/>
          <w:sz w:val="20"/>
        </w:rPr>
        <w:t xml:space="preserve"> means the Board of Directors of Pubco immediately following the consummation of the Transactions.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Insider Letter</w:t>
      </w:r>
      <w:r>
        <w:rPr>
          <w:rFonts w:ascii="Times New Roman" w:hAnsi="Times New Roman"/>
          <w:sz w:val="20"/>
        </w:rPr>
        <w:t xml:space="preserve"> means that certain letter agreement, dated as of September 22, 2020, by and among Pubco, the Sponsor and the other signatories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Lock-Up Periods</w:t>
      </w:r>
      <w:r>
        <w:rPr>
          <w:rFonts w:ascii="Times New Roman" w:hAnsi="Times New Roman"/>
          <w:sz w:val="20"/>
        </w:rPr>
        <w:t xml:space="preserve"> means the Bakkt Equity Holders Lock-Up Period, the Private Placement Lock-Up Period and the Sponsor Lock-Up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Lock-Up Shares</w:t>
      </w:r>
      <w:r>
        <w:rPr>
          <w:rFonts w:ascii="Times New Roman" w:hAnsi="Times New Roman"/>
          <w:sz w:val="20"/>
        </w:rPr>
        <w:t xml:space="preserve"> means the Bakkt Equity Holders Lock-Up Shares, the Private Placement Lock-Up Shares and the Sponsor Lock-Up Shares.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Necessary Action</w:t>
      </w:r>
      <w:r>
        <w:rPr>
          <w:rFonts w:ascii="Times New Roman" w:hAnsi="Times New Roman"/>
          <w:sz w:val="20"/>
        </w:rPr>
        <w:t xml:space="preserve">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 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Non-Recourse Party</w:t>
      </w:r>
      <w:r>
        <w:rPr>
          <w:rFonts w:ascii="Times New Roman" w:hAnsi="Times New Roman"/>
          <w:sz w:val="20"/>
        </w:rPr>
        <w:t xml:space="preserve"> has the meaning set forth in </w:t>
      </w:r>
      <w:r>
        <w:rPr>
          <w:rFonts w:ascii="Times New Roman" w:hAnsi="Times New Roman"/>
          <w:sz w:val="20"/>
          <w:u w:val="single"/>
        </w:rPr>
        <w:t>Section 4.15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NYSE</w:t>
      </w:r>
      <w:r>
        <w:rPr>
          <w:rFonts w:ascii="Times New Roman" w:hAnsi="Times New Roman"/>
          <w:sz w:val="20"/>
        </w:rPr>
        <w:t xml:space="preserve"> the New York Stock Exchange.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 (e) the trust agreement and any documents that govern the formation of a trust; (f) any charter or similar document adopted or filed in connection with the creation, formation, or organization of a Person; and (g) any amendment to any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Transferee</w:t>
      </w:r>
      <w:r>
        <w:rPr>
          <w:rFonts w:ascii="Times New Roman" w:hAnsi="Times New Roman"/>
          <w:sz w:val="20"/>
        </w:rPr>
        <w:t xml:space="preserve"> means, with respect to a Stockholder: (a) any Sponsor Member, (b) any Immediate Family Member of such Stockholder, (c) any Affiliate of such Stockholder, (d) any Affiliate of any Sponsor Member or any Immediate Family Member of such Stockholder, or (e) any Controlled Entity of such Stockholder.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Lock-Up Period</w:t>
      </w:r>
      <w:r>
        <w:rPr>
          <w:rFonts w:ascii="Times New Roman" w:hAnsi="Times New Roman"/>
          <w:sz w:val="20"/>
        </w:rPr>
        <w:t xml:space="preserve"> means the Private Placement Warrants Lock-up Period (as defined in the Insider Letter as of the date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Lock-Up Shares</w:t>
      </w:r>
      <w:r>
        <w:rPr>
          <w:rFonts w:ascii="Times New Roman" w:hAnsi="Times New Roman"/>
          <w:sz w:val="20"/>
        </w:rPr>
        <w:t xml:space="preserve"> means the Sponsor Warrants and any shares of Class A Common Stock resulting from the exercise of any Sponsor Warrant.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Pubco</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Pubco Common Stock Conversion</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Stockholder</w:t>
      </w:r>
      <w:r>
        <w:rPr>
          <w:rFonts w:ascii="Times New Roman" w:hAnsi="Times New Roman"/>
          <w:sz w:val="20"/>
        </w:rPr>
        <w:t xml:space="preserve">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as they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Director</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Lock-Up Period</w:t>
      </w:r>
      <w:r>
        <w:rPr>
          <w:rFonts w:ascii="Times New Roman" w:hAnsi="Times New Roman"/>
          <w:sz w:val="20"/>
        </w:rPr>
        <w:t xml:space="preserve"> means the Founder Shares Lock-up Period (as defined in the Insider Letter as of the date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Lock-Up Shares</w:t>
      </w:r>
      <w:r>
        <w:rPr>
          <w:rFonts w:ascii="Times New Roman" w:hAnsi="Times New Roman"/>
          <w:sz w:val="20"/>
        </w:rPr>
        <w:t xml:space="preserve"> means the Equity Securities of Pubco, including shares of Class A Common Stock, Beneficially Owned or otherwise held, directly or indirectly, by the Sponsor; </w:t>
      </w:r>
      <w:r>
        <w:rPr>
          <w:rFonts w:ascii="Times New Roman" w:hAnsi="Times New Roman"/>
          <w:sz w:val="20"/>
          <w:u w:val="single"/>
        </w:rPr>
        <w:t>provided</w:t>
      </w:r>
      <w:r>
        <w:rPr>
          <w:rFonts w:ascii="Times New Roman" w:hAnsi="Times New Roman"/>
          <w:sz w:val="20"/>
        </w:rPr>
        <w:t xml:space="preserve"> that, notwithstanding anything herein to the contrary, in no event shall the Private Placement Lock-Up Shares be deemed or considered Sponsor Lock-Up Shares for purposes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Member</w:t>
      </w:r>
      <w:r>
        <w:rPr>
          <w:rFonts w:ascii="Times New Roman" w:hAnsi="Times New Roman"/>
          <w:sz w:val="20"/>
        </w:rPr>
        <w:t xml:space="preserve"> means any direct or indirect equityholder of Sponsor as of the date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Warrants</w:t>
      </w:r>
      <w:r>
        <w:rPr>
          <w:rFonts w:ascii="Times New Roman" w:hAnsi="Times New Roman"/>
          <w:sz w:val="20"/>
        </w:rPr>
        <w:t xml:space="preserve"> means the warrants to purchase 6,147,440 shares of Class A Common Stock issued to the Sponsor pursuant to that certain Private Placement Warrants Purchase Agreement, dated September 20, 2020, by and among the Sponsor and Pubco, for a purchase price of $1.00 per warrant.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Third-Party Purchaser</w:t>
      </w:r>
      <w:r>
        <w:rPr>
          <w:rFonts w:ascii="Times New Roman" w:hAnsi="Times New Roman"/>
          <w:sz w:val="20"/>
        </w:rPr>
        <w:t xml:space="preserve"> means any Person who, immediately prior to the contemplated transaction, does not Beneficially Own or directly or indirectly have the right to acquire any outstanding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Times New Roman" w:hAnsi="Times New Roman"/>
          <w:sz w:val="20"/>
          <w:u w:val="single"/>
        </w:rPr>
        <w:t>Transferee</w:t>
      </w:r>
      <w:r>
        <w:rPr>
          <w:rFonts w:ascii="Times New Roman" w:hAnsi="Times New Roman"/>
          <w:sz w:val="20"/>
        </w:rPr>
        <w:t>, </w:t>
      </w:r>
      <w:r>
        <w:rPr>
          <w:rFonts w:ascii="Times New Roman" w:hAnsi="Times New Roman"/>
          <w:sz w:val="20"/>
          <w:u w:val="single"/>
        </w:rPr>
        <w:t>Transferor</w:t>
      </w:r>
      <w:r>
        <w:rPr>
          <w:rFonts w:ascii="Times New Roman" w:hAnsi="Times New Roman"/>
          <w:sz w:val="20"/>
        </w:rPr>
        <w:t>, </w:t>
      </w:r>
      <w:r>
        <w:rPr>
          <w:rFonts w:ascii="Times New Roman" w:hAnsi="Times New Roman"/>
          <w:sz w:val="20"/>
          <w:u w:val="single"/>
        </w:rPr>
        <w:t>Transferred</w:t>
      </w:r>
      <w:r>
        <w:rPr>
          <w:rFonts w:ascii="Times New Roman" w:hAnsi="Times New Roman"/>
          <w:sz w:val="20"/>
        </w:rPr>
        <w:t> and other forms of the word </w:t>
      </w:r>
      <w:r>
        <w:rPr>
          <w:rFonts w:ascii="Times New Roman" w:hAnsi="Times New Roman"/>
          <w:sz w:val="20"/>
          <w:u w:val="single"/>
        </w:rPr>
        <w:t>Transfer</w:t>
      </w:r>
      <w:r>
        <w:rPr>
          <w:rFonts w:ascii="Times New Roman" w:hAnsi="Times New Roman"/>
          <w:sz w:val="20"/>
        </w:rPr>
        <w:t xml:space="preserve"> shall have correlative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Unaffiliated Directors</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 </w:t>
      </w:r>
      <w:r>
        <w:rPr>
          <w:rFonts w:ascii="Times New Roman" w:hAnsi="Times New Roman"/>
          <w:b/>
          <w:sz w:val="20"/>
          <w:u w:val="single"/>
        </w:rPr>
        <w:t>Construction</w:t>
      </w:r>
      <w:r>
        <w:rPr>
          <w:rFonts w:ascii="Times New Roman" w:hAnsi="Times New Roman"/>
          <w:sz w:val="20"/>
        </w:rPr>
        <w:t>. The language used in this Agreement will be deemed to be the language chosen by the parties to express their mutual intent, and no rule of strict construction will be applied against any party. When used in this Agreement, unless the context otherwise requires: (a) </w:t>
      </w:r>
      <w:r>
        <w:rPr>
          <w:rFonts w:ascii="Times New Roman" w:hAnsi="Times New Roman"/>
          <w:sz w:val="20"/>
          <w:u w:val="single"/>
        </w:rPr>
        <w:t>or</w:t>
      </w:r>
      <w:r>
        <w:rPr>
          <w:rFonts w:ascii="Times New Roman" w:hAnsi="Times New Roman"/>
          <w:sz w:val="20"/>
        </w:rPr>
        <w:t> is disjunctive but not exclusive, (b) terms defined in the singular have a comparable meaning when used in the plural, and vice versa, (c) the words </w:t>
      </w:r>
      <w:r>
        <w:rPr>
          <w:rFonts w:ascii="Times New Roman" w:hAnsi="Times New Roman"/>
          <w:sz w:val="20"/>
          <w:u w:val="single"/>
        </w:rPr>
        <w:t>hereof</w:t>
      </w:r>
      <w:r>
        <w:rPr>
          <w:rFonts w:ascii="Times New Roman" w:hAnsi="Times New Roman"/>
          <w:sz w:val="20"/>
        </w:rPr>
        <w:t>, </w:t>
      </w:r>
      <w:r>
        <w:rPr>
          <w:rFonts w:ascii="Times New Roman" w:hAnsi="Times New Roman"/>
          <w:sz w:val="20"/>
          <w:u w:val="single"/>
        </w:rPr>
        <w:t>herein</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xml:space="preserve">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CORPORATE GOVERNANCE MATTERS </w:t>
      </w:r>
    </w:p>
    <w:p>
      <w:pPr>
        <w:pStyle w:val="TextBody"/>
        <w:spacing w:before="240" w:after="0"/>
        <w:jc w:val="left"/>
        <w:rPr>
          <w:rFonts w:ascii="Times New Roman" w:hAnsi="Times New Roman"/>
          <w:sz w:val="20"/>
        </w:rPr>
      </w:pPr>
      <w:r>
        <w:rPr>
          <w:rFonts w:ascii="Times New Roman" w:hAnsi="Times New Roman"/>
          <w:b/>
          <w:sz w:val="20"/>
        </w:rPr>
        <w:t>Section 2.01</w:t>
      </w:r>
      <w:r>
        <w:rPr>
          <w:rFonts w:ascii="Times New Roman" w:hAnsi="Times New Roman"/>
          <w:sz w:val="20"/>
        </w:rPr>
        <w:t xml:space="preserve"> </w:t>
      </w:r>
      <w:r>
        <w:rPr>
          <w:rFonts w:ascii="Times New Roman" w:hAnsi="Times New Roman"/>
          <w:b/>
          <w:sz w:val="20"/>
          <w:u w:val="single"/>
        </w:rPr>
        <w:t>Election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Pubco and each Stockholder shall take all Necessary Action to cause the Initial Board to be comprised of </w:t>
      </w:r>
      <w:r>
        <w:rPr>
          <w:rFonts w:ascii="Times New Roman" w:hAnsi="Times New Roman"/>
          <w:b/>
          <w:sz w:val="20"/>
        </w:rPr>
        <w:t>[five to nine]</w:t>
      </w:r>
      <w:r>
        <w:rPr>
          <w:rFonts w:ascii="Times New Roman" w:hAnsi="Times New Roman"/>
          <w:sz w:val="20"/>
        </w:rPr>
        <w:t xml:space="preserve"> (</w:t>
      </w:r>
      <w:r>
        <w:rPr>
          <w:rFonts w:ascii="Times New Roman" w:hAnsi="Times New Roman"/>
          <w:b/>
          <w:sz w:val="20"/>
        </w:rPr>
        <w:t>[5 to 9]</w:t>
      </w:r>
      <w:r>
        <w:rPr>
          <w:rFonts w:ascii="Times New Roman" w:hAnsi="Times New Roman"/>
          <w:sz w:val="20"/>
        </w:rPr>
        <w:t xml:space="preserve">) Directors, (i) one (1) of whom has been designated by the Sponsor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Director</w:t>
      </w:r>
      <w:r>
        <w:rPr>
          <w:rFonts w:ascii="Times New Roman" w:hAnsi="Times New Roman"/>
          <w:sz w:val="20"/>
        </w:rPr>
        <w:t>), who shall initially be Gordon Watson, (ii) one (1) of whom has been designated by Bakkt Opco (the </w:t>
      </w:r>
      <w:r>
        <w:rPr>
          <w:rFonts w:ascii="Times New Roman" w:hAnsi="Times New Roman"/>
          <w:sz w:val="20"/>
          <w:u w:val="single"/>
        </w:rPr>
        <w:t>Bakkt Opco Director</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and (iii) the remaining of whom have been jointly designated by the Sponsor and Bakkt Opco and a majority of whom qualify as independent directors under NYSE listing rules (the </w:t>
      </w:r>
      <w:r>
        <w:rPr>
          <w:rFonts w:ascii="Times New Roman" w:hAnsi="Times New Roman"/>
          <w:sz w:val="20"/>
          <w:u w:val="single"/>
        </w:rPr>
        <w:t>Unaffiliated Directors</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and [</w:t>
      </w:r>
      <w:r>
        <w:rPr>
          <w:rFonts w:ascii="Times New Roman" w:hAnsi="Times New Roman"/>
          <w:sz w:val="20"/>
        </w:rPr>
        <w:t>●</w:t>
      </w:r>
      <w:r>
        <w:rPr>
          <w:rFonts w:ascii="Times New Roman" w:hAnsi="Times New Roman"/>
          <w:b/>
          <w:sz w:val="20"/>
        </w:rPr>
        <w:t>]</w:t>
      </w:r>
      <w:r>
        <w:rPr>
          <w:rFonts w:ascii="Times New Roman" w:hAnsi="Times New Roman"/>
          <w:sz w:val="20"/>
        </w:rPr>
        <w:t xml:space="preserve">. Pubco and each Stockholder shall take all Necessary Action to cause the foregoing Directors to be divided into three (3) classes of Directors, with each class serving for staggered three (3)-year terms as follows: </w:t>
      </w:r>
    </w:p>
    <w:p>
      <w:pPr>
        <w:pStyle w:val="TextBody"/>
        <w:spacing w:before="120" w:after="0"/>
        <w:jc w:val="left"/>
        <w:rPr>
          <w:rFonts w:ascii="Times New Roman" w:hAnsi="Times New Roman"/>
          <w:sz w:val="20"/>
        </w:rPr>
      </w:pPr>
      <w:r>
        <w:rPr>
          <w:rFonts w:ascii="Times New Roman" w:hAnsi="Times New Roman"/>
          <w:sz w:val="20"/>
        </w:rPr>
        <w:t xml:space="preserve">(i) the Class I Directors shall include </w:t>
      </w:r>
      <w:r>
        <w:rPr>
          <w:rFonts w:ascii="Times New Roman" w:hAnsi="Times New Roman"/>
          <w:b/>
          <w:sz w:val="20"/>
        </w:rPr>
        <w:t>[one/two/three]</w:t>
      </w:r>
      <w:r>
        <w:rPr>
          <w:rFonts w:ascii="Times New Roman" w:hAnsi="Times New Roman"/>
          <w:sz w:val="20"/>
        </w:rPr>
        <w:t xml:space="preserve"> (</w:t>
      </w:r>
      <w:r>
        <w:rPr>
          <w:rFonts w:ascii="Times New Roman" w:hAnsi="Times New Roman"/>
          <w:b/>
          <w:sz w:val="20"/>
        </w:rPr>
        <w:t>[1/2/3]</w:t>
      </w:r>
      <w:r>
        <w:rPr>
          <w:rFonts w:ascii="Times New Roman" w:hAnsi="Times New Roman"/>
          <w:sz w:val="20"/>
        </w:rPr>
        <w:t>) Unaffiliated Director</w:t>
      </w:r>
      <w:r>
        <w:rPr>
          <w:rFonts w:ascii="Times New Roman" w:hAnsi="Times New Roman"/>
          <w:b/>
          <w:sz w:val="20"/>
        </w:rPr>
        <w:t>[s]</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(ii) the Class II Directors shall include [</w:t>
      </w:r>
      <w:r>
        <w:rPr>
          <w:rFonts w:ascii="Times New Roman" w:hAnsi="Times New Roman"/>
          <w:b/>
          <w:sz w:val="20"/>
        </w:rPr>
        <w:t>one (1)</w:t>
      </w:r>
      <w:r>
        <w:rPr>
          <w:rFonts w:ascii="Times New Roman" w:hAnsi="Times New Roman"/>
          <w:sz w:val="20"/>
        </w:rPr>
        <w:t xml:space="preserve"> Unaffiliated Director,] the Sponsor Director and the Bakkt Opco Director; and </w:t>
      </w:r>
    </w:p>
    <w:p>
      <w:pPr>
        <w:pStyle w:val="TextBody"/>
        <w:spacing w:before="240" w:after="0"/>
        <w:jc w:val="left"/>
        <w:rPr>
          <w:rFonts w:ascii="Times New Roman" w:hAnsi="Times New Roman"/>
          <w:sz w:val="20"/>
        </w:rPr>
      </w:pPr>
      <w:r>
        <w:rPr>
          <w:rFonts w:ascii="Times New Roman" w:hAnsi="Times New Roman"/>
          <w:sz w:val="20"/>
        </w:rPr>
        <w:t xml:space="preserve">(iii) the Class III Directors shall include </w:t>
      </w:r>
      <w:r>
        <w:rPr>
          <w:rFonts w:ascii="Times New Roman" w:hAnsi="Times New Roman"/>
          <w:b/>
          <w:sz w:val="20"/>
        </w:rPr>
        <w:t>[one/two/three]</w:t>
      </w:r>
      <w:r>
        <w:rPr>
          <w:rFonts w:ascii="Times New Roman" w:hAnsi="Times New Roman"/>
          <w:sz w:val="20"/>
        </w:rPr>
        <w:t xml:space="preserve"> (</w:t>
      </w:r>
      <w:r>
        <w:rPr>
          <w:rFonts w:ascii="Times New Roman" w:hAnsi="Times New Roman"/>
          <w:b/>
          <w:sz w:val="20"/>
        </w:rPr>
        <w:t>[1/2/3]</w:t>
      </w:r>
      <w:r>
        <w:rPr>
          <w:rFonts w:ascii="Times New Roman" w:hAnsi="Times New Roman"/>
          <w:sz w:val="20"/>
        </w:rPr>
        <w:t>) Unaffiliated Director</w:t>
      </w:r>
      <w:r>
        <w:rPr>
          <w:rFonts w:ascii="Times New Roman" w:hAnsi="Times New Roman"/>
          <w:b/>
          <w:sz w:val="20"/>
        </w:rPr>
        <w:t>[s]</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initial term of the Class I Directors shall expire at the first (1st) annual meeting of stockholders of Pubco following the Closing Date at which Directors are elected. The initial term of the Class II Directors shall expire at the second (2nd) annual meeting of stockholders of Pubco following the Closing Date at which Directors are elected. The initial term of the Class III Directors shall expire at the third (3rd) annual meeting of stockholders of Pubco following the Closing Date at which Directors are elected. </w:t>
      </w:r>
    </w:p>
    <w:p>
      <w:pPr>
        <w:pStyle w:val="TextBody"/>
        <w:spacing w:before="240" w:after="0"/>
        <w:jc w:val="left"/>
        <w:rPr>
          <w:rFonts w:ascii="Times New Roman" w:hAnsi="Times New Roman"/>
          <w:sz w:val="20"/>
        </w:rPr>
      </w:pPr>
      <w:r>
        <w:rPr>
          <w:rFonts w:ascii="Times New Roman" w:hAnsi="Times New Roman"/>
          <w:sz w:val="20"/>
        </w:rPr>
        <w:t xml:space="preserve">(b) 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 </w:t>
      </w:r>
    </w:p>
    <w:p>
      <w:pPr>
        <w:pStyle w:val="TextBody"/>
        <w:spacing w:before="240" w:after="0"/>
        <w:jc w:val="left"/>
        <w:rPr>
          <w:rFonts w:ascii="Times New Roman" w:hAnsi="Times New Roman"/>
          <w:sz w:val="20"/>
        </w:rPr>
      </w:pPr>
      <w:r>
        <w:rPr>
          <w:rFonts w:ascii="Times New Roman" w:hAnsi="Times New Roman"/>
          <w:sz w:val="20"/>
        </w:rPr>
        <w:t xml:space="preserve">(c) Prior to the second (2nd)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2.02 </w:t>
      </w:r>
      <w:r>
        <w:rPr>
          <w:rFonts w:ascii="Times New Roman" w:hAnsi="Times New Roman"/>
          <w:b/>
          <w:sz w:val="20"/>
          <w:u w:val="single"/>
        </w:rPr>
        <w:t>Committees</w:t>
      </w:r>
      <w:r>
        <w:rPr>
          <w:rFonts w:ascii="Times New Roman" w:hAnsi="Times New Roman"/>
          <w:sz w:val="20"/>
        </w:rPr>
        <w:t xml:space="preserve">. In accordance with the Organizational Documents of Pubco, (i) the Board shall establish and maintain committees of 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2.03 </w:t>
      </w:r>
      <w:r>
        <w:rPr>
          <w:rFonts w:ascii="Times New Roman" w:hAnsi="Times New Roman"/>
          <w:b/>
          <w:sz w:val="20"/>
          <w:u w:val="single"/>
        </w:rPr>
        <w:t>Independent Directors</w:t>
      </w:r>
      <w:r>
        <w:rPr>
          <w:rFonts w:ascii="Times New Roman" w:hAnsi="Times New Roman"/>
          <w:sz w:val="20"/>
        </w:rPr>
        <w:t xml:space="preserve">. Pubco has determined that the Initial Board referenced in </w:t>
      </w:r>
      <w:r>
        <w:rPr>
          <w:rFonts w:ascii="Times New Roman" w:hAnsi="Times New Roman"/>
          <w:sz w:val="20"/>
          <w:u w:val="single"/>
        </w:rPr>
        <w:t>Section 2.01(a)</w:t>
      </w:r>
      <w:r>
        <w:rPr>
          <w:rFonts w:ascii="Times New Roman" w:hAnsi="Times New Roman"/>
          <w:sz w:val="20"/>
        </w:rPr>
        <w:t xml:space="preserve"> includes the requisite number of 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2.04 </w:t>
      </w:r>
      <w:r>
        <w:rPr>
          <w:rFonts w:ascii="Times New Roman" w:hAnsi="Times New Roman"/>
          <w:b/>
          <w:sz w:val="20"/>
          <w:u w:val="single"/>
        </w:rPr>
        <w:t>Compensation; Reimbursement of Expenses</w:t>
      </w:r>
      <w:r>
        <w:rPr>
          <w:rFonts w:ascii="Times New Roman" w:hAnsi="Times New Roman"/>
          <w:sz w:val="20"/>
        </w:rPr>
        <w:t xml:space="preserve">. Except to the extent the Sponsor, in respect of the Sponsor Director, or ICE, in 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2.05 </w:t>
      </w:r>
      <w:r>
        <w:rPr>
          <w:rFonts w:ascii="Times New Roman" w:hAnsi="Times New Roman"/>
          <w:b/>
          <w:sz w:val="20"/>
          <w:u w:val="single"/>
        </w:rPr>
        <w:t>Indemnification</w:t>
      </w:r>
      <w:r>
        <w:rPr>
          <w:rFonts w:ascii="Times New Roman" w:hAnsi="Times New Roman"/>
          <w:sz w:val="20"/>
        </w:rPr>
        <w:t xml:space="preserve">. Pubco shall enter into an indemnification agreement with each of the Sponsor Director and the Bakkt Opco 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2.06 </w:t>
      </w:r>
      <w:r>
        <w:rPr>
          <w:rFonts w:ascii="Times New Roman" w:hAnsi="Times New Roman"/>
          <w:b/>
          <w:sz w:val="20"/>
          <w:u w:val="single"/>
        </w:rPr>
        <w:t>D&amp;O Insurance</w:t>
      </w:r>
      <w:r>
        <w:rPr>
          <w:rFonts w:ascii="Times New Roman" w:hAnsi="Times New Roman"/>
          <w:sz w:val="20"/>
        </w:rPr>
        <w:t xml:space="preserve">. Pubco shall (i) purchase directors and officers liability insurance in an amount determined by the Board to be reasonable and customary and (ii) for so long as the Sponsor Director or the Bakkt Opco Director serves as a Director, maintain such directors and officers liability insurance coverage with respect to such Director.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2.07 </w:t>
      </w:r>
      <w:r>
        <w:rPr>
          <w:rFonts w:ascii="Times New Roman" w:hAnsi="Times New Roman"/>
          <w:b/>
          <w:sz w:val="20"/>
          <w:u w:val="single"/>
        </w:rPr>
        <w:t>Information Sharing</w:t>
      </w:r>
      <w:r>
        <w:rPr>
          <w:rFonts w:ascii="Times New Roman" w:hAnsi="Times New Roman"/>
          <w:sz w:val="20"/>
        </w:rPr>
        <w:t xml:space="preserve">. To the extent permitted by applicable Law, each party hereto acknowledges and agrees that the Sponsor 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Times New Roman" w:hAnsi="Times New Roman"/>
          <w:sz w:val="20"/>
          <w:u w:val="single"/>
        </w:rPr>
        <w:t>Section 2.08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2.08 </w:t>
      </w:r>
      <w:r>
        <w:rPr>
          <w:rFonts w:ascii="Times New Roman" w:hAnsi="Times New Roman"/>
          <w:b/>
          <w:sz w:val="20"/>
          <w:u w:val="single"/>
        </w:rPr>
        <w:t>Confidentiality</w:t>
      </w:r>
      <w:r>
        <w:rPr>
          <w:rFonts w:ascii="Times New Roman" w:hAnsi="Times New Roman"/>
          <w:sz w:val="20"/>
        </w:rPr>
        <w:t xml:space="preserve">. Each of the Sponsor and ICE agrees (severally, and not jointly) that it will, and will direct its Designated Representatives to, keep confidential and not disclose any Confidential Information to any other Person (other than Pubco and its Designated Representatives);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each Designated Representative shall be under an obligation of confidentiality to Pubco or the Sponsor or ICE (as applicable) with respect to such Confidential Information and (ii) each of the Sponsor and ICE agrees (severally, and not jointly) to be responsible for any breaches of this </w:t>
      </w:r>
      <w:r>
        <w:rPr>
          <w:rFonts w:ascii="Times New Roman" w:hAnsi="Times New Roman"/>
          <w:sz w:val="20"/>
          <w:u w:val="single"/>
        </w:rPr>
        <w:t>Section 2.08</w:t>
      </w:r>
      <w:r>
        <w:rPr>
          <w:rFonts w:ascii="Times New Roman" w:hAnsi="Times New Roman"/>
          <w:sz w:val="20"/>
        </w:rPr>
        <w:t xml:space="preserve"> by their respective Designated Representatives. Notwithstanding the foregoing, (i) no Person shall be deemed a Designated Representative of the Sponsor or ICE (and as a result subject to any of the obligations under this </w:t>
      </w:r>
      <w:r>
        <w:rPr>
          <w:rFonts w:ascii="Times New Roman" w:hAnsi="Times New Roman"/>
          <w:sz w:val="20"/>
          <w:u w:val="single"/>
        </w:rPr>
        <w:t>Section 2.08</w:t>
      </w:r>
      <w:r>
        <w:rPr>
          <w:rFonts w:ascii="Times New Roman" w:hAnsi="Times New Roman"/>
          <w:sz w:val="20"/>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Times New Roman" w:hAnsi="Times New Roman"/>
          <w:sz w:val="20"/>
          <w:u w:val="single"/>
        </w:rPr>
        <w:t>Section 2.08</w:t>
      </w:r>
      <w:r>
        <w:rPr>
          <w:rFonts w:ascii="Times New Roman" w:hAnsi="Times New Roman"/>
          <w:sz w:val="20"/>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Times New Roman" w:hAnsi="Times New Roman"/>
          <w:sz w:val="20"/>
          <w:u w:val="single"/>
        </w:rPr>
        <w:t>provided</w:t>
      </w:r>
      <w:r>
        <w:rPr>
          <w:rFonts w:ascii="Times New Roman" w:hAnsi="Times New Roman"/>
          <w:sz w:val="20"/>
        </w:rPr>
        <w:t xml:space="preserve"> that such officer, member, manager, investment manager, member of the board of directors (or similar governing body), general partner or employee does not provide any Confidential Information to the other officers, members, managers, investment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managers, members of the board of directors (or similar governing body), general partners or employees of such Affiliate or portfolio company.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RESTRICTIONS ON TRANSFER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b/>
          <w:sz w:val="20"/>
          <w:u w:val="single"/>
        </w:rPr>
        <w:t>General Restrictions on Transfer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permitted by </w:t>
      </w:r>
      <w:r>
        <w:rPr>
          <w:rFonts w:ascii="Times New Roman" w:hAnsi="Times New Roman"/>
          <w:sz w:val="20"/>
          <w:u w:val="single"/>
        </w:rPr>
        <w:t>Section 3.02</w:t>
      </w:r>
      <w:r>
        <w:rPr>
          <w:rFonts w:ascii="Times New Roman" w:hAnsi="Times New Roman"/>
          <w:sz w:val="20"/>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Times New Roman" w:hAnsi="Times New Roman"/>
          <w:sz w:val="20"/>
          <w:u w:val="single"/>
        </w:rPr>
        <w:t>Bakkt Equity Holders Lock-Up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Except as permitted by </w:t>
      </w:r>
      <w:r>
        <w:rPr>
          <w:rFonts w:ascii="Times New Roman" w:hAnsi="Times New Roman"/>
          <w:sz w:val="20"/>
          <w:u w:val="single"/>
        </w:rPr>
        <w:t>Section 3.02</w:t>
      </w:r>
      <w:r>
        <w:rPr>
          <w:rFonts w:ascii="Times New Roman" w:hAnsi="Times New Roman"/>
          <w:sz w:val="20"/>
        </w:rPr>
        <w:t xml:space="preserve">, the Sponsor shall not Transfer, or make a public announcement of any intention to Transfer, any Private Placement Lock-Up Shares during the Private Placement Lock-Up Period. </w:t>
      </w:r>
    </w:p>
    <w:p>
      <w:pPr>
        <w:pStyle w:val="TextBody"/>
        <w:spacing w:before="240" w:after="0"/>
        <w:jc w:val="left"/>
        <w:rPr>
          <w:rFonts w:ascii="Times New Roman" w:hAnsi="Times New Roman"/>
          <w:sz w:val="20"/>
        </w:rPr>
      </w:pPr>
      <w:r>
        <w:rPr>
          <w:rFonts w:ascii="Times New Roman" w:hAnsi="Times New Roman"/>
          <w:sz w:val="20"/>
        </w:rPr>
        <w:t xml:space="preserve">(c) Except as permitted by </w:t>
      </w:r>
      <w:r>
        <w:rPr>
          <w:rFonts w:ascii="Times New Roman" w:hAnsi="Times New Roman"/>
          <w:sz w:val="20"/>
          <w:u w:val="single"/>
        </w:rPr>
        <w:t>Section 3.02</w:t>
      </w:r>
      <w:r>
        <w:rPr>
          <w:rFonts w:ascii="Times New Roman" w:hAnsi="Times New Roman"/>
          <w:sz w:val="20"/>
        </w:rPr>
        <w:t xml:space="preserve">, the Sponsor shall not Transfer, or make a public announcement of any intention to Transfer, any Sponsor Lock-Up Shares during the Sponsor Lock-Up Period. </w:t>
      </w:r>
    </w:p>
    <w:p>
      <w:pPr>
        <w:pStyle w:val="TextBody"/>
        <w:spacing w:before="240" w:after="0"/>
        <w:jc w:val="left"/>
        <w:rPr>
          <w:rFonts w:ascii="Times New Roman" w:hAnsi="Times New Roman"/>
          <w:sz w:val="20"/>
        </w:rPr>
      </w:pPr>
      <w:r>
        <w:rPr>
          <w:rFonts w:ascii="Times New Roman" w:hAnsi="Times New Roman"/>
          <w:b/>
          <w:sz w:val="20"/>
        </w:rPr>
        <w:t xml:space="preserve">Section 3.02 </w:t>
      </w:r>
      <w:r>
        <w:rPr>
          <w:rFonts w:ascii="Times New Roman" w:hAnsi="Times New Roman"/>
          <w:b/>
          <w:sz w:val="20"/>
          <w:u w:val="single"/>
        </w:rPr>
        <w:t>Permitted Transfers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No prohibition in </w:t>
      </w:r>
      <w:r>
        <w:rPr>
          <w:rFonts w:ascii="Times New Roman" w:hAnsi="Times New Roman"/>
          <w:sz w:val="20"/>
          <w:u w:val="single"/>
        </w:rPr>
        <w:t>Section 3.01</w:t>
      </w:r>
      <w:r>
        <w:rPr>
          <w:rFonts w:ascii="Times New Roman" w:hAnsi="Times New Roman"/>
          <w:sz w:val="20"/>
        </w:rPr>
        <w:t xml:space="preserve"> shall apply to: (i) Transfers permitted by </w:t>
      </w:r>
      <w:r>
        <w:rPr>
          <w:rFonts w:ascii="Times New Roman" w:hAnsi="Times New Roman"/>
          <w:sz w:val="20"/>
          <w:u w:val="single"/>
        </w:rPr>
        <w:t>Section 3.02(b)</w:t>
      </w:r>
      <w:r>
        <w:rPr>
          <w:rFonts w:ascii="Times New Roman" w:hAnsi="Times New Roman"/>
          <w:sz w:val="20"/>
        </w:rPr>
        <w:t xml:space="preserve"> (except as otherwise provided in </w:t>
      </w:r>
      <w:r>
        <w:rPr>
          <w:rFonts w:ascii="Times New Roman" w:hAnsi="Times New Roman"/>
          <w:sz w:val="20"/>
          <w:u w:val="single"/>
        </w:rPr>
        <w:t>Section 3.02(c)</w:t>
      </w:r>
      <w:r>
        <w:rPr>
          <w:rFonts w:ascii="Times New Roman" w:hAnsi="Times New Roman"/>
          <w:sz w:val="20"/>
        </w:rPr>
        <w:t xml:space="preserve">);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Lock-Up Period. </w:t>
      </w:r>
    </w:p>
    <w:p>
      <w:pPr>
        <w:pStyle w:val="TextBody"/>
        <w:spacing w:before="240" w:after="0"/>
        <w:jc w:val="left"/>
        <w:rPr>
          <w:rFonts w:ascii="Times New Roman" w:hAnsi="Times New Roman"/>
          <w:sz w:val="20"/>
        </w:rPr>
      </w:pPr>
      <w:r>
        <w:rPr>
          <w:rFonts w:ascii="Times New Roman" w:hAnsi="Times New Roman"/>
          <w:sz w:val="20"/>
        </w:rPr>
        <w:t xml:space="preserve">(b) Notwithstanding anything to the contrary contained in this Agreement (including </w:t>
      </w:r>
      <w:r>
        <w:rPr>
          <w:rFonts w:ascii="Times New Roman" w:hAnsi="Times New Roman"/>
          <w:sz w:val="20"/>
          <w:u w:val="single"/>
        </w:rPr>
        <w:t>Section 3.01</w:t>
      </w:r>
      <w:r>
        <w:rPr>
          <w:rFonts w:ascii="Times New Roman" w:hAnsi="Times New Roman"/>
          <w:sz w:val="20"/>
        </w:rPr>
        <w:t xml:space="preserve">), subject to </w:t>
      </w:r>
      <w:r>
        <w:rPr>
          <w:rFonts w:ascii="Times New Roman" w:hAnsi="Times New Roman"/>
          <w:sz w:val="20"/>
          <w:u w:val="single"/>
        </w:rPr>
        <w:t>Section 3.02(c)</w:t>
      </w:r>
      <w:r>
        <w:rPr>
          <w:rFonts w:ascii="Times New Roman" w:hAnsi="Times New Roman"/>
          <w:sz w:val="20"/>
        </w:rPr>
        <w:t xml:space="preserve">, during the Lock-Up Period applicable to such Person, each Bakkt Equity Holder and the Sponsor may Transfer, without the consent of any other party hereto, any of such Persons Lock-Up Shares: </w:t>
      </w:r>
    </w:p>
    <w:p>
      <w:pPr>
        <w:pStyle w:val="TextBody"/>
        <w:spacing w:before="240" w:after="0"/>
        <w:jc w:val="left"/>
        <w:rPr>
          <w:rFonts w:ascii="Times New Roman" w:hAnsi="Times New Roman"/>
          <w:sz w:val="20"/>
        </w:rPr>
      </w:pPr>
      <w:r>
        <w:rPr>
          <w:rFonts w:ascii="Times New Roman" w:hAnsi="Times New Roman"/>
          <w:sz w:val="20"/>
        </w:rPr>
        <w:t xml:space="preserve">(i) to any of such Persons Permitted Transferees; </w:t>
      </w:r>
      <w:r>
        <w:rPr>
          <w:rFonts w:ascii="Times New Roman" w:hAnsi="Times New Roman"/>
          <w:sz w:val="20"/>
          <w:u w:val="single"/>
        </w:rPr>
        <w:t>provided</w:t>
      </w:r>
      <w:r>
        <w:rPr>
          <w:rFonts w:ascii="Times New Roman" w:hAnsi="Times New Roman"/>
          <w:sz w:val="20"/>
        </w:rPr>
        <w:t xml:space="preserve"> that, in respect of Transfers to an Immediate Family Member or an Affiliate of such Person (other than pursuant to </w:t>
      </w:r>
      <w:r>
        <w:rPr>
          <w:rFonts w:ascii="Times New Roman" w:hAnsi="Times New Roman"/>
          <w:sz w:val="20"/>
          <w:u w:val="single"/>
        </w:rPr>
        <w:t>Section 3.02(b)(iii)</w:t>
      </w:r>
      <w:r>
        <w:rPr>
          <w:rFonts w:ascii="Times New Roman" w:hAnsi="Times New Roman"/>
          <w:sz w:val="20"/>
        </w:rPr>
        <w:t xml:space="preserve">),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 </w:t>
      </w:r>
    </w:p>
    <w:p>
      <w:pPr>
        <w:pStyle w:val="TextBody"/>
        <w:spacing w:before="240" w:after="0"/>
        <w:jc w:val="left"/>
        <w:rPr>
          <w:rFonts w:ascii="Times New Roman" w:hAnsi="Times New Roman"/>
          <w:sz w:val="20"/>
        </w:rPr>
      </w:pPr>
      <w:r>
        <w:rPr>
          <w:rFonts w:ascii="Times New Roman" w:hAnsi="Times New Roman"/>
          <w:sz w:val="20"/>
        </w:rPr>
        <w:t xml:space="preserve">(ii) 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 </w:t>
      </w:r>
    </w:p>
    <w:p>
      <w:pPr>
        <w:pStyle w:val="TextBody"/>
        <w:spacing w:before="240" w:after="0"/>
        <w:jc w:val="left"/>
        <w:rPr>
          <w:rFonts w:ascii="Times New Roman" w:hAnsi="Times New Roman"/>
          <w:sz w:val="20"/>
        </w:rPr>
      </w:pPr>
      <w:r>
        <w:rPr>
          <w:rFonts w:ascii="Times New Roman" w:hAnsi="Times New Roman"/>
          <w:sz w:val="20"/>
        </w:rPr>
        <w:t xml:space="preserve">(iii) in the case of a Stockholder that is a natural person, upon death of such Stockholder by will or other instrument taking effect at the death of such Stockholder or by applicable Laws of descent and distribution to such Stockholders Immediate Family Members. </w:t>
      </w:r>
    </w:p>
    <w:p>
      <w:pPr>
        <w:pStyle w:val="TextBody"/>
        <w:spacing w:before="240" w:after="0"/>
        <w:jc w:val="left"/>
        <w:rPr>
          <w:rFonts w:ascii="Times New Roman" w:hAnsi="Times New Roman"/>
          <w:sz w:val="20"/>
        </w:rPr>
      </w:pPr>
      <w:r>
        <w:rPr>
          <w:rFonts w:ascii="Times New Roman" w:hAnsi="Times New Roman"/>
          <w:sz w:val="20"/>
        </w:rPr>
        <w:t xml:space="preserve">(c) In respect of any Transfers permitted by </w:t>
      </w:r>
      <w:r>
        <w:rPr>
          <w:rFonts w:ascii="Times New Roman" w:hAnsi="Times New Roman"/>
          <w:sz w:val="20"/>
          <w:u w:val="single"/>
        </w:rPr>
        <w:t>Section 3.02(b)(i)</w:t>
      </w:r>
      <w:r>
        <w:rPr>
          <w:rFonts w:ascii="Times New Roman" w:hAnsi="Times New Roman"/>
          <w:sz w:val="20"/>
        </w:rPr>
        <w:t xml:space="preserve"> or </w:t>
      </w:r>
      <w:r>
        <w:rPr>
          <w:rFonts w:ascii="Times New Roman" w:hAnsi="Times New Roman"/>
          <w:sz w:val="20"/>
          <w:u w:val="single"/>
        </w:rPr>
        <w:t>Section 3.02(b)(iii)</w:t>
      </w:r>
      <w:r>
        <w:rPr>
          <w:rFonts w:ascii="Times New Roman" w:hAnsi="Times New Roman"/>
          <w:sz w:val="20"/>
        </w:rPr>
        <w:t xml:space="preserve">, (i) the applicable Transferee shall be required, at the time of and as a condition to such Transfer, to become a party to this Agreement by executing and delivering to Pubco a joinder in the form attached to this Agreement as </w:t>
      </w:r>
      <w:r>
        <w:rPr>
          <w:rFonts w:ascii="Times New Roman" w:hAnsi="Times New Roman"/>
          <w:sz w:val="20"/>
          <w:u w:val="single"/>
        </w:rPr>
        <w:t>Exhibit A</w:t>
      </w:r>
      <w:r>
        <w:rPr>
          <w:rFonts w:ascii="Times New Roman" w:hAnsi="Times New Roman"/>
          <w:sz w:val="20"/>
        </w:rPr>
        <w:t xml:space="preserve">, whereupon such Transferee will be treated as a party hereto (with the same rights and obligations as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Transferor (including, for the avoidance of doubt, the restrictions in </w:t>
      </w:r>
      <w:r>
        <w:rPr>
          <w:rFonts w:ascii="Times New Roman" w:hAnsi="Times New Roman"/>
          <w:sz w:val="20"/>
          <w:u w:val="single"/>
        </w:rPr>
        <w:t>Section 3.01</w:t>
      </w:r>
      <w:r>
        <w:rPr>
          <w:rFonts w:ascii="Times New Roman" w:hAnsi="Times New Roman"/>
          <w:sz w:val="20"/>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Times New Roman" w:hAnsi="Times New Roman"/>
          <w:sz w:val="20"/>
          <w:u w:val="single"/>
        </w:rPr>
        <w:t>Section 3.02(b)(i)</w:t>
      </w:r>
      <w:r>
        <w:rPr>
          <w:rFonts w:ascii="Times New Roman" w:hAnsi="Times New Roman"/>
          <w:sz w:val="20"/>
        </w:rPr>
        <w:t xml:space="preserve"> or </w:t>
      </w:r>
      <w:r>
        <w:rPr>
          <w:rFonts w:ascii="Times New Roman" w:hAnsi="Times New Roman"/>
          <w:sz w:val="20"/>
          <w:u w:val="single"/>
        </w:rPr>
        <w:t>Section 3.02(b)(iii)</w:t>
      </w:r>
      <w:r>
        <w:rPr>
          <w:rFonts w:ascii="Times New Roman" w:hAnsi="Times New Roman"/>
          <w:sz w:val="20"/>
        </w:rPr>
        <w:t xml:space="preserve">, the restrictions and obligations contained in this </w:t>
      </w:r>
      <w:r>
        <w:rPr>
          <w:rFonts w:ascii="Times New Roman" w:hAnsi="Times New Roman"/>
          <w:sz w:val="20"/>
          <w:u w:val="single"/>
        </w:rPr>
        <w:t>Article III</w:t>
      </w:r>
      <w:r>
        <w:rPr>
          <w:rFonts w:ascii="Times New Roman" w:hAnsi="Times New Roman"/>
          <w:sz w:val="20"/>
        </w:rPr>
        <w:t xml:space="preserve"> shall continue to apply to such Lock-Up Shares for the Lock-Up Period applicable to the initial Transferor.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3.03 </w:t>
      </w:r>
      <w:r>
        <w:rPr>
          <w:rFonts w:ascii="Times New Roman" w:hAnsi="Times New Roman"/>
          <w:b/>
          <w:sz w:val="20"/>
          <w:u w:val="single"/>
        </w:rPr>
        <w:t>Miscellaneous Provisions Relating to Transfers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 </w:t>
      </w:r>
    </w:p>
    <w:p>
      <w:pPr>
        <w:pStyle w:val="TextBody"/>
        <w:spacing w:before="240" w:after="0"/>
        <w:jc w:val="left"/>
        <w:rPr>
          <w:rFonts w:ascii="Times New Roman" w:hAnsi="Times New Roman"/>
          <w:sz w:val="20"/>
        </w:rPr>
      </w:pPr>
      <w:r>
        <w:rPr>
          <w:rFonts w:ascii="Times New Roman" w:hAnsi="Times New Roman"/>
          <w:sz w:val="20"/>
        </w:rPr>
        <w:t xml:space="preserve">(b) 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 </w:t>
      </w:r>
    </w:p>
    <w:p>
      <w:pPr>
        <w:pStyle w:val="TextBody"/>
        <w:spacing w:before="240" w:after="0"/>
        <w:jc w:val="left"/>
        <w:rPr>
          <w:rFonts w:ascii="Times New Roman" w:hAnsi="Times New Roman"/>
          <w:sz w:val="20"/>
        </w:rPr>
      </w:pPr>
      <w:r>
        <w:rPr>
          <w:rFonts w:ascii="Times New Roman" w:hAnsi="Times New Roman"/>
          <w:sz w:val="20"/>
        </w:rPr>
        <w:t xml:space="preserve">(c) 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GENERAL PROVISIONS </w:t>
      </w:r>
    </w:p>
    <w:p>
      <w:pPr>
        <w:pStyle w:val="TextBody"/>
        <w:spacing w:before="240" w:after="0"/>
        <w:jc w:val="left"/>
        <w:rPr>
          <w:rFonts w:ascii="Times New Roman" w:hAnsi="Times New Roman"/>
          <w:sz w:val="20"/>
        </w:rPr>
      </w:pPr>
      <w:r>
        <w:rPr>
          <w:rFonts w:ascii="Times New Roman" w:hAnsi="Times New Roman"/>
          <w:b/>
          <w:sz w:val="20"/>
        </w:rPr>
        <w:t>Section 4.01</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4.01(b)</w:t>
      </w:r>
      <w:r>
        <w:rPr>
          <w:rFonts w:ascii="Times New Roman" w:hAnsi="Times New Roman"/>
          <w:sz w:val="20"/>
        </w:rPr>
        <w:t xml:space="preserve">,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 (y) immediately following the second (2nd) annual meeting of stockholders of Pubco following the Closing Date at which Directors are elected. </w:t>
      </w:r>
    </w:p>
    <w:p>
      <w:pPr>
        <w:pStyle w:val="TextBody"/>
        <w:spacing w:before="240" w:after="0"/>
        <w:jc w:val="left"/>
        <w:rPr>
          <w:rFonts w:ascii="Times New Roman" w:hAnsi="Times New Roman"/>
          <w:sz w:val="20"/>
        </w:rPr>
      </w:pPr>
      <w:r>
        <w:rPr>
          <w:rFonts w:ascii="Times New Roman" w:hAnsi="Times New Roman"/>
          <w:sz w:val="20"/>
        </w:rPr>
        <w:t xml:space="preserve">(b) The termination of this Agreement, whether in respect of any particular Stockholder and/or all parties hereto, shall not affect: (i) 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2.05</w:t>
      </w:r>
      <w:r>
        <w:rPr>
          <w:rFonts w:ascii="Times New Roman" w:hAnsi="Times New Roman"/>
          <w:sz w:val="20"/>
        </w:rPr>
        <w:t xml:space="preserve">, </w:t>
      </w:r>
      <w:r>
        <w:rPr>
          <w:rFonts w:ascii="Times New Roman" w:hAnsi="Times New Roman"/>
          <w:sz w:val="20"/>
          <w:u w:val="single"/>
        </w:rPr>
        <w:t>Section 2.06</w:t>
      </w:r>
      <w:r>
        <w:rPr>
          <w:rFonts w:ascii="Times New Roman" w:hAnsi="Times New Roman"/>
          <w:sz w:val="20"/>
        </w:rPr>
        <w:t xml:space="preserve"> and this </w:t>
      </w:r>
      <w:r>
        <w:rPr>
          <w:rFonts w:ascii="Times New Roman" w:hAnsi="Times New Roman"/>
          <w:sz w:val="20"/>
          <w:u w:val="single"/>
        </w:rPr>
        <w:t>Article IV</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 </w:t>
      </w:r>
      <w:r>
        <w:rPr>
          <w:rFonts w:ascii="Times New Roman" w:hAnsi="Times New Roman"/>
          <w:b/>
          <w:sz w:val="20"/>
          <w:u w:val="single"/>
        </w:rPr>
        <w:t>Notices</w:t>
      </w:r>
      <w:r>
        <w:rPr>
          <w:rFonts w:ascii="Times New Roman" w:hAnsi="Times New Roman"/>
          <w:sz w:val="20"/>
        </w:rPr>
        <w:t xml:space="preserve">. Any notice, designation, request, request for consent or consent provided for in this Agreement shall be in writing and shall 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hand to the intended recipient (with written confirmation of receipt), (ii) when sent, if sent by facsimile (with confirmation of transmission) or by electronic transmittal (including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Times New Roman" w:hAnsi="Times New Roman"/>
          <w:sz w:val="20"/>
          <w:u w:val="single"/>
        </w:rPr>
        <w:t>Section 4.02</w:t>
      </w:r>
      <w:r>
        <w:rPr>
          <w:rFonts w:ascii="Times New Roman" w:hAnsi="Times New Roman"/>
          <w:sz w:val="20"/>
        </w:rPr>
        <w:t xml:space="preserve">, notices, designations, requests, requests for consent or consents shall be sent to the addresses indicated below: </w:t>
      </w:r>
    </w:p>
    <w:p>
      <w:pPr>
        <w:pStyle w:val="TextBody"/>
        <w:spacing w:before="120" w:after="0"/>
        <w:jc w:val="left"/>
        <w:rPr>
          <w:rFonts w:ascii="Times New Roman" w:hAnsi="Times New Roman"/>
          <w:sz w:val="20"/>
        </w:rPr>
      </w:pPr>
      <w:r>
        <w:rPr>
          <w:rFonts w:ascii="Times New Roman" w:hAnsi="Times New Roman"/>
          <w:sz w:val="20"/>
          <w:u w:val="single"/>
        </w:rPr>
        <w:t>if to Pubco, to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marc.dannuzio@bakkt.com </w:t>
      </w:r>
    </w:p>
    <w:p>
      <w:pPr>
        <w:pStyle w:val="TextBody"/>
        <w:spacing w:before="120" w:after="0"/>
        <w:jc w:val="left"/>
        <w:rPr>
          <w:rFonts w:ascii="Times New Roman" w:hAnsi="Times New Roman"/>
          <w:sz w:val="20"/>
        </w:rPr>
      </w:pPr>
      <w:r>
        <w:rPr>
          <w:rFonts w:ascii="Times New Roman" w:hAnsi="Times New Roman"/>
          <w:sz w:val="20"/>
          <w:u w:val="single"/>
        </w:rPr>
        <w:t>with a copy (which shall not constitute notice) to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Shearman &amp; Sterling LLP </w:t>
      </w:r>
    </w:p>
    <w:p>
      <w:pPr>
        <w:pStyle w:val="TextBody"/>
        <w:spacing w:before="0" w:after="0"/>
        <w:jc w:val="left"/>
        <w:rPr>
          <w:rFonts w:ascii="Times New Roman" w:hAnsi="Times New Roman"/>
          <w:sz w:val="20"/>
        </w:rPr>
      </w:pPr>
      <w:r>
        <w:rPr>
          <w:rFonts w:ascii="Times New Roman" w:hAnsi="Times New Roman"/>
          <w:sz w:val="20"/>
        </w:rPr>
        <w:t xml:space="preserve">300 West 6th Street, 22nd Floor </w:t>
      </w:r>
    </w:p>
    <w:p>
      <w:pPr>
        <w:pStyle w:val="TextBody"/>
        <w:spacing w:before="0" w:after="0"/>
        <w:jc w:val="left"/>
        <w:rPr>
          <w:rFonts w:ascii="Times New Roman" w:hAnsi="Times New Roman"/>
          <w:sz w:val="20"/>
        </w:rPr>
      </w:pPr>
      <w:r>
        <w:rPr>
          <w:rFonts w:ascii="Times New Roman" w:hAnsi="Times New Roman"/>
          <w:sz w:val="20"/>
        </w:rPr>
        <w:t xml:space="preserve">Austin, Texas 78701 </w:t>
      </w:r>
    </w:p>
    <w:p>
      <w:pPr>
        <w:pStyle w:val="TextBody"/>
        <w:spacing w:before="0" w:after="0"/>
        <w:jc w:val="left"/>
        <w:rPr>
          <w:rFonts w:ascii="Times New Roman" w:hAnsi="Times New Roman"/>
          <w:sz w:val="20"/>
        </w:rPr>
      </w:pPr>
      <w:r>
        <w:rPr>
          <w:rFonts w:ascii="Times New Roman" w:hAnsi="Times New Roman"/>
          <w:sz w:val="20"/>
        </w:rPr>
        <w:t xml:space="preserve">Attention: J. Matthew Lyons </w:t>
      </w:r>
    </w:p>
    <w:p>
      <w:pPr>
        <w:pStyle w:val="TextBody"/>
        <w:spacing w:before="0" w:after="0"/>
        <w:jc w:val="left"/>
        <w:rPr>
          <w:rFonts w:ascii="Times New Roman" w:hAnsi="Times New Roman"/>
          <w:sz w:val="20"/>
        </w:rPr>
      </w:pPr>
      <w:r>
        <w:rPr>
          <w:rFonts w:ascii="Times New Roman" w:hAnsi="Times New Roman"/>
          <w:sz w:val="20"/>
        </w:rPr>
        <w:t xml:space="preserve">E-mail:     Matt.Lyons@Shearman.com </w:t>
      </w:r>
    </w:p>
    <w:p>
      <w:pPr>
        <w:pStyle w:val="TextBody"/>
        <w:spacing w:before="120" w:after="0"/>
        <w:jc w:val="left"/>
        <w:rPr>
          <w:rFonts w:ascii="Times New Roman" w:hAnsi="Times New Roman"/>
          <w:sz w:val="20"/>
        </w:rPr>
      </w:pPr>
      <w:r>
        <w:rPr>
          <w:rFonts w:ascii="Times New Roman" w:hAnsi="Times New Roman"/>
          <w:sz w:val="20"/>
          <w:u w:val="single"/>
        </w:rPr>
        <w:t>if to the Sponsor, to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Victory Park Management, LLC </w:t>
      </w:r>
    </w:p>
    <w:p>
      <w:pPr>
        <w:pStyle w:val="TextBody"/>
        <w:spacing w:before="0" w:after="0"/>
        <w:jc w:val="left"/>
        <w:rPr>
          <w:rFonts w:ascii="Times New Roman" w:hAnsi="Times New Roman"/>
          <w:sz w:val="20"/>
        </w:rPr>
      </w:pPr>
      <w:r>
        <w:rPr>
          <w:rFonts w:ascii="Times New Roman" w:hAnsi="Times New Roman"/>
          <w:sz w:val="20"/>
        </w:rPr>
        <w:t xml:space="preserve">c/o VPC Impact Acquisition Holdings Sponsor, LLC </w:t>
      </w:r>
    </w:p>
    <w:p>
      <w:pPr>
        <w:pStyle w:val="TextBody"/>
        <w:spacing w:before="0" w:after="0"/>
        <w:jc w:val="left"/>
        <w:rPr>
          <w:rFonts w:ascii="Times New Roman" w:hAnsi="Times New Roman"/>
          <w:sz w:val="20"/>
        </w:rPr>
      </w:pPr>
      <w:r>
        <w:rPr>
          <w:rFonts w:ascii="Times New Roman" w:hAnsi="Times New Roman"/>
          <w:sz w:val="20"/>
        </w:rPr>
        <w:t xml:space="preserve">150 North Riverside Plaza, Suite 5200 </w:t>
      </w:r>
    </w:p>
    <w:p>
      <w:pPr>
        <w:pStyle w:val="TextBody"/>
        <w:spacing w:before="0" w:after="0"/>
        <w:jc w:val="left"/>
        <w:rPr>
          <w:rFonts w:ascii="Times New Roman" w:hAnsi="Times New Roman"/>
          <w:sz w:val="20"/>
        </w:rPr>
      </w:pPr>
      <w:r>
        <w:rPr>
          <w:rFonts w:ascii="Times New Roman" w:hAnsi="Times New Roman"/>
          <w:sz w:val="20"/>
        </w:rPr>
        <w:t xml:space="preserve">Chicago, Illinois 60606 </w:t>
      </w:r>
    </w:p>
    <w:p>
      <w:pPr>
        <w:pStyle w:val="TextBody"/>
        <w:spacing w:before="0" w:after="0"/>
        <w:jc w:val="left"/>
        <w:rPr>
          <w:rFonts w:ascii="Times New Roman" w:hAnsi="Times New Roman"/>
          <w:sz w:val="20"/>
        </w:rPr>
      </w:pPr>
      <w:r>
        <w:rPr>
          <w:rFonts w:ascii="Times New Roman" w:hAnsi="Times New Roman"/>
          <w:sz w:val="20"/>
        </w:rPr>
        <w:t xml:space="preserve">Attention:  Scott Zemnick </w:t>
      </w:r>
    </w:p>
    <w:p>
      <w:pPr>
        <w:pStyle w:val="TextBody"/>
        <w:spacing w:before="0" w:after="0"/>
        <w:jc w:val="left"/>
        <w:rPr>
          <w:rFonts w:ascii="Times New Roman" w:hAnsi="Times New Roman"/>
          <w:sz w:val="20"/>
        </w:rPr>
      </w:pPr>
      <w:r>
        <w:rPr>
          <w:rFonts w:ascii="Times New Roman" w:hAnsi="Times New Roman"/>
          <w:sz w:val="20"/>
        </w:rPr>
        <w:t xml:space="preserve">Facsimile: (312) 701-0794 </w:t>
      </w:r>
    </w:p>
    <w:p>
      <w:pPr>
        <w:pStyle w:val="TextBody"/>
        <w:spacing w:before="0" w:after="0"/>
        <w:jc w:val="left"/>
        <w:rPr>
          <w:rFonts w:ascii="Times New Roman" w:hAnsi="Times New Roman"/>
          <w:sz w:val="20"/>
        </w:rPr>
      </w:pPr>
      <w:r>
        <w:rPr>
          <w:rFonts w:ascii="Times New Roman" w:hAnsi="Times New Roman"/>
          <w:sz w:val="20"/>
        </w:rPr>
        <w:t xml:space="preserve">E-mail:      szemnick@vpcadvisors.com </w:t>
      </w:r>
    </w:p>
    <w:p>
      <w:pPr>
        <w:pStyle w:val="TextBody"/>
        <w:spacing w:before="120" w:after="0"/>
        <w:jc w:val="left"/>
        <w:rPr>
          <w:rFonts w:ascii="Times New Roman" w:hAnsi="Times New Roman"/>
          <w:sz w:val="20"/>
        </w:rPr>
      </w:pPr>
      <w:r>
        <w:rPr>
          <w:rFonts w:ascii="Times New Roman" w:hAnsi="Times New Roman"/>
          <w:sz w:val="20"/>
          <w:u w:val="single"/>
        </w:rPr>
        <w:t>with a copy (which shall not constitute notice) to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White &amp; Case LLP </w:t>
      </w:r>
    </w:p>
    <w:p>
      <w:pPr>
        <w:pStyle w:val="TextBody"/>
        <w:spacing w:before="0" w:after="0"/>
        <w:jc w:val="left"/>
        <w:rPr>
          <w:rFonts w:ascii="Times New Roman" w:hAnsi="Times New Roman"/>
          <w:sz w:val="20"/>
        </w:rPr>
      </w:pPr>
      <w:r>
        <w:rPr>
          <w:rFonts w:ascii="Times New Roman" w:hAnsi="Times New Roman"/>
          <w:sz w:val="20"/>
        </w:rPr>
        <w:t xml:space="preserve">111 South Wacker Drive, Suite 5100 </w:t>
      </w:r>
    </w:p>
    <w:p>
      <w:pPr>
        <w:pStyle w:val="TextBody"/>
        <w:spacing w:before="0" w:after="0"/>
        <w:jc w:val="left"/>
        <w:rPr>
          <w:rFonts w:ascii="Times New Roman" w:hAnsi="Times New Roman"/>
          <w:sz w:val="20"/>
        </w:rPr>
      </w:pPr>
      <w:r>
        <w:rPr>
          <w:rFonts w:ascii="Times New Roman" w:hAnsi="Times New Roman"/>
          <w:sz w:val="20"/>
        </w:rPr>
        <w:t xml:space="preserve">Chicago, Illinois 60606 </w:t>
      </w:r>
    </w:p>
    <w:p>
      <w:pPr>
        <w:pStyle w:val="TextBody"/>
        <w:spacing w:before="0" w:after="0"/>
        <w:jc w:val="left"/>
        <w:rPr>
          <w:rFonts w:ascii="Times New Roman" w:hAnsi="Times New Roman"/>
          <w:sz w:val="20"/>
        </w:rPr>
      </w:pPr>
      <w:r>
        <w:rPr>
          <w:rFonts w:ascii="Times New Roman" w:hAnsi="Times New Roman"/>
          <w:sz w:val="20"/>
        </w:rPr>
        <w:t xml:space="preserve">Attention:  Raymond Bogenrief </w:t>
      </w:r>
    </w:p>
    <w:p>
      <w:pPr>
        <w:pStyle w:val="TextBody"/>
        <w:spacing w:before="0" w:after="0"/>
        <w:jc w:val="left"/>
        <w:rPr>
          <w:rFonts w:ascii="Times New Roman" w:hAnsi="Times New Roman"/>
          <w:sz w:val="20"/>
        </w:rPr>
      </w:pPr>
      <w:r>
        <w:rPr>
          <w:rFonts w:ascii="Times New Roman" w:hAnsi="Times New Roman"/>
          <w:sz w:val="20"/>
        </w:rPr>
        <w:t xml:space="preserve">Facsimile: (312) 881-5450 </w:t>
      </w:r>
    </w:p>
    <w:p>
      <w:pPr>
        <w:pStyle w:val="TextBody"/>
        <w:spacing w:before="0" w:after="0"/>
        <w:jc w:val="left"/>
        <w:rPr>
          <w:rFonts w:ascii="Times New Roman" w:hAnsi="Times New Roman"/>
          <w:sz w:val="20"/>
        </w:rPr>
      </w:pPr>
      <w:r>
        <w:rPr>
          <w:rFonts w:ascii="Times New Roman" w:hAnsi="Times New Roman"/>
          <w:sz w:val="20"/>
        </w:rPr>
        <w:t xml:space="preserve">E-mail:      Raymond.Bogenrief@whitecase.com </w:t>
      </w:r>
    </w:p>
    <w:p>
      <w:pPr>
        <w:pStyle w:val="TextBody"/>
        <w:spacing w:before="120" w:after="0"/>
        <w:jc w:val="left"/>
        <w:rPr>
          <w:rFonts w:ascii="Times New Roman" w:hAnsi="Times New Roman"/>
          <w:sz w:val="20"/>
        </w:rPr>
      </w:pPr>
      <w:r>
        <w:rPr>
          <w:rFonts w:ascii="Times New Roman" w:hAnsi="Times New Roman"/>
          <w:sz w:val="20"/>
          <w:u w:val="single"/>
        </w:rPr>
        <w:t>if to any Bakkt Equity Holder, to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address of such Bakkt Equity Holder set forth on its signature page hereto.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4.03 </w:t>
      </w:r>
      <w:r>
        <w:rPr>
          <w:rFonts w:ascii="Times New Roman" w:hAnsi="Times New Roman"/>
          <w:b/>
          <w:sz w:val="20"/>
          <w:u w:val="single"/>
        </w:rPr>
        <w:t>Amendment; Waiver</w:t>
      </w:r>
      <w:r>
        <w:rPr>
          <w:rFonts w:ascii="Times New Roman" w:hAnsi="Times New Roman"/>
          <w:sz w:val="20"/>
        </w:rPr>
        <w:t xml:space="preserve">. This Agreement may be amended, supplemented or otherwise modified only by a written instrument executed by (a) Pubco and each Qualified Stockholder at the time of such amendment, supplement or modification;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it is in writing and is signed by the party asserted to have granted such waiver or consent and then only to the specific purpose, extent and instance so provided; </w:t>
      </w:r>
      <w:r>
        <w:rPr>
          <w:rFonts w:ascii="Times New Roman" w:hAnsi="Times New Roman"/>
          <w:sz w:val="20"/>
          <w:u w:val="single"/>
        </w:rPr>
        <w:t>provided</w:t>
      </w:r>
      <w:r>
        <w:rPr>
          <w:rFonts w:ascii="Times New Roman" w:hAnsi="Times New Roman"/>
          <w:sz w:val="20"/>
        </w:rPr>
        <w:t xml:space="preserve"> that, notwithstanding the foregoing, no waiver of any provision or default under, nor any consent to any exception to, the terms and provisions of </w:t>
      </w:r>
      <w:r>
        <w:rPr>
          <w:rFonts w:ascii="Times New Roman" w:hAnsi="Times New Roman"/>
          <w:sz w:val="20"/>
          <w:u w:val="single"/>
        </w:rPr>
        <w:t>Article III</w:t>
      </w:r>
      <w:r>
        <w:rPr>
          <w:rFonts w:ascii="Times New Roman" w:hAnsi="Times New Roman"/>
          <w:sz w:val="20"/>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the party asserted to have granted such waiver or consent.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4.04 </w:t>
      </w:r>
      <w:r>
        <w:rPr>
          <w:rFonts w:ascii="Times New Roman" w:hAnsi="Times New Roman"/>
          <w:b/>
          <w:sz w:val="20"/>
          <w:u w:val="single"/>
        </w:rPr>
        <w:t>Further Assurances</w:t>
      </w:r>
      <w:r>
        <w:rPr>
          <w:rFonts w:ascii="Times New Roman" w:hAnsi="Times New Roman"/>
          <w:sz w:val="20"/>
        </w:rPr>
        <w:t xml:space="preserve">. Each party to this Agreement shall cooperate and take such action as may be reasonably requested by another party to this Agreement in order to carry out the provisions and purposes of this Agreement and the transactions contemplated 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4.05 </w:t>
      </w:r>
      <w:r>
        <w:rPr>
          <w:rFonts w:ascii="Times New Roman" w:hAnsi="Times New Roman"/>
          <w:b/>
          <w:sz w:val="20"/>
          <w:u w:val="single"/>
        </w:rPr>
        <w:t>Assignment</w:t>
      </w:r>
      <w:r>
        <w:rPr>
          <w:rFonts w:ascii="Times New Roman" w:hAnsi="Times New Roman"/>
          <w:sz w:val="20"/>
        </w:rPr>
        <w:t xml:space="preserve">. No party may assign this Agreement nor any right or obligation of such party, in whole or in part, without the express prior written consent of (a) Pubco and (b) each Qualified Stockholder at the time of such amendment, supplement or modification, and any attempted assignment in violation of this </w:t>
      </w:r>
      <w:r>
        <w:rPr>
          <w:rFonts w:ascii="Times New Roman" w:hAnsi="Times New Roman"/>
          <w:sz w:val="20"/>
          <w:u w:val="single"/>
        </w:rPr>
        <w:t>Section 4.05</w:t>
      </w:r>
      <w:r>
        <w:rPr>
          <w:rFonts w:ascii="Times New Roman" w:hAnsi="Times New Roman"/>
          <w:sz w:val="20"/>
        </w:rPr>
        <w:t xml:space="preserve"> shall be null and void and of no effect; </w:t>
      </w:r>
      <w:r>
        <w:rPr>
          <w:rFonts w:ascii="Times New Roman" w:hAnsi="Times New Roman"/>
          <w:sz w:val="20"/>
          <w:u w:val="single"/>
        </w:rPr>
        <w:t>provided</w:t>
      </w:r>
      <w:r>
        <w:rPr>
          <w:rFonts w:ascii="Times New Roman" w:hAnsi="Times New Roman"/>
          <w:sz w:val="20"/>
        </w:rPr>
        <w:t xml:space="preserve"> that, in connection with a Transfer pursuant to and permitted by </w:t>
      </w:r>
      <w:r>
        <w:rPr>
          <w:rFonts w:ascii="Times New Roman" w:hAnsi="Times New Roman"/>
          <w:sz w:val="20"/>
          <w:u w:val="single"/>
        </w:rPr>
        <w:t>Article III</w:t>
      </w:r>
      <w:r>
        <w:rPr>
          <w:rFonts w:ascii="Times New Roman" w:hAnsi="Times New Roman"/>
          <w:sz w:val="20"/>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Times New Roman" w:hAnsi="Times New Roman"/>
          <w:sz w:val="20"/>
          <w:u w:val="single"/>
        </w:rPr>
        <w:t>Article III</w:t>
      </w:r>
      <w:r>
        <w:rPr>
          <w:rFonts w:ascii="Times New Roman" w:hAnsi="Times New Roman"/>
          <w:sz w:val="20"/>
        </w:rPr>
        <w:t xml:space="preserve">, in each case, without the prior consent of any other party, or (y) to any other Person in compliance with, and to the extent not expressly prohibited by </w:t>
      </w:r>
      <w:r>
        <w:rPr>
          <w:rFonts w:ascii="Times New Roman" w:hAnsi="Times New Roman"/>
          <w:sz w:val="20"/>
          <w:u w:val="single"/>
        </w:rPr>
        <w:t>Article III</w:t>
      </w:r>
      <w:r>
        <w:rPr>
          <w:rFonts w:ascii="Times New Roman" w:hAnsi="Times New Roman"/>
          <w:sz w:val="20"/>
        </w:rPr>
        <w:t xml:space="preserve">,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4.06 </w:t>
      </w:r>
      <w:r>
        <w:rPr>
          <w:rFonts w:ascii="Times New Roman" w:hAnsi="Times New Roman"/>
          <w:b/>
          <w:sz w:val="20"/>
          <w:u w:val="single"/>
        </w:rPr>
        <w:t>Third-Party Beneficiaries</w:t>
      </w:r>
      <w:r>
        <w:rPr>
          <w:rFonts w:ascii="Times New Roman" w:hAnsi="Times New Roman"/>
          <w:sz w:val="20"/>
        </w:rPr>
        <w:t xml:space="preserve">. Nothing in this Agreement, express or implied, is intended to confer upon any Person, other than the parties hereto and their respective permitted successors, assigns, heirs and representatives (including, Permitted Transferees), any rights or remedies under this Agreement or otherwise create any third-party beneficiary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4.07 </w:t>
      </w:r>
      <w:r>
        <w:rPr>
          <w:rFonts w:ascii="Times New Roman" w:hAnsi="Times New Roman"/>
          <w:b/>
          <w:sz w:val="20"/>
          <w:u w:val="single"/>
        </w:rPr>
        <w:t>Governing Law</w:t>
      </w:r>
      <w:r>
        <w:rPr>
          <w:rFonts w:ascii="Times New Roman" w:hAnsi="Times New Roman"/>
          <w:sz w:val="20"/>
        </w:rPr>
        <w:t xml:space="preserve">. THIS AGREEMENT AND ITS ENFORCEMENT AND ANY CONTROVERSY ARISING OUT OF OR 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4.08 </w:t>
      </w:r>
      <w:r>
        <w:rPr>
          <w:rFonts w:ascii="Times New Roman" w:hAnsi="Times New Roman"/>
          <w:b/>
          <w:sz w:val="20"/>
          <w:u w:val="single"/>
        </w:rPr>
        <w:t>Jurisdiction; WAIVER OF JURY TRIAL</w:t>
      </w:r>
      <w:r>
        <w:rPr>
          <w:rFonts w:ascii="Times New Roman" w:hAnsi="Times New Roman"/>
          <w:sz w:val="20"/>
        </w:rPr>
        <w:t xml:space="preserve">. Each party hereto hereby (i) agrees that any action directly or indirectly arising out of, 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4.08</w:t>
      </w:r>
      <w:r>
        <w:rPr>
          <w:rFonts w:ascii="Times New Roman" w:hAnsi="Times New Roman"/>
          <w:sz w:val="20"/>
        </w:rPr>
        <w:t xml:space="preserve">, (A) irrevocably and unconditionally consents and submits to the exclusive jurisdiction of the courts identified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4.08</w:t>
      </w:r>
      <w:r>
        <w:rPr>
          <w:rFonts w:ascii="Times New Roman" w:hAnsi="Times New Roman"/>
          <w:sz w:val="20"/>
        </w:rPr>
        <w:t xml:space="preserve">, (B) irrevocably and unconditionally waives any objection to the laying of venue in any of the courts identified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4.08</w:t>
      </w:r>
      <w:r>
        <w:rPr>
          <w:rFonts w:ascii="Times New Roman" w:hAnsi="Times New Roman"/>
          <w:sz w:val="20"/>
        </w:rPr>
        <w:t xml:space="preserve">, (C) irrevocably and unconditionally waives and agrees not to plead or claim that any of the courts identified in such </w:t>
      </w:r>
      <w:r>
        <w:rPr>
          <w:rFonts w:ascii="Times New Roman" w:hAnsi="Times New Roman"/>
          <w:sz w:val="20"/>
          <w:u w:val="single"/>
        </w:rPr>
        <w:t>clause (i)</w:t>
      </w:r>
      <w:r>
        <w:rPr>
          <w:rFonts w:ascii="Times New Roman" w:hAnsi="Times New Roman"/>
          <w:sz w:val="20"/>
        </w:rPr>
        <w:t xml:space="preserve">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IRREVOCABLY WAIVES, TO THE FULLEST EXTENT PERMITTED BY APPLICABLE LAW, ANY RIGHT IT MAY HAVE TO A TRIAL BY JURY IN RESPECT OF ANY CLAIM OR ACTION DIRECTLY OR INDIRECTLY ARISING OUT OF, UNDER OR IN CONNECTION WITH THIS AGREEMENT OR THE SERVICES CONTEMPLATED 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 </w:t>
      </w:r>
      <w:r>
        <w:rPr>
          <w:rFonts w:ascii="Times New Roman" w:hAnsi="Times New Roman"/>
          <w:b/>
          <w:sz w:val="20"/>
          <w:u w:val="single"/>
        </w:rPr>
        <w:t>Specific Performance</w:t>
      </w:r>
      <w:r>
        <w:rPr>
          <w:rFonts w:ascii="Times New Roman" w:hAnsi="Times New Roman"/>
          <w:sz w:val="20"/>
        </w:rPr>
        <w:t xml:space="preserve">.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4.10 </w:t>
      </w:r>
      <w:r>
        <w:rPr>
          <w:rFonts w:ascii="Times New Roman" w:hAnsi="Times New Roman"/>
          <w:b/>
          <w:sz w:val="20"/>
          <w:u w:val="single"/>
        </w:rPr>
        <w:t>Entire Agreement</w:t>
      </w:r>
      <w:r>
        <w:rPr>
          <w:rFonts w:ascii="Times New Roman" w:hAnsi="Times New Roman"/>
          <w:sz w:val="20"/>
        </w:rPr>
        <w:t xml:space="preserve">.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4.11 </w:t>
      </w:r>
      <w:r>
        <w:rPr>
          <w:rFonts w:ascii="Times New Roman" w:hAnsi="Times New Roman"/>
          <w:b/>
          <w:sz w:val="20"/>
          <w:u w:val="single"/>
        </w:rPr>
        <w:t>Severability</w:t>
      </w:r>
      <w:r>
        <w:rPr>
          <w:rFonts w:ascii="Times New Roman" w:hAnsi="Times New Roman"/>
          <w:sz w:val="20"/>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4.12 </w:t>
      </w:r>
      <w:r>
        <w:rPr>
          <w:rFonts w:ascii="Times New Roman" w:hAnsi="Times New Roman"/>
          <w:b/>
          <w:sz w:val="20"/>
          <w:u w:val="single"/>
        </w:rPr>
        <w:t>Table of Contents, Headings and Captions</w:t>
      </w:r>
      <w:r>
        <w:rPr>
          <w:rFonts w:ascii="Times New Roman" w:hAnsi="Times New Roman"/>
          <w:sz w:val="20"/>
        </w:rPr>
        <w:t xml:space="preserve">. The table of contents, headings, subheadings and captions contained in this Agreement are included for convenience of reference only, and in no way define, limit or describe the scope of this Agreement or the intent of any provision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4.13 </w:t>
      </w:r>
      <w:r>
        <w:rPr>
          <w:rFonts w:ascii="Times New Roman" w:hAnsi="Times New Roman"/>
          <w:b/>
          <w:sz w:val="20"/>
          <w:u w:val="single"/>
        </w:rPr>
        <w:t>Counterparts</w:t>
      </w:r>
      <w:r>
        <w:rPr>
          <w:rFonts w:ascii="Times New Roman" w:hAnsi="Times New Roman"/>
          <w:sz w:val="20"/>
        </w:rPr>
        <w:t xml:space="preserve">. This Agreement and any amendment hereto may be signed in any number of separate counterparts (including by facsimile, pdf or other electronic document transmission), each of which shall be deemed an original, but all of which taken together shall constitute one Agreement (or amendment, as applicable).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4.14 </w:t>
      </w:r>
      <w:r>
        <w:rPr>
          <w:rFonts w:ascii="Times New Roman" w:hAnsi="Times New Roman"/>
          <w:b/>
          <w:sz w:val="20"/>
          <w:u w:val="single"/>
        </w:rPr>
        <w:t>Subsequent Acquisition of Securities</w:t>
      </w:r>
      <w:r>
        <w:rPr>
          <w:rFonts w:ascii="Times New Roman" w:hAnsi="Times New Roman"/>
          <w:sz w:val="20"/>
        </w:rPr>
        <w:t xml:space="preserve">. Each Stockholder agrees that any Equity Securities of Pubco or Bakkt Opco which it shall 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4.15 </w:t>
      </w:r>
      <w:r>
        <w:rPr>
          <w:rFonts w:ascii="Times New Roman" w:hAnsi="Times New Roman"/>
          <w:b/>
          <w:sz w:val="20"/>
          <w:u w:val="single"/>
        </w:rPr>
        <w:t>No Recourse</w:t>
      </w:r>
      <w:r>
        <w:rPr>
          <w:rFonts w:ascii="Times New Roman" w:hAnsi="Times New Roman"/>
          <w:sz w:val="20"/>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the parties to this Agreement or for any claim based on, in respect of, or by reason of, the transactions contemplated hereby. Without limiting the rights of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party against the other parties hereto, in no event shall any party or any of its Affiliates seek to enforce this Agreement against, make any claims for breach of this Agreement against, or seek to recover monetary damages from, any Non-Recourse Party. </w:t>
      </w:r>
    </w:p>
    <w:p>
      <w:pPr>
        <w:pStyle w:val="TextBody"/>
        <w:spacing w:before="240" w:after="0"/>
        <w:jc w:val="center"/>
        <w:rPr>
          <w:rFonts w:ascii="Times New Roman" w:hAnsi="Times New Roman"/>
          <w:sz w:val="20"/>
        </w:rPr>
      </w:pPr>
      <w:r>
        <w:rPr>
          <w:rFonts w:ascii="Times New Roman" w:hAnsi="Times New Roman"/>
          <w:b/>
          <w:i/>
          <w:sz w:val="20"/>
        </w:rPr>
        <w:t>[</w:t>
      </w:r>
      <w:r>
        <w:rPr>
          <w:rFonts w:ascii="Times New Roman" w:hAnsi="Times New Roman"/>
          <w:i/>
          <w:sz w:val="20"/>
        </w:rPr>
        <w:t>Remainder of Page Intentionally Left Blank</w:t>
      </w:r>
      <w:r>
        <w:rPr>
          <w:rFonts w:ascii="Times New Roman" w:hAnsi="Times New Roman"/>
          <w:b/>
          <w:i/>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on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175"/>
        <w:gridCol w:w="111"/>
        <w:gridCol w:w="2796"/>
      </w:tblGrid>
      <w:tr>
        <w:trPr/>
        <w:tc>
          <w:tcPr>
            <w:tcW w:w="117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u w:val="single"/>
              </w:rPr>
              <w:t>PUBCO</w:t>
            </w:r>
            <w:r>
              <w:rPr/>
              <w:t>:</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BAKKT HOLDINGS, INC.</w:t>
            </w:r>
          </w:p>
        </w:tc>
      </w:tr>
      <w:tr>
        <w:trPr>
          <w:trHeight w:val="240" w:hRule="atLeast"/>
        </w:trPr>
        <w:tc>
          <w:tcPr>
            <w:tcW w:w="1175" w:type="dxa"/>
            <w:tcBorders/>
            <w:shd w:fill="auto" w:val="clear"/>
            <w:vAlign w:val="center"/>
          </w:tcPr>
          <w:p>
            <w:pPr>
              <w:pStyle w:val="TableContents"/>
              <w:spacing w:before="0" w:after="283"/>
              <w:rPr>
                <w:sz w:val="4"/>
                <w:szCs w:val="4"/>
              </w:rPr>
            </w:pPr>
            <w:r>
              <w:rPr>
                <w:sz w:val="4"/>
                <w:szCs w:val="4"/>
              </w:rPr>
            </w:r>
          </w:p>
        </w:tc>
        <w:tc>
          <w:tcPr>
            <w:tcW w:w="2907"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tcPr>
          <w:p>
            <w:pPr>
              <w:pStyle w:val="TableContents"/>
              <w:spacing w:before="0" w:after="283"/>
              <w:rPr/>
            </w:pPr>
            <w:r>
              <w:rPr/>
              <w:t>By:</w:t>
            </w:r>
          </w:p>
        </w:tc>
        <w:tc>
          <w:tcPr>
            <w:tcW w:w="111" w:type="dxa"/>
            <w:tcBorders/>
            <w:shd w:fill="auto" w:val="clear"/>
            <w:vAlign w:val="bottom"/>
          </w:tcPr>
          <w:p>
            <w:pPr>
              <w:pStyle w:val="TableContents"/>
              <w:spacing w:before="0" w:after="283"/>
              <w:rPr/>
            </w:pPr>
            <w:r>
              <w:rPr/>
              <w:t> </w:t>
            </w:r>
          </w:p>
        </w:tc>
        <w:tc>
          <w:tcPr>
            <w:tcW w:w="2796" w:type="dxa"/>
            <w:tcBorders/>
            <w:shd w:fill="auto" w:val="clear"/>
          </w:tcPr>
          <w:p>
            <w:pPr>
              <w:pStyle w:val="TableContents"/>
              <w:pBdr>
                <w:bottom w:val="single" w:sz="2" w:space="1" w:color="000000"/>
              </w:pBdr>
              <w:spacing w:before="0" w:after="20"/>
              <w:rPr/>
            </w:pPr>
            <w:r>
              <w:rPr/>
              <w:t> </w:t>
            </w:r>
          </w:p>
        </w:tc>
      </w:tr>
      <w:tr>
        <w:trPr/>
        <w:tc>
          <w:tcPr>
            <w:tcW w:w="1175" w:type="dxa"/>
            <w:tcBorders/>
            <w:shd w:fill="auto" w:val="clear"/>
          </w:tcPr>
          <w:p>
            <w:pPr>
              <w:pStyle w:val="TableContents"/>
              <w:spacing w:before="0" w:after="283"/>
              <w:rPr/>
            </w:pPr>
            <w:r>
              <w:rPr/>
              <w:t>Name:</w:t>
            </w:r>
          </w:p>
        </w:tc>
        <w:tc>
          <w:tcPr>
            <w:tcW w:w="111" w:type="dxa"/>
            <w:tcBorders/>
            <w:shd w:fill="auto" w:val="clear"/>
            <w:vAlign w:val="bottom"/>
          </w:tcPr>
          <w:p>
            <w:pPr>
              <w:pStyle w:val="TableContents"/>
              <w:spacing w:before="0" w:after="283"/>
              <w:rPr/>
            </w:pPr>
            <w:r>
              <w:rPr/>
              <w:t> </w:t>
            </w:r>
          </w:p>
        </w:tc>
        <w:tc>
          <w:tcPr>
            <w:tcW w:w="2796" w:type="dxa"/>
            <w:tcBorders/>
            <w:shd w:fill="auto" w:val="clear"/>
          </w:tcPr>
          <w:p>
            <w:pPr>
              <w:pStyle w:val="TableContents"/>
              <w:spacing w:before="0" w:after="283"/>
              <w:rPr>
                <w:sz w:val="4"/>
                <w:szCs w:val="4"/>
              </w:rPr>
            </w:pPr>
            <w:r>
              <w:rPr>
                <w:sz w:val="4"/>
                <w:szCs w:val="4"/>
              </w:rPr>
            </w:r>
          </w:p>
        </w:tc>
      </w:tr>
      <w:tr>
        <w:trPr/>
        <w:tc>
          <w:tcPr>
            <w:tcW w:w="1175" w:type="dxa"/>
            <w:tcBorders/>
            <w:shd w:fill="auto" w:val="clear"/>
          </w:tcPr>
          <w:p>
            <w:pPr>
              <w:pStyle w:val="TableContents"/>
              <w:spacing w:before="0" w:after="283"/>
              <w:rPr/>
            </w:pPr>
            <w:r>
              <w:rPr/>
              <w:t>Title:</w:t>
            </w:r>
          </w:p>
        </w:tc>
        <w:tc>
          <w:tcPr>
            <w:tcW w:w="111" w:type="dxa"/>
            <w:tcBorders/>
            <w:shd w:fill="auto" w:val="clear"/>
            <w:vAlign w:val="bottom"/>
          </w:tcPr>
          <w:p>
            <w:pPr>
              <w:pStyle w:val="TableContents"/>
              <w:spacing w:before="0" w:after="283"/>
              <w:rPr/>
            </w:pPr>
            <w:r>
              <w:rPr/>
              <w:t> </w:t>
            </w:r>
          </w:p>
        </w:tc>
        <w:tc>
          <w:tcPr>
            <w:tcW w:w="2796"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9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Stockholders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on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984"/>
        <w:gridCol w:w="92"/>
        <w:gridCol w:w="3006"/>
      </w:tblGrid>
      <w:tr>
        <w:trPr/>
        <w:tc>
          <w:tcPr>
            <w:tcW w:w="98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u w:val="single"/>
              </w:rPr>
              <w:t>BAKKT EQUITY HOLDER</w:t>
            </w:r>
            <w:r>
              <w:rPr/>
              <w:t>:</w:t>
            </w:r>
          </w:p>
        </w:tc>
      </w:tr>
      <w:tr>
        <w:trPr>
          <w:trHeight w:val="120" w:hRule="atLeast"/>
        </w:trPr>
        <w:tc>
          <w:tcPr>
            <w:tcW w:w="984" w:type="dxa"/>
            <w:tcBorders/>
            <w:shd w:fill="auto" w:val="clear"/>
            <w:vAlign w:val="center"/>
          </w:tcPr>
          <w:p>
            <w:pPr>
              <w:pStyle w:val="TableContents"/>
              <w:spacing w:before="0" w:after="283"/>
              <w:rPr>
                <w:sz w:val="4"/>
                <w:szCs w:val="4"/>
              </w:rPr>
            </w:pPr>
            <w:r>
              <w:rPr>
                <w:sz w:val="4"/>
                <w:szCs w:val="4"/>
              </w:rPr>
            </w:r>
          </w:p>
        </w:tc>
        <w:tc>
          <w:tcPr>
            <w:tcW w:w="3098" w:type="dxa"/>
            <w:gridSpan w:val="2"/>
            <w:tcBorders/>
            <w:shd w:fill="auto" w:val="clear"/>
            <w:vAlign w:val="cente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rPr/>
            </w:pPr>
            <w:r>
              <w:rPr/>
              <w:t>[●]</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r>
      <w:tr>
        <w:trPr>
          <w:trHeight w:val="240" w:hRule="atLeast"/>
        </w:trPr>
        <w:tc>
          <w:tcPr>
            <w:tcW w:w="984" w:type="dxa"/>
            <w:tcBorders/>
            <w:shd w:fill="auto" w:val="clear"/>
            <w:vAlign w:val="center"/>
          </w:tcPr>
          <w:p>
            <w:pPr>
              <w:pStyle w:val="TableContents"/>
              <w:spacing w:before="0" w:after="283"/>
              <w:rPr>
                <w:sz w:val="4"/>
                <w:szCs w:val="4"/>
              </w:rPr>
            </w:pPr>
            <w:r>
              <w:rPr>
                <w:sz w:val="4"/>
                <w:szCs w:val="4"/>
              </w:rPr>
            </w:r>
          </w:p>
        </w:tc>
        <w:tc>
          <w:tcPr>
            <w:tcW w:w="3098" w:type="dxa"/>
            <w:gridSpan w:val="2"/>
            <w:tcBorders/>
            <w:shd w:fill="auto" w:val="clear"/>
            <w:vAlign w:val="cente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rPr/>
            </w:pPr>
            <w:r>
              <w:rPr/>
              <w:t>By:</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pBdr>
                <w:bottom w:val="single" w:sz="2" w:space="1" w:color="000000"/>
              </w:pBdr>
              <w:spacing w:before="0" w:after="20"/>
              <w:rPr/>
            </w:pPr>
            <w:r>
              <w:rPr/>
              <w:t> </w:t>
            </w:r>
          </w:p>
        </w:tc>
      </w:tr>
      <w:tr>
        <w:trPr/>
        <w:tc>
          <w:tcPr>
            <w:tcW w:w="984" w:type="dxa"/>
            <w:tcBorders/>
            <w:shd w:fill="auto" w:val="clear"/>
          </w:tcPr>
          <w:p>
            <w:pPr>
              <w:pStyle w:val="TableContents"/>
              <w:spacing w:before="0" w:after="283"/>
              <w:rPr/>
            </w:pPr>
            <w:r>
              <w:rPr/>
              <w:t>Name:</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rPr/>
            </w:pPr>
            <w:r>
              <w:rPr/>
              <w:t>Title:</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u w:val="single"/>
              </w:rPr>
              <w:t>Address for Notices</w:t>
            </w:r>
            <w:r>
              <w:rPr>
                <w:rFonts w:ascii="Times New Roman" w:hAnsi="Times New Roman"/>
                <w:sz w:val="20"/>
              </w:rPr>
              <w:t>:</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bl>
    <w:tbl>
      <w:tblPr>
        <w:tblW w:w="2000" w:type="pct"/>
        <w:jc w:val="right"/>
        <w:tblInd w:w="0" w:type="dxa"/>
        <w:tblCellMar>
          <w:top w:w="0" w:type="dxa"/>
          <w:left w:w="0" w:type="dxa"/>
          <w:bottom w:w="0" w:type="dxa"/>
          <w:right w:w="0" w:type="dxa"/>
        </w:tblCellMar>
      </w:tblPr>
      <w:tblGrid>
        <w:gridCol w:w="828"/>
        <w:gridCol w:w="84"/>
        <w:gridCol w:w="3170"/>
      </w:tblGrid>
      <w:tr>
        <w:trPr/>
        <w:tc>
          <w:tcPr>
            <w:tcW w:w="828"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828" w:type="dxa"/>
            <w:tcBorders/>
            <w:shd w:fill="auto" w:val="clear"/>
            <w:vAlign w:val="center"/>
          </w:tcPr>
          <w:p>
            <w:pPr>
              <w:pStyle w:val="TableContents"/>
              <w:spacing w:before="0" w:after="283"/>
              <w:rPr>
                <w:sz w:val="4"/>
                <w:szCs w:val="4"/>
              </w:rPr>
            </w:pPr>
            <w:r>
              <w:rPr>
                <w:sz w:val="4"/>
                <w:szCs w:val="4"/>
              </w:rPr>
            </w:r>
          </w:p>
        </w:tc>
        <w:tc>
          <w:tcPr>
            <w:tcW w:w="3254" w:type="dxa"/>
            <w:gridSpan w:val="2"/>
            <w:tcBorders/>
            <w:shd w:fill="auto" w:val="clear"/>
            <w:vAlign w:val="center"/>
          </w:tcPr>
          <w:p>
            <w:pPr>
              <w:pStyle w:val="TableContents"/>
              <w:spacing w:before="0" w:after="283"/>
              <w:rPr>
                <w:sz w:val="4"/>
                <w:szCs w:val="4"/>
              </w:rPr>
            </w:pPr>
            <w:r>
              <w:rPr>
                <w:sz w:val="4"/>
                <w:szCs w:val="4"/>
              </w:rPr>
            </w:r>
          </w:p>
        </w:tc>
      </w:tr>
      <w:tr>
        <w:trPr/>
        <w:tc>
          <w:tcPr>
            <w:tcW w:w="828" w:type="dxa"/>
            <w:tcBorders/>
            <w:shd w:fill="auto" w:val="clear"/>
          </w:tcPr>
          <w:p>
            <w:pPr>
              <w:pStyle w:val="TableContents"/>
              <w:spacing w:before="0" w:after="0"/>
              <w:rPr>
                <w:rFonts w:ascii="Times New Roman" w:hAnsi="Times New Roman"/>
                <w:sz w:val="20"/>
              </w:rPr>
            </w:pPr>
            <w:r>
              <w:rPr>
                <w:rFonts w:ascii="Times New Roman" w:hAnsi="Times New Roman"/>
                <w:sz w:val="20"/>
              </w:rPr>
              <w:t>Attention:</w:t>
            </w:r>
          </w:p>
        </w:tc>
        <w:tc>
          <w:tcPr>
            <w:tcW w:w="84" w:type="dxa"/>
            <w:tcBorders/>
            <w:shd w:fill="auto" w:val="clear"/>
            <w:vAlign w:val="bottom"/>
          </w:tcPr>
          <w:p>
            <w:pPr>
              <w:pStyle w:val="TableContents"/>
              <w:spacing w:before="0" w:after="283"/>
              <w:rPr/>
            </w:pPr>
            <w:r>
              <w:rPr/>
              <w:t> </w:t>
            </w:r>
          </w:p>
        </w:tc>
        <w:tc>
          <w:tcPr>
            <w:tcW w:w="3170" w:type="dxa"/>
            <w:tcBorders/>
            <w:shd w:fill="auto" w:val="clear"/>
          </w:tcPr>
          <w:p>
            <w:pPr>
              <w:pStyle w:val="TableContents"/>
              <w:pBdr>
                <w:bottom w:val="single" w:sz="2" w:space="1" w:color="000000"/>
              </w:pBdr>
              <w:spacing w:before="0" w:after="20"/>
              <w:rPr/>
            </w:pPr>
            <w:r>
              <w:rPr/>
              <w:t> </w:t>
            </w:r>
          </w:p>
        </w:tc>
      </w:tr>
      <w:tr>
        <w:trPr>
          <w:trHeight w:val="120" w:hRule="atLeast"/>
        </w:trPr>
        <w:tc>
          <w:tcPr>
            <w:tcW w:w="828" w:type="dxa"/>
            <w:tcBorders/>
            <w:shd w:fill="auto" w:val="clear"/>
            <w:vAlign w:val="center"/>
          </w:tcPr>
          <w:p>
            <w:pPr>
              <w:pStyle w:val="TableContents"/>
              <w:spacing w:before="0" w:after="283"/>
              <w:rPr>
                <w:sz w:val="4"/>
                <w:szCs w:val="4"/>
              </w:rPr>
            </w:pPr>
            <w:r>
              <w:rPr>
                <w:sz w:val="4"/>
                <w:szCs w:val="4"/>
              </w:rPr>
            </w:r>
          </w:p>
        </w:tc>
        <w:tc>
          <w:tcPr>
            <w:tcW w:w="3254" w:type="dxa"/>
            <w:gridSpan w:val="2"/>
            <w:tcBorders/>
            <w:shd w:fill="auto" w:val="clear"/>
            <w:vAlign w:val="center"/>
          </w:tcPr>
          <w:p>
            <w:pPr>
              <w:pStyle w:val="TableContents"/>
              <w:spacing w:before="0" w:after="283"/>
              <w:rPr>
                <w:sz w:val="4"/>
                <w:szCs w:val="4"/>
              </w:rPr>
            </w:pPr>
            <w:r>
              <w:rPr>
                <w:sz w:val="4"/>
                <w:szCs w:val="4"/>
              </w:rPr>
            </w:r>
          </w:p>
        </w:tc>
      </w:tr>
      <w:tr>
        <w:trPr/>
        <w:tc>
          <w:tcPr>
            <w:tcW w:w="828" w:type="dxa"/>
            <w:tcBorders/>
            <w:shd w:fill="auto" w:val="clear"/>
          </w:tcPr>
          <w:p>
            <w:pPr>
              <w:pStyle w:val="TableContents"/>
              <w:spacing w:before="0" w:after="0"/>
              <w:rPr>
                <w:rFonts w:ascii="Times New Roman" w:hAnsi="Times New Roman"/>
                <w:sz w:val="20"/>
              </w:rPr>
            </w:pPr>
            <w:r>
              <w:rPr>
                <w:rFonts w:ascii="Times New Roman" w:hAnsi="Times New Roman"/>
                <w:sz w:val="20"/>
              </w:rPr>
              <w:t>Facsimile:</w:t>
            </w:r>
          </w:p>
        </w:tc>
        <w:tc>
          <w:tcPr>
            <w:tcW w:w="84" w:type="dxa"/>
            <w:tcBorders/>
            <w:shd w:fill="auto" w:val="clear"/>
            <w:vAlign w:val="bottom"/>
          </w:tcPr>
          <w:p>
            <w:pPr>
              <w:pStyle w:val="TableContents"/>
              <w:spacing w:before="0" w:after="283"/>
              <w:rPr/>
            </w:pPr>
            <w:r>
              <w:rPr/>
              <w:t> </w:t>
            </w:r>
          </w:p>
        </w:tc>
        <w:tc>
          <w:tcPr>
            <w:tcW w:w="3170" w:type="dxa"/>
            <w:tcBorders/>
            <w:shd w:fill="auto" w:val="clear"/>
          </w:tcPr>
          <w:p>
            <w:pPr>
              <w:pStyle w:val="TableContents"/>
              <w:pBdr>
                <w:bottom w:val="single" w:sz="2" w:space="1" w:color="000000"/>
              </w:pBdr>
              <w:spacing w:before="0" w:after="20"/>
              <w:rPr/>
            </w:pPr>
            <w:r>
              <w:rPr/>
              <w:t> </w:t>
            </w:r>
          </w:p>
        </w:tc>
      </w:tr>
      <w:tr>
        <w:trPr>
          <w:trHeight w:val="120" w:hRule="atLeast"/>
        </w:trPr>
        <w:tc>
          <w:tcPr>
            <w:tcW w:w="828" w:type="dxa"/>
            <w:tcBorders/>
            <w:shd w:fill="auto" w:val="clear"/>
            <w:vAlign w:val="center"/>
          </w:tcPr>
          <w:p>
            <w:pPr>
              <w:pStyle w:val="TableContents"/>
              <w:spacing w:before="0" w:after="283"/>
              <w:rPr>
                <w:sz w:val="4"/>
                <w:szCs w:val="4"/>
              </w:rPr>
            </w:pPr>
            <w:r>
              <w:rPr>
                <w:sz w:val="4"/>
                <w:szCs w:val="4"/>
              </w:rPr>
            </w:r>
          </w:p>
        </w:tc>
        <w:tc>
          <w:tcPr>
            <w:tcW w:w="3254" w:type="dxa"/>
            <w:gridSpan w:val="2"/>
            <w:tcBorders/>
            <w:shd w:fill="auto" w:val="clear"/>
            <w:vAlign w:val="center"/>
          </w:tcPr>
          <w:p>
            <w:pPr>
              <w:pStyle w:val="TableContents"/>
              <w:spacing w:before="0" w:after="283"/>
              <w:rPr>
                <w:sz w:val="4"/>
                <w:szCs w:val="4"/>
              </w:rPr>
            </w:pPr>
            <w:r>
              <w:rPr>
                <w:sz w:val="4"/>
                <w:szCs w:val="4"/>
              </w:rPr>
            </w:r>
          </w:p>
        </w:tc>
      </w:tr>
      <w:tr>
        <w:trPr/>
        <w:tc>
          <w:tcPr>
            <w:tcW w:w="828" w:type="dxa"/>
            <w:tcBorders/>
            <w:shd w:fill="auto" w:val="clear"/>
          </w:tcPr>
          <w:p>
            <w:pPr>
              <w:pStyle w:val="TableContents"/>
              <w:spacing w:before="0" w:after="0"/>
              <w:rPr>
                <w:rFonts w:ascii="Times New Roman" w:hAnsi="Times New Roman"/>
                <w:sz w:val="20"/>
              </w:rPr>
            </w:pPr>
            <w:r>
              <w:rPr>
                <w:rFonts w:ascii="Times New Roman" w:hAnsi="Times New Roman"/>
                <w:sz w:val="20"/>
              </w:rPr>
              <w:t>E-mail:</w:t>
            </w:r>
          </w:p>
        </w:tc>
        <w:tc>
          <w:tcPr>
            <w:tcW w:w="84" w:type="dxa"/>
            <w:tcBorders/>
            <w:shd w:fill="auto" w:val="clear"/>
            <w:vAlign w:val="bottom"/>
          </w:tcPr>
          <w:p>
            <w:pPr>
              <w:pStyle w:val="TableContents"/>
              <w:spacing w:before="0" w:after="283"/>
              <w:rPr/>
            </w:pPr>
            <w:r>
              <w:rPr/>
              <w:t> </w:t>
            </w:r>
          </w:p>
        </w:tc>
        <w:tc>
          <w:tcPr>
            <w:tcW w:w="3170" w:type="dxa"/>
            <w:tcBorders/>
            <w:shd w:fill="auto" w:val="clear"/>
          </w:tcPr>
          <w:p>
            <w:pPr>
              <w:pStyle w:val="TableContents"/>
              <w:pBdr>
                <w:bottom w:val="single" w:sz="2" w:space="1" w:color="000000"/>
              </w:pBdr>
              <w:spacing w:before="0" w:after="20"/>
              <w:rPr/>
            </w:pPr>
            <w:r>
              <w:rPr/>
              <w:t> </w:t>
            </w:r>
          </w:p>
        </w:tc>
      </w:tr>
    </w:tbl>
    <w:p>
      <w:pPr>
        <w:pStyle w:val="TextBody"/>
        <w:spacing w:before="6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Stockholders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on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2"/>
        <w:gridCol w:w="60"/>
        <w:gridCol w:w="3360"/>
      </w:tblGrid>
      <w:tr>
        <w:trPr/>
        <w:tc>
          <w:tcPr>
            <w:tcW w:w="6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6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u w:val="single"/>
              </w:rPr>
              <w:t>SPONSOR</w:t>
            </w:r>
            <w:r>
              <w:rPr/>
              <w:t>:</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VPC IMPACT ACQUISITION HOLDINGS</w:t>
            </w:r>
          </w:p>
        </w:tc>
      </w:tr>
      <w:tr>
        <w:trPr/>
        <w:tc>
          <w:tcPr>
            <w:tcW w:w="4082" w:type="dxa"/>
            <w:gridSpan w:val="3"/>
            <w:tcBorders/>
            <w:shd w:fill="auto" w:val="clear"/>
          </w:tcPr>
          <w:p>
            <w:pPr>
              <w:pStyle w:val="TableContents"/>
              <w:spacing w:before="0" w:after="283"/>
              <w:rPr/>
            </w:pPr>
            <w:r>
              <w:rPr/>
              <w:t>SPONSOR, LLC</w:t>
            </w:r>
          </w:p>
        </w:tc>
      </w:tr>
      <w:tr>
        <w:trPr>
          <w:trHeight w:val="240" w:hRule="atLeast"/>
        </w:trPr>
        <w:tc>
          <w:tcPr>
            <w:tcW w:w="662" w:type="dxa"/>
            <w:tcBorders/>
            <w:shd w:fill="auto" w:val="clear"/>
            <w:vAlign w:val="center"/>
          </w:tcPr>
          <w:p>
            <w:pPr>
              <w:pStyle w:val="TableContents"/>
              <w:spacing w:before="0" w:after="283"/>
              <w:rPr>
                <w:sz w:val="4"/>
                <w:szCs w:val="4"/>
              </w:rPr>
            </w:pPr>
            <w:r>
              <w:rPr>
                <w:sz w:val="4"/>
                <w:szCs w:val="4"/>
              </w:rPr>
            </w:r>
          </w:p>
        </w:tc>
        <w:tc>
          <w:tcPr>
            <w:tcW w:w="3420" w:type="dxa"/>
            <w:gridSpan w:val="2"/>
            <w:tcBorders/>
            <w:shd w:fill="auto" w:val="clear"/>
            <w:vAlign w:val="center"/>
          </w:tcPr>
          <w:p>
            <w:pPr>
              <w:pStyle w:val="TableContents"/>
              <w:spacing w:before="0" w:after="283"/>
              <w:rPr>
                <w:sz w:val="4"/>
                <w:szCs w:val="4"/>
              </w:rPr>
            </w:pPr>
            <w:r>
              <w:rPr>
                <w:sz w:val="4"/>
                <w:szCs w:val="4"/>
              </w:rPr>
            </w:r>
          </w:p>
        </w:tc>
      </w:tr>
      <w:tr>
        <w:trPr/>
        <w:tc>
          <w:tcPr>
            <w:tcW w:w="66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Victory Park Management, LLC</w:t>
            </w:r>
          </w:p>
        </w:tc>
      </w:tr>
      <w:tr>
        <w:trPr/>
        <w:tc>
          <w:tcPr>
            <w:tcW w:w="662"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Manager</w:t>
            </w:r>
          </w:p>
        </w:tc>
      </w:tr>
      <w:tr>
        <w:trPr>
          <w:trHeight w:val="240" w:hRule="atLeast"/>
        </w:trPr>
        <w:tc>
          <w:tcPr>
            <w:tcW w:w="662" w:type="dxa"/>
            <w:tcBorders/>
            <w:shd w:fill="auto" w:val="clear"/>
            <w:vAlign w:val="center"/>
          </w:tcPr>
          <w:p>
            <w:pPr>
              <w:pStyle w:val="TableContents"/>
              <w:spacing w:before="0" w:after="283"/>
              <w:rPr>
                <w:sz w:val="4"/>
                <w:szCs w:val="4"/>
              </w:rPr>
            </w:pPr>
            <w:r>
              <w:rPr>
                <w:sz w:val="4"/>
                <w:szCs w:val="4"/>
              </w:rPr>
            </w:r>
          </w:p>
        </w:tc>
        <w:tc>
          <w:tcPr>
            <w:tcW w:w="3420" w:type="dxa"/>
            <w:gridSpan w:val="2"/>
            <w:tcBorders/>
            <w:shd w:fill="auto" w:val="clear"/>
            <w:vAlign w:val="center"/>
          </w:tcPr>
          <w:p>
            <w:pPr>
              <w:pStyle w:val="TableContents"/>
              <w:spacing w:before="0" w:after="283"/>
              <w:rPr>
                <w:sz w:val="4"/>
                <w:szCs w:val="4"/>
              </w:rPr>
            </w:pPr>
            <w:r>
              <w:rPr>
                <w:sz w:val="4"/>
                <w:szCs w:val="4"/>
              </w:rPr>
            </w:r>
          </w:p>
        </w:tc>
      </w:tr>
      <w:tr>
        <w:trPr/>
        <w:tc>
          <w:tcPr>
            <w:tcW w:w="66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pBdr>
                <w:bottom w:val="single" w:sz="2" w:space="1" w:color="000000"/>
              </w:pBdr>
              <w:spacing w:before="0" w:after="20"/>
              <w:rPr/>
            </w:pPr>
            <w:r>
              <w:rPr/>
              <w:t> </w:t>
            </w:r>
          </w:p>
        </w:tc>
      </w:tr>
      <w:tr>
        <w:trPr/>
        <w:tc>
          <w:tcPr>
            <w:tcW w:w="662"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  </w:t>
            </w:r>
            <w:r>
              <w:rPr/>
              <w:t>Scott Zemnick</w:t>
            </w:r>
          </w:p>
        </w:tc>
      </w:tr>
      <w:tr>
        <w:trPr/>
        <w:tc>
          <w:tcPr>
            <w:tcW w:w="662"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  </w:t>
            </w:r>
            <w:r>
              <w:rPr/>
              <w:t>Authorized Signatory</w:t>
            </w:r>
          </w:p>
        </w:tc>
      </w:tr>
    </w:tbl>
    <w:p>
      <w:pPr>
        <w:pStyle w:val="TextBody"/>
        <w:spacing w:before="7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Stockholders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u w:val="single"/>
        </w:rPr>
        <w:t>SCHEDULE 1</w:t>
      </w:r>
      <w:r>
        <w:rPr>
          <w:rFonts w:ascii="Times New Roman" w:hAnsi="Times New Roman"/>
          <w:b/>
          <w:sz w:val="20"/>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BAKKT EQUITY HOLDERS </w:t>
      </w:r>
    </w:p>
    <w:p>
      <w:pPr>
        <w:pStyle w:val="TextBody"/>
        <w:spacing w:before="240" w:after="0"/>
        <w:jc w:val="left"/>
        <w:rPr>
          <w:rFonts w:ascii="Times New Roman" w:hAnsi="Times New Roman"/>
          <w:b/>
          <w:sz w:val="20"/>
        </w:rPr>
      </w:pPr>
      <w:r>
        <w:rPr>
          <w:rFonts w:ascii="Times New Roman" w:hAnsi="Times New Roman"/>
          <w:b/>
          <w:sz w:val="20"/>
        </w:rPr>
        <w:t xml:space="preserve">[TO BE INCLUDED]1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1 </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All members of Bakkt Holdings, LLC that will receive shares in Pubco to be listed.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FORM OF JOINDER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JOINDER </w:t>
      </w:r>
    </w:p>
    <w:p>
      <w:pPr>
        <w:pStyle w:val="TextBody"/>
        <w:spacing w:before="240" w:after="0"/>
        <w:jc w:val="left"/>
        <w:rPr>
          <w:rFonts w:ascii="Times New Roman" w:hAnsi="Times New Roman"/>
          <w:sz w:val="20"/>
        </w:rPr>
      </w:pPr>
      <w:r>
        <w:rPr>
          <w:rFonts w:ascii="Times New Roman" w:hAnsi="Times New Roman"/>
          <w:sz w:val="20"/>
        </w:rPr>
        <w:t>This Joinder (this </w:t>
      </w:r>
      <w:r>
        <w:rPr>
          <w:rFonts w:ascii="Times New Roman" w:hAnsi="Times New Roman"/>
          <w:sz w:val="20"/>
          <w:u w:val="single"/>
        </w:rPr>
        <w:t>Joinder</w:t>
      </w:r>
      <w:r>
        <w:rPr>
          <w:rFonts w:ascii="Times New Roman" w:hAnsi="Times New Roman"/>
          <w:sz w:val="20"/>
        </w:rPr>
        <w:t>) to the Stockholders Agreement is made and entered into as of             , is between                  (</w:t>
      </w:r>
      <w:r>
        <w:rPr>
          <w:rFonts w:ascii="Times New Roman" w:hAnsi="Times New Roman"/>
          <w:sz w:val="20"/>
          <w:u w:val="single"/>
        </w:rPr>
        <w:t>Transferor</w:t>
      </w:r>
      <w:r>
        <w:rPr>
          <w:rFonts w:ascii="Times New Roman" w:hAnsi="Times New Roman"/>
          <w:sz w:val="20"/>
        </w:rPr>
        <w:t>) and                  (</w:t>
      </w:r>
      <w:r>
        <w:rPr>
          <w:rFonts w:ascii="Times New Roman" w:hAnsi="Times New Roman"/>
          <w:sz w:val="20"/>
          <w:u w:val="single"/>
        </w:rPr>
        <w:t>Transferee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as of the date hereof, Transferee is acquiring              </w:t>
      </w:r>
      <w:r>
        <w:rPr>
          <w:rFonts w:ascii="Times New Roman" w:hAnsi="Times New Roman"/>
          <w:b/>
          <w:sz w:val="20"/>
        </w:rPr>
        <w:t>[shares of Class</w:t>
      </w:r>
      <w:r>
        <w:rPr>
          <w:rFonts w:ascii="Times New Roman" w:hAnsi="Times New Roman"/>
          <w:sz w:val="20"/>
        </w:rPr>
        <w:t> </w:t>
      </w:r>
      <w:r>
        <w:rPr>
          <w:rFonts w:ascii="Times New Roman" w:hAnsi="Times New Roman"/>
          <w:b/>
          <w:sz w:val="20"/>
        </w:rPr>
        <w:t>A Common Stock/shares of Class</w:t>
      </w:r>
      <w:r>
        <w:rPr>
          <w:rFonts w:ascii="Times New Roman" w:hAnsi="Times New Roman"/>
          <w:sz w:val="20"/>
        </w:rPr>
        <w:t> </w:t>
      </w:r>
      <w:r>
        <w:rPr>
          <w:rFonts w:ascii="Times New Roman" w:hAnsi="Times New Roman"/>
          <w:b/>
          <w:sz w:val="20"/>
        </w:rPr>
        <w:t>V Common Stock/Bakkt Opco Common Units]</w:t>
      </w:r>
      <w:r>
        <w:rPr>
          <w:rFonts w:ascii="Times New Roman" w:hAnsi="Times New Roman"/>
          <w:sz w:val="20"/>
        </w:rPr>
        <w:t xml:space="preserve"> (the </w:t>
      </w:r>
      <w:r>
        <w:rPr>
          <w:rFonts w:ascii="Times New Roman" w:hAnsi="Times New Roman"/>
          <w:sz w:val="20"/>
          <w:u w:val="single"/>
        </w:rPr>
        <w:t>Acquired Interests</w:t>
      </w:r>
      <w:r>
        <w:rPr>
          <w:rFonts w:ascii="Times New Roman" w:hAnsi="Times New Roman"/>
          <w:sz w:val="20"/>
        </w:rPr>
        <w:t xml:space="preserve">) from Transferor; </w:t>
      </w:r>
    </w:p>
    <w:p>
      <w:pPr>
        <w:pStyle w:val="TextBody"/>
        <w:spacing w:before="240" w:after="0"/>
        <w:jc w:val="left"/>
        <w:rPr>
          <w:rFonts w:ascii="Times New Roman" w:hAnsi="Times New Roman"/>
          <w:sz w:val="20"/>
        </w:rPr>
      </w:pPr>
      <w:r>
        <w:rPr>
          <w:rFonts w:ascii="Times New Roman" w:hAnsi="Times New Roman"/>
          <w:sz w:val="20"/>
        </w:rPr>
        <w:t>WHEREAS, Transferor is a party to that certain Stockholders Agreement, dated as of [●], among Bakkt Holdings, Inc. and the other persons party thereto (the </w:t>
      </w:r>
      <w:r>
        <w:rPr>
          <w:rFonts w:ascii="Times New Roman" w:hAnsi="Times New Roman"/>
          <w:sz w:val="20"/>
          <w:u w:val="single"/>
        </w:rPr>
        <w:t>Stockholders Agreement</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covenants and agreements set forth herein, and intending to be legally bound hereby, the parties hereto agree as follows: </w:t>
      </w:r>
    </w:p>
    <w:p>
      <w:pPr>
        <w:pStyle w:val="TextBody"/>
        <w:spacing w:before="12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To the extent capitalized words used in this Joinder are not defined in this Joinder, such words shall have the respective meanings set forth in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Acquisition</w:t>
      </w:r>
      <w:r>
        <w:rPr>
          <w:rFonts w:ascii="Times New Roman" w:hAnsi="Times New Roman"/>
          <w:sz w:val="20"/>
        </w:rPr>
        <w:t xml:space="preserve">. The Transferor hereby Transfers to the Transferee all of the Acquired Interests.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Joinder</w:t>
      </w:r>
      <w:r>
        <w:rPr>
          <w:rFonts w:ascii="Times New Roman" w:hAnsi="Times New Roman"/>
          <w:sz w:val="20"/>
        </w:rPr>
        <w:t xml:space="preserve">. Transferee hereby acknowledges and agrees that (a) such Transferee has received and read the Stockholders Agreement, (b) such Transferee is acquiring the Acquired Interests in accordance with and subject to the terms and conditions of the Stockholders Agreement and (c) such Transferee will be treated as a party to the Stockholders Agreement (with the same rights and obligations as the Transferor) for all purposes of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w:t>
      </w:r>
      <w:r>
        <w:rPr>
          <w:rFonts w:ascii="Times New Roman" w:hAnsi="Times New Roman"/>
          <w:sz w:val="20"/>
        </w:rPr>
        <w:t xml:space="preserve">. Any notice, demand or other communication under the Stockholders Agreement to Transferee shall be given to Transferee at the address set forth on the signature page hereto in accordance with </w:t>
      </w:r>
      <w:r>
        <w:rPr>
          <w:rFonts w:ascii="Times New Roman" w:hAnsi="Times New Roman"/>
          <w:sz w:val="20"/>
          <w:u w:val="single"/>
        </w:rPr>
        <w:t>Section 4.02</w:t>
      </w:r>
      <w:r>
        <w:rPr>
          <w:rFonts w:ascii="Times New Roman" w:hAnsi="Times New Roman"/>
          <w:sz w:val="20"/>
        </w:rPr>
        <w:t xml:space="preserve"> of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Joinder shall be governed by and construed in accordance with the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Counterparts; Electronic Delivery</w:t>
      </w:r>
      <w:r>
        <w:rPr>
          <w:rFonts w:ascii="Times New Roman" w:hAnsi="Times New Roman"/>
          <w:sz w:val="20"/>
        </w:rPr>
        <w:t xml:space="preserve">.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this Joinder has been duly executed and delivered by the parties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194"/>
        <w:gridCol w:w="132"/>
        <w:gridCol w:w="2756"/>
      </w:tblGrid>
      <w:tr>
        <w:trPr/>
        <w:tc>
          <w:tcPr>
            <w:tcW w:w="119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b/>
                <w:sz w:val="20"/>
                <w:u w:val="single"/>
              </w:rPr>
              <w:t>TRANSFEROR</w:t>
            </w:r>
            <w:r>
              <w:rPr>
                <w:rFonts w:ascii="Times New Roman" w:hAnsi="Times New Roman"/>
                <w:sz w:val="20"/>
                <w:u w:val="single"/>
              </w:rPr>
              <w:t>:</w:t>
            </w:r>
          </w:p>
        </w:tc>
      </w:tr>
      <w:tr>
        <w:trPr>
          <w:trHeight w:val="240" w:hRule="atLeast"/>
        </w:trPr>
        <w:tc>
          <w:tcPr>
            <w:tcW w:w="1194" w:type="dxa"/>
            <w:tcBorders/>
            <w:shd w:fill="auto" w:val="clear"/>
            <w:vAlign w:val="center"/>
          </w:tcPr>
          <w:p>
            <w:pPr>
              <w:pStyle w:val="TableContents"/>
              <w:spacing w:before="0" w:after="283"/>
              <w:rPr>
                <w:sz w:val="4"/>
                <w:szCs w:val="4"/>
              </w:rPr>
            </w:pPr>
            <w:r>
              <w:rPr>
                <w:sz w:val="4"/>
                <w:szCs w:val="4"/>
              </w:rPr>
            </w:r>
          </w:p>
        </w:tc>
        <w:tc>
          <w:tcPr>
            <w:tcW w:w="2888" w:type="dxa"/>
            <w:gridSpan w:val="2"/>
            <w:tcBorders/>
            <w:shd w:fill="auto" w:val="clear"/>
            <w:vAlign w:val="center"/>
          </w:tcPr>
          <w:p>
            <w:pPr>
              <w:pStyle w:val="TableContents"/>
              <w:spacing w:before="0" w:after="283"/>
              <w:rPr>
                <w:sz w:val="4"/>
                <w:szCs w:val="4"/>
              </w:rPr>
            </w:pPr>
            <w:r>
              <w:rPr>
                <w:sz w:val="4"/>
                <w:szCs w:val="4"/>
              </w:rPr>
            </w:r>
          </w:p>
        </w:tc>
      </w:tr>
      <w:tr>
        <w:trPr/>
        <w:tc>
          <w:tcPr>
            <w:tcW w:w="1194" w:type="dxa"/>
            <w:tcBorders/>
            <w:shd w:fill="auto" w:val="clear"/>
          </w:tcPr>
          <w:p>
            <w:pPr>
              <w:pStyle w:val="TableContents"/>
              <w:spacing w:before="0" w:after="0"/>
              <w:rPr>
                <w:rFonts w:ascii="Times New Roman" w:hAnsi="Times New Roman"/>
                <w:sz w:val="20"/>
              </w:rPr>
            </w:pPr>
            <w:r>
              <w:rPr>
                <w:rFonts w:ascii="Times New Roman" w:hAnsi="Times New Roman"/>
                <w:sz w:val="20"/>
              </w:rPr>
              <w:t>Print</w:t>
            </w:r>
          </w:p>
        </w:tc>
        <w:tc>
          <w:tcPr>
            <w:tcW w:w="132" w:type="dxa"/>
            <w:tcBorders/>
            <w:shd w:fill="auto" w:val="clear"/>
            <w:vAlign w:val="bottom"/>
          </w:tcPr>
          <w:p>
            <w:pPr>
              <w:pStyle w:val="TableContents"/>
              <w:spacing w:before="0" w:after="283"/>
              <w:rPr/>
            </w:pPr>
            <w:r>
              <w:rPr/>
              <w:t> </w:t>
            </w:r>
          </w:p>
        </w:tc>
        <w:tc>
          <w:tcPr>
            <w:tcW w:w="2756" w:type="dxa"/>
            <w:tcBorders/>
            <w:shd w:fill="auto" w:val="clear"/>
          </w:tcPr>
          <w:p>
            <w:pPr>
              <w:pStyle w:val="TableContents"/>
              <w:spacing w:before="0" w:after="283"/>
              <w:rPr>
                <w:sz w:val="4"/>
                <w:szCs w:val="4"/>
              </w:rPr>
            </w:pPr>
            <w:r>
              <w:rPr>
                <w:sz w:val="4"/>
                <w:szCs w:val="4"/>
              </w:rPr>
            </w:r>
          </w:p>
        </w:tc>
      </w:tr>
      <w:tr>
        <w:trPr/>
        <w:tc>
          <w:tcPr>
            <w:tcW w:w="1194"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132" w:type="dxa"/>
            <w:tcBorders/>
            <w:shd w:fill="auto" w:val="clear"/>
            <w:vAlign w:val="bottom"/>
          </w:tcPr>
          <w:p>
            <w:pPr>
              <w:pStyle w:val="TableContents"/>
              <w:spacing w:before="0" w:after="283"/>
              <w:rPr/>
            </w:pPr>
            <w:r>
              <w:rPr/>
              <w:t> </w:t>
            </w:r>
          </w:p>
        </w:tc>
        <w:tc>
          <w:tcPr>
            <w:tcW w:w="2756" w:type="dxa"/>
            <w:tcBorders/>
            <w:shd w:fill="auto" w:val="clear"/>
          </w:tcPr>
          <w:p>
            <w:pPr>
              <w:pStyle w:val="TableContents"/>
              <w:pBdr>
                <w:bottom w:val="single" w:sz="2" w:space="1" w:color="000000"/>
              </w:pBdr>
              <w:spacing w:before="0" w:after="20"/>
              <w:rPr/>
            </w:pPr>
            <w:r>
              <w:rPr/>
              <w:t> </w:t>
            </w:r>
          </w:p>
        </w:tc>
      </w:tr>
      <w:tr>
        <w:trPr>
          <w:trHeight w:val="240" w:hRule="atLeast"/>
        </w:trPr>
        <w:tc>
          <w:tcPr>
            <w:tcW w:w="1194" w:type="dxa"/>
            <w:tcBorders/>
            <w:shd w:fill="auto" w:val="clear"/>
            <w:vAlign w:val="center"/>
          </w:tcPr>
          <w:p>
            <w:pPr>
              <w:pStyle w:val="TableContents"/>
              <w:spacing w:before="0" w:after="283"/>
              <w:rPr>
                <w:sz w:val="4"/>
                <w:szCs w:val="4"/>
              </w:rPr>
            </w:pPr>
            <w:r>
              <w:rPr>
                <w:sz w:val="4"/>
                <w:szCs w:val="4"/>
              </w:rPr>
            </w:r>
          </w:p>
        </w:tc>
        <w:tc>
          <w:tcPr>
            <w:tcW w:w="2888" w:type="dxa"/>
            <w:gridSpan w:val="2"/>
            <w:tcBorders/>
            <w:shd w:fill="auto" w:val="clear"/>
            <w:vAlign w:val="center"/>
          </w:tcPr>
          <w:p>
            <w:pPr>
              <w:pStyle w:val="TableContents"/>
              <w:spacing w:before="0" w:after="283"/>
              <w:rPr>
                <w:sz w:val="4"/>
                <w:szCs w:val="4"/>
              </w:rPr>
            </w:pPr>
            <w:r>
              <w:rPr>
                <w:sz w:val="4"/>
                <w:szCs w:val="4"/>
              </w:rPr>
            </w:r>
          </w:p>
        </w:tc>
      </w:tr>
      <w:tr>
        <w:trPr/>
        <w:tc>
          <w:tcPr>
            <w:tcW w:w="1194"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132" w:type="dxa"/>
            <w:tcBorders/>
            <w:shd w:fill="auto" w:val="clear"/>
            <w:vAlign w:val="bottom"/>
          </w:tcPr>
          <w:p>
            <w:pPr>
              <w:pStyle w:val="TableContents"/>
              <w:spacing w:before="0" w:after="283"/>
              <w:rPr/>
            </w:pPr>
            <w:r>
              <w:rPr/>
              <w:t> </w:t>
            </w:r>
          </w:p>
        </w:tc>
        <w:tc>
          <w:tcPr>
            <w:tcW w:w="2756" w:type="dxa"/>
            <w:tcBorders/>
            <w:shd w:fill="auto" w:val="clear"/>
          </w:tcPr>
          <w:p>
            <w:pPr>
              <w:pStyle w:val="TableContents"/>
              <w:pBdr>
                <w:bottom w:val="single" w:sz="2" w:space="1" w:color="000000"/>
              </w:pBdr>
              <w:spacing w:before="0" w:after="20"/>
              <w:rPr/>
            </w:pPr>
            <w:r>
              <w:rPr/>
              <w:t> </w:t>
            </w:r>
          </w:p>
        </w:tc>
      </w:tr>
      <w:tr>
        <w:trPr>
          <w:trHeight w:val="120" w:hRule="atLeast"/>
        </w:trPr>
        <w:tc>
          <w:tcPr>
            <w:tcW w:w="1194" w:type="dxa"/>
            <w:tcBorders/>
            <w:shd w:fill="auto" w:val="clear"/>
            <w:vAlign w:val="center"/>
          </w:tcPr>
          <w:p>
            <w:pPr>
              <w:pStyle w:val="TableContents"/>
              <w:spacing w:before="0" w:after="283"/>
              <w:rPr>
                <w:sz w:val="4"/>
                <w:szCs w:val="4"/>
              </w:rPr>
            </w:pPr>
            <w:r>
              <w:rPr>
                <w:sz w:val="4"/>
                <w:szCs w:val="4"/>
              </w:rPr>
            </w:r>
          </w:p>
        </w:tc>
        <w:tc>
          <w:tcPr>
            <w:tcW w:w="2888" w:type="dxa"/>
            <w:gridSpan w:val="2"/>
            <w:tcBorders/>
            <w:shd w:fill="auto" w:val="clear"/>
            <w:vAlign w:val="center"/>
          </w:tcPr>
          <w:p>
            <w:pPr>
              <w:pStyle w:val="TableContents"/>
              <w:spacing w:before="0" w:after="283"/>
              <w:rPr>
                <w:sz w:val="4"/>
                <w:szCs w:val="4"/>
              </w:rPr>
            </w:pPr>
            <w:r>
              <w:rPr>
                <w:sz w:val="4"/>
                <w:szCs w:val="4"/>
              </w:rPr>
            </w:r>
          </w:p>
        </w:tc>
      </w:tr>
      <w:tr>
        <w:trPr/>
        <w:tc>
          <w:tcPr>
            <w:tcW w:w="1194"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132" w:type="dxa"/>
            <w:tcBorders/>
            <w:shd w:fill="auto" w:val="clear"/>
            <w:vAlign w:val="bottom"/>
          </w:tcPr>
          <w:p>
            <w:pPr>
              <w:pStyle w:val="TableContents"/>
              <w:spacing w:before="0" w:after="283"/>
              <w:rPr/>
            </w:pPr>
            <w:r>
              <w:rPr/>
              <w:t> </w:t>
            </w:r>
          </w:p>
        </w:tc>
        <w:tc>
          <w:tcPr>
            <w:tcW w:w="2756" w:type="dxa"/>
            <w:tcBorders/>
            <w:shd w:fill="auto" w:val="clear"/>
          </w:tcPr>
          <w:p>
            <w:pPr>
              <w:pStyle w:val="TableContents"/>
              <w:pBdr>
                <w:bottom w:val="single" w:sz="2" w:space="1" w:color="000000"/>
              </w:pBdr>
              <w:spacing w:before="0" w:after="20"/>
              <w:rPr/>
            </w:pPr>
            <w:r>
              <w:rPr/>
              <w:t> </w:t>
            </w:r>
          </w:p>
        </w:tc>
      </w:tr>
      <w:tr>
        <w:trPr>
          <w:trHeight w:val="120" w:hRule="atLeast"/>
        </w:trPr>
        <w:tc>
          <w:tcPr>
            <w:tcW w:w="1194" w:type="dxa"/>
            <w:tcBorders/>
            <w:shd w:fill="auto" w:val="clear"/>
            <w:vAlign w:val="center"/>
          </w:tcPr>
          <w:p>
            <w:pPr>
              <w:pStyle w:val="TableContents"/>
              <w:spacing w:before="0" w:after="283"/>
              <w:rPr>
                <w:sz w:val="4"/>
                <w:szCs w:val="4"/>
              </w:rPr>
            </w:pPr>
            <w:r>
              <w:rPr>
                <w:sz w:val="4"/>
                <w:szCs w:val="4"/>
              </w:rPr>
            </w:r>
          </w:p>
        </w:tc>
        <w:tc>
          <w:tcPr>
            <w:tcW w:w="2888" w:type="dxa"/>
            <w:gridSpan w:val="2"/>
            <w:tcBorders/>
            <w:shd w:fill="auto" w:val="clear"/>
            <w:vAlign w:val="center"/>
          </w:tcPr>
          <w:p>
            <w:pPr>
              <w:pStyle w:val="TableContents"/>
              <w:spacing w:before="0" w:after="283"/>
              <w:rPr>
                <w:sz w:val="4"/>
                <w:szCs w:val="4"/>
              </w:rPr>
            </w:pPr>
            <w:r>
              <w:rPr>
                <w:sz w:val="4"/>
                <w:szCs w:val="4"/>
              </w:rPr>
            </w:r>
          </w:p>
        </w:tc>
      </w:tr>
      <w:tr>
        <w:trPr/>
        <w:tc>
          <w:tcPr>
            <w:tcW w:w="1194"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c>
          <w:tcPr>
            <w:tcW w:w="132" w:type="dxa"/>
            <w:tcBorders/>
            <w:shd w:fill="auto" w:val="clear"/>
            <w:vAlign w:val="bottom"/>
          </w:tcPr>
          <w:p>
            <w:pPr>
              <w:pStyle w:val="TableContents"/>
              <w:spacing w:before="0" w:after="283"/>
              <w:rPr/>
            </w:pPr>
            <w:r>
              <w:rPr/>
              <w:t> </w:t>
            </w:r>
          </w:p>
        </w:tc>
        <w:tc>
          <w:tcPr>
            <w:tcW w:w="2756" w:type="dxa"/>
            <w:tcBorders/>
            <w:shd w:fill="auto" w:val="clear"/>
          </w:tcPr>
          <w:p>
            <w:pPr>
              <w:pStyle w:val="TableContents"/>
              <w:pBdr>
                <w:bottom w:val="single" w:sz="2" w:space="1" w:color="000000"/>
              </w:pBdr>
              <w:spacing w:before="0" w:after="20"/>
              <w:rPr/>
            </w:pPr>
            <w:r>
              <w:rPr/>
              <w:t> </w:t>
            </w:r>
          </w:p>
        </w:tc>
      </w:tr>
    </w:tbl>
    <w:p>
      <w:pPr>
        <w:pStyle w:val="TextBody"/>
        <w:spacing w:before="7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Joinder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this Joinder has been duly executed and delivered by the parties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183"/>
        <w:gridCol w:w="131"/>
        <w:gridCol w:w="2768"/>
      </w:tblGrid>
      <w:tr>
        <w:trPr/>
        <w:tc>
          <w:tcPr>
            <w:tcW w:w="118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276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b/>
                <w:sz w:val="20"/>
                <w:u w:val="single"/>
              </w:rPr>
              <w:t>TRANSFEREE</w:t>
            </w:r>
            <w:r>
              <w:rPr>
                <w:rFonts w:ascii="Times New Roman" w:hAnsi="Times New Roman"/>
                <w:sz w:val="20"/>
                <w:u w:val="single"/>
              </w:rPr>
              <w:t>:</w:t>
            </w:r>
          </w:p>
        </w:tc>
      </w:tr>
      <w:tr>
        <w:trPr>
          <w:trHeight w:val="240" w:hRule="atLeast"/>
        </w:trPr>
        <w:tc>
          <w:tcPr>
            <w:tcW w:w="1183" w:type="dxa"/>
            <w:tcBorders/>
            <w:shd w:fill="auto" w:val="clear"/>
            <w:vAlign w:val="center"/>
          </w:tcPr>
          <w:p>
            <w:pPr>
              <w:pStyle w:val="TableContents"/>
              <w:spacing w:before="0" w:after="283"/>
              <w:rPr>
                <w:sz w:val="4"/>
                <w:szCs w:val="4"/>
              </w:rPr>
            </w:pPr>
            <w:r>
              <w:rPr>
                <w:sz w:val="4"/>
                <w:szCs w:val="4"/>
              </w:rPr>
            </w:r>
          </w:p>
        </w:tc>
        <w:tc>
          <w:tcPr>
            <w:tcW w:w="2899" w:type="dxa"/>
            <w:gridSpan w:val="2"/>
            <w:tcBorders/>
            <w:shd w:fill="auto" w:val="clear"/>
            <w:vAlign w:val="center"/>
          </w:tcPr>
          <w:p>
            <w:pPr>
              <w:pStyle w:val="TableContents"/>
              <w:spacing w:before="0" w:after="283"/>
              <w:rPr>
                <w:sz w:val="4"/>
                <w:szCs w:val="4"/>
              </w:rPr>
            </w:pPr>
            <w:r>
              <w:rPr>
                <w:sz w:val="4"/>
                <w:szCs w:val="4"/>
              </w:rPr>
            </w:r>
          </w:p>
        </w:tc>
      </w:tr>
      <w:tr>
        <w:trPr/>
        <w:tc>
          <w:tcPr>
            <w:tcW w:w="1183" w:type="dxa"/>
            <w:tcBorders/>
            <w:shd w:fill="auto" w:val="clear"/>
          </w:tcPr>
          <w:p>
            <w:pPr>
              <w:pStyle w:val="TableContents"/>
              <w:spacing w:before="0" w:after="0"/>
              <w:rPr>
                <w:rFonts w:ascii="Times New Roman" w:hAnsi="Times New Roman"/>
                <w:sz w:val="20"/>
              </w:rPr>
            </w:pPr>
            <w:r>
              <w:rPr>
                <w:rFonts w:ascii="Times New Roman" w:hAnsi="Times New Roman"/>
                <w:sz w:val="20"/>
              </w:rPr>
              <w:t>Print</w:t>
            </w:r>
          </w:p>
        </w:tc>
        <w:tc>
          <w:tcPr>
            <w:tcW w:w="131" w:type="dxa"/>
            <w:tcBorders/>
            <w:shd w:fill="auto" w:val="clear"/>
            <w:vAlign w:val="bottom"/>
          </w:tcPr>
          <w:p>
            <w:pPr>
              <w:pStyle w:val="TableContents"/>
              <w:spacing w:before="0" w:after="283"/>
              <w:rPr/>
            </w:pPr>
            <w:r>
              <w:rPr/>
              <w:t> </w:t>
            </w:r>
          </w:p>
        </w:tc>
        <w:tc>
          <w:tcPr>
            <w:tcW w:w="2768" w:type="dxa"/>
            <w:tcBorders/>
            <w:shd w:fill="auto" w:val="clear"/>
          </w:tcPr>
          <w:p>
            <w:pPr>
              <w:pStyle w:val="TableContents"/>
              <w:spacing w:before="0" w:after="283"/>
              <w:rPr>
                <w:sz w:val="4"/>
                <w:szCs w:val="4"/>
              </w:rPr>
            </w:pPr>
            <w:r>
              <w:rPr>
                <w:sz w:val="4"/>
                <w:szCs w:val="4"/>
              </w:rPr>
            </w:r>
          </w:p>
        </w:tc>
      </w:tr>
      <w:tr>
        <w:trPr/>
        <w:tc>
          <w:tcPr>
            <w:tcW w:w="1183"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131" w:type="dxa"/>
            <w:tcBorders/>
            <w:shd w:fill="auto" w:val="clear"/>
            <w:vAlign w:val="bottom"/>
          </w:tcPr>
          <w:p>
            <w:pPr>
              <w:pStyle w:val="TableContents"/>
              <w:spacing w:before="0" w:after="283"/>
              <w:rPr/>
            </w:pPr>
            <w:r>
              <w:rPr/>
              <w:t> </w:t>
            </w:r>
          </w:p>
        </w:tc>
        <w:tc>
          <w:tcPr>
            <w:tcW w:w="2768" w:type="dxa"/>
            <w:tcBorders/>
            <w:shd w:fill="auto" w:val="clear"/>
          </w:tcPr>
          <w:p>
            <w:pPr>
              <w:pStyle w:val="TableContents"/>
              <w:pBdr>
                <w:bottom w:val="single" w:sz="2" w:space="1" w:color="000000"/>
              </w:pBdr>
              <w:spacing w:before="0" w:after="20"/>
              <w:rPr/>
            </w:pPr>
            <w:r>
              <w:rPr/>
              <w:t> </w:t>
            </w:r>
          </w:p>
        </w:tc>
      </w:tr>
      <w:tr>
        <w:trPr>
          <w:trHeight w:val="240" w:hRule="atLeast"/>
        </w:trPr>
        <w:tc>
          <w:tcPr>
            <w:tcW w:w="1183" w:type="dxa"/>
            <w:tcBorders/>
            <w:shd w:fill="auto" w:val="clear"/>
            <w:vAlign w:val="center"/>
          </w:tcPr>
          <w:p>
            <w:pPr>
              <w:pStyle w:val="TableContents"/>
              <w:spacing w:before="0" w:after="283"/>
              <w:rPr>
                <w:sz w:val="4"/>
                <w:szCs w:val="4"/>
              </w:rPr>
            </w:pPr>
            <w:r>
              <w:rPr>
                <w:sz w:val="4"/>
                <w:szCs w:val="4"/>
              </w:rPr>
            </w:r>
          </w:p>
        </w:tc>
        <w:tc>
          <w:tcPr>
            <w:tcW w:w="2899" w:type="dxa"/>
            <w:gridSpan w:val="2"/>
            <w:tcBorders/>
            <w:shd w:fill="auto" w:val="clear"/>
            <w:vAlign w:val="center"/>
          </w:tcPr>
          <w:p>
            <w:pPr>
              <w:pStyle w:val="TableContents"/>
              <w:spacing w:before="0" w:after="283"/>
              <w:rPr>
                <w:sz w:val="4"/>
                <w:szCs w:val="4"/>
              </w:rPr>
            </w:pPr>
            <w:r>
              <w:rPr>
                <w:sz w:val="4"/>
                <w:szCs w:val="4"/>
              </w:rPr>
            </w:r>
          </w:p>
        </w:tc>
      </w:tr>
      <w:tr>
        <w:trPr/>
        <w:tc>
          <w:tcPr>
            <w:tcW w:w="1183"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131" w:type="dxa"/>
            <w:tcBorders/>
            <w:shd w:fill="auto" w:val="clear"/>
            <w:vAlign w:val="bottom"/>
          </w:tcPr>
          <w:p>
            <w:pPr>
              <w:pStyle w:val="TableContents"/>
              <w:spacing w:before="0" w:after="283"/>
              <w:rPr/>
            </w:pPr>
            <w:r>
              <w:rPr/>
              <w:t> </w:t>
            </w:r>
          </w:p>
        </w:tc>
        <w:tc>
          <w:tcPr>
            <w:tcW w:w="2768" w:type="dxa"/>
            <w:tcBorders/>
            <w:shd w:fill="auto" w:val="clear"/>
          </w:tcPr>
          <w:p>
            <w:pPr>
              <w:pStyle w:val="TableContents"/>
              <w:pBdr>
                <w:bottom w:val="single" w:sz="2" w:space="1" w:color="000000"/>
              </w:pBdr>
              <w:spacing w:before="0" w:after="20"/>
              <w:rPr/>
            </w:pPr>
            <w:r>
              <w:rPr/>
              <w:t> </w:t>
            </w:r>
          </w:p>
        </w:tc>
      </w:tr>
      <w:tr>
        <w:trPr>
          <w:trHeight w:val="120" w:hRule="atLeast"/>
        </w:trPr>
        <w:tc>
          <w:tcPr>
            <w:tcW w:w="1183" w:type="dxa"/>
            <w:tcBorders/>
            <w:shd w:fill="auto" w:val="clear"/>
            <w:vAlign w:val="center"/>
          </w:tcPr>
          <w:p>
            <w:pPr>
              <w:pStyle w:val="TableContents"/>
              <w:spacing w:before="0" w:after="283"/>
              <w:rPr>
                <w:sz w:val="4"/>
                <w:szCs w:val="4"/>
              </w:rPr>
            </w:pPr>
            <w:r>
              <w:rPr>
                <w:sz w:val="4"/>
                <w:szCs w:val="4"/>
              </w:rPr>
            </w:r>
          </w:p>
        </w:tc>
        <w:tc>
          <w:tcPr>
            <w:tcW w:w="2899" w:type="dxa"/>
            <w:gridSpan w:val="2"/>
            <w:tcBorders/>
            <w:shd w:fill="auto" w:val="clear"/>
            <w:vAlign w:val="center"/>
          </w:tcPr>
          <w:p>
            <w:pPr>
              <w:pStyle w:val="TableContents"/>
              <w:spacing w:before="0" w:after="283"/>
              <w:rPr>
                <w:sz w:val="4"/>
                <w:szCs w:val="4"/>
              </w:rPr>
            </w:pPr>
            <w:r>
              <w:rPr>
                <w:sz w:val="4"/>
                <w:szCs w:val="4"/>
              </w:rPr>
            </w:r>
          </w:p>
        </w:tc>
      </w:tr>
      <w:tr>
        <w:trPr/>
        <w:tc>
          <w:tcPr>
            <w:tcW w:w="1183"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131" w:type="dxa"/>
            <w:tcBorders/>
            <w:shd w:fill="auto" w:val="clear"/>
            <w:vAlign w:val="bottom"/>
          </w:tcPr>
          <w:p>
            <w:pPr>
              <w:pStyle w:val="TableContents"/>
              <w:spacing w:before="0" w:after="283"/>
              <w:rPr/>
            </w:pPr>
            <w:r>
              <w:rPr/>
              <w:t> </w:t>
            </w:r>
          </w:p>
        </w:tc>
        <w:tc>
          <w:tcPr>
            <w:tcW w:w="2768" w:type="dxa"/>
            <w:tcBorders/>
            <w:shd w:fill="auto" w:val="clear"/>
          </w:tcPr>
          <w:p>
            <w:pPr>
              <w:pStyle w:val="TableContents"/>
              <w:pBdr>
                <w:bottom w:val="single" w:sz="2" w:space="1" w:color="000000"/>
              </w:pBdr>
              <w:spacing w:before="0" w:after="20"/>
              <w:rPr/>
            </w:pPr>
            <w:r>
              <w:rPr/>
              <w:t> </w:t>
            </w:r>
          </w:p>
        </w:tc>
      </w:tr>
      <w:tr>
        <w:trPr>
          <w:trHeight w:val="120" w:hRule="atLeast"/>
        </w:trPr>
        <w:tc>
          <w:tcPr>
            <w:tcW w:w="1183" w:type="dxa"/>
            <w:tcBorders/>
            <w:shd w:fill="auto" w:val="clear"/>
            <w:vAlign w:val="center"/>
          </w:tcPr>
          <w:p>
            <w:pPr>
              <w:pStyle w:val="TableContents"/>
              <w:spacing w:before="0" w:after="283"/>
              <w:rPr>
                <w:sz w:val="4"/>
                <w:szCs w:val="4"/>
              </w:rPr>
            </w:pPr>
            <w:r>
              <w:rPr>
                <w:sz w:val="4"/>
                <w:szCs w:val="4"/>
              </w:rPr>
            </w:r>
          </w:p>
        </w:tc>
        <w:tc>
          <w:tcPr>
            <w:tcW w:w="2899" w:type="dxa"/>
            <w:gridSpan w:val="2"/>
            <w:tcBorders/>
            <w:shd w:fill="auto" w:val="clear"/>
            <w:vAlign w:val="center"/>
          </w:tcPr>
          <w:p>
            <w:pPr>
              <w:pStyle w:val="TableContents"/>
              <w:spacing w:before="0" w:after="283"/>
              <w:rPr>
                <w:sz w:val="4"/>
                <w:szCs w:val="4"/>
              </w:rPr>
            </w:pPr>
            <w:r>
              <w:rPr>
                <w:sz w:val="4"/>
                <w:szCs w:val="4"/>
              </w:rPr>
            </w:r>
          </w:p>
        </w:tc>
      </w:tr>
      <w:tr>
        <w:trPr/>
        <w:tc>
          <w:tcPr>
            <w:tcW w:w="1183"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c>
          <w:tcPr>
            <w:tcW w:w="131" w:type="dxa"/>
            <w:tcBorders/>
            <w:shd w:fill="auto" w:val="clear"/>
            <w:vAlign w:val="bottom"/>
          </w:tcPr>
          <w:p>
            <w:pPr>
              <w:pStyle w:val="TableContents"/>
              <w:spacing w:before="0" w:after="283"/>
              <w:rPr/>
            </w:pPr>
            <w:r>
              <w:rPr/>
              <w:t> </w:t>
            </w:r>
          </w:p>
        </w:tc>
        <w:tc>
          <w:tcPr>
            <w:tcW w:w="2768" w:type="dxa"/>
            <w:tcBorders/>
            <w:shd w:fill="auto" w:val="clear"/>
          </w:tcPr>
          <w:p>
            <w:pPr>
              <w:pStyle w:val="TableContents"/>
              <w:pBdr>
                <w:bottom w:val="single" w:sz="2" w:space="1" w:color="000000"/>
              </w:pBdr>
              <w:spacing w:before="0" w:after="20"/>
              <w:rPr/>
            </w:pPr>
            <w:r>
              <w:rPr/>
              <w:t> </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u w:val="single"/>
              </w:rPr>
              <w:t>Address for Notices</w:t>
            </w:r>
            <w:r>
              <w:rPr>
                <w:rFonts w:ascii="Times New Roman" w:hAnsi="Times New Roman"/>
                <w:sz w:val="20"/>
              </w:rPr>
              <w:t>:</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bl>
    <w:tbl>
      <w:tblPr>
        <w:tblW w:w="2000" w:type="pct"/>
        <w:jc w:val="right"/>
        <w:tblInd w:w="0" w:type="dxa"/>
        <w:tblCellMar>
          <w:top w:w="0" w:type="dxa"/>
          <w:left w:w="0" w:type="dxa"/>
          <w:bottom w:w="0" w:type="dxa"/>
          <w:right w:w="0" w:type="dxa"/>
        </w:tblCellMar>
      </w:tblPr>
      <w:tblGrid>
        <w:gridCol w:w="828"/>
        <w:gridCol w:w="84"/>
        <w:gridCol w:w="3170"/>
      </w:tblGrid>
      <w:tr>
        <w:trPr/>
        <w:tc>
          <w:tcPr>
            <w:tcW w:w="828"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828" w:type="dxa"/>
            <w:tcBorders/>
            <w:shd w:fill="auto" w:val="clear"/>
            <w:vAlign w:val="center"/>
          </w:tcPr>
          <w:p>
            <w:pPr>
              <w:pStyle w:val="TableContents"/>
              <w:spacing w:before="0" w:after="283"/>
              <w:rPr>
                <w:sz w:val="4"/>
                <w:szCs w:val="4"/>
              </w:rPr>
            </w:pPr>
            <w:r>
              <w:rPr>
                <w:sz w:val="4"/>
                <w:szCs w:val="4"/>
              </w:rPr>
            </w:r>
          </w:p>
        </w:tc>
        <w:tc>
          <w:tcPr>
            <w:tcW w:w="3254" w:type="dxa"/>
            <w:gridSpan w:val="2"/>
            <w:tcBorders/>
            <w:shd w:fill="auto" w:val="clear"/>
            <w:vAlign w:val="center"/>
          </w:tcPr>
          <w:p>
            <w:pPr>
              <w:pStyle w:val="TableContents"/>
              <w:spacing w:before="0" w:after="283"/>
              <w:rPr>
                <w:sz w:val="4"/>
                <w:szCs w:val="4"/>
              </w:rPr>
            </w:pPr>
            <w:r>
              <w:rPr>
                <w:sz w:val="4"/>
                <w:szCs w:val="4"/>
              </w:rPr>
            </w:r>
          </w:p>
        </w:tc>
      </w:tr>
      <w:tr>
        <w:trPr/>
        <w:tc>
          <w:tcPr>
            <w:tcW w:w="828" w:type="dxa"/>
            <w:tcBorders/>
            <w:shd w:fill="auto" w:val="clear"/>
          </w:tcPr>
          <w:p>
            <w:pPr>
              <w:pStyle w:val="TableContents"/>
              <w:spacing w:before="0" w:after="0"/>
              <w:rPr>
                <w:rFonts w:ascii="Times New Roman" w:hAnsi="Times New Roman"/>
                <w:sz w:val="20"/>
              </w:rPr>
            </w:pPr>
            <w:r>
              <w:rPr>
                <w:rFonts w:ascii="Times New Roman" w:hAnsi="Times New Roman"/>
                <w:sz w:val="20"/>
              </w:rPr>
              <w:t>Attention:</w:t>
            </w:r>
          </w:p>
        </w:tc>
        <w:tc>
          <w:tcPr>
            <w:tcW w:w="84" w:type="dxa"/>
            <w:tcBorders/>
            <w:shd w:fill="auto" w:val="clear"/>
            <w:vAlign w:val="bottom"/>
          </w:tcPr>
          <w:p>
            <w:pPr>
              <w:pStyle w:val="TableContents"/>
              <w:spacing w:before="0" w:after="283"/>
              <w:rPr/>
            </w:pPr>
            <w:r>
              <w:rPr/>
              <w:t> </w:t>
            </w:r>
          </w:p>
        </w:tc>
        <w:tc>
          <w:tcPr>
            <w:tcW w:w="3170" w:type="dxa"/>
            <w:tcBorders/>
            <w:shd w:fill="auto" w:val="clear"/>
          </w:tcPr>
          <w:p>
            <w:pPr>
              <w:pStyle w:val="TableContents"/>
              <w:pBdr>
                <w:bottom w:val="single" w:sz="2" w:space="1" w:color="000000"/>
              </w:pBdr>
              <w:spacing w:before="0" w:after="20"/>
              <w:rPr/>
            </w:pPr>
            <w:r>
              <w:rPr/>
              <w:t> </w:t>
            </w:r>
          </w:p>
        </w:tc>
      </w:tr>
      <w:tr>
        <w:trPr>
          <w:trHeight w:val="120" w:hRule="atLeast"/>
        </w:trPr>
        <w:tc>
          <w:tcPr>
            <w:tcW w:w="828" w:type="dxa"/>
            <w:tcBorders/>
            <w:shd w:fill="auto" w:val="clear"/>
            <w:vAlign w:val="center"/>
          </w:tcPr>
          <w:p>
            <w:pPr>
              <w:pStyle w:val="TableContents"/>
              <w:spacing w:before="0" w:after="283"/>
              <w:rPr>
                <w:sz w:val="4"/>
                <w:szCs w:val="4"/>
              </w:rPr>
            </w:pPr>
            <w:r>
              <w:rPr>
                <w:sz w:val="4"/>
                <w:szCs w:val="4"/>
              </w:rPr>
            </w:r>
          </w:p>
        </w:tc>
        <w:tc>
          <w:tcPr>
            <w:tcW w:w="3254" w:type="dxa"/>
            <w:gridSpan w:val="2"/>
            <w:tcBorders/>
            <w:shd w:fill="auto" w:val="clear"/>
            <w:vAlign w:val="center"/>
          </w:tcPr>
          <w:p>
            <w:pPr>
              <w:pStyle w:val="TableContents"/>
              <w:spacing w:before="0" w:after="283"/>
              <w:rPr>
                <w:sz w:val="4"/>
                <w:szCs w:val="4"/>
              </w:rPr>
            </w:pPr>
            <w:r>
              <w:rPr>
                <w:sz w:val="4"/>
                <w:szCs w:val="4"/>
              </w:rPr>
            </w:r>
          </w:p>
        </w:tc>
      </w:tr>
      <w:tr>
        <w:trPr/>
        <w:tc>
          <w:tcPr>
            <w:tcW w:w="828" w:type="dxa"/>
            <w:tcBorders/>
            <w:shd w:fill="auto" w:val="clear"/>
          </w:tcPr>
          <w:p>
            <w:pPr>
              <w:pStyle w:val="TableContents"/>
              <w:spacing w:before="0" w:after="0"/>
              <w:rPr>
                <w:rFonts w:ascii="Times New Roman" w:hAnsi="Times New Roman"/>
                <w:sz w:val="20"/>
              </w:rPr>
            </w:pPr>
            <w:r>
              <w:rPr>
                <w:rFonts w:ascii="Times New Roman" w:hAnsi="Times New Roman"/>
                <w:sz w:val="20"/>
              </w:rPr>
              <w:t>Facsimile:</w:t>
            </w:r>
          </w:p>
        </w:tc>
        <w:tc>
          <w:tcPr>
            <w:tcW w:w="84" w:type="dxa"/>
            <w:tcBorders/>
            <w:shd w:fill="auto" w:val="clear"/>
            <w:vAlign w:val="bottom"/>
          </w:tcPr>
          <w:p>
            <w:pPr>
              <w:pStyle w:val="TableContents"/>
              <w:spacing w:before="0" w:after="283"/>
              <w:rPr/>
            </w:pPr>
            <w:r>
              <w:rPr/>
              <w:t> </w:t>
            </w:r>
          </w:p>
        </w:tc>
        <w:tc>
          <w:tcPr>
            <w:tcW w:w="3170" w:type="dxa"/>
            <w:tcBorders/>
            <w:shd w:fill="auto" w:val="clear"/>
          </w:tcPr>
          <w:p>
            <w:pPr>
              <w:pStyle w:val="TableContents"/>
              <w:pBdr>
                <w:bottom w:val="single" w:sz="2" w:space="1" w:color="000000"/>
              </w:pBdr>
              <w:spacing w:before="0" w:after="20"/>
              <w:rPr/>
            </w:pPr>
            <w:r>
              <w:rPr/>
              <w:t> </w:t>
            </w:r>
          </w:p>
        </w:tc>
      </w:tr>
      <w:tr>
        <w:trPr>
          <w:trHeight w:val="120" w:hRule="atLeast"/>
        </w:trPr>
        <w:tc>
          <w:tcPr>
            <w:tcW w:w="828" w:type="dxa"/>
            <w:tcBorders/>
            <w:shd w:fill="auto" w:val="clear"/>
            <w:vAlign w:val="center"/>
          </w:tcPr>
          <w:p>
            <w:pPr>
              <w:pStyle w:val="TableContents"/>
              <w:spacing w:before="0" w:after="283"/>
              <w:rPr>
                <w:sz w:val="4"/>
                <w:szCs w:val="4"/>
              </w:rPr>
            </w:pPr>
            <w:r>
              <w:rPr>
                <w:sz w:val="4"/>
                <w:szCs w:val="4"/>
              </w:rPr>
            </w:r>
          </w:p>
        </w:tc>
        <w:tc>
          <w:tcPr>
            <w:tcW w:w="3254" w:type="dxa"/>
            <w:gridSpan w:val="2"/>
            <w:tcBorders/>
            <w:shd w:fill="auto" w:val="clear"/>
            <w:vAlign w:val="center"/>
          </w:tcPr>
          <w:p>
            <w:pPr>
              <w:pStyle w:val="TableContents"/>
              <w:spacing w:before="0" w:after="283"/>
              <w:rPr>
                <w:sz w:val="4"/>
                <w:szCs w:val="4"/>
              </w:rPr>
            </w:pPr>
            <w:r>
              <w:rPr>
                <w:sz w:val="4"/>
                <w:szCs w:val="4"/>
              </w:rPr>
            </w:r>
          </w:p>
        </w:tc>
      </w:tr>
      <w:tr>
        <w:trPr/>
        <w:tc>
          <w:tcPr>
            <w:tcW w:w="828" w:type="dxa"/>
            <w:tcBorders/>
            <w:shd w:fill="auto" w:val="clear"/>
          </w:tcPr>
          <w:p>
            <w:pPr>
              <w:pStyle w:val="TableContents"/>
              <w:spacing w:before="0" w:after="0"/>
              <w:rPr>
                <w:rFonts w:ascii="Times New Roman" w:hAnsi="Times New Roman"/>
                <w:sz w:val="20"/>
              </w:rPr>
            </w:pPr>
            <w:r>
              <w:rPr>
                <w:rFonts w:ascii="Times New Roman" w:hAnsi="Times New Roman"/>
                <w:sz w:val="20"/>
              </w:rPr>
              <w:t>E-mail:</w:t>
            </w:r>
          </w:p>
        </w:tc>
        <w:tc>
          <w:tcPr>
            <w:tcW w:w="84" w:type="dxa"/>
            <w:tcBorders/>
            <w:shd w:fill="auto" w:val="clear"/>
            <w:vAlign w:val="bottom"/>
          </w:tcPr>
          <w:p>
            <w:pPr>
              <w:pStyle w:val="TableContents"/>
              <w:spacing w:before="0" w:after="283"/>
              <w:rPr/>
            </w:pPr>
            <w:r>
              <w:rPr/>
              <w:t> </w:t>
            </w:r>
          </w:p>
        </w:tc>
        <w:tc>
          <w:tcPr>
            <w:tcW w:w="3170" w:type="dxa"/>
            <w:tcBorders/>
            <w:shd w:fill="auto" w:val="clear"/>
          </w:tcPr>
          <w:p>
            <w:pPr>
              <w:pStyle w:val="TableContents"/>
              <w:pBdr>
                <w:bottom w:val="single" w:sz="2" w:space="1" w:color="000000"/>
              </w:pBdr>
              <w:spacing w:before="0" w:after="20"/>
              <w:rPr/>
            </w:pPr>
            <w:r>
              <w:rPr/>
              <w:t> </w:t>
            </w:r>
          </w:p>
        </w:tc>
      </w:tr>
    </w:tbl>
    <w:p>
      <w:pPr>
        <w:pStyle w:val="TextBody"/>
        <w:spacing w:before="6000" w:after="0"/>
        <w:jc w:val="center"/>
        <w:rPr>
          <w:rFonts w:ascii="Times New Roman" w:hAnsi="Times New Roman"/>
          <w:sz w:val="20"/>
        </w:rPr>
      </w:pPr>
      <w:r>
        <w:rPr>
          <w:rFonts w:ascii="Times New Roman" w:hAnsi="Times New Roman"/>
          <w:sz w:val="20"/>
        </w:rPr>
        <w:t>[</w:t>
      </w:r>
      <w:r>
        <w:rPr>
          <w:rFonts w:ascii="Times New Roman" w:hAnsi="Times New Roman"/>
          <w:i/>
          <w:sz w:val="20"/>
        </w:rPr>
        <w:t>Signature</w:t>
      </w:r>
      <w:r>
        <w:rPr>
          <w:rFonts w:ascii="Times New Roman" w:hAnsi="Times New Roman"/>
          <w:sz w:val="20"/>
        </w:rPr>
        <w:t xml:space="preserve"> </w:t>
      </w:r>
      <w:r>
        <w:rPr>
          <w:rFonts w:ascii="Times New Roman" w:hAnsi="Times New Roman"/>
          <w:i/>
          <w:sz w:val="20"/>
        </w:rPr>
        <w:t>Page to Joinder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36" w:name="anb1"/>
      <w:bookmarkEnd w:id="136"/>
      <w:r>
        <w:rPr>
          <w:rFonts w:ascii="Times New Roman" w:hAnsi="Times New Roman"/>
          <w:b/>
          <w:sz w:val="20"/>
        </w:rPr>
        <w:t xml:space="preserve">Annex B-1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BAKKT PUBCO CHARTER </w:t>
      </w:r>
    </w:p>
    <w:p>
      <w:pPr>
        <w:pStyle w:val="TextBody"/>
        <w:spacing w:before="240" w:after="0"/>
        <w:jc w:val="center"/>
        <w:rPr>
          <w:rFonts w:ascii="Times New Roman" w:hAnsi="Times New Roman"/>
          <w:b/>
          <w:sz w:val="20"/>
        </w:rPr>
      </w:pPr>
      <w:bookmarkStart w:id="137" w:name="toc108105_44"/>
      <w:bookmarkEnd w:id="137"/>
      <w:r>
        <w:rPr>
          <w:rFonts w:ascii="Times New Roman" w:hAnsi="Times New Roman"/>
          <w:b/>
          <w:sz w:val="20"/>
        </w:rPr>
        <w:t xml:space="preserve">CERTIFICATE OF INCORPORATION </w:t>
      </w:r>
    </w:p>
    <w:p>
      <w:pPr>
        <w:pStyle w:val="TextBody"/>
        <w:spacing w:before="240" w:after="0"/>
        <w:jc w:val="center"/>
        <w:rPr>
          <w:rFonts w:ascii="Times New Roman" w:hAnsi="Times New Roman"/>
          <w:b/>
          <w:sz w:val="20"/>
        </w:rPr>
      </w:pPr>
      <w:r>
        <w:rPr>
          <w:rFonts w:ascii="Times New Roman" w:hAnsi="Times New Roman"/>
          <w:b/>
          <w:sz w:val="20"/>
        </w:rPr>
        <w:t xml:space="preserve">OF </w:t>
      </w:r>
    </w:p>
    <w:p>
      <w:pPr>
        <w:pStyle w:val="TextBody"/>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spacing w:before="240" w:after="0"/>
        <w:jc w:val="left"/>
        <w:rPr>
          <w:rFonts w:ascii="Times New Roman" w:hAnsi="Times New Roman"/>
          <w:sz w:val="20"/>
        </w:rPr>
      </w:pPr>
      <w:r>
        <w:rPr>
          <w:rFonts w:ascii="Times New Roman" w:hAnsi="Times New Roman"/>
          <w:sz w:val="20"/>
        </w:rPr>
        <w:t xml:space="preserve">The undersigned, for the purposes of incorporating and organizing a corporation under the General Corporation Law of the State of Delaware, does execute this Certificate of Incorporation and does hereby certify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Name</w:t>
      </w:r>
      <w:r>
        <w:rPr>
          <w:rFonts w:ascii="Times New Roman" w:hAnsi="Times New Roman"/>
          <w:sz w:val="20"/>
        </w:rPr>
        <w:t>. The name of the Corporation is Bakkt Holdings, Inc. (the </w:t>
      </w:r>
      <w:r>
        <w:rPr>
          <w:rFonts w:ascii="Times New Roman" w:hAnsi="Times New Roman"/>
          <w:sz w:val="20"/>
          <w:u w:val="single"/>
        </w:rPr>
        <w:t>Corporation</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Address</w:t>
      </w:r>
      <w:r>
        <w:rPr>
          <w:rFonts w:ascii="Times New Roman" w:hAnsi="Times New Roman"/>
          <w:sz w:val="20"/>
        </w:rPr>
        <w:t xml:space="preserve">. The address of the registered office of the Corporation in the State of Delaware is 251 Little Falls Drive, City of Wilmington, County of New Castle, Delaware 19808; and the name of the Corporations registered agent at such address is Corporation Service Company.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Purpose</w:t>
      </w:r>
      <w:r>
        <w:rPr>
          <w:rFonts w:ascii="Times New Roman" w:hAnsi="Times New Roman"/>
          <w:sz w:val="20"/>
        </w:rPr>
        <w:t>. The purpose of the Corporation is to engage in any lawful act or activity for which corporations may now or hereafter be organized under the General Corporation Law of the State of Delaware (the </w:t>
      </w:r>
      <w:r>
        <w:rPr>
          <w:rFonts w:ascii="Times New Roman" w:hAnsi="Times New Roman"/>
          <w:sz w:val="20"/>
          <w:u w:val="single"/>
        </w:rPr>
        <w:t>DGCL</w:t>
      </w:r>
      <w:r>
        <w:rPr>
          <w:rFonts w:ascii="Times New Roman" w:hAnsi="Times New Roman"/>
          <w:sz w:val="20"/>
        </w:rPr>
        <w:t>). The Corporation is being incorporated in connection with the domestication of VPC Impact Acquisition Holdings, a Cayman Islands exempted company limited by shares (</w:t>
      </w:r>
      <w:r>
        <w:rPr>
          <w:rFonts w:ascii="Times New Roman" w:hAnsi="Times New Roman"/>
          <w:sz w:val="20"/>
          <w:u w:val="single"/>
        </w:rPr>
        <w:t>VIH Cayman</w:t>
      </w:r>
      <w:r>
        <w:rPr>
          <w:rFonts w:ascii="Times New Roman" w:hAnsi="Times New Roman"/>
          <w:sz w:val="20"/>
        </w:rPr>
        <w:t>), as a Delaware corporation, and this Certificate of Incorporation is being filed simultaneously with the Certificate of Corporate Domestication of VIH Cayman (the </w:t>
      </w:r>
      <w:r>
        <w:rPr>
          <w:rFonts w:ascii="Times New Roman" w:hAnsi="Times New Roman"/>
          <w:sz w:val="20"/>
          <w:u w:val="single"/>
        </w:rPr>
        <w:t>Certificate of Domestication</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Capitalization</w:t>
      </w:r>
      <w:r>
        <w:rPr>
          <w:rFonts w:ascii="Times New Roman" w:hAnsi="Times New Roman"/>
          <w:sz w:val="20"/>
        </w:rPr>
        <w:t>. The total number of shares of all classes of capital stock that the Corporation is authorized to issue is 1,001,000,000 shares, consisting of (i) 1,000,000 shares of preferred stock, par value $0.0001 per share (</w:t>
      </w:r>
      <w:r>
        <w:rPr>
          <w:rFonts w:ascii="Times New Roman" w:hAnsi="Times New Roman"/>
          <w:sz w:val="20"/>
          <w:u w:val="single"/>
        </w:rPr>
        <w:t>Preferred Stock</w:t>
      </w:r>
      <w:r>
        <w:rPr>
          <w:rFonts w:ascii="Times New Roman" w:hAnsi="Times New Roman"/>
          <w:sz w:val="20"/>
        </w:rPr>
        <w:t>), and (ii) 1,000,000,000 shares of common stock, par value $0.0001 per share (the </w:t>
      </w:r>
      <w:r>
        <w:rPr>
          <w:rFonts w:ascii="Times New Roman" w:hAnsi="Times New Roman"/>
          <w:sz w:val="20"/>
          <w:u w:val="single"/>
        </w:rPr>
        <w:t>Common Stock</w:t>
      </w:r>
      <w:r>
        <w:rPr>
          <w:rFonts w:ascii="Times New Roman" w:hAnsi="Times New Roman"/>
          <w:sz w:val="20"/>
        </w:rPr>
        <w:t>), which consists of (A) 750,000,000 shares of Class A common stock (</w:t>
      </w:r>
      <w:r>
        <w:rPr>
          <w:rFonts w:ascii="Times New Roman" w:hAnsi="Times New Roman"/>
          <w:sz w:val="20"/>
          <w:u w:val="single"/>
        </w:rPr>
        <w:t>Class A Common Stock</w:t>
      </w:r>
      <w:r>
        <w:rPr>
          <w:rFonts w:ascii="Times New Roman" w:hAnsi="Times New Roman"/>
          <w:sz w:val="20"/>
        </w:rPr>
        <w:t>) and (B) 250,000,000 shares of Class V common stock (</w:t>
      </w:r>
      <w:r>
        <w:rPr>
          <w:rFonts w:ascii="Times New Roman" w:hAnsi="Times New Roman"/>
          <w:sz w:val="20"/>
          <w:u w:val="single"/>
        </w:rPr>
        <w:t>Class V Common Stock</w:t>
      </w:r>
      <w:r>
        <w:rPr>
          <w:rFonts w:ascii="Times New Roman" w:hAnsi="Times New Roman"/>
          <w:sz w:val="20"/>
        </w:rPr>
        <w:t xml:space="preserve">). The number of authorized shares of any of the Common Stock, Class A Common Stock, Class V Common 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Class A Common Stock, Class V Common Stock or Preferred Stock voting separately as a class shall be required therefor, unless a vote of any such holder is required pursuant to this Certificate of Incorporation (including any certificate of designation relating to any series of Preferred Stock). Upon the filing of the Certificate of Domestication and this Certificate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Incorporation, which is occurring on the closing date of the transactions contemplated by that certain Merger Agreement, dated as of January 11, 2021, by and among VIH Cayman, Pylon Merger Company LLC, a Delaware limited liability company, and Bakkt Holdings, LLC, a Delaware limited liability company (</w:t>
      </w:r>
      <w:r>
        <w:rPr>
          <w:rFonts w:ascii="Times New Roman" w:hAnsi="Times New Roman"/>
          <w:sz w:val="20"/>
          <w:u w:val="single"/>
        </w:rPr>
        <w:t>Bakkt LLC</w:t>
      </w:r>
      <w:r>
        <w:rPr>
          <w:rFonts w:ascii="Times New Roman" w:hAnsi="Times New Roman"/>
          <w:sz w:val="20"/>
        </w:rPr>
        <w:t xml:space="preserve">) (the Merger Agreement) each share of capital stock of VIH Cayman issued and outstanding immediately prior to the Closing (as defined in the Merger Agreement) will be converted into one issued and outstanding, fully paid and nonassessable share of Class A Common Stock, without any action required on the part of the Corporation or the holders thereof. </w:t>
      </w:r>
    </w:p>
    <w:p>
      <w:pPr>
        <w:pStyle w:val="TextBody"/>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Preferred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Board of Directors of the Corporation (the </w:t>
      </w:r>
      <w:r>
        <w:rPr>
          <w:rFonts w:ascii="Times New Roman" w:hAnsi="Times New Roman"/>
          <w:sz w:val="20"/>
          <w:u w:val="single"/>
        </w:rPr>
        <w:t>Board</w:t>
      </w:r>
      <w:r>
        <w:rPr>
          <w:rFonts w:ascii="Times New Roman" w:hAnsi="Times New Roman"/>
          <w:sz w:val="20"/>
        </w:rPr>
        <w:t xml:space="preserve">)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spacing w:before="120" w:after="0"/>
        <w:jc w:val="left"/>
        <w:rPr>
          <w:rFonts w:ascii="Times New Roman" w:hAnsi="Times New Roman"/>
          <w:sz w:val="20"/>
        </w:rPr>
      </w:pPr>
      <w:r>
        <w:rPr>
          <w:rFonts w:ascii="Times New Roman" w:hAnsi="Times New Roman"/>
          <w:sz w:val="20"/>
        </w:rPr>
        <w:t xml:space="preserve">(B) Except as otherwise required by law, holders of a series of Preferred Stock, as such, shall be entitled only to such voting rights, if any, as shall expressly be granted thereto by this Certificate of Incorporation (including any certificate of designations relating to such series). </w:t>
      </w:r>
    </w:p>
    <w:p>
      <w:pPr>
        <w:pStyle w:val="TextBody"/>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 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 </w:t>
      </w:r>
    </w:p>
    <w:p>
      <w:pPr>
        <w:pStyle w:val="TextBody"/>
        <w:spacing w:before="120" w:after="0"/>
        <w:jc w:val="left"/>
        <w:rPr>
          <w:rFonts w:ascii="Times New Roman" w:hAnsi="Times New Roman"/>
          <w:sz w:val="20"/>
        </w:rPr>
      </w:pPr>
      <w:r>
        <w:rPr>
          <w:rFonts w:ascii="Times New Roman" w:hAnsi="Times New Roman"/>
          <w:sz w:val="20"/>
        </w:rPr>
        <w:t xml:space="preserve">(2) 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 </w:t>
      </w:r>
    </w:p>
    <w:p>
      <w:pPr>
        <w:pStyle w:val="TextBody"/>
        <w:spacing w:before="120" w:after="0"/>
        <w:jc w:val="left"/>
        <w:rPr>
          <w:rFonts w:ascii="Times New Roman" w:hAnsi="Times New Roman"/>
          <w:sz w:val="20"/>
        </w:rPr>
      </w:pPr>
      <w:r>
        <w:rPr>
          <w:rFonts w:ascii="Times New Roman" w:hAnsi="Times New Roman"/>
          <w:sz w:val="20"/>
        </w:rPr>
        <w:t>(3) Except as otherwise provided in this Certificate of Incorporation or required by applicable law and without limiting the rights of any party to the Stockholders Agreement, dated as of [], 2021, by and among the Corporation and the other parties thereto (as amended from time to time, the </w:t>
      </w:r>
      <w:r>
        <w:rPr>
          <w:rFonts w:ascii="Times New Roman" w:hAnsi="Times New Roman"/>
          <w:sz w:val="20"/>
          <w:u w:val="single"/>
        </w:rPr>
        <w:t>Stockholders Agreement</w:t>
      </w:r>
      <w:r>
        <w:rPr>
          <w:rFonts w:ascii="Times New Roman" w:hAnsi="Times New Roman"/>
          <w:sz w:val="20"/>
        </w:rPr>
        <w:t xml:space="preserve">), the holders of Common Stock having the right to vote in respect of such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Dividends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Class A Common Stock</w:t>
      </w:r>
      <w:r>
        <w:rPr>
          <w:rFonts w:ascii="Times New Roman" w:hAnsi="Times New Roman"/>
          <w:sz w:val="20"/>
        </w:rPr>
        <w:t xml:space="preserve">. Subject to applicable law and the rights, if any, of the holders of any outstanding shares of Preferred Stock or any class or series of stock having a preference over or the right to participate with the Class A Common Stock with respect to the payment of dividends, dividends may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declared and paid on the Class A Common Stock out of the assets of the Corporation that are by law available therefor at such times and in such amounts as the Board in its discretion shall determine.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Class V Common Stock</w:t>
      </w:r>
      <w:r>
        <w:rPr>
          <w:rFonts w:ascii="Times New Roman" w:hAnsi="Times New Roman"/>
          <w:sz w:val="20"/>
        </w:rPr>
        <w:t xml:space="preserve">. Dividends shall not be declared or paid on the Class V Common Stock.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Liquidation, Dissolution or Winding Up</w:t>
      </w:r>
      <w:r>
        <w:rPr>
          <w:rFonts w:ascii="Times New Roman" w:hAnsi="Times New Roman"/>
          <w:sz w:val="20"/>
        </w:rPr>
        <w:t xml:space="preserve">.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Restrictions of Class V Common Stock</w:t>
      </w:r>
      <w:r>
        <w:rPr>
          <w:rFonts w:ascii="Times New Roman" w:hAnsi="Times New Roman"/>
          <w:sz w:val="20"/>
        </w:rPr>
        <w:t>. In the event that any outstanding share of Class V Common Stock shall cease to be held directly or indirectly by a holder of a unit of Bakkt LLC (the </w:t>
      </w:r>
      <w:r>
        <w:rPr>
          <w:rFonts w:ascii="Times New Roman" w:hAnsi="Times New Roman"/>
          <w:sz w:val="20"/>
          <w:u w:val="single"/>
        </w:rPr>
        <w:t>LLC Units</w:t>
      </w:r>
      <w:r>
        <w:rPr>
          <w:rFonts w:ascii="Times New Roman" w:hAnsi="Times New Roman"/>
          <w:sz w:val="20"/>
        </w:rPr>
        <w:t>) as set forth in the books and records of Bakkt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LLC (as amended from time to time, the </w:t>
      </w:r>
      <w:r>
        <w:rPr>
          <w:rFonts w:ascii="Times New Roman" w:hAnsi="Times New Roman"/>
          <w:sz w:val="20"/>
          <w:u w:val="single"/>
        </w:rPr>
        <w:t>LLC Agreement</w:t>
      </w:r>
      <w:r>
        <w:rPr>
          <w:rFonts w:ascii="Times New Roman" w:hAnsi="Times New Roman"/>
          <w:sz w:val="20"/>
        </w:rPr>
        <w:t>), the Exchange Agreement, dated as of [], 2021, by and among the Corporation and the other parties thereto (as amended from time to time, the </w:t>
      </w:r>
      <w:r>
        <w:rPr>
          <w:rFonts w:ascii="Times New Roman" w:hAnsi="Times New Roman"/>
          <w:sz w:val="20"/>
          <w:u w:val="single"/>
        </w:rPr>
        <w:t>Exchange Agreement</w:t>
      </w:r>
      <w:r>
        <w:rPr>
          <w:rFonts w:ascii="Times New Roman" w:hAnsi="Times New Roman"/>
          <w:sz w:val="20"/>
        </w:rPr>
        <w:t>) and the Stockholders Agreement (collectively, the </w:t>
      </w:r>
      <w:r>
        <w:rPr>
          <w:rFonts w:ascii="Times New Roman" w:hAnsi="Times New Roman"/>
          <w:sz w:val="20"/>
          <w:u w:val="single"/>
        </w:rPr>
        <w:t>Restrictions</w:t>
      </w:r>
      <w:r>
        <w:rPr>
          <w:rFonts w:ascii="Times New Roman" w:hAnsi="Times New Roman"/>
          <w:sz w:val="20"/>
        </w:rPr>
        <w:t>) shall be null and void and such transferee shall not obtain any rights in and to such shares of Class V Common Stock (the </w:t>
      </w:r>
      <w:r>
        <w:rPr>
          <w:rFonts w:ascii="Times New Roman" w:hAnsi="Times New Roman"/>
          <w:sz w:val="20"/>
          <w:u w:val="single"/>
        </w:rPr>
        <w:t>Restricted Shares</w:t>
      </w:r>
      <w:r>
        <w:rPr>
          <w:rFonts w:ascii="Times New Roman" w:hAnsi="Times New Roman"/>
          <w:sz w:val="20"/>
        </w:rPr>
        <w:t>), nor shall such transfer be recognized by the Corporations transfer agent (the </w:t>
      </w:r>
      <w:r>
        <w:rPr>
          <w:rFonts w:ascii="Times New Roman" w:hAnsi="Times New Roman"/>
          <w:sz w:val="20"/>
          <w:u w:val="single"/>
        </w:rPr>
        <w:t>Transfer Agent</w:t>
      </w:r>
      <w:r>
        <w:rPr>
          <w:rFonts w:ascii="Times New Roman" w:hAnsi="Times New Roman"/>
          <w:sz w:val="20"/>
        </w:rPr>
        <w:t xml:space="preserve">).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 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LLC pursuant to the terms of the Exchange Agreement and in accordance with the Restrictions.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Reservation of Stock; Transfer Restrictions</w:t>
      </w:r>
      <w:r>
        <w:rPr>
          <w:rFonts w:ascii="Times New Roman" w:hAnsi="Times New Roman"/>
          <w:sz w:val="20"/>
        </w:rPr>
        <w:t xml:space="preserve">.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corresponding LLC Units have not also been removed from issuance) shall equal the number of LLC Units outstanding pursuant to the Exchange Agreement.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Restrictive Legend</w:t>
      </w:r>
      <w:r>
        <w:rPr>
          <w:rFonts w:ascii="Times New Roman" w:hAnsi="Times New Roman"/>
          <w:sz w:val="20"/>
        </w:rPr>
        <w:t xml:space="preserve">.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Retirement and Cancellation of Class V Common Stock</w:t>
      </w:r>
      <w:r>
        <w:rPr>
          <w:rFonts w:ascii="Times New Roman" w:hAnsi="Times New Roman"/>
          <w:sz w:val="20"/>
        </w:rPr>
        <w:t xml:space="preserve">.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Adjustments</w:t>
      </w:r>
      <w:r>
        <w:rPr>
          <w:rFonts w:ascii="Times New Roman" w:hAnsi="Times New Roman"/>
          <w:sz w:val="20"/>
        </w:rPr>
        <w:t xml:space="preserve">.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 </w:t>
      </w:r>
    </w:p>
    <w:p>
      <w:pPr>
        <w:pStyle w:val="TextBody"/>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Rights and Options</w:t>
      </w:r>
      <w:r>
        <w:rPr>
          <w:rFonts w:ascii="Times New Roman" w:hAnsi="Times New Roman"/>
          <w:sz w:val="20"/>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hAnsi="Times New Roman"/>
          <w:i/>
          <w:sz w:val="20"/>
        </w:rPr>
        <w:t>provided, however</w:t>
      </w:r>
      <w:r>
        <w:rPr>
          <w:rFonts w:ascii="Times New Roman" w:hAnsi="Times New Roman"/>
          <w:sz w:val="20"/>
        </w:rPr>
        <w:t xml:space="preserve">, that the consideration to be received for shares of capital stock issuable upon exercise thereof may not be less than the par value thereof.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By-Laws</w:t>
      </w:r>
      <w:r>
        <w:rPr>
          <w:rFonts w:ascii="Times New Roman" w:hAnsi="Times New Roman"/>
          <w:sz w:val="20"/>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 w:hAnsi="Times New Roman"/>
          <w:sz w:val="20"/>
          <w:u w:val="single"/>
        </w:rPr>
        <w:t>By-Laws</w:t>
      </w:r>
      <w:r>
        <w:rPr>
          <w:rFonts w:ascii="Times New Roman" w:hAnsi="Times New Roman"/>
          <w:sz w:val="20"/>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Times New Roman" w:hAnsi="Times New Roman"/>
          <w:i/>
          <w:sz w:val="20"/>
        </w:rPr>
        <w:t>provided</w:t>
      </w:r>
      <w:r>
        <w:rPr>
          <w:rFonts w:ascii="Times New Roman" w:hAnsi="Times New Roman"/>
          <w:sz w:val="20"/>
        </w:rPr>
        <w:t xml:space="preserve"> that any amendment, alteration, change, addition to or repeal of Article V (</w:t>
      </w:r>
      <w:r>
        <w:rPr>
          <w:rFonts w:ascii="Times New Roman" w:hAnsi="Times New Roman"/>
          <w:i/>
          <w:sz w:val="20"/>
        </w:rPr>
        <w:t>Indemnification and Advancement of Expenses</w:t>
      </w:r>
      <w:r>
        <w:rPr>
          <w:rFonts w:ascii="Times New Roman" w:hAnsi="Times New Roman"/>
          <w:sz w:val="20"/>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Times New Roman" w:hAnsi="Times New Roman"/>
          <w:sz w:val="20"/>
          <w:u w:val="single"/>
        </w:rPr>
        <w:t>Proceeding</w:t>
      </w:r>
      <w:r>
        <w:rPr>
          <w:rFonts w:ascii="Times New Roman" w:hAnsi="Times New Roman"/>
          <w:sz w:val="20"/>
        </w:rPr>
        <w:t xml:space="preserve">) (regardless of when such Proceeding is first threatened, commenced or completed) arising out of, or related to, any act or omission occurring prior to such repeal or amendment or adoption of such inconsistent provision.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VI </w:t>
      </w:r>
    </w:p>
    <w:p>
      <w:pPr>
        <w:pStyle w:val="TextBody"/>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Board Powers; Number; Election; Term</w:t>
      </w:r>
      <w:r>
        <w:rPr>
          <w:rFonts w:ascii="Times New Roman" w:hAnsi="Times New Roman"/>
          <w:sz w:val="20"/>
        </w:rPr>
        <w:t>. Except as otherwise provided in this Certificate of Incorporation or the DGCL, the business 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Times New Roman" w:hAnsi="Times New Roman"/>
          <w:sz w:val="20"/>
          <w:u w:val="single"/>
        </w:rPr>
        <w:t>Class I Directors</w:t>
      </w:r>
      <w:r>
        <w:rPr>
          <w:rFonts w:ascii="Times New Roman" w:hAnsi="Times New Roman"/>
          <w:sz w:val="20"/>
        </w:rPr>
        <w:t>) shall initially serve for a term expiring at the first annual meeting of stockholders following the effectiveness of this Certificate of Incorporation, Class II directors (</w:t>
      </w:r>
      <w:r>
        <w:rPr>
          <w:rFonts w:ascii="Times New Roman" w:hAnsi="Times New Roman"/>
          <w:sz w:val="20"/>
          <w:u w:val="single"/>
        </w:rPr>
        <w:t>Class II Directors</w:t>
      </w:r>
      <w:r>
        <w:rPr>
          <w:rFonts w:ascii="Times New Roman" w:hAnsi="Times New Roman"/>
          <w:sz w:val="20"/>
        </w:rPr>
        <w:t>) shall initially serve for a term expiring at the second annual meeting of stockholders following the effectiveness of this Certificate of Incorporation and Class III directors (</w:t>
      </w:r>
      <w:r>
        <w:rPr>
          <w:rFonts w:ascii="Times New Roman" w:hAnsi="Times New Roman"/>
          <w:sz w:val="20"/>
          <w:u w:val="single"/>
        </w:rPr>
        <w:t>Class III Directors</w:t>
      </w:r>
      <w:r>
        <w:rPr>
          <w:rFonts w:ascii="Times New Roman" w:hAnsi="Times New Roman"/>
          <w:sz w:val="20"/>
        </w:rPr>
        <w:t xml:space="preserve">)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Newly Created Directorships and Vacancies</w:t>
      </w:r>
      <w:r>
        <w:rPr>
          <w:rFonts w:ascii="Times New Roman" w:hAnsi="Times New Roman"/>
          <w:sz w:val="20"/>
        </w:rPr>
        <w:t xml:space="preserve">. Subject to the rights granted to the holders of any one or more series of Preferred Stock 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Resignation and Removal</w:t>
      </w:r>
      <w:r>
        <w:rPr>
          <w:rFonts w:ascii="Times New Roman" w:hAnsi="Times New Roman"/>
          <w:sz w:val="20"/>
        </w:rPr>
        <w:t xml:space="preserve">. Any director may resign at any time upon notice to the Corporation given in writing or by any electronic 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Preferred Stock Directors</w:t>
      </w:r>
      <w:r>
        <w:rPr>
          <w:rFonts w:ascii="Times New Roman" w:hAnsi="Times New Roman"/>
          <w:sz w:val="20"/>
        </w:rPr>
        <w:t xml:space="preserv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Election by Written Ballot</w:t>
      </w:r>
      <w:r>
        <w:rPr>
          <w:rFonts w:ascii="Times New Roman" w:hAnsi="Times New Roman"/>
          <w:sz w:val="20"/>
        </w:rPr>
        <w:t xml:space="preserve">. Directors of the Corporation need not be elected by written ballot unless the By-Laws shall so provide.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Cumulative Voting</w:t>
      </w:r>
      <w:r>
        <w:rPr>
          <w:rFonts w:ascii="Times New Roman" w:hAnsi="Times New Roman"/>
          <w:sz w:val="20"/>
        </w:rPr>
        <w:t xml:space="preserve">. The holders of shares of Common Stock shall not have cumulative voting rights.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Meetings of Stockholders</w:t>
      </w:r>
      <w:r>
        <w:rPr>
          <w:rFonts w:ascii="Times New Roman" w:hAnsi="Times New Roman"/>
          <w:sz w:val="20"/>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Times New Roman" w:hAnsi="Times New Roman"/>
          <w:i/>
          <w:sz w:val="20"/>
        </w:rPr>
        <w:t>provided, however</w:t>
      </w:r>
      <w:r>
        <w:rPr>
          <w:rFonts w:ascii="Times New Roman" w:hAnsi="Times New Roman"/>
          <w:sz w:val="20"/>
        </w:rPr>
        <w:t xml:space="preserve">,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 </w:t>
      </w:r>
    </w:p>
    <w:p>
      <w:pPr>
        <w:pStyle w:val="TextBody"/>
        <w:spacing w:before="480" w:after="0"/>
        <w:jc w:val="center"/>
        <w:rPr>
          <w:rFonts w:ascii="Times New Roman" w:hAnsi="Times New Roman"/>
          <w:b/>
          <w:sz w:val="20"/>
        </w:rPr>
      </w:pPr>
      <w:r>
        <w:rPr>
          <w:rFonts w:ascii="Times New Roman" w:hAnsi="Times New Roman"/>
          <w:b/>
          <w:sz w:val="20"/>
        </w:rPr>
        <w:t xml:space="preserve">ARTICLE VIII </w:t>
      </w:r>
    </w:p>
    <w:p>
      <w:pPr>
        <w:pStyle w:val="TextBody"/>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Limited Liability of Directors</w:t>
      </w:r>
      <w:r>
        <w:rPr>
          <w:rFonts w:ascii="Times New Roman" w:hAnsi="Times New Roman"/>
          <w:sz w:val="20"/>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 </w:t>
      </w:r>
    </w:p>
    <w:p>
      <w:pPr>
        <w:pStyle w:val="TextBody"/>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Indemnification and Advancement of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Indemnification and Advancement of Expenses</w:t>
      </w:r>
      <w:r>
        <w:rPr>
          <w:rFonts w:ascii="Times New Roman" w:hAnsi="Times New Roman"/>
          <w:sz w:val="20"/>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hAnsi="Times New Roman"/>
          <w:sz w:val="20"/>
          <w:u w:val="single"/>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Non-Exclusivity of Rights</w:t>
      </w:r>
      <w:r>
        <w:rPr>
          <w:rFonts w:ascii="Times New Roman" w:hAnsi="Times New Roman"/>
          <w:sz w:val="20"/>
        </w:rPr>
        <w:t xml:space="preserve">. The rights to indemnification and advancement of expenses conferred on any Indemnitee by this Section 8.2 shall not be exclusive of any other rights that any Indemnitee may have or hereafter acquire under law, this Certificate of Incorporation, the By-Laws, an agreement, vote of stockholders or disinterested directors, or otherwise.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w:t>
      </w:r>
      <w:r>
        <w:rPr>
          <w:rFonts w:ascii="Times New Roman" w:hAnsi="Times New Roman"/>
          <w:sz w:val="20"/>
        </w:rPr>
        <w:t xml:space="preserve">.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Reliance</w:t>
      </w:r>
      <w:r>
        <w:rPr>
          <w:rFonts w:ascii="Times New Roman" w:hAnsi="Times New Roman"/>
          <w:sz w:val="20"/>
        </w:rPr>
        <w:t xml:space="preserve">.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Persons other than Indemnitees</w:t>
      </w:r>
      <w:r>
        <w:rPr>
          <w:rFonts w:ascii="Times New Roman" w:hAnsi="Times New Roman"/>
          <w:sz w:val="20"/>
        </w:rPr>
        <w:t xml:space="preserve">. This Section 8.2 shall not limit the right of the Corporation, to the extent and in the manner authorized or permitted by law, to indemnify and to advance expenses to persons other than Indemnitees.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IX </w:t>
      </w:r>
    </w:p>
    <w:p>
      <w:pPr>
        <w:pStyle w:val="TextBody"/>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DGCL Section 203 and Business Combinations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Corporation hereby expressly elects not to be governed by Section 203 of the DGCL. </w:t>
      </w:r>
    </w:p>
    <w:p>
      <w:pPr>
        <w:pStyle w:val="TextBody"/>
        <w:spacing w:before="120" w:after="0"/>
        <w:jc w:val="left"/>
        <w:rPr>
          <w:rFonts w:ascii="Times New Roman" w:hAnsi="Times New Roman"/>
          <w:sz w:val="20"/>
        </w:rPr>
      </w:pPr>
      <w:r>
        <w:rPr>
          <w:rFonts w:ascii="Times New Roman" w:hAnsi="Times New Roman"/>
          <w:sz w:val="20"/>
        </w:rPr>
        <w:t>(B) 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hAnsi="Times New Roman"/>
          <w:sz w:val="20"/>
          <w:u w:val="single"/>
        </w:rPr>
        <w:t>Exchange Act</w:t>
      </w:r>
      <w:r>
        <w:rPr>
          <w:rFonts w:ascii="Times New Roman" w:hAnsi="Times New Roman"/>
          <w:sz w:val="20"/>
        </w:rPr>
        <w:t xml:space="preserve">), with any interested stockholder (as defined below) for a period of three years following the time that such stockholder became an interested stockholder, unless: </w:t>
      </w:r>
    </w:p>
    <w:p>
      <w:pPr>
        <w:pStyle w:val="TextBody"/>
        <w:spacing w:before="120" w:after="0"/>
        <w:jc w:val="left"/>
        <w:rPr>
          <w:rFonts w:ascii="Times New Roman" w:hAnsi="Times New Roman"/>
          <w:sz w:val="20"/>
        </w:rPr>
      </w:pPr>
      <w:r>
        <w:rPr>
          <w:rFonts w:ascii="Times New Roman" w:hAnsi="Times New Roman"/>
          <w:sz w:val="20"/>
        </w:rPr>
        <w:t xml:space="preserve">(1) prior to such time, the Board approved either the business combination or the transaction which resulted in the stockholder becoming an interested stockholder, or </w:t>
      </w:r>
    </w:p>
    <w:p>
      <w:pPr>
        <w:pStyle w:val="TextBody"/>
        <w:spacing w:before="120" w:after="0"/>
        <w:jc w:val="left"/>
        <w:rPr>
          <w:rFonts w:ascii="Times New Roman" w:hAnsi="Times New Roman"/>
          <w:sz w:val="20"/>
        </w:rPr>
      </w:pPr>
      <w:r>
        <w:rPr>
          <w:rFonts w:ascii="Times New Roman" w:hAnsi="Times New Roman"/>
          <w:sz w:val="20"/>
        </w:rPr>
        <w:t xml:space="preserve">(2)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p>
      <w:pPr>
        <w:pStyle w:val="TextBody"/>
        <w:spacing w:before="120" w:after="0"/>
        <w:jc w:val="left"/>
        <w:rPr>
          <w:rFonts w:ascii="Times New Roman" w:hAnsi="Times New Roman"/>
          <w:sz w:val="20"/>
        </w:rPr>
      </w:pPr>
      <w:r>
        <w:rPr>
          <w:rFonts w:ascii="Times New Roman" w:hAnsi="Times New Roman"/>
          <w:sz w:val="20"/>
        </w:rPr>
        <w:t xml:space="preserve">(3) 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 </w:t>
      </w:r>
    </w:p>
    <w:p>
      <w:pPr>
        <w:pStyle w:val="TextBody"/>
        <w:spacing w:before="120" w:after="0"/>
        <w:jc w:val="left"/>
        <w:rPr>
          <w:rFonts w:ascii="Times New Roman" w:hAnsi="Times New Roman"/>
          <w:sz w:val="20"/>
        </w:rPr>
      </w:pPr>
      <w:r>
        <w:rPr>
          <w:rFonts w:ascii="Times New Roman" w:hAnsi="Times New Roman"/>
          <w:sz w:val="20"/>
        </w:rPr>
        <w:t xml:space="preserve">(C) For purposes of this Article IX, references to: </w:t>
      </w:r>
    </w:p>
    <w:p>
      <w:pPr>
        <w:pStyle w:val="TextBody"/>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Affiliate</w:t>
      </w:r>
      <w:r>
        <w:rPr>
          <w:rFonts w:ascii="Times New Roman" w:hAnsi="Times New Roman"/>
          <w:sz w:val="20"/>
        </w:rPr>
        <w:t xml:space="preserve"> means a person that directly, or indirectly through one or more intermediaries, controls, or is controlled by, or is under common control with, another person. </w:t>
      </w:r>
    </w:p>
    <w:p>
      <w:pPr>
        <w:pStyle w:val="TextBody"/>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associate</w:t>
      </w:r>
      <w:r>
        <w:rPr>
          <w:rFonts w:ascii="Times New Roman" w:hAnsi="Times New Roman"/>
          <w:sz w:val="20"/>
        </w:rPr>
        <w:t xml:space="preserv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 </w:t>
      </w:r>
    </w:p>
    <w:p>
      <w:pPr>
        <w:pStyle w:val="TextBody"/>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business combination</w:t>
      </w:r>
      <w:r>
        <w:rPr>
          <w:rFonts w:ascii="Times New Roman" w:hAnsi="Times New Roman"/>
          <w:sz w:val="20"/>
        </w:rPr>
        <w:t xml:space="preserve">, when used in reference to the Corporation and any interested stockholder of the Corporation, means: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6"/>
        <w:gridCol w:w="510"/>
        <w:gridCol w:w="8369"/>
      </w:tblGrid>
      <w:tr>
        <w:trPr/>
        <w:tc>
          <w:tcPr>
            <w:tcW w:w="132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83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Section (B) of this Article IX is not applicable to the surviving entity;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5"/>
        <w:gridCol w:w="510"/>
        <w:gridCol w:w="8370"/>
      </w:tblGrid>
      <w:tr>
        <w:trPr/>
        <w:tc>
          <w:tcPr>
            <w:tcW w:w="132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3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6"/>
        <w:gridCol w:w="510"/>
        <w:gridCol w:w="8369"/>
      </w:tblGrid>
      <w:tr>
        <w:trPr/>
        <w:tc>
          <w:tcPr>
            <w:tcW w:w="132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83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which results in the issuance or transfer by the Corporation or by any direct or indirect majority-owned subsidiary of the Corporation of any stock of the Corporation 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832"/>
        <w:gridCol w:w="8373"/>
      </w:tblGrid>
      <w:tr>
        <w:trPr/>
        <w:tc>
          <w:tcPr>
            <w:tcW w:w="1832" w:type="dxa"/>
            <w:tcBorders/>
            <w:shd w:fill="auto" w:val="clear"/>
            <w:vAlign w:val="center"/>
          </w:tcPr>
          <w:p>
            <w:pPr>
              <w:pStyle w:val="TableContents"/>
              <w:spacing w:before="0" w:after="283"/>
              <w:rPr/>
            </w:pPr>
            <w:r>
              <w:rPr/>
              <w:t> </w:t>
            </w:r>
          </w:p>
        </w:tc>
        <w:tc>
          <w:tcPr>
            <w:tcW w:w="8373" w:type="dxa"/>
            <w:tcBorders/>
            <w:shd w:fill="auto" w:val="clear"/>
          </w:tcPr>
          <w:p>
            <w:pPr>
              <w:pStyle w:val="TableContents"/>
              <w:spacing w:before="0" w:after="283"/>
              <w:jc w:val="left"/>
              <w:rPr/>
            </w:pPr>
            <w:r>
              <w:rPr/>
              <w:t xml:space="preserve">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w:t>
            </w:r>
            <w:r>
              <w:rPr>
                <w:i/>
              </w:rPr>
              <w:t>pro rata</w:t>
            </w:r>
            <w:r>
              <w:rPr/>
              <w:t xml:space="preserve">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i/>
              </w:rPr>
              <w:t>provided, however,</w:t>
            </w:r>
            <w:r>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5"/>
        <w:gridCol w:w="510"/>
        <w:gridCol w:w="8370"/>
      </w:tblGrid>
      <w:tr>
        <w:trPr/>
        <w:tc>
          <w:tcPr>
            <w:tcW w:w="132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83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6"/>
        <w:gridCol w:w="510"/>
        <w:gridCol w:w="8369"/>
      </w:tblGrid>
      <w:tr>
        <w:trPr/>
        <w:tc>
          <w:tcPr>
            <w:tcW w:w="132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83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 </w:t>
            </w:r>
          </w:p>
        </w:tc>
      </w:tr>
    </w:tbl>
    <w:p>
      <w:pPr>
        <w:pStyle w:val="TextBody"/>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 </w:t>
      </w:r>
    </w:p>
    <w:p>
      <w:pPr>
        <w:pStyle w:val="TextBody"/>
        <w:spacing w:before="120" w:after="0"/>
        <w:jc w:val="left"/>
        <w:rPr>
          <w:rFonts w:ascii="Times New Roman" w:hAnsi="Times New Roman"/>
          <w:sz w:val="20"/>
        </w:rPr>
      </w:pPr>
      <w:r>
        <w:rPr>
          <w:rFonts w:ascii="Times New Roman" w:hAnsi="Times New Roman"/>
          <w:sz w:val="20"/>
        </w:rPr>
        <w:t>(5) </w:t>
      </w:r>
      <w:r>
        <w:rPr>
          <w:rFonts w:ascii="Times New Roman" w:hAnsi="Times New Roman"/>
          <w:sz w:val="20"/>
          <w:u w:val="single"/>
        </w:rPr>
        <w:t>interested stockholder</w:t>
      </w:r>
      <w:r>
        <w:rPr>
          <w:rFonts w:ascii="Times New Roman" w:hAnsi="Times New Roman"/>
          <w:sz w:val="20"/>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Times New Roman" w:hAnsi="Times New Roman"/>
          <w:i/>
          <w:sz w:val="20"/>
        </w:rPr>
        <w:t>provided, further</w:t>
      </w:r>
      <w:r>
        <w:rPr>
          <w:rFonts w:ascii="Times New Roman" w:hAnsi="Times New Roman"/>
          <w:sz w:val="20"/>
        </w:rPr>
        <w:t xml:space="preserve">,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owner below but shall not include any other unissued stock of the Corporation which may be issuable pursuant to any agreement, arrangement or understanding, or upon exercise of conversion rights, warrants or options, or otherwise. </w:t>
      </w:r>
    </w:p>
    <w:p>
      <w:pPr>
        <w:pStyle w:val="TextBody"/>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owner</w:t>
      </w:r>
      <w:r>
        <w:rPr>
          <w:rFonts w:ascii="Times New Roman" w:hAnsi="Times New Roman"/>
          <w:sz w:val="20"/>
        </w:rPr>
        <w:t>. including the terms </w:t>
      </w:r>
      <w:r>
        <w:rPr>
          <w:rFonts w:ascii="Times New Roman" w:hAnsi="Times New Roman"/>
          <w:sz w:val="20"/>
          <w:u w:val="single"/>
        </w:rPr>
        <w:t>own</w:t>
      </w:r>
      <w:r>
        <w:rPr>
          <w:rFonts w:ascii="Times New Roman" w:hAnsi="Times New Roman"/>
          <w:sz w:val="20"/>
        </w:rPr>
        <w:t> and </w:t>
      </w:r>
      <w:r>
        <w:rPr>
          <w:rFonts w:ascii="Times New Roman" w:hAnsi="Times New Roman"/>
          <w:sz w:val="20"/>
          <w:u w:val="single"/>
        </w:rPr>
        <w:t>owned</w:t>
      </w:r>
      <w:r>
        <w:rPr>
          <w:rFonts w:ascii="Times New Roman" w:hAnsi="Times New Roman"/>
          <w:sz w:val="20"/>
        </w:rPr>
        <w:t xml:space="preserve">. when used with respect to any stock, means a person that individually or with or through any of its Affiliates or associates: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5"/>
        <w:gridCol w:w="508"/>
        <w:gridCol w:w="8372"/>
      </w:tblGrid>
      <w:tr>
        <w:trPr/>
        <w:tc>
          <w:tcPr>
            <w:tcW w:w="132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83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beneficially owns such stock, directly or indirectly;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5"/>
        <w:gridCol w:w="510"/>
        <w:gridCol w:w="8370"/>
      </w:tblGrid>
      <w:tr>
        <w:trPr/>
        <w:tc>
          <w:tcPr>
            <w:tcW w:w="132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3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hAnsi="Times New Roman"/>
                <w:i/>
                <w:sz w:val="20"/>
              </w:rPr>
              <w:t>provided, however,</w:t>
            </w:r>
            <w:r>
              <w:rPr>
                <w:rFonts w:ascii="Times New Roman" w:hAnsi="Times New Roman"/>
                <w:sz w:val="20"/>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hAnsi="Times New Roman"/>
                <w:i/>
                <w:sz w:val="20"/>
              </w:rPr>
              <w:t>provided, however,</w:t>
            </w:r>
            <w:r>
              <w:rPr>
                <w:rFonts w:ascii="Times New Roman" w:hAnsi="Times New Roman"/>
                <w:sz w:val="20"/>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4"/>
        <w:gridCol w:w="509"/>
        <w:gridCol w:w="8372"/>
      </w:tblGrid>
      <w:tr>
        <w:trPr/>
        <w:tc>
          <w:tcPr>
            <w:tcW w:w="132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83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 </w:t>
            </w:r>
          </w:p>
        </w:tc>
      </w:tr>
    </w:tbl>
    <w:p>
      <w:pPr>
        <w:pStyle w:val="TextBody"/>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person</w:t>
      </w:r>
      <w:r>
        <w:rPr>
          <w:rFonts w:ascii="Times New Roman" w:hAnsi="Times New Roman"/>
          <w:sz w:val="20"/>
        </w:rPr>
        <w:t xml:space="preserve"> means any individual, corporation, partnership, unincorporated association or other entity. </w:t>
      </w:r>
    </w:p>
    <w:p>
      <w:pPr>
        <w:pStyle w:val="TextBody"/>
        <w:spacing w:before="120" w:after="0"/>
        <w:jc w:val="left"/>
        <w:rPr>
          <w:rFonts w:ascii="Times New Roman" w:hAnsi="Times New Roman"/>
          <w:sz w:val="20"/>
        </w:rPr>
      </w:pPr>
      <w:r>
        <w:rPr>
          <w:rFonts w:ascii="Times New Roman" w:hAnsi="Times New Roman"/>
          <w:sz w:val="20"/>
        </w:rPr>
        <w:t>(8) </w:t>
      </w:r>
      <w:r>
        <w:rPr>
          <w:rFonts w:ascii="Times New Roman" w:hAnsi="Times New Roman"/>
          <w:sz w:val="20"/>
          <w:u w:val="single"/>
        </w:rPr>
        <w:t>stock</w:t>
      </w:r>
      <w:r>
        <w:rPr>
          <w:rFonts w:ascii="Times New Roman" w:hAnsi="Times New Roman"/>
          <w:sz w:val="20"/>
        </w:rPr>
        <w:t xml:space="preserve"> means, with respect to any corporation, capital stock and, with respect to any other entity, any equity interest. </w:t>
      </w:r>
    </w:p>
    <w:p>
      <w:pPr>
        <w:pStyle w:val="TextBody"/>
        <w:spacing w:before="120" w:after="0"/>
        <w:jc w:val="left"/>
        <w:rPr>
          <w:rFonts w:ascii="Times New Roman" w:hAnsi="Times New Roman"/>
          <w:sz w:val="20"/>
        </w:rPr>
      </w:pPr>
      <w:r>
        <w:rPr>
          <w:rFonts w:ascii="Times New Roman" w:hAnsi="Times New Roman"/>
          <w:sz w:val="20"/>
        </w:rPr>
        <w:t>(9) </w:t>
      </w:r>
      <w:r>
        <w:rPr>
          <w:rFonts w:ascii="Times New Roman" w:hAnsi="Times New Roman"/>
          <w:sz w:val="20"/>
          <w:u w:val="single"/>
        </w:rPr>
        <w:t>Stockholder Parties</w:t>
      </w:r>
      <w:r>
        <w:rPr>
          <w:rFonts w:ascii="Times New Roman" w:hAnsi="Times New Roman"/>
          <w:sz w:val="20"/>
        </w:rPr>
        <w:t> means the Stockholders (as defined in the Stockholders Agreement). The term </w:t>
      </w:r>
      <w:r>
        <w:rPr>
          <w:rFonts w:ascii="Times New Roman" w:hAnsi="Times New Roman"/>
          <w:sz w:val="20"/>
          <w:u w:val="single"/>
        </w:rPr>
        <w:t>Stockholder Party</w:t>
      </w:r>
      <w:r>
        <w:rPr>
          <w:rFonts w:ascii="Times New Roman" w:hAnsi="Times New Roman"/>
          <w:sz w:val="20"/>
        </w:rPr>
        <w:t xml:space="preserve"> shall have a correlative meaning to Stockholder Parties. </w:t>
      </w:r>
    </w:p>
    <w:p>
      <w:pPr>
        <w:pStyle w:val="TextBody"/>
        <w:spacing w:before="12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Stockholder Party Direct Transferee</w:t>
      </w:r>
      <w:r>
        <w:rPr>
          <w:rFonts w:ascii="Times New Roman" w:hAnsi="Times New Roman"/>
          <w:sz w:val="20"/>
        </w:rPr>
        <w:t xml:space="preserve">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 </w:t>
      </w:r>
    </w:p>
    <w:p>
      <w:pPr>
        <w:pStyle w:val="TextBody"/>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Stockholder Party Indirect Transferee</w:t>
      </w:r>
      <w:r>
        <w:rPr>
          <w:rFonts w:ascii="Times New Roman" w:hAnsi="Times New Roman"/>
          <w:sz w:val="20"/>
        </w:rPr>
        <w:t xml:space="preserve"> means any person that acquires (other than in a registered public offering) directly from any Stockholder Party Direct Transferee or any other Stockholder Party Indirect Transferee beneficial ownership of 15% or more of the then-outstanding voting stock of the Corporation. </w:t>
      </w:r>
    </w:p>
    <w:p>
      <w:pPr>
        <w:pStyle w:val="TextBody"/>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voting stock</w:t>
      </w:r>
      <w:r>
        <w:rPr>
          <w:rFonts w:ascii="Times New Roman" w:hAnsi="Times New Roman"/>
          <w:sz w:val="20"/>
        </w:rPr>
        <w:t xml:space="preserve">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X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Competition and Corporate Opportunities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In recognition and anticipation that (i) certain directors, principals, officers, employees, equityholders and/or other representatives of VPC Impact Acquisition Holdings Sponsor, LLC (</w:t>
      </w:r>
      <w:r>
        <w:rPr>
          <w:rFonts w:ascii="Times New Roman" w:hAnsi="Times New Roman"/>
          <w:sz w:val="20"/>
          <w:u w:val="single"/>
        </w:rPr>
        <w:t>Sponsor</w:t>
      </w:r>
      <w:r>
        <w:rPr>
          <w:rFonts w:ascii="Times New Roman" w:hAnsi="Times New Roman"/>
          <w:sz w:val="20"/>
        </w:rPr>
        <w:t>)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(Holdings)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Times New Roman" w:hAnsi="Times New Roman"/>
          <w:sz w:val="20"/>
          <w:u w:val="single"/>
        </w:rPr>
        <w:t>Non-Employee Directors</w:t>
      </w:r>
      <w:r>
        <w:rPr>
          <w:rFonts w:ascii="Times New Roman" w:hAnsi="Times New Roman"/>
          <w:sz w:val="20"/>
        </w:rPr>
        <w:t xml:space="preserve">)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 </w:t>
      </w:r>
    </w:p>
    <w:p>
      <w:pPr>
        <w:pStyle w:val="TextBody"/>
        <w:spacing w:before="120" w:after="0"/>
        <w:jc w:val="left"/>
        <w:rPr>
          <w:rFonts w:ascii="Times New Roman" w:hAnsi="Times New Roman"/>
          <w:sz w:val="20"/>
        </w:rPr>
      </w:pPr>
      <w:r>
        <w:rPr>
          <w:rFonts w:ascii="Times New Roman" w:hAnsi="Times New Roman"/>
          <w:sz w:val="20"/>
        </w:rPr>
        <w:t>(B) None of (i) Sponsor, (ii) Holdings or (iii) any Non-Employee Director or his, her or its respective Affiliates or Affiliated Entities (the Persons (as defined below) above being referred to, collectively, as </w:t>
      </w:r>
      <w:r>
        <w:rPr>
          <w:rFonts w:ascii="Times New Roman" w:hAnsi="Times New Roman"/>
          <w:sz w:val="20"/>
          <w:u w:val="single"/>
        </w:rPr>
        <w:t>Identified Persons</w:t>
      </w:r>
      <w:r>
        <w:rPr>
          <w:rFonts w:ascii="Times New Roman" w:hAnsi="Times New Roman"/>
          <w:sz w:val="20"/>
        </w:rPr>
        <w:t> and, individually, as an </w:t>
      </w:r>
      <w:r>
        <w:rPr>
          <w:rFonts w:ascii="Times New Roman" w:hAnsi="Times New Roman"/>
          <w:sz w:val="20"/>
          <w:u w:val="single"/>
        </w:rPr>
        <w:t>Identified Person</w:t>
      </w:r>
      <w:r>
        <w:rPr>
          <w:rFonts w:ascii="Times New Roman" w:hAnsi="Times New Roman"/>
          <w:sz w:val="20"/>
        </w:rPr>
        <w:t xml:space="preserve">)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10.1(C) of this Article X. 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 </w:t>
      </w:r>
    </w:p>
    <w:p>
      <w:pPr>
        <w:pStyle w:val="TextBody"/>
        <w:spacing w:before="120" w:after="0"/>
        <w:jc w:val="left"/>
        <w:rPr>
          <w:rFonts w:ascii="Times New Roman" w:hAnsi="Times New Roman"/>
          <w:sz w:val="20"/>
        </w:rPr>
      </w:pPr>
      <w:r>
        <w:rPr>
          <w:rFonts w:ascii="Times New Roman" w:hAnsi="Times New Roman"/>
          <w:sz w:val="20"/>
        </w:rPr>
        <w:t xml:space="preserve">(C) 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 </w:t>
      </w:r>
    </w:p>
    <w:p>
      <w:pPr>
        <w:pStyle w:val="TextBody"/>
        <w:spacing w:before="120" w:after="0"/>
        <w:jc w:val="left"/>
        <w:rPr>
          <w:rFonts w:ascii="Times New Roman" w:hAnsi="Times New Roman"/>
          <w:sz w:val="20"/>
        </w:rPr>
      </w:pPr>
      <w:r>
        <w:rPr>
          <w:rFonts w:ascii="Times New Roman" w:hAnsi="Times New Roman"/>
          <w:sz w:val="20"/>
        </w:rPr>
        <w:t xml:space="preserve">(D) 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 </w:t>
      </w:r>
    </w:p>
    <w:p>
      <w:pPr>
        <w:pStyle w:val="TextBody"/>
        <w:spacing w:before="120" w:after="0"/>
        <w:jc w:val="left"/>
        <w:rPr>
          <w:rFonts w:ascii="Times New Roman" w:hAnsi="Times New Roman"/>
          <w:sz w:val="20"/>
        </w:rPr>
      </w:pPr>
      <w:r>
        <w:rPr>
          <w:rFonts w:ascii="Times New Roman" w:hAnsi="Times New Roman"/>
          <w:sz w:val="20"/>
        </w:rPr>
        <w:t>(E) For purposes of this Article X, (i) </w:t>
      </w:r>
      <w:r>
        <w:rPr>
          <w:rFonts w:ascii="Times New Roman" w:hAnsi="Times New Roman"/>
          <w:sz w:val="20"/>
          <w:u w:val="single"/>
        </w:rPr>
        <w:t>Affiliate</w:t>
      </w:r>
      <w:r>
        <w:rPr>
          <w:rFonts w:ascii="Times New Roman" w:hAnsi="Times New Roman"/>
          <w:sz w:val="20"/>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(ii) </w:t>
      </w:r>
      <w:r>
        <w:rPr>
          <w:rFonts w:ascii="Times New Roman" w:hAnsi="Times New Roman"/>
          <w:sz w:val="20"/>
          <w:u w:val="single"/>
        </w:rPr>
        <w:t>Affiliated Entity</w:t>
      </w:r>
      <w:r>
        <w:rPr>
          <w:rFonts w:ascii="Times New Roman" w:hAnsi="Times New Roman"/>
          <w:sz w:val="20"/>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Times New Roman" w:hAnsi="Times New Roman"/>
          <w:sz w:val="20"/>
          <w:u w:val="single"/>
        </w:rPr>
        <w:t>Person</w:t>
      </w:r>
      <w:r>
        <w:rPr>
          <w:rFonts w:ascii="Times New Roman" w:hAnsi="Times New Roman"/>
          <w:sz w:val="20"/>
        </w:rPr>
        <w:t xml:space="preserve"> shall mean any individual, corporation, general or limited partnership, limited liability company, joint venture, trust, association or any other entity. </w:t>
      </w:r>
    </w:p>
    <w:p>
      <w:pPr>
        <w:pStyle w:val="TextBody"/>
        <w:spacing w:before="120" w:after="0"/>
        <w:jc w:val="left"/>
        <w:rPr>
          <w:rFonts w:ascii="Times New Roman" w:hAnsi="Times New Roman"/>
          <w:sz w:val="20"/>
        </w:rPr>
      </w:pPr>
      <w:r>
        <w:rPr>
          <w:rFonts w:ascii="Times New Roman" w:hAnsi="Times New Roman"/>
          <w:sz w:val="20"/>
        </w:rPr>
        <w:t xml:space="preserve">(F) To the fullest extent permitted by law, any Person purchasing or otherwise acquiring any interest in any shares of capital stock of the Corporation shall be deemed to have notice of and to have consented to the provisions of this Article X. </w:t>
      </w:r>
    </w:p>
    <w:p>
      <w:pPr>
        <w:pStyle w:val="TextBody"/>
        <w:spacing w:before="120" w:after="0"/>
        <w:jc w:val="left"/>
        <w:rPr>
          <w:rFonts w:ascii="Times New Roman" w:hAnsi="Times New Roman"/>
          <w:sz w:val="20"/>
        </w:rPr>
      </w:pPr>
      <w:r>
        <w:rPr>
          <w:rFonts w:ascii="Times New Roman" w:hAnsi="Times New Roman"/>
          <w:sz w:val="20"/>
        </w:rPr>
        <w:t xml:space="preserve">(G) 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XI </w:t>
      </w:r>
    </w:p>
    <w:p>
      <w:pPr>
        <w:pStyle w:val="TextBody"/>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Severability</w:t>
      </w:r>
      <w:r>
        <w:rPr>
          <w:rFonts w:ascii="Times New Roman" w:hAnsi="Times New Roman"/>
          <w:sz w:val="20"/>
        </w:rPr>
        <w:t xml:space="preserve">.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w:t>
      </w:r>
    </w:p>
    <w:p>
      <w:pPr>
        <w:pStyle w:val="TextBody"/>
        <w:spacing w:before="480" w:after="0"/>
        <w:jc w:val="center"/>
        <w:rPr>
          <w:rFonts w:ascii="Times New Roman" w:hAnsi="Times New Roman"/>
          <w:b/>
          <w:sz w:val="20"/>
        </w:rPr>
      </w:pPr>
      <w:r>
        <w:rPr>
          <w:rFonts w:ascii="Times New Roman" w:hAnsi="Times New Roman"/>
          <w:b/>
          <w:sz w:val="20"/>
        </w:rPr>
        <w:t xml:space="preserve">ARTICLE XII </w:t>
      </w:r>
    </w:p>
    <w:p>
      <w:pPr>
        <w:pStyle w:val="TextBody"/>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Forum</w:t>
      </w:r>
      <w:r>
        <w:rPr>
          <w:rFonts w:ascii="Times New Roman" w:hAnsi="Times New Roman"/>
          <w:sz w:val="20"/>
        </w:rPr>
        <w:t xml:space="preserve">.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 (vi) 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 </w:t>
      </w:r>
    </w:p>
    <w:p>
      <w:pPr>
        <w:pStyle w:val="TextBody"/>
        <w:spacing w:before="480" w:after="0"/>
        <w:jc w:val="center"/>
        <w:rPr>
          <w:rFonts w:ascii="Times New Roman" w:hAnsi="Times New Roman"/>
          <w:b/>
          <w:sz w:val="20"/>
        </w:rPr>
      </w:pPr>
      <w:r>
        <w:rPr>
          <w:rFonts w:ascii="Times New Roman" w:hAnsi="Times New Roman"/>
          <w:b/>
          <w:sz w:val="20"/>
        </w:rPr>
        <w:t xml:space="preserve">ARTICLE XIII </w:t>
      </w:r>
    </w:p>
    <w:p>
      <w:pPr>
        <w:pStyle w:val="TextBody"/>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Amendments</w:t>
      </w:r>
      <w:r>
        <w:rPr>
          <w:rFonts w:ascii="Times New Roman" w:hAnsi="Times New Roman"/>
          <w:sz w:val="20"/>
        </w:rPr>
        <w:t xml:space="preserve">.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XIV </w:t>
      </w:r>
    </w:p>
    <w:p>
      <w:pPr>
        <w:pStyle w:val="TextBody"/>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Facts Ascertainable</w:t>
      </w:r>
      <w:r>
        <w:rPr>
          <w:rFonts w:ascii="Times New Roman" w:hAnsi="Times New Roman"/>
          <w:sz w:val="20"/>
        </w:rPr>
        <w:t xml:space="preserve">.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 </w:t>
      </w:r>
    </w:p>
    <w:p>
      <w:pPr>
        <w:pStyle w:val="TextBody"/>
        <w:spacing w:before="480" w:after="0"/>
        <w:jc w:val="center"/>
        <w:rPr>
          <w:rFonts w:ascii="Times New Roman" w:hAnsi="Times New Roman"/>
          <w:b/>
          <w:sz w:val="20"/>
        </w:rPr>
      </w:pPr>
      <w:r>
        <w:rPr>
          <w:rFonts w:ascii="Times New Roman" w:hAnsi="Times New Roman"/>
          <w:b/>
          <w:sz w:val="20"/>
        </w:rPr>
        <w:t xml:space="preserve">ARTICLE XV </w:t>
      </w:r>
    </w:p>
    <w:p>
      <w:pPr>
        <w:pStyle w:val="TextBody"/>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sz w:val="20"/>
          <w:u w:val="single"/>
        </w:rPr>
        <w:t>Sole Incorporator and Directors</w:t>
      </w:r>
      <w:r>
        <w:rPr>
          <w:rFonts w:ascii="Times New Roman" w:hAnsi="Times New Roman"/>
          <w:sz w:val="20"/>
        </w:rPr>
        <w:t xml:space="preserve">. The name and mailing address of the sole incorporator is as follows: </w:t>
      </w:r>
    </w:p>
    <w:p>
      <w:pPr>
        <w:pStyle w:val="TextBody"/>
        <w:spacing w:before="0" w:after="0"/>
        <w:jc w:val="left"/>
        <w:rPr/>
      </w:pPr>
      <w:r>
        <w:rPr/>
        <w:t> </w:t>
      </w:r>
    </w:p>
    <w:tbl>
      <w:tblPr>
        <w:tblW w:w="4850" w:type="pct"/>
        <w:jc w:val="center"/>
        <w:tblInd w:w="0" w:type="dxa"/>
        <w:tblCellMar>
          <w:top w:w="0" w:type="dxa"/>
          <w:left w:w="0" w:type="dxa"/>
          <w:bottom w:w="0" w:type="dxa"/>
          <w:right w:w="0" w:type="dxa"/>
        </w:tblCellMar>
      </w:tblPr>
      <w:tblGrid>
        <w:gridCol w:w="5047"/>
        <w:gridCol w:w="198"/>
        <w:gridCol w:w="4653"/>
      </w:tblGrid>
      <w:tr>
        <w:trPr/>
        <w:tc>
          <w:tcPr>
            <w:tcW w:w="504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4653" w:type="dxa"/>
            <w:tcBorders/>
            <w:shd w:fill="auto" w:val="clear"/>
            <w:vAlign w:val="center"/>
          </w:tcPr>
          <w:p>
            <w:pPr>
              <w:pStyle w:val="TableContents"/>
              <w:spacing w:before="0" w:after="283"/>
              <w:rPr>
                <w:sz w:val="4"/>
                <w:szCs w:val="4"/>
              </w:rPr>
            </w:pPr>
            <w:r>
              <w:rPr>
                <w:sz w:val="4"/>
                <w:szCs w:val="4"/>
              </w:rPr>
            </w:r>
          </w:p>
        </w:tc>
      </w:tr>
      <w:tr>
        <w:trPr/>
        <w:tc>
          <w:tcPr>
            <w:tcW w:w="5047" w:type="dxa"/>
            <w:tcBorders/>
            <w:shd w:fill="auto" w:val="clear"/>
          </w:tcPr>
          <w:p>
            <w:pPr>
              <w:pStyle w:val="TableContents"/>
              <w:spacing w:before="0" w:after="283"/>
              <w:rPr/>
            </w:pPr>
            <w:r>
              <w:rPr/>
              <w:t>[Name]</w:t>
            </w:r>
          </w:p>
        </w:tc>
        <w:tc>
          <w:tcPr>
            <w:tcW w:w="198" w:type="dxa"/>
            <w:tcBorders/>
            <w:shd w:fill="auto" w:val="clear"/>
            <w:vAlign w:val="bottom"/>
          </w:tcPr>
          <w:p>
            <w:pPr>
              <w:pStyle w:val="TableContents"/>
              <w:spacing w:before="0" w:after="283"/>
              <w:rPr/>
            </w:pPr>
            <w:r>
              <w:rPr/>
              <w:t>  </w:t>
            </w:r>
          </w:p>
        </w:tc>
        <w:tc>
          <w:tcPr>
            <w:tcW w:w="4653" w:type="dxa"/>
            <w:tcBorders/>
            <w:shd w:fill="auto" w:val="clear"/>
          </w:tcPr>
          <w:p>
            <w:pPr>
              <w:pStyle w:val="TableContents"/>
              <w:spacing w:before="0" w:after="283"/>
              <w:rPr/>
            </w:pPr>
            <w:r>
              <w:rPr/>
              <w:t>[Mailing Address]</w:t>
            </w:r>
          </w:p>
        </w:tc>
      </w:tr>
    </w:tbl>
    <w:p>
      <w:pPr>
        <w:pStyle w:val="TextBody"/>
        <w:spacing w:before="240" w:after="0"/>
        <w:jc w:val="left"/>
        <w:rPr>
          <w:rFonts w:ascii="Times New Roman" w:hAnsi="Times New Roman"/>
          <w:sz w:val="20"/>
        </w:rPr>
      </w:pPr>
      <w:r>
        <w:rPr>
          <w:rFonts w:ascii="Times New Roman" w:hAnsi="Times New Roman"/>
          <w:sz w:val="20"/>
        </w:rPr>
        <w:t xml:space="preserve">The powers of the incorporator are to terminate upon the filing of this Certificate of Incorporation with the Secretary of State of the State of Delaware. The names and mailing addresses of the persons who are to serve as the directors of the Corporation until the first annual meeting of stockholders of the Corporation, until their successors are duly elected and qualified, or until their earlier death, resignation, retirement, or removal from office, are as follows: </w:t>
      </w:r>
    </w:p>
    <w:p>
      <w:pPr>
        <w:pStyle w:val="TextBody"/>
        <w:spacing w:before="0" w:after="0"/>
        <w:jc w:val="left"/>
        <w:rPr/>
      </w:pPr>
      <w:r>
        <w:rPr/>
        <w:t> </w:t>
      </w:r>
    </w:p>
    <w:tbl>
      <w:tblPr>
        <w:tblW w:w="4850" w:type="pct"/>
        <w:jc w:val="center"/>
        <w:tblInd w:w="0" w:type="dxa"/>
        <w:tblCellMar>
          <w:top w:w="0" w:type="dxa"/>
          <w:left w:w="0" w:type="dxa"/>
          <w:bottom w:w="0" w:type="dxa"/>
          <w:right w:w="0" w:type="dxa"/>
        </w:tblCellMar>
      </w:tblPr>
      <w:tblGrid>
        <w:gridCol w:w="5048"/>
        <w:gridCol w:w="197"/>
        <w:gridCol w:w="4653"/>
      </w:tblGrid>
      <w:tr>
        <w:trPr/>
        <w:tc>
          <w:tcPr>
            <w:tcW w:w="504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4653" w:type="dxa"/>
            <w:tcBorders/>
            <w:shd w:fill="auto" w:val="clear"/>
            <w:vAlign w:val="center"/>
          </w:tcPr>
          <w:p>
            <w:pPr>
              <w:pStyle w:val="TableContents"/>
              <w:spacing w:before="0" w:after="283"/>
              <w:rPr>
                <w:sz w:val="4"/>
                <w:szCs w:val="4"/>
              </w:rPr>
            </w:pPr>
            <w:r>
              <w:rPr>
                <w:sz w:val="4"/>
                <w:szCs w:val="4"/>
              </w:rPr>
            </w:r>
          </w:p>
        </w:tc>
      </w:tr>
      <w:tr>
        <w:trPr/>
        <w:tc>
          <w:tcPr>
            <w:tcW w:w="5048" w:type="dxa"/>
            <w:tcBorders/>
            <w:shd w:fill="auto" w:val="clear"/>
          </w:tcPr>
          <w:p>
            <w:pPr>
              <w:pStyle w:val="TableContents"/>
              <w:spacing w:before="0" w:after="283"/>
              <w:rPr/>
            </w:pPr>
            <w:r>
              <w:rPr/>
              <w:t>[Names]</w:t>
            </w:r>
          </w:p>
        </w:tc>
        <w:tc>
          <w:tcPr>
            <w:tcW w:w="197" w:type="dxa"/>
            <w:tcBorders/>
            <w:shd w:fill="auto" w:val="clear"/>
            <w:vAlign w:val="bottom"/>
          </w:tcPr>
          <w:p>
            <w:pPr>
              <w:pStyle w:val="TableContents"/>
              <w:spacing w:before="0" w:after="283"/>
              <w:rPr/>
            </w:pPr>
            <w:r>
              <w:rPr/>
              <w:t>  </w:t>
            </w:r>
          </w:p>
        </w:tc>
        <w:tc>
          <w:tcPr>
            <w:tcW w:w="4653" w:type="dxa"/>
            <w:tcBorders/>
            <w:shd w:fill="auto" w:val="clear"/>
          </w:tcPr>
          <w:p>
            <w:pPr>
              <w:pStyle w:val="TableContents"/>
              <w:spacing w:before="0" w:after="283"/>
              <w:rPr/>
            </w:pPr>
            <w:r>
              <w:rPr/>
              <w:t>[Mailing Addresses]</w:t>
            </w:r>
          </w:p>
        </w:tc>
      </w:tr>
    </w:tbl>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Sole Incorporator has caused this Certificate of Incorporation to be signed on ________ __,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80"/>
        <w:gridCol w:w="102"/>
        <w:gridCol w:w="2900"/>
      </w:tblGrid>
      <w:tr>
        <w:trPr/>
        <w:tc>
          <w:tcPr>
            <w:tcW w:w="10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900" w:type="dxa"/>
            <w:tcBorders/>
            <w:shd w:fill="auto" w:val="clear"/>
            <w:vAlign w:val="center"/>
          </w:tcPr>
          <w:p>
            <w:pPr>
              <w:pStyle w:val="TableContents"/>
              <w:spacing w:before="0" w:after="283"/>
              <w:rPr>
                <w:sz w:val="4"/>
                <w:szCs w:val="4"/>
              </w:rPr>
            </w:pPr>
            <w:r>
              <w:rPr>
                <w:sz w:val="4"/>
                <w:szCs w:val="4"/>
              </w:rPr>
            </w:r>
          </w:p>
        </w:tc>
      </w:tr>
      <w:tr>
        <w:trPr/>
        <w:tc>
          <w:tcPr>
            <w:tcW w:w="1080" w:type="dxa"/>
            <w:tcBorders/>
            <w:shd w:fill="auto" w:val="clear"/>
          </w:tcPr>
          <w:p>
            <w:pPr>
              <w:pStyle w:val="TableContents"/>
              <w:spacing w:before="0" w:after="283"/>
              <w:rPr/>
            </w:pPr>
            <w:r>
              <w:rPr/>
              <w:t>By:</w:t>
            </w:r>
          </w:p>
        </w:tc>
        <w:tc>
          <w:tcPr>
            <w:tcW w:w="102" w:type="dxa"/>
            <w:tcBorders/>
            <w:shd w:fill="auto" w:val="clear"/>
            <w:vAlign w:val="bottom"/>
          </w:tcPr>
          <w:p>
            <w:pPr>
              <w:pStyle w:val="TableContents"/>
              <w:spacing w:before="0" w:after="283"/>
              <w:rPr/>
            </w:pPr>
            <w:r>
              <w:rPr/>
              <w:t> </w:t>
            </w:r>
          </w:p>
        </w:tc>
        <w:tc>
          <w:tcPr>
            <w:tcW w:w="2900" w:type="dxa"/>
            <w:tcBorders/>
            <w:shd w:fill="auto" w:val="clear"/>
          </w:tcPr>
          <w:p>
            <w:pPr>
              <w:pStyle w:val="TableContents"/>
              <w:pBdr>
                <w:bottom w:val="single" w:sz="2" w:space="1" w:color="000000"/>
              </w:pBdr>
              <w:spacing w:before="0" w:after="20"/>
              <w:rPr/>
            </w:pPr>
            <w:r>
              <w:rPr/>
              <w:t> </w:t>
            </w:r>
          </w:p>
        </w:tc>
      </w:tr>
      <w:tr>
        <w:trPr/>
        <w:tc>
          <w:tcPr>
            <w:tcW w:w="1080" w:type="dxa"/>
            <w:tcBorders/>
            <w:shd w:fill="auto" w:val="clear"/>
          </w:tcPr>
          <w:p>
            <w:pPr>
              <w:pStyle w:val="TableContents"/>
              <w:spacing w:before="0" w:after="283"/>
              <w:rPr/>
            </w:pPr>
            <w:r>
              <w:rPr/>
              <w:t>Name:</w:t>
            </w:r>
          </w:p>
        </w:tc>
        <w:tc>
          <w:tcPr>
            <w:tcW w:w="102" w:type="dxa"/>
            <w:tcBorders/>
            <w:shd w:fill="auto" w:val="clear"/>
            <w:vAlign w:val="bottom"/>
          </w:tcPr>
          <w:p>
            <w:pPr>
              <w:pStyle w:val="TableContents"/>
              <w:spacing w:before="0" w:after="283"/>
              <w:rPr/>
            </w:pPr>
            <w:r>
              <w:rPr/>
              <w:t> </w:t>
            </w:r>
          </w:p>
        </w:tc>
        <w:tc>
          <w:tcPr>
            <w:tcW w:w="2900" w:type="dxa"/>
            <w:tcBorders/>
            <w:shd w:fill="auto" w:val="clea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Sole Incorporator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i/>
          <w:sz w:val="20"/>
        </w:rPr>
      </w:pPr>
      <w:r>
        <w:rPr>
          <w:rFonts w:ascii="Times New Roman" w:hAnsi="Times New Roman"/>
          <w:i/>
          <w:sz w:val="20"/>
        </w:rPr>
        <w:t xml:space="preserve">[Signature Page to Certificate of Incorporation]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TextBody"/>
        <w:spacing w:before="0" w:after="0"/>
        <w:jc w:val="right"/>
        <w:rPr>
          <w:rFonts w:ascii="Times New Roman" w:hAnsi="Times New Roman"/>
          <w:b/>
          <w:sz w:val="20"/>
        </w:rPr>
      </w:pPr>
      <w:bookmarkStart w:id="138" w:name="anb2"/>
      <w:bookmarkEnd w:id="138"/>
      <w:r>
        <w:rPr>
          <w:rFonts w:ascii="Times New Roman" w:hAnsi="Times New Roman"/>
          <w:b/>
          <w:sz w:val="20"/>
        </w:rPr>
        <w:t xml:space="preserve">Annex B-2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BAKKT PUBCO BYLAWS </w:t>
      </w:r>
    </w:p>
    <w:p>
      <w:pPr>
        <w:pStyle w:val="TextBody"/>
        <w:spacing w:before="240" w:after="0"/>
        <w:jc w:val="center"/>
        <w:rPr>
          <w:rFonts w:ascii="Times New Roman" w:hAnsi="Times New Roman"/>
          <w:b/>
          <w:sz w:val="20"/>
        </w:rPr>
      </w:pPr>
      <w:bookmarkStart w:id="139" w:name="toc108105_45"/>
      <w:bookmarkEnd w:id="139"/>
      <w:r>
        <w:rPr>
          <w:rFonts w:ascii="Times New Roman" w:hAnsi="Times New Roman"/>
          <w:b/>
          <w:sz w:val="20"/>
        </w:rPr>
        <w:t xml:space="preserve">BY-LAWS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jc w:val="center"/>
        <w:rPr>
          <w:rFonts w:ascii="Times New Roman" w:hAnsi="Times New Roman"/>
          <w:b/>
          <w:sz w:val="20"/>
        </w:rPr>
      </w:pPr>
      <w:r>
        <w:rPr>
          <w:rFonts w:ascii="Times New Roman" w:hAnsi="Times New Roman"/>
          <w:b/>
          <w:sz w:val="20"/>
        </w:rPr>
        <w:t xml:space="preserve">BAKKT HOLDINGS, INC. </w:t>
      </w:r>
    </w:p>
    <w:p>
      <w:pPr>
        <w:pStyle w:val="TextBody"/>
        <w:spacing w:before="240" w:after="0"/>
        <w:jc w:val="center"/>
        <w:rPr>
          <w:rFonts w:ascii="Times New Roman" w:hAnsi="Times New Roman"/>
          <w:sz w:val="20"/>
        </w:rPr>
      </w:pPr>
      <w:r>
        <w:rPr>
          <w:rFonts w:ascii="Times New Roman" w:hAnsi="Times New Roman"/>
          <w:sz w:val="20"/>
        </w:rPr>
        <w:t xml:space="preserve">Effective as of [], 2021 </w:t>
      </w:r>
    </w:p>
    <w:p>
      <w:pPr>
        <w:pStyle w:val="TextBody"/>
        <w:spacing w:before="0" w:after="0"/>
        <w:jc w:val="center"/>
        <w:rPr>
          <w:rFonts w:ascii="Times New Roman" w:hAnsi="Times New Roman"/>
          <w:sz w:val="20"/>
        </w:rPr>
      </w:pPr>
      <w:r>
        <w:rPr>
          <w:rFonts w:ascii="Times New Roman" w:hAnsi="Times New Roman"/>
          <w:sz w:val="20"/>
        </w:rPr>
        <w:t xml:space="preserve">* * * </w:t>
      </w:r>
    </w:p>
    <w:p>
      <w:pPr>
        <w:pStyle w:val="TextBody"/>
        <w:spacing w:before="24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OFFICES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Registered Office</w:t>
      </w:r>
      <w:r>
        <w:rPr>
          <w:rFonts w:ascii="Times New Roman" w:hAnsi="Times New Roman"/>
          <w:sz w:val="20"/>
        </w:rPr>
        <w:t>. The registered office of Bakkt Holdings, Inc. (the </w:t>
      </w:r>
      <w:r>
        <w:rPr>
          <w:rFonts w:ascii="Times New Roman" w:hAnsi="Times New Roman"/>
          <w:sz w:val="20"/>
          <w:u w:val="single"/>
        </w:rPr>
        <w:t>Corporation</w:t>
      </w:r>
      <w:r>
        <w:rPr>
          <w:rFonts w:ascii="Times New Roman" w:hAnsi="Times New Roman"/>
          <w:sz w:val="20"/>
        </w:rPr>
        <w:t>) shall be fixed in the certificate of incorporation of the Corporation (as amended, restated, modified or supplemented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1.2 </w:t>
      </w:r>
      <w:r>
        <w:rPr>
          <w:rFonts w:ascii="Times New Roman" w:hAnsi="Times New Roman"/>
          <w:b/>
          <w:sz w:val="20"/>
          <w:u w:val="single"/>
        </w:rPr>
        <w:t>Additional Offices</w:t>
      </w:r>
      <w:r>
        <w:rPr>
          <w:rFonts w:ascii="Times New Roman" w:hAnsi="Times New Roman"/>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 w:hAnsi="Times New Roman"/>
          <w:sz w:val="20"/>
          <w:u w:val="single"/>
        </w:rPr>
        <w:t>Board</w:t>
      </w:r>
      <w:r>
        <w:rPr>
          <w:rFonts w:ascii="Times New Roman" w:hAnsi="Times New Roman"/>
          <w:sz w:val="20"/>
        </w:rPr>
        <w:t xml:space="preserve">) may from time to time determine or as the business and affairs of the Corporation may require.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STOCKHOLDERS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Annual Meetings</w:t>
      </w:r>
      <w:r>
        <w:rPr>
          <w:rFonts w:ascii="Times New Roman" w:hAnsi="Times New Roman"/>
          <w:sz w:val="20"/>
        </w:rPr>
        <w:t xml:space="preserve">. The annual meeting of the stockholders of the Corporation for the purpose of electing directors and for the 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Times New Roman" w:hAnsi="Times New Roman"/>
          <w:sz w:val="20"/>
          <w:u w:val="single"/>
        </w:rPr>
        <w:t>Section 2.12(c)(ii)</w:t>
      </w:r>
      <w:r>
        <w:rPr>
          <w:rFonts w:ascii="Times New Roman" w:hAnsi="Times New Roman"/>
          <w:sz w:val="20"/>
        </w:rPr>
        <w:t xml:space="preserve">, as may be designated from time to time by the Board and stated in the Corporations notice of the meeting. The Board may postpone, reschedule or cancel any annual meeting of stockholders previously scheduled.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Special Meetings</w:t>
      </w:r>
      <w:r>
        <w:rPr>
          <w:rFonts w:ascii="Times New Roman" w:hAnsi="Times New Roman"/>
          <w:sz w:val="20"/>
        </w:rPr>
        <w:t>. Except as otherwise required by the General Corporation Law of the State of Delaware (the </w:t>
      </w:r>
      <w:r>
        <w:rPr>
          <w:rFonts w:ascii="Times New Roman" w:hAnsi="Times New Roman"/>
          <w:sz w:val="20"/>
          <w:u w:val="single"/>
        </w:rPr>
        <w:t>DGCL</w:t>
      </w:r>
      <w:r>
        <w:rPr>
          <w:rFonts w:ascii="Times New Roman" w:hAnsi="Times New Roman"/>
          <w:sz w:val="20"/>
        </w:rPr>
        <w:t xml:space="preserve">) or required 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Times New Roman" w:hAnsi="Times New Roman"/>
          <w:sz w:val="20"/>
          <w:u w:val="single"/>
        </w:rPr>
        <w:t>Section 2.12(c)(ii)</w:t>
      </w:r>
      <w:r>
        <w:rPr>
          <w:rFonts w:ascii="Times New Roman" w:hAnsi="Times New Roman"/>
          <w:sz w:val="20"/>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Notice of Meetings</w:t>
      </w:r>
      <w:r>
        <w:rPr>
          <w:rFonts w:ascii="Times New Roman" w:hAnsi="Times New Roman"/>
          <w:sz w:val="20"/>
        </w:rPr>
        <w:t xml:space="preserve">. Except as otherwise provided by the DGCL, the Certificate of Incorporation or these By-Laws,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 </w:t>
      </w:r>
    </w:p>
    <w:p>
      <w:pPr>
        <w:pStyle w:val="TextBody"/>
        <w:spacing w:before="0" w:after="0"/>
        <w:jc w:val="left"/>
        <w:rPr>
          <w:rFonts w:ascii="Times New Roman" w:hAnsi="Times New Roman"/>
          <w:sz w:val="20"/>
        </w:rPr>
      </w:pPr>
      <w:r>
        <w:rPr>
          <w:rFonts w:ascii="Times New Roman" w:hAnsi="Times New Roman"/>
          <w:sz w:val="20"/>
        </w:rPr>
        <w:t xml:space="preserve">as of the record date for determining stockholders entitled to notice of the meeting. Such notice may be given in writing directed to such stockholders mailing address (or by electronic transmission directed to such stockholders electronic mail address, as applicable) as it 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Quorum; Adjournments</w:t>
      </w:r>
      <w:r>
        <w:rPr>
          <w:rFonts w:ascii="Times New Roman" w:hAnsi="Times New Roman"/>
          <w:sz w:val="20"/>
        </w:rPr>
        <w:t xml:space="preserve">. The holders of a majority in voting power of the stock issued and outstanding and entitled to vote thereat, 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Organization of Meetings</w:t>
      </w:r>
      <w:r>
        <w:rPr>
          <w:rFonts w:ascii="Times New Roman" w:hAnsi="Times New Roman"/>
          <w:sz w:val="20"/>
        </w:rPr>
        <w:t xml:space="preserve">. The Chairman of the Board, or in the absence of the Chairman of the Board, or at the Chairman of the 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B-2-2 </w:t>
      </w:r>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Proxies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 </w:t>
      </w:r>
    </w:p>
    <w:p>
      <w:pPr>
        <w:pStyle w:val="TextBody"/>
        <w:spacing w:before="120" w:after="0"/>
        <w:jc w:val="left"/>
        <w:rPr>
          <w:rFonts w:ascii="Times New Roman" w:hAnsi="Times New Roman"/>
          <w:sz w:val="20"/>
        </w:rPr>
      </w:pPr>
      <w:r>
        <w:rPr>
          <w:rFonts w:ascii="Times New Roman" w:hAnsi="Times New Roman"/>
          <w:sz w:val="20"/>
        </w:rPr>
        <w:t xml:space="preserve">(b)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w:t>
      </w:r>
    </w:p>
    <w:p>
      <w:pPr>
        <w:pStyle w:val="TextBody"/>
        <w:spacing w:before="120" w:after="0"/>
        <w:jc w:val="left"/>
        <w:rPr>
          <w:rFonts w:ascii="Times New Roman" w:hAnsi="Times New Roman"/>
          <w:sz w:val="20"/>
        </w:rPr>
      </w:pPr>
      <w:r>
        <w:rPr>
          <w:rFonts w:ascii="Times New Roman" w:hAnsi="Times New Roman"/>
          <w:sz w:val="20"/>
        </w:rPr>
        <w:t xml:space="preserve">(c) Proxies shall be filed with the secretary of the meeting prior to or at the commencement of the meeting to which they relate.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Voting</w:t>
      </w:r>
      <w:r>
        <w:rPr>
          <w:rFonts w:ascii="Times New Roman" w:hAnsi="Times New Roman"/>
          <w:sz w:val="20"/>
        </w:rPr>
        <w:t>. When a quorum is present at any meeting, the vote of the holders of a majority of the voting power of the outstanding shares 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 2021, by and among the Corporation and the other parties thereto (as it may be amended, supplemented or otherwise modified from time to time, the </w:t>
      </w:r>
      <w:r>
        <w:rPr>
          <w:rFonts w:ascii="Times New Roman" w:hAnsi="Times New Roman"/>
          <w:sz w:val="20"/>
          <w:u w:val="single"/>
        </w:rPr>
        <w:t>Stockholders Agreement</w:t>
      </w:r>
      <w:r>
        <w:rPr>
          <w:rFonts w:ascii="Times New Roman" w:hAnsi="Times New Roman"/>
          <w:sz w:val="20"/>
        </w:rPr>
        <w:t xml:space="preserve">),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2.8 </w:t>
      </w:r>
      <w:r>
        <w:rPr>
          <w:rFonts w:ascii="Times New Roman" w:hAnsi="Times New Roman"/>
          <w:b/>
          <w:sz w:val="20"/>
          <w:u w:val="single"/>
        </w:rPr>
        <w:t>Fixing Record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spacing w:before="120" w:after="0"/>
        <w:jc w:val="left"/>
        <w:rPr>
          <w:rFonts w:ascii="Times New Roman" w:hAnsi="Times New Roman"/>
          <w:sz w:val="20"/>
        </w:rPr>
      </w:pPr>
      <w:r>
        <w:rPr>
          <w:rFonts w:ascii="Times New Roman" w:hAnsi="Times New Roman"/>
          <w:sz w:val="20"/>
        </w:rPr>
        <w:t xml:space="preserve">(b)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B-2-3 </w:t>
      </w:r>
    </w:p>
    <w:p>
      <w:pPr>
        <w:pStyle w:val="TextBody"/>
        <w:spacing w:before="0" w:after="0"/>
        <w:jc w:val="left"/>
        <w:rPr>
          <w:rFonts w:ascii="Times New Roman" w:hAnsi="Times New Roman"/>
          <w:sz w:val="20"/>
        </w:rPr>
      </w:pPr>
      <w:r>
        <w:rPr>
          <w:rFonts w:ascii="Times New Roman" w:hAnsi="Times New Roman"/>
          <w:sz w:val="20"/>
        </w:rPr>
        <w:t xml:space="preserve">(c) 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2.9 </w:t>
      </w:r>
      <w:r>
        <w:rPr>
          <w:rFonts w:ascii="Times New Roman" w:hAnsi="Times New Roman"/>
          <w:b/>
          <w:sz w:val="20"/>
          <w:u w:val="single"/>
        </w:rPr>
        <w:t>Consents in Lieu of Meeting</w:t>
      </w:r>
      <w:r>
        <w:rPr>
          <w:rFonts w:ascii="Times New Roman" w:hAnsi="Times New Roman"/>
          <w:sz w:val="20"/>
        </w:rPr>
        <w:t xml:space="preserve">. At any time when action by one or more classes or series of stockholders of the Corporation is 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2.10 </w:t>
      </w:r>
      <w:r>
        <w:rPr>
          <w:rFonts w:ascii="Times New Roman" w:hAnsi="Times New Roman"/>
          <w:b/>
          <w:sz w:val="20"/>
          <w:u w:val="single"/>
        </w:rPr>
        <w:t>List of Stockholders Entitled to Vote</w:t>
      </w:r>
      <w:r>
        <w:rPr>
          <w:rFonts w:ascii="Times New Roman" w:hAnsi="Times New Roman"/>
          <w:sz w:val="20"/>
        </w:rPr>
        <w:t>. The Corporation shall prepare, at least ten (10) days before every meeting of stockholders, a complete list of the stockholders entitled to vote at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contained in this </w:t>
      </w:r>
      <w:r>
        <w:rPr>
          <w:rFonts w:ascii="Times New Roman" w:hAnsi="Times New Roman"/>
          <w:sz w:val="20"/>
          <w:u w:val="single"/>
        </w:rPr>
        <w:t>Section 2.10</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hAnsi="Times New Roman"/>
          <w:sz w:val="20"/>
          <w:u w:val="single"/>
        </w:rPr>
        <w:t>provided</w:t>
      </w:r>
      <w:r>
        <w:rPr>
          <w:rFonts w:ascii="Times New Roman" w:hAnsi="Times New Roman"/>
          <w:sz w:val="20"/>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2.11 </w:t>
      </w:r>
      <w:r>
        <w:rPr>
          <w:rFonts w:ascii="Times New Roman" w:hAnsi="Times New Roman"/>
          <w:b/>
          <w:sz w:val="20"/>
          <w:u w:val="single"/>
        </w:rPr>
        <w:t>Inspectors</w:t>
      </w:r>
      <w:r>
        <w:rPr>
          <w:rFonts w:ascii="Times New Roman" w:hAnsi="Times New Roman"/>
          <w:sz w:val="20"/>
        </w:rPr>
        <w:t xml:space="preserve">. The Board, in advance of all meetings of the stockholders, may, and shall if required by law, appoint one or more 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B-2-4 </w:t>
      </w:r>
    </w:p>
    <w:p>
      <w:pPr>
        <w:pStyle w:val="TextBody"/>
        <w:spacing w:before="0" w:after="0"/>
        <w:jc w:val="left"/>
        <w:rPr>
          <w:rFonts w:ascii="Times New Roman" w:hAnsi="Times New Roman"/>
          <w:sz w:val="20"/>
        </w:rPr>
      </w:pPr>
      <w:r>
        <w:rPr>
          <w:rFonts w:ascii="Times New Roman" w:hAnsi="Times New Roman"/>
          <w:sz w:val="20"/>
        </w:rPr>
        <w:t xml:space="preserve">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2.12 </w:t>
      </w:r>
      <w:r>
        <w:rPr>
          <w:rFonts w:ascii="Times New Roman" w:hAnsi="Times New Roman"/>
          <w:b/>
          <w:sz w:val="20"/>
          <w:u w:val="single"/>
        </w:rPr>
        <w:t>Conduct of Meetings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Times New Roman" w:hAnsi="Times New Roman"/>
          <w:sz w:val="20"/>
          <w:u w:val="single"/>
        </w:rPr>
        <w:t>Section 2.3</w:t>
      </w:r>
      <w:r>
        <w:rPr>
          <w:rFonts w:ascii="Times New Roman" w:hAnsi="Times New Roman"/>
          <w:sz w:val="20"/>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Times New Roman" w:hAnsi="Times New Roman"/>
          <w:sz w:val="20"/>
          <w:u w:val="single"/>
        </w:rPr>
        <w:t>subparagraphs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Section 2.12(a)</w:t>
      </w:r>
      <w:r>
        <w:rPr>
          <w:rFonts w:ascii="Times New Roman" w:hAnsi="Times New Roman"/>
          <w:sz w:val="20"/>
        </w:rPr>
        <w:t xml:space="preserve"> and who was a stockholder of record at the time such notice was delivered to the Secretary of the Corporation. </w:t>
      </w:r>
    </w:p>
    <w:p>
      <w:pPr>
        <w:pStyle w:val="TextBody"/>
        <w:spacing w:before="120" w:after="0"/>
        <w:jc w:val="left"/>
        <w:rPr>
          <w:rFonts w:ascii="Times New Roman" w:hAnsi="Times New Roman"/>
          <w:sz w:val="20"/>
        </w:rPr>
      </w:pPr>
      <w:r>
        <w:rPr>
          <w:rFonts w:ascii="Times New Roman" w:hAnsi="Times New Roman"/>
          <w:sz w:val="20"/>
        </w:rPr>
        <w:t xml:space="preserve">(ii) (A) For nominations or other business to be properly brought before an annual meeting by a stockholder pursuant to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(90th) day and not earlier than the close of business on the one hundred twentieth (120th) day prior to the first anniversary of the preceding years annual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date of the annual meeting is scheduled for more than thirty (30) days before, or more than seventy (70) days following, such anniversary date, or if no annual meeting was held in the preceding year,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For purposes of the first annual meeting of stockholders following the adoption of these By-Laws, the date of the preceding years annual meeting shall be deemed to be [May 15, 2021].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Times New Roman" w:hAnsi="Times New Roman"/>
          <w:sz w:val="20"/>
          <w:u w:val="single"/>
        </w:rPr>
        <w:t>Section 2.12(a)(ii)</w:t>
      </w:r>
      <w:r>
        <w:rPr>
          <w:rFonts w:ascii="Times New Roman" w:hAnsi="Times New Roman"/>
          <w:sz w:val="20"/>
        </w:rPr>
        <w:t xml:space="preserve"> to the contrary, in the event that the number of directors to be elected to the Board at an annual meeting is increased, effective after the time period for which nominations would otherwise be due under this </w:t>
      </w:r>
      <w:r>
        <w:rPr>
          <w:rFonts w:ascii="Times New Roman" w:hAnsi="Times New Roman"/>
          <w:sz w:val="20"/>
          <w:u w:val="single"/>
        </w:rPr>
        <w:t>Section 2.12(a)</w:t>
      </w:r>
      <w:r>
        <w:rPr>
          <w:rFonts w:ascii="Times New Roman" w:hAnsi="Times New Roman"/>
          <w:sz w:val="20"/>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Times New Roman" w:hAnsi="Times New Roman"/>
          <w:sz w:val="20"/>
          <w:u w:val="single"/>
        </w:rPr>
        <w:t>Section 2.12</w:t>
      </w:r>
      <w:r>
        <w:rPr>
          <w:rFonts w:ascii="Times New Roman" w:hAnsi="Times New Roman"/>
          <w:sz w:val="20"/>
        </w:rPr>
        <w:t xml:space="preserve"> shall be considered timely, but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B-2-5 </w:t>
      </w:r>
    </w:p>
    <w:p>
      <w:pPr>
        <w:pStyle w:val="TextBody"/>
        <w:spacing w:before="0" w:after="0"/>
        <w:jc w:val="left"/>
        <w:rPr>
          <w:rFonts w:ascii="Times New Roman" w:hAnsi="Times New Roman"/>
          <w:sz w:val="20"/>
        </w:rPr>
      </w:pPr>
      <w:r>
        <w:rPr>
          <w:rFonts w:ascii="Times New Roman" w:hAnsi="Times New Roman"/>
          <w:sz w:val="20"/>
        </w:rPr>
        <w:t xml:space="preserve">only with respect to nominees for any new positions created by such increase, if it is received by the Secretary of the Corporation not later than the close of business on the tenth (10th) day following the day on which such public announcement is first made by the Corporation. </w:t>
      </w:r>
    </w:p>
    <w:p>
      <w:pPr>
        <w:pStyle w:val="TextBody"/>
        <w:spacing w:before="120" w:after="0"/>
        <w:jc w:val="left"/>
        <w:rPr>
          <w:rFonts w:ascii="Times New Roman" w:hAnsi="Times New Roman"/>
          <w:sz w:val="20"/>
        </w:rPr>
      </w:pPr>
      <w:r>
        <w:rPr>
          <w:rFonts w:ascii="Times New Roman" w:hAnsi="Times New Roman"/>
          <w:sz w:val="20"/>
        </w:rPr>
        <w:t>(iii)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 w:hAnsi="Times New Roman"/>
          <w:sz w:val="20"/>
          <w:u w:val="single"/>
        </w:rPr>
        <w:t>proponent persons</w:t>
      </w:r>
      <w:r>
        <w:rPr>
          <w:rFonts w:ascii="Times New Roman" w:hAnsi="Times New Roman"/>
          <w:sz w:val="20"/>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B-2-6 </w:t>
      </w:r>
    </w:p>
    <w:p>
      <w:pPr>
        <w:pStyle w:val="TextBody"/>
        <w:spacing w:before="0" w:after="0"/>
        <w:jc w:val="left"/>
        <w:rPr>
          <w:rFonts w:ascii="Times New Roman" w:hAnsi="Times New Roman"/>
          <w:sz w:val="20"/>
        </w:rPr>
      </w:pPr>
      <w:r>
        <w:rPr>
          <w:rFonts w:ascii="Times New Roman" w:hAnsi="Times New Roman"/>
          <w:sz w:val="20"/>
          <w:u w:val="single"/>
        </w:rPr>
        <w:t>Section 2.12(a)(iii)</w:t>
      </w:r>
      <w:r>
        <w:rPr>
          <w:rFonts w:ascii="Times New Roman" w:hAnsi="Times New Roman"/>
          <w:sz w:val="20"/>
        </w:rPr>
        <w:t xml:space="preserve"> or </w:t>
      </w:r>
      <w:r>
        <w:rPr>
          <w:rFonts w:ascii="Times New Roman" w:hAnsi="Times New Roman"/>
          <w:sz w:val="20"/>
          <w:u w:val="single"/>
        </w:rPr>
        <w:t>Section 2.12(b))</w:t>
      </w:r>
      <w:r>
        <w:rPr>
          <w:rFonts w:ascii="Times New Roman" w:hAnsi="Times New Roman"/>
          <w:sz w:val="20"/>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Times New Roman" w:hAnsi="Times New Roman"/>
          <w:sz w:val="20"/>
          <w:u w:val="single"/>
        </w:rPr>
        <w:t>provided</w:t>
      </w:r>
      <w:r>
        <w:rPr>
          <w:rFonts w:ascii="Times New Roman" w:hAnsi="Times New Roman"/>
          <w:sz w:val="20"/>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 </w:t>
      </w:r>
    </w:p>
    <w:p>
      <w:pPr>
        <w:pStyle w:val="TextBody"/>
        <w:spacing w:before="120" w:after="0"/>
        <w:jc w:val="left"/>
        <w:rPr>
          <w:rFonts w:ascii="Times New Roman" w:hAnsi="Times New Roman"/>
          <w:sz w:val="20"/>
        </w:rPr>
      </w:pPr>
      <w:r>
        <w:rPr>
          <w:rFonts w:ascii="Times New Roman" w:hAnsi="Times New Roman"/>
          <w:sz w:val="20"/>
        </w:rPr>
        <w:t xml:space="preserve">(A) The foregoing notice requirements of this </w:t>
      </w:r>
      <w:r>
        <w:rPr>
          <w:rFonts w:ascii="Times New Roman" w:hAnsi="Times New Roman"/>
          <w:sz w:val="20"/>
          <w:u w:val="single"/>
        </w:rPr>
        <w:t>Section 2.12(a)(iii)</w:t>
      </w:r>
      <w:r>
        <w:rPr>
          <w:rFonts w:ascii="Times New Roman" w:hAnsi="Times New Roman"/>
          <w:sz w:val="20"/>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Times New Roman" w:hAnsi="Times New Roman"/>
          <w:sz w:val="20"/>
          <w:u w:val="single"/>
        </w:rPr>
        <w:t>Section 2.12(a)(iii)</w:t>
      </w:r>
      <w:r>
        <w:rPr>
          <w:rFonts w:ascii="Times New Roman" w:hAnsi="Times New Roman"/>
          <w:sz w:val="20"/>
        </w:rPr>
        <w:t xml:space="preserve"> shall be deemed to affect any rights of stockholders to request inclusion of proposals in the Corporations proxy statement pursuant to Rule 14a-8 under the Exchange Act. </w:t>
      </w:r>
    </w:p>
    <w:p>
      <w:pPr>
        <w:pStyle w:val="TextBody"/>
        <w:spacing w:before="120" w:after="0"/>
        <w:jc w:val="left"/>
        <w:rPr>
          <w:rFonts w:ascii="Times New Roman" w:hAnsi="Times New Roman"/>
          <w:sz w:val="20"/>
        </w:rPr>
      </w:pPr>
      <w:r>
        <w:rPr>
          <w:rFonts w:ascii="Times New Roman" w:hAnsi="Times New Roman"/>
          <w:sz w:val="20"/>
        </w:rPr>
        <w:t xml:space="preserve">(iv) Notwithstanding anything in the second sentence of </w:t>
      </w:r>
      <w:r>
        <w:rPr>
          <w:rFonts w:ascii="Times New Roman" w:hAnsi="Times New Roman"/>
          <w:sz w:val="20"/>
          <w:u w:val="single"/>
        </w:rPr>
        <w:t>Section 2.12(a)(iii)</w:t>
      </w:r>
      <w:r>
        <w:rPr>
          <w:rFonts w:ascii="Times New Roman" w:hAnsi="Times New Roman"/>
          <w:sz w:val="20"/>
        </w:rPr>
        <w:t xml:space="preserve"> to the contrary, in the event that the number of directors to be elected to the Board is increased, effective after the time period for which nominations would otherwise be due under </w:t>
      </w:r>
      <w:r>
        <w:rPr>
          <w:rFonts w:ascii="Times New Roman" w:hAnsi="Times New Roman"/>
          <w:sz w:val="20"/>
          <w:u w:val="single"/>
        </w:rPr>
        <w:t>Section 2.12(a)(ii)</w:t>
      </w:r>
      <w:r>
        <w:rPr>
          <w:rFonts w:ascii="Times New Roman" w:hAnsi="Times New Roman"/>
          <w:sz w:val="20"/>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Times New Roman" w:hAnsi="Times New Roman"/>
          <w:sz w:val="20"/>
          <w:u w:val="single"/>
        </w:rPr>
        <w:t>Section 2.12</w:t>
      </w:r>
      <w:r>
        <w:rPr>
          <w:rFonts w:ascii="Times New Roman" w:hAnsi="Times New Roman"/>
          <w:sz w:val="20"/>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a public announcement of such increase is first made by the Corporation.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pursuant to </w:t>
      </w:r>
      <w:r>
        <w:rPr>
          <w:rFonts w:ascii="Times New Roman" w:hAnsi="Times New Roman"/>
          <w:sz w:val="20"/>
          <w:u w:val="single"/>
        </w:rPr>
        <w:t>Section 2.3</w:t>
      </w:r>
      <w:r>
        <w:rPr>
          <w:rFonts w:ascii="Times New Roman" w:hAnsi="Times New Roman"/>
          <w:sz w:val="20"/>
        </w:rPr>
        <w:t>.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 </w:t>
      </w:r>
      <w:r>
        <w:rPr>
          <w:rFonts w:ascii="Times New Roman" w:hAnsi="Times New Roman"/>
          <w:sz w:val="20"/>
          <w:u w:val="single"/>
        </w:rPr>
        <w:t>provided</w:t>
      </w:r>
      <w:r>
        <w:rPr>
          <w:rFonts w:ascii="Times New Roman" w:hAnsi="Times New Roman"/>
          <w:sz w:val="20"/>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Times New Roman" w:hAnsi="Times New Roman"/>
          <w:sz w:val="20"/>
          <w:u w:val="single"/>
        </w:rPr>
        <w:t>Section 2.12</w:t>
      </w:r>
      <w:r>
        <w:rPr>
          <w:rFonts w:ascii="Times New Roman" w:hAnsi="Times New Roman"/>
          <w:sz w:val="20"/>
        </w:rPr>
        <w:t xml:space="preserve"> and who is a stockholder of record at the time such notice is delivered to the Secretary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stockholder may nominate persons for election at a special meeting only to such position(s)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B-2-7 </w:t>
      </w:r>
    </w:p>
    <w:p>
      <w:pPr>
        <w:pStyle w:val="TextBody"/>
        <w:spacing w:before="0" w:after="0"/>
        <w:jc w:val="left"/>
        <w:rPr>
          <w:rFonts w:ascii="Times New Roman" w:hAnsi="Times New Roman"/>
          <w:sz w:val="20"/>
        </w:rPr>
      </w:pPr>
      <w:r>
        <w:rPr>
          <w:rFonts w:ascii="Times New Roman" w:hAnsi="Times New Roman"/>
          <w:sz w:val="20"/>
        </w:rPr>
        <w:t xml:space="preserve">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hAnsi="Times New Roman"/>
          <w:sz w:val="20"/>
          <w:u w:val="single"/>
        </w:rPr>
        <w:t>Section 2.12(a)(iii)</w:t>
      </w:r>
      <w:r>
        <w:rPr>
          <w:rFonts w:ascii="Times New Roman" w:hAnsi="Times New Roman"/>
          <w:sz w:val="20"/>
        </w:rPr>
        <w:t xml:space="preserve"> is delivered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(A) Only persons who are nominated in accordance with the procedures set forth in this </w:t>
      </w:r>
      <w:r>
        <w:rPr>
          <w:rFonts w:ascii="Times New Roman" w:hAnsi="Times New Roman"/>
          <w:sz w:val="20"/>
          <w:u w:val="single"/>
        </w:rPr>
        <w:t>Section 2.12</w:t>
      </w:r>
      <w:r>
        <w:rPr>
          <w:rFonts w:ascii="Times New Roman" w:hAnsi="Times New Roman"/>
          <w:sz w:val="20"/>
        </w:rPr>
        <w:t xml:space="preserve"> shall be eligible to be elected to serve as directors and only such business shall be conducted at a meeting of stockholders as shall have been brought before the meeting in accordance with the procedures set forth in this </w:t>
      </w:r>
      <w:r>
        <w:rPr>
          <w:rFonts w:ascii="Times New Roman" w:hAnsi="Times New Roman"/>
          <w:sz w:val="20"/>
          <w:u w:val="single"/>
        </w:rPr>
        <w:t>Section 2.12</w:t>
      </w:r>
      <w:r>
        <w:rPr>
          <w:rFonts w:ascii="Times New Roman" w:hAnsi="Times New Roman"/>
          <w:sz w:val="20"/>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Times New Roman" w:hAnsi="Times New Roman"/>
          <w:sz w:val="20"/>
          <w:u w:val="single"/>
        </w:rPr>
        <w:t>Section 2.12</w:t>
      </w:r>
      <w:r>
        <w:rPr>
          <w:rFonts w:ascii="Times New Roman" w:hAnsi="Times New Roman"/>
          <w:sz w:val="20"/>
        </w:rPr>
        <w:t xml:space="preserve"> and, if any proposed nomination or business is not in compliance with this </w:t>
      </w:r>
      <w:r>
        <w:rPr>
          <w:rFonts w:ascii="Times New Roman" w:hAnsi="Times New Roman"/>
          <w:sz w:val="20"/>
          <w:u w:val="single"/>
        </w:rPr>
        <w:t>Section 2.12</w:t>
      </w:r>
      <w:r>
        <w:rPr>
          <w:rFonts w:ascii="Times New Roman" w:hAnsi="Times New Roman"/>
          <w:sz w:val="20"/>
        </w:rPr>
        <w:t xml:space="preserve">, to declare that such defective nomination shall be disregarded or that such proposed business shall not be transacted. </w:t>
      </w:r>
    </w:p>
    <w:p>
      <w:pPr>
        <w:pStyle w:val="TextBody"/>
        <w:spacing w:before="120" w:after="0"/>
        <w:jc w:val="left"/>
        <w:rPr>
          <w:rFonts w:ascii="Times New Roman" w:hAnsi="Times New Roman"/>
          <w:sz w:val="20"/>
        </w:rPr>
      </w:pPr>
      <w:r>
        <w:rPr>
          <w:rFonts w:ascii="Times New Roman" w:hAnsi="Times New Roman"/>
          <w:sz w:val="20"/>
        </w:rPr>
        <w:t xml:space="preserve">(B) Notwithstanding the foregoing provisions of this </w:t>
      </w:r>
      <w:r>
        <w:rPr>
          <w:rFonts w:ascii="Times New Roman" w:hAnsi="Times New Roman"/>
          <w:sz w:val="20"/>
          <w:u w:val="single"/>
        </w:rPr>
        <w:t>Section 2.12</w:t>
      </w:r>
      <w:r>
        <w:rPr>
          <w:rFonts w:ascii="Times New Roman" w:hAnsi="Times New Roman"/>
          <w:sz w:val="20"/>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Times New Roman" w:hAnsi="Times New Roman"/>
          <w:sz w:val="20"/>
          <w:u w:val="single"/>
        </w:rPr>
        <w:t>Section 2.12</w:t>
      </w:r>
      <w:r>
        <w:rPr>
          <w:rFonts w:ascii="Times New Roman" w:hAnsi="Times New Roman"/>
          <w:sz w:val="20"/>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spacing w:before="120" w:after="0"/>
        <w:jc w:val="left"/>
        <w:rPr>
          <w:rFonts w:ascii="Times New Roman" w:hAnsi="Times New Roman"/>
          <w:sz w:val="20"/>
        </w:rPr>
      </w:pPr>
      <w:r>
        <w:rPr>
          <w:rFonts w:ascii="Times New Roman" w:hAnsi="Times New Roman"/>
          <w:sz w:val="20"/>
        </w:rPr>
        <w:t xml:space="preserve">(ii) 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 </w:t>
      </w:r>
    </w:p>
    <w:p>
      <w:pPr>
        <w:pStyle w:val="TextBody"/>
        <w:spacing w:before="120" w:after="0"/>
        <w:jc w:val="left"/>
        <w:rPr>
          <w:rFonts w:ascii="Times New Roman" w:hAnsi="Times New Roman"/>
          <w:sz w:val="20"/>
        </w:rPr>
      </w:pPr>
      <w:r>
        <w:rPr>
          <w:rFonts w:ascii="Times New Roman" w:hAnsi="Times New Roman"/>
          <w:sz w:val="20"/>
        </w:rPr>
        <w:t xml:space="preserve">(iii) For purposes of this </w:t>
      </w:r>
      <w:r>
        <w:rPr>
          <w:rFonts w:ascii="Times New Roman" w:hAnsi="Times New Roman"/>
          <w:sz w:val="20"/>
          <w:u w:val="single"/>
        </w:rPr>
        <w:t>Section 2.12</w:t>
      </w:r>
      <w:r>
        <w:rPr>
          <w:rFonts w:ascii="Times New Roman" w:hAnsi="Times New Roman"/>
          <w:sz w:val="20"/>
        </w:rPr>
        <w:t>, </w:t>
      </w:r>
      <w:r>
        <w:rPr>
          <w:rFonts w:ascii="Times New Roman" w:hAnsi="Times New Roman"/>
          <w:sz w:val="20"/>
          <w:u w:val="single"/>
        </w:rPr>
        <w:t>public announcement</w:t>
      </w:r>
      <w:r>
        <w:rPr>
          <w:rFonts w:ascii="Times New Roman" w:hAnsi="Times New Roman"/>
          <w:sz w:val="20"/>
        </w:rPr>
        <w:t xml:space="preserve">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B-2-8 </w:t>
      </w:r>
    </w:p>
    <w:p>
      <w:pPr>
        <w:pStyle w:val="TextBody"/>
        <w:spacing w:before="0" w:after="0"/>
        <w:jc w:val="left"/>
        <w:rPr>
          <w:rFonts w:ascii="Times New Roman" w:hAnsi="Times New Roman"/>
          <w:sz w:val="20"/>
        </w:rPr>
      </w:pPr>
      <w:r>
        <w:rPr>
          <w:rFonts w:ascii="Times New Roman" w:hAnsi="Times New Roman"/>
          <w:sz w:val="20"/>
        </w:rPr>
        <w:t>manner constituting </w:t>
      </w:r>
      <w:r>
        <w:rPr>
          <w:rFonts w:ascii="Times New Roman" w:hAnsi="Times New Roman"/>
          <w:sz w:val="20"/>
          <w:u w:val="single"/>
        </w:rPr>
        <w:t>public disclosure</w:t>
      </w:r>
      <w:r>
        <w:rPr>
          <w:rFonts w:ascii="Times New Roman" w:hAnsi="Times New Roman"/>
          <w:sz w:val="20"/>
        </w:rPr>
        <w:t xml:space="preserve"> under Regulation FD promulgated by the Securities and Exchange Commission. </w:t>
      </w:r>
    </w:p>
    <w:p>
      <w:pPr>
        <w:pStyle w:val="TextBody"/>
        <w:spacing w:before="120" w:after="0"/>
        <w:jc w:val="left"/>
        <w:rPr>
          <w:rFonts w:ascii="Times New Roman" w:hAnsi="Times New Roman"/>
          <w:sz w:val="20"/>
        </w:rPr>
      </w:pPr>
      <w:r>
        <w:rPr>
          <w:rFonts w:ascii="Times New Roman" w:hAnsi="Times New Roman"/>
          <w:sz w:val="20"/>
        </w:rPr>
        <w:t xml:space="preserve">(iv) No adjournment or postponement or notice of adjournment or postponement of any meeting shall be deemed to constitute a new notice (or extend any notice time period) of such meeting for purposes of this </w:t>
      </w:r>
      <w:r>
        <w:rPr>
          <w:rFonts w:ascii="Times New Roman" w:hAnsi="Times New Roman"/>
          <w:sz w:val="20"/>
          <w:u w:val="single"/>
        </w:rPr>
        <w:t>Section 2.12</w:t>
      </w:r>
      <w:r>
        <w:rPr>
          <w:rFonts w:ascii="Times New Roman" w:hAnsi="Times New Roman"/>
          <w:sz w:val="20"/>
        </w:rPr>
        <w:t xml:space="preserve">, and in order for any notification required to be delivered by a stockholder pursuant to this </w:t>
      </w:r>
      <w:r>
        <w:rPr>
          <w:rFonts w:ascii="Times New Roman" w:hAnsi="Times New Roman"/>
          <w:sz w:val="20"/>
          <w:u w:val="single"/>
        </w:rPr>
        <w:t>Section 2.12</w:t>
      </w:r>
      <w:r>
        <w:rPr>
          <w:rFonts w:ascii="Times New Roman" w:hAnsi="Times New Roman"/>
          <w:sz w:val="20"/>
        </w:rPr>
        <w:t xml:space="preserve"> to be timely, such notification must be delivered within the periods set forth above with respect to the originally scheduled meeting. </w:t>
      </w:r>
    </w:p>
    <w:p>
      <w:pPr>
        <w:pStyle w:val="TextBody"/>
        <w:spacing w:before="120" w:after="0"/>
        <w:jc w:val="left"/>
        <w:rPr>
          <w:rFonts w:ascii="Times New Roman" w:hAnsi="Times New Roman"/>
          <w:sz w:val="20"/>
        </w:rPr>
      </w:pPr>
      <w:r>
        <w:rPr>
          <w:rFonts w:ascii="Times New Roman" w:hAnsi="Times New Roman"/>
          <w:sz w:val="20"/>
        </w:rPr>
        <w:t xml:space="preserve">(v) Notwithstanding the foregoing provisions of this </w:t>
      </w:r>
      <w:r>
        <w:rPr>
          <w:rFonts w:ascii="Times New Roman" w:hAnsi="Times New Roman"/>
          <w:sz w:val="20"/>
          <w:u w:val="single"/>
        </w:rPr>
        <w:t>Section 2.12</w:t>
      </w:r>
      <w:r>
        <w:rPr>
          <w:rFonts w:ascii="Times New Roman" w:hAnsi="Times New Roman"/>
          <w:sz w:val="20"/>
        </w:rPr>
        <w:t xml:space="preserve">, a stockholder shall also comply with all applicable requirements of the Exchange Act and the rules and regulations thereunder with respect to the matters set forth in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hAnsi="Times New Roman"/>
          <w:sz w:val="20"/>
          <w:u w:val="single"/>
        </w:rPr>
        <w:t>Section 2.12</w:t>
      </w:r>
      <w:r>
        <w:rPr>
          <w:rFonts w:ascii="Times New Roman" w:hAnsi="Times New Roman"/>
          <w:sz w:val="20"/>
        </w:rPr>
        <w:t xml:space="preserve"> (including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and </w:t>
      </w:r>
      <w:r>
        <w:rPr>
          <w:rFonts w:ascii="Times New Roman" w:hAnsi="Times New Roman"/>
          <w:sz w:val="20"/>
          <w:u w:val="single"/>
        </w:rPr>
        <w:t>Section 2.12(b)</w:t>
      </w:r>
      <w:r>
        <w:rPr>
          <w:rFonts w:ascii="Times New Roman" w:hAnsi="Times New Roman"/>
          <w:sz w:val="20"/>
        </w:rPr>
        <w:t xml:space="preserve"> hereof), and compliance with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and </w:t>
      </w:r>
      <w:r>
        <w:rPr>
          <w:rFonts w:ascii="Times New Roman" w:hAnsi="Times New Roman"/>
          <w:sz w:val="20"/>
          <w:u w:val="single"/>
        </w:rPr>
        <w:t>Section 2.12(b)</w:t>
      </w:r>
      <w:r>
        <w:rPr>
          <w:rFonts w:ascii="Times New Roman" w:hAnsi="Times New Roman"/>
          <w:sz w:val="20"/>
        </w:rPr>
        <w:t xml:space="preserve"> shall be the exclusive means for a stockholder to make nominations or submit other business. Nothing in this </w:t>
      </w:r>
      <w:r>
        <w:rPr>
          <w:rFonts w:ascii="Times New Roman" w:hAnsi="Times New Roman"/>
          <w:sz w:val="20"/>
          <w:u w:val="single"/>
        </w:rPr>
        <w:t>Section 2.12</w:t>
      </w:r>
      <w:r>
        <w:rPr>
          <w:rFonts w:ascii="Times New Roman" w:hAnsi="Times New Roman"/>
          <w:sz w:val="20"/>
        </w:rPr>
        <w:t xml:space="preserve"> shall apply to the right, if any, of the holders of any series of Preferred Stock to elect directors pursuant to any applicable provisions of the Certificate of Incorporation.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BOARD OF DIRECTORS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Number; Election; Quorum; Voting</w:t>
      </w:r>
      <w:r>
        <w:rPr>
          <w:rFonts w:ascii="Times New Roman" w:hAnsi="Times New Roman"/>
          <w:sz w:val="20"/>
        </w:rPr>
        <w:t xml:space="preserve">. Subject to the rights of holders of any series of Preferred Stock to elect additional directors, the 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Times New Roman" w:hAnsi="Times New Roman"/>
          <w:sz w:val="20"/>
          <w:u w:val="single"/>
        </w:rPr>
        <w:t>Section 3.1</w:t>
      </w:r>
      <w:r>
        <w:rPr>
          <w:rFonts w:ascii="Times New Roman" w:hAnsi="Times New Roman"/>
          <w:sz w:val="20"/>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Vacancies</w:t>
      </w:r>
      <w:r>
        <w:rPr>
          <w:rFonts w:ascii="Times New Roman" w:hAnsi="Times New Roman"/>
          <w:sz w:val="20"/>
        </w:rPr>
        <w:t xml:space="preserve">. Subject to the rights of holders of any series of Preferred Stock to elect directors, the Certificate of Incorporation and the 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b/>
          <w:sz w:val="20"/>
          <w:u w:val="single"/>
        </w:rPr>
        <w:t>Meetings of the Board</w:t>
      </w:r>
      <w:r>
        <w:rPr>
          <w:rFonts w:ascii="Times New Roman" w:hAnsi="Times New Roman"/>
          <w:sz w:val="20"/>
        </w:rPr>
        <w:t xml:space="preserve">. Meetings of the Board shall be held at such place, if any, within or without the State of Delaware as may 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 of directors then in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B-2-9 </w:t>
      </w:r>
    </w:p>
    <w:p>
      <w:pPr>
        <w:pStyle w:val="TextBody"/>
        <w:spacing w:before="0" w:after="0"/>
        <w:jc w:val="left"/>
        <w:rPr>
          <w:rFonts w:ascii="Times New Roman" w:hAnsi="Times New Roman"/>
          <w:sz w:val="20"/>
        </w:rPr>
      </w:pPr>
      <w:r>
        <w:rPr>
          <w:rFonts w:ascii="Times New Roman" w:hAnsi="Times New Roman"/>
          <w:sz w:val="20"/>
        </w:rPr>
        <w:t xml:space="preserve">office, by written notice, including facsimile, e-mail or other means of electronic transmission, duly served on or sent and delivered to each director in accordance with </w:t>
      </w:r>
      <w:r>
        <w:rPr>
          <w:rFonts w:ascii="Times New Roman" w:hAnsi="Times New Roman"/>
          <w:sz w:val="20"/>
          <w:u w:val="single"/>
        </w:rPr>
        <w:t>Section 11.2</w:t>
      </w:r>
      <w:r>
        <w:rPr>
          <w:rFonts w:ascii="Times New Roman" w:hAnsi="Times New Roman"/>
          <w:sz w:val="20"/>
        </w:rPr>
        <w:t xml:space="preserve">. Notice of each special meeting of the Board shall be given, as provided in </w:t>
      </w:r>
      <w:r>
        <w:rPr>
          <w:rFonts w:ascii="Times New Roman" w:hAnsi="Times New Roman"/>
          <w:sz w:val="20"/>
          <w:u w:val="single"/>
        </w:rPr>
        <w:t>Section 11.2</w:t>
      </w:r>
      <w:r>
        <w:rPr>
          <w:rFonts w:ascii="Times New Roman" w:hAnsi="Times New Roman"/>
          <w:sz w:val="20"/>
        </w:rPr>
        <w:t xml:space="preserve">, to each director (i) 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Committees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 </w:t>
      </w:r>
    </w:p>
    <w:p>
      <w:pPr>
        <w:pStyle w:val="TextBody"/>
        <w:spacing w:before="120" w:after="0"/>
        <w:jc w:val="left"/>
        <w:rPr>
          <w:rFonts w:ascii="Times New Roman" w:hAnsi="Times New Roman"/>
          <w:sz w:val="20"/>
        </w:rPr>
      </w:pPr>
      <w:r>
        <w:rPr>
          <w:rFonts w:ascii="Times New Roman" w:hAnsi="Times New Roman"/>
          <w:sz w:val="20"/>
        </w:rPr>
        <w:t xml:space="preserve">(b) Any committee established pursuant to this </w:t>
      </w:r>
      <w:r>
        <w:rPr>
          <w:rFonts w:ascii="Times New Roman" w:hAnsi="Times New Roman"/>
          <w:sz w:val="20"/>
          <w:u w:val="single"/>
        </w:rPr>
        <w:t>Section 3.4</w:t>
      </w:r>
      <w:r>
        <w:rPr>
          <w:rFonts w:ascii="Times New Roman" w:hAnsi="Times New Roman"/>
          <w:sz w:val="20"/>
        </w:rPr>
        <w:t xml:space="preserve">,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 </w:t>
      </w:r>
    </w:p>
    <w:p>
      <w:pPr>
        <w:pStyle w:val="TextBody"/>
        <w:spacing w:before="120" w:after="0"/>
        <w:jc w:val="left"/>
        <w:rPr>
          <w:rFonts w:ascii="Times New Roman" w:hAnsi="Times New Roman"/>
          <w:sz w:val="20"/>
        </w:rPr>
      </w:pPr>
      <w:r>
        <w:rPr>
          <w:rFonts w:ascii="Times New Roman" w:hAnsi="Times New Roman"/>
          <w:sz w:val="20"/>
        </w:rPr>
        <w:t xml:space="preserve">(c) 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 </w:t>
      </w:r>
    </w:p>
    <w:p>
      <w:pPr>
        <w:pStyle w:val="TextBody"/>
        <w:spacing w:before="120" w:after="0"/>
        <w:jc w:val="left"/>
        <w:rPr>
          <w:rFonts w:ascii="Times New Roman" w:hAnsi="Times New Roman"/>
          <w:sz w:val="20"/>
        </w:rPr>
      </w:pPr>
      <w:r>
        <w:rPr>
          <w:rFonts w:ascii="Times New Roman" w:hAnsi="Times New Roman"/>
          <w:sz w:val="20"/>
        </w:rPr>
        <w:t xml:space="preserve">(d)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Times New Roman" w:hAnsi="Times New Roman"/>
          <w:sz w:val="20"/>
          <w:u w:val="single"/>
        </w:rPr>
        <w:t>Article III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3.5 </w:t>
      </w:r>
      <w:r>
        <w:rPr>
          <w:rFonts w:ascii="Times New Roman" w:hAnsi="Times New Roman"/>
          <w:b/>
          <w:sz w:val="20"/>
          <w:u w:val="single"/>
        </w:rPr>
        <w:t>Consent in Lieu of Meeting</w:t>
      </w:r>
      <w:r>
        <w:rPr>
          <w:rFonts w:ascii="Times New Roman" w:hAnsi="Times New Roman"/>
          <w:sz w:val="20"/>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B-2-10 </w:t>
      </w:r>
    </w:p>
    <w:p>
      <w:pPr>
        <w:pStyle w:val="TextBody"/>
        <w:spacing w:before="0" w:after="0"/>
        <w:jc w:val="left"/>
        <w:rPr>
          <w:rFonts w:ascii="Times New Roman" w:hAnsi="Times New Roman"/>
          <w:sz w:val="20"/>
        </w:rPr>
      </w:pPr>
      <w:r>
        <w:rPr>
          <w:rFonts w:ascii="Times New Roman" w:hAnsi="Times New Roman"/>
          <w:sz w:val="20"/>
        </w:rPr>
        <w:t xml:space="preserve">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3.6 </w:t>
      </w:r>
      <w:r>
        <w:rPr>
          <w:rFonts w:ascii="Times New Roman" w:hAnsi="Times New Roman"/>
          <w:b/>
          <w:sz w:val="20"/>
          <w:u w:val="single"/>
        </w:rPr>
        <w:t>Telephonic Meetings</w:t>
      </w:r>
      <w:r>
        <w:rPr>
          <w:rFonts w:ascii="Times New Roman" w:hAnsi="Times New Roman"/>
          <w:sz w:val="20"/>
        </w:rPr>
        <w:t xml:space="preserve">. The members of the Board or any committee thereof may participate in a meeting of such Board or committee, as the case may be, by means of conference telephone or other communications equipment by means of which all persons participating in the meeting can hear each other, and participation in a meeting pursuant to this subsection shall constitute presence in person at such a meeting.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3.7 </w:t>
      </w:r>
      <w:r>
        <w:rPr>
          <w:rFonts w:ascii="Times New Roman" w:hAnsi="Times New Roman"/>
          <w:b/>
          <w:sz w:val="20"/>
          <w:u w:val="single"/>
        </w:rPr>
        <w:t>Compensation</w:t>
      </w:r>
      <w:r>
        <w:rPr>
          <w:rFonts w:ascii="Times New Roman" w:hAnsi="Times New Roman"/>
          <w:sz w:val="20"/>
        </w:rPr>
        <w:t xml:space="preserve">. Unless otherwise restricted by the Certificate of Incorporation or these By-Laws, or as otherwise provided in the 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3.8 </w:t>
      </w:r>
      <w:r>
        <w:rPr>
          <w:rFonts w:ascii="Times New Roman" w:hAnsi="Times New Roman"/>
          <w:b/>
          <w:sz w:val="20"/>
          <w:u w:val="single"/>
        </w:rPr>
        <w:t>Interested Directors</w:t>
      </w:r>
      <w:r>
        <w:rPr>
          <w:rFonts w:ascii="Times New Roman" w:hAnsi="Times New Roman"/>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OFFICERS </w:t>
      </w:r>
    </w:p>
    <w:p>
      <w:pPr>
        <w:pStyle w:val="TextBody"/>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Officers</w:t>
      </w:r>
      <w:r>
        <w:rPr>
          <w:rFonts w:ascii="Times New Roman" w:hAnsi="Times New Roman"/>
          <w:sz w:val="20"/>
        </w:rPr>
        <w:t xml:space="preserve">. The Board shall elect officers of the Corporation, including a Chief Executive Officer, a President and a Secretary. The 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 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B-2-11 </w:t>
      </w:r>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Term; Removal</w:t>
      </w:r>
      <w:r>
        <w:rPr>
          <w:rFonts w:ascii="Times New Roman" w:hAnsi="Times New Roman"/>
          <w:sz w:val="20"/>
        </w:rPr>
        <w:t xml:space="preserve">. All officers of the Corporation elected by the Board shall hold office for such terms as may be determined by the 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Resignation</w:t>
      </w:r>
      <w:r>
        <w:rPr>
          <w:rFonts w:ascii="Times New Roman" w:hAnsi="Times New Roman"/>
          <w:sz w:val="20"/>
        </w:rPr>
        <w:t xml:space="preserve">.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 unless and to the extent such condition is stated in such resignation.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Powers</w:t>
      </w:r>
      <w:r>
        <w:rPr>
          <w:rFonts w:ascii="Times New Roman" w:hAnsi="Times New Roman"/>
          <w:sz w:val="20"/>
        </w:rPr>
        <w:t xml:space="preserve">. Each of the officers of the Corporation elected or appointed by the Board or appointed by an officer in accordance with these 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Delegation</w:t>
      </w:r>
      <w:r>
        <w:rPr>
          <w:rFonts w:ascii="Times New Roman" w:hAnsi="Times New Roman"/>
          <w:sz w:val="20"/>
        </w:rPr>
        <w:t xml:space="preserve">. Unless otherwise provided in these By-Laws, in the absence or disability of any officer of the Corporation, the Board or the Chief Executive Officer may, during such period, delegate such officers powers and duties to any other officer or to any director and the person to whom such powers and duties are delegated shall, for the time being, hold such office.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0" w:after="0"/>
        <w:jc w:val="center"/>
        <w:rPr>
          <w:rFonts w:ascii="Times New Roman" w:hAnsi="Times New Roman"/>
          <w:b/>
          <w:sz w:val="20"/>
        </w:rPr>
      </w:pPr>
      <w:r>
        <w:rPr>
          <w:rFonts w:ascii="Times New Roman" w:hAnsi="Times New Roman"/>
          <w:b/>
          <w:sz w:val="20"/>
        </w:rPr>
        <w:t xml:space="preserve">INDEMNIFICATION AND ADVANCEMENT OF EXPENSES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Limited Liability of Directors</w:t>
      </w:r>
      <w:r>
        <w:rPr>
          <w:rFonts w:ascii="Times New Roman" w:hAnsi="Times New Roman"/>
          <w:sz w:val="20"/>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Times New Roman" w:hAnsi="Times New Roman"/>
          <w:sz w:val="20"/>
          <w:u w:val="single"/>
        </w:rPr>
        <w:t>Article V</w:t>
      </w:r>
      <w:r>
        <w:rPr>
          <w:rFonts w:ascii="Times New Roman" w:hAnsi="Times New Roman"/>
          <w:sz w:val="20"/>
        </w:rPr>
        <w:t xml:space="preserve"> shall eliminate or reduce the effect thereof in respect of any state of facts existing or act or omission occurring, or any cause of action, suit or claim that, but for this </w:t>
      </w:r>
      <w:r>
        <w:rPr>
          <w:rFonts w:ascii="Times New Roman" w:hAnsi="Times New Roman"/>
          <w:sz w:val="20"/>
          <w:u w:val="single"/>
        </w:rPr>
        <w:t>Article V</w:t>
      </w:r>
      <w:r>
        <w:rPr>
          <w:rFonts w:ascii="Times New Roman" w:hAnsi="Times New Roman"/>
          <w:sz w:val="20"/>
        </w:rPr>
        <w:t xml:space="preserve">, would accrue or arise, or otherwise adversely affect any limitation on the personal liability of a director of the Corporation existing prior to such amendment or repeal.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Right to Indemnification</w:t>
      </w:r>
      <w:r>
        <w:rPr>
          <w:rFonts w:ascii="Times New Roman" w:hAnsi="Times New Roman"/>
          <w:sz w:val="20"/>
          <w:u w:val="single"/>
        </w:rPr>
        <w:t xml:space="preserve"> </w:t>
      </w:r>
      <w:r>
        <w:rPr>
          <w:rFonts w:ascii="Times New Roman" w:hAnsi="Times New Roman"/>
          <w:b/>
          <w:sz w:val="20"/>
          <w:u w:val="single"/>
        </w:rPr>
        <w:t>and Advancement of Expenses</w:t>
      </w:r>
      <w:r>
        <w:rPr>
          <w:rFonts w:ascii="Times New Roman" w:hAnsi="Times New Roman"/>
          <w:sz w:val="20"/>
        </w:rPr>
        <w:t>.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sz w:val="20"/>
          <w:u w:val="single"/>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hAnsi="Times New Roman"/>
          <w:sz w:val="20"/>
          <w:u w:val="single"/>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B-2-12 </w:t>
      </w:r>
    </w:p>
    <w:p>
      <w:pPr>
        <w:pStyle w:val="TextBody"/>
        <w:spacing w:before="0" w:after="0"/>
        <w:jc w:val="left"/>
        <w:rPr>
          <w:rFonts w:ascii="Times New Roman" w:hAnsi="Times New Roman"/>
          <w:sz w:val="20"/>
        </w:rPr>
      </w:pPr>
      <w:r>
        <w:rPr>
          <w:rFonts w:ascii="Times New Roman" w:hAnsi="Times New Roman"/>
          <w:sz w:val="20"/>
        </w:rPr>
        <w:t xml:space="preserve">such Proceeding. The Corporation shall to the fullest extent not prohibited by applicable law pay the expenses (including attorneys fees) incurred by an in defending or otherwise participating in any Proceeding in advance of its final disposition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Times New Roman" w:hAnsi="Times New Roman"/>
          <w:sz w:val="20"/>
          <w:u w:val="single"/>
        </w:rPr>
        <w:t>Section 5.2</w:t>
      </w:r>
      <w:r>
        <w:rPr>
          <w:rFonts w:ascii="Times New Roman" w:hAnsi="Times New Roman"/>
          <w:sz w:val="20"/>
        </w:rPr>
        <w:t xml:space="preserve"> or otherwise. The rights to indemnitee indemnification and advancement of expenses conferred by this </w:t>
      </w:r>
      <w:r>
        <w:rPr>
          <w:rFonts w:ascii="Times New Roman" w:hAnsi="Times New Roman"/>
          <w:sz w:val="20"/>
          <w:u w:val="single"/>
        </w:rPr>
        <w:t>Section 5.2</w:t>
      </w:r>
      <w:r>
        <w:rPr>
          <w:rFonts w:ascii="Times New Roman" w:hAnsi="Times New Roman"/>
          <w:sz w:val="20"/>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Right of Indemnitee to Bring Suit</w:t>
      </w:r>
      <w:r>
        <w:rPr>
          <w:rFonts w:ascii="Times New Roman" w:hAnsi="Times New Roman"/>
          <w:sz w:val="20"/>
        </w:rPr>
        <w:t xml:space="preserve">. If a claim under Section 5.2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hAnsi="Times New Roman"/>
          <w:sz w:val="20"/>
          <w:u w:val="single"/>
        </w:rPr>
        <w:t>Article V</w:t>
      </w:r>
      <w:r>
        <w:rPr>
          <w:rFonts w:ascii="Times New Roman" w:hAnsi="Times New Roman"/>
          <w:sz w:val="20"/>
        </w:rPr>
        <w:t xml:space="preserve"> or otherwise shall be on the Corporation.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5.4 </w:t>
      </w:r>
      <w:r>
        <w:rPr>
          <w:rFonts w:ascii="Times New Roman" w:hAnsi="Times New Roman"/>
          <w:b/>
          <w:sz w:val="20"/>
          <w:u w:val="single"/>
        </w:rPr>
        <w:t>Non-Exclusivity of Rights; Indemnification by Other Persons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provision of indemnification to or the advancement of expenses and costs to any indemnitee under this </w:t>
      </w:r>
      <w:r>
        <w:rPr>
          <w:rFonts w:ascii="Times New Roman" w:hAnsi="Times New Roman"/>
          <w:sz w:val="20"/>
          <w:u w:val="single"/>
        </w:rPr>
        <w:t>Article V</w:t>
      </w:r>
      <w:r>
        <w:rPr>
          <w:rFonts w:ascii="Times New Roman" w:hAnsi="Times New Roman"/>
          <w:sz w:val="20"/>
        </w:rPr>
        <w:t xml:space="preserve">, or the entitlement of any indemnitee to indemnification or advancement of expenses and costs under this </w:t>
      </w:r>
      <w:r>
        <w:rPr>
          <w:rFonts w:ascii="Times New Roman" w:hAnsi="Times New Roman"/>
          <w:sz w:val="20"/>
          <w:u w:val="single"/>
        </w:rPr>
        <w:t>Article V</w:t>
      </w:r>
      <w:r>
        <w:rPr>
          <w:rFonts w:ascii="Times New Roman" w:hAnsi="Times New Roman"/>
          <w:sz w:val="20"/>
        </w:rPr>
        <w:t xml:space="preserve">,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 </w:t>
      </w:r>
    </w:p>
    <w:p>
      <w:pPr>
        <w:pStyle w:val="TextBody"/>
        <w:spacing w:before="120" w:after="0"/>
        <w:jc w:val="left"/>
        <w:rPr>
          <w:rFonts w:ascii="Times New Roman" w:hAnsi="Times New Roman"/>
          <w:sz w:val="20"/>
        </w:rPr>
      </w:pPr>
      <w:r>
        <w:rPr>
          <w:rFonts w:ascii="Times New Roman" w:hAnsi="Times New Roman"/>
          <w:sz w:val="20"/>
        </w:rPr>
        <w:t xml:space="preserve">(b) 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B-2-13 </w:t>
      </w:r>
    </w:p>
    <w:p>
      <w:pPr>
        <w:pStyle w:val="TextBody"/>
        <w:spacing w:before="0" w:after="0"/>
        <w:jc w:val="left"/>
        <w:rPr>
          <w:rFonts w:ascii="Times New Roman" w:hAnsi="Times New Roman"/>
          <w:sz w:val="20"/>
        </w:rPr>
      </w:pPr>
      <w:r>
        <w:rPr>
          <w:rFonts w:ascii="Times New Roman" w:hAnsi="Times New Roman"/>
          <w:sz w:val="20"/>
        </w:rPr>
        <w:t xml:space="preserve">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hAnsi="Times New Roman"/>
          <w:sz w:val="20"/>
          <w:u w:val="single"/>
        </w:rPr>
        <w:t>Article V</w:t>
      </w:r>
      <w:r>
        <w:rPr>
          <w:rFonts w:ascii="Times New Roman" w:hAnsi="Times New Roman"/>
          <w:sz w:val="20"/>
        </w:rPr>
        <w:t xml:space="preserve">, irrespective of any right of recovery the indemnitee may have from the Indemnitee-Related Entities. Under no circumstance shall the Corporation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Corporation under this </w:t>
      </w:r>
      <w:r>
        <w:rPr>
          <w:rFonts w:ascii="Times New Roman" w:hAnsi="Times New Roman"/>
          <w:sz w:val="20"/>
          <w:u w:val="single"/>
        </w:rPr>
        <w:t>Article V</w:t>
      </w:r>
      <w:r>
        <w:rPr>
          <w:rFonts w:ascii="Times New Roman" w:hAnsi="Times New Roman"/>
          <w:sz w:val="20"/>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hAnsi="Times New Roman"/>
          <w:sz w:val="20"/>
          <w:u w:val="single"/>
        </w:rPr>
        <w:t>Section 5.4(b)</w:t>
      </w:r>
      <w:r>
        <w:rPr>
          <w:rFonts w:ascii="Times New Roman" w:hAnsi="Times New Roman"/>
          <w:sz w:val="20"/>
        </w:rPr>
        <w:t xml:space="preserve">, entitled to enforce this </w:t>
      </w:r>
      <w:r>
        <w:rPr>
          <w:rFonts w:ascii="Times New Roman" w:hAnsi="Times New Roman"/>
          <w:sz w:val="20"/>
          <w:u w:val="single"/>
        </w:rPr>
        <w:t>Section 5.4(b)</w:t>
      </w:r>
      <w:r>
        <w:rPr>
          <w:rFonts w:ascii="Times New Roman" w:hAnsi="Times New Roman"/>
          <w:sz w:val="20"/>
        </w:rPr>
        <w:t xml:space="preserve">. For purposes of this </w:t>
      </w:r>
      <w:r>
        <w:rPr>
          <w:rFonts w:ascii="Times New Roman" w:hAnsi="Times New Roman"/>
          <w:sz w:val="20"/>
          <w:u w:val="single"/>
        </w:rPr>
        <w:t>Section 5.4(b)</w:t>
      </w:r>
      <w:r>
        <w:rPr>
          <w:rFonts w:ascii="Times New Roman" w:hAnsi="Times New Roman"/>
          <w:sz w:val="20"/>
        </w:rPr>
        <w:t xml:space="preserve">, the following terms shall have the following meanings: </w:t>
      </w:r>
    </w:p>
    <w:p>
      <w:pPr>
        <w:pStyle w:val="TextBody"/>
        <w:spacing w:before="120" w:after="0"/>
        <w:jc w:val="left"/>
        <w:rPr>
          <w:rFonts w:ascii="Times New Roman" w:hAnsi="Times New Roman"/>
          <w:sz w:val="20"/>
        </w:rPr>
      </w:pPr>
      <w:r>
        <w:rPr>
          <w:rFonts w:ascii="Times New Roman" w:hAnsi="Times New Roman"/>
          <w:sz w:val="20"/>
        </w:rPr>
        <w:t>(i) The term </w:t>
      </w:r>
      <w:r>
        <w:rPr>
          <w:rFonts w:ascii="Times New Roman" w:hAnsi="Times New Roman"/>
          <w:sz w:val="20"/>
          <w:u w:val="single"/>
        </w:rPr>
        <w:t>Indemnitee-Related Entities</w:t>
      </w:r>
      <w:r>
        <w:rPr>
          <w:rFonts w:ascii="Times New Roman" w:hAnsi="Times New Roman"/>
          <w:sz w:val="20"/>
        </w:rPr>
        <w:t xml:space="preserve">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w:t>
      </w:r>
    </w:p>
    <w:p>
      <w:pPr>
        <w:pStyle w:val="TextBody"/>
        <w:spacing w:before="120" w:after="0"/>
        <w:jc w:val="left"/>
        <w:rPr>
          <w:rFonts w:ascii="Times New Roman" w:hAnsi="Times New Roman"/>
          <w:sz w:val="20"/>
        </w:rPr>
      </w:pPr>
      <w:r>
        <w:rPr>
          <w:rFonts w:ascii="Times New Roman" w:hAnsi="Times New Roman"/>
          <w:sz w:val="20"/>
        </w:rPr>
        <w:t>(ii) The term </w:t>
      </w:r>
      <w:r>
        <w:rPr>
          <w:rFonts w:ascii="Times New Roman" w:hAnsi="Times New Roman"/>
          <w:sz w:val="20"/>
          <w:u w:val="single"/>
        </w:rPr>
        <w:t>Jointly Indemnifiable Claims</w:t>
      </w:r>
      <w:r>
        <w:rPr>
          <w:rFonts w:ascii="Times New Roman" w:hAnsi="Times New Roman"/>
          <w:sz w:val="20"/>
        </w:rPr>
        <w:t xml:space="preserve">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5.5 </w:t>
      </w:r>
      <w:r>
        <w:rPr>
          <w:rFonts w:ascii="Times New Roman" w:hAnsi="Times New Roman"/>
          <w:b/>
          <w:sz w:val="20"/>
          <w:u w:val="single"/>
        </w:rPr>
        <w:t>Contract Rights</w:t>
      </w:r>
      <w:r>
        <w:rPr>
          <w:rFonts w:ascii="Times New Roman" w:hAnsi="Times New Roman"/>
          <w:sz w:val="20"/>
        </w:rPr>
        <w:t xml:space="preserve">. The rights conferred upon indemnitees in this </w:t>
      </w:r>
      <w:r>
        <w:rPr>
          <w:rFonts w:ascii="Times New Roman" w:hAnsi="Times New Roman"/>
          <w:sz w:val="20"/>
          <w:u w:val="single"/>
        </w:rPr>
        <w:t>Article V</w:t>
      </w:r>
      <w:r>
        <w:rPr>
          <w:rFonts w:ascii="Times New Roman" w:hAnsi="Times New Roman"/>
          <w:sz w:val="20"/>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Times New Roman" w:hAnsi="Times New Roman"/>
          <w:sz w:val="20"/>
          <w:u w:val="single"/>
        </w:rPr>
        <w:t>Article V</w:t>
      </w:r>
      <w:r>
        <w:rPr>
          <w:rFonts w:ascii="Times New Roman" w:hAnsi="Times New Roman"/>
          <w:sz w:val="20"/>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5.6 </w:t>
      </w:r>
      <w:r>
        <w:rPr>
          <w:rFonts w:ascii="Times New Roman" w:hAnsi="Times New Roman"/>
          <w:b/>
          <w:sz w:val="20"/>
          <w:u w:val="single"/>
        </w:rPr>
        <w:t>Insurance</w:t>
      </w:r>
      <w:r>
        <w:rPr>
          <w:rFonts w:ascii="Times New Roman" w:hAnsi="Times New Roman"/>
          <w:sz w:val="20"/>
        </w:rPr>
        <w:t xml:space="preserve">.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5.7 </w:t>
      </w:r>
      <w:r>
        <w:rPr>
          <w:rFonts w:ascii="Times New Roman" w:hAnsi="Times New Roman"/>
          <w:b/>
          <w:sz w:val="20"/>
          <w:u w:val="single"/>
        </w:rPr>
        <w:t>Employees and Agents</w:t>
      </w:r>
      <w:r>
        <w:rPr>
          <w:rFonts w:ascii="Times New Roman" w:hAnsi="Times New Roman"/>
          <w:sz w:val="20"/>
        </w:rPr>
        <w:t xml:space="preserve">. The Corporation may, to the extent authorized from time to time by the Board, grant rights to indemnification and to the advancement of expenses to any employee or agent of the Corporation to the fullest extent of the provisions of this </w:t>
      </w:r>
      <w:r>
        <w:rPr>
          <w:rFonts w:ascii="Times New Roman" w:hAnsi="Times New Roman"/>
          <w:sz w:val="20"/>
          <w:u w:val="single"/>
        </w:rPr>
        <w:t>Article V</w:t>
      </w:r>
      <w:r>
        <w:rPr>
          <w:rFonts w:ascii="Times New Roman" w:hAnsi="Times New Roman"/>
          <w:sz w:val="20"/>
        </w:rPr>
        <w:t xml:space="preserve"> with respect to the indemnification and advancement of expenses of directors and officers of the Corporation.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B-2-14 </w:t>
      </w:r>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5.8 </w:t>
      </w:r>
      <w:r>
        <w:rPr>
          <w:rFonts w:ascii="Times New Roman" w:hAnsi="Times New Roman"/>
          <w:b/>
          <w:sz w:val="20"/>
          <w:u w:val="single"/>
        </w:rPr>
        <w:t>Severability</w:t>
      </w:r>
      <w:r>
        <w:rPr>
          <w:rFonts w:ascii="Times New Roman" w:hAnsi="Times New Roman"/>
          <w:sz w:val="20"/>
        </w:rPr>
        <w:t xml:space="preserve">. If any provision or provisions of this </w:t>
      </w:r>
      <w:r>
        <w:rPr>
          <w:rFonts w:ascii="Times New Roman" w:hAnsi="Times New Roman"/>
          <w:sz w:val="20"/>
          <w:u w:val="single"/>
        </w:rPr>
        <w:t>Article V</w:t>
      </w:r>
      <w:r>
        <w:rPr>
          <w:rFonts w:ascii="Times New Roman" w:hAnsi="Times New Roman"/>
          <w:sz w:val="20"/>
        </w:rPr>
        <w:t xml:space="preserve"> shall be held to be invalid, illegal or unenforceable for any reason whatsoever: (a) the validity, legality and enforceability of the remaining provisions of this </w:t>
      </w:r>
      <w:r>
        <w:rPr>
          <w:rFonts w:ascii="Times New Roman" w:hAnsi="Times New Roman"/>
          <w:sz w:val="20"/>
          <w:u w:val="single"/>
        </w:rPr>
        <w:t>Article V</w:t>
      </w:r>
      <w:r>
        <w:rPr>
          <w:rFonts w:ascii="Times New Roman" w:hAnsi="Times New Roman"/>
          <w:sz w:val="20"/>
        </w:rPr>
        <w:t xml:space="preserve"> shall not in any way be affected or impaired thereby; and (b) to the fullest extent possible, the provisions of this </w:t>
      </w:r>
      <w:r>
        <w:rPr>
          <w:rFonts w:ascii="Times New Roman" w:hAnsi="Times New Roman"/>
          <w:sz w:val="20"/>
          <w:u w:val="single"/>
        </w:rPr>
        <w:t>Article V</w:t>
      </w:r>
      <w:r>
        <w:rPr>
          <w:rFonts w:ascii="Times New Roman" w:hAnsi="Times New Roman"/>
          <w:sz w:val="20"/>
        </w:rPr>
        <w:t xml:space="preserve"> (including, without limitation, each such portion of this </w:t>
      </w:r>
      <w:r>
        <w:rPr>
          <w:rFonts w:ascii="Times New Roman" w:hAnsi="Times New Roman"/>
          <w:sz w:val="20"/>
          <w:u w:val="single"/>
        </w:rPr>
        <w:t>Article V</w:t>
      </w:r>
      <w:r>
        <w:rPr>
          <w:rFonts w:ascii="Times New Roman" w:hAnsi="Times New Roman"/>
          <w:sz w:val="20"/>
        </w:rPr>
        <w:t xml:space="preserve"> containing any such provision held to be invalid, illegal or unenforceable) shall be construed so as to give effect to the intent manifested by the provision held invalid, illegal or unenforceable. </w:t>
      </w:r>
    </w:p>
    <w:p>
      <w:pPr>
        <w:pStyle w:val="TextBody"/>
        <w:spacing w:before="48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rPr>
        <w:t xml:space="preserve">CORPORATE BOOKS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Corporate Books</w:t>
      </w:r>
      <w:r>
        <w:rPr>
          <w:rFonts w:ascii="Times New Roman" w:hAnsi="Times New Roman"/>
          <w:sz w:val="20"/>
        </w:rPr>
        <w:t xml:space="preserve">. The books of the Corporation may be kept inside or outside of the State of Delaware at such place or places as the Board may from time to time determine.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jc w:val="center"/>
        <w:rPr>
          <w:rFonts w:ascii="Times New Roman" w:hAnsi="Times New Roman"/>
          <w:b/>
          <w:sz w:val="20"/>
        </w:rPr>
      </w:pPr>
      <w:r>
        <w:rPr>
          <w:rFonts w:ascii="Times New Roman" w:hAnsi="Times New Roman"/>
          <w:b/>
          <w:sz w:val="20"/>
        </w:rPr>
        <w:t xml:space="preserve">CHECKS, NOTES, PROXIES, ETC.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 </w:t>
      </w:r>
      <w:r>
        <w:rPr>
          <w:rFonts w:ascii="Times New Roman" w:hAnsi="Times New Roman"/>
          <w:b/>
          <w:sz w:val="20"/>
          <w:u w:val="single"/>
        </w:rPr>
        <w:t>Checks, Notes, Proxies, Etc</w:t>
      </w:r>
      <w:r>
        <w:rPr>
          <w:rFonts w:ascii="Times New Roman" w:hAnsi="Times New Roman"/>
          <w:sz w:val="20"/>
        </w:rPr>
        <w:t xml:space="preserve">. All checks and drafts on the Corporations bank accounts and all bills of exchange and promissory notes, and all acceptances, obligations and other instruments for the payment of money, shall be signed by such officer or officers or agent or agents as shall be authorized from time to time by the Board or such officer or officers 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 </w:t>
      </w:r>
    </w:p>
    <w:p>
      <w:pPr>
        <w:pStyle w:val="TextBody"/>
        <w:spacing w:before="480" w:after="0"/>
        <w:jc w:val="center"/>
        <w:rPr>
          <w:rFonts w:ascii="Times New Roman" w:hAnsi="Times New Roman"/>
          <w:b/>
          <w:sz w:val="20"/>
        </w:rPr>
      </w:pPr>
      <w:r>
        <w:rPr>
          <w:rFonts w:ascii="Times New Roman" w:hAnsi="Times New Roman"/>
          <w:b/>
          <w:sz w:val="20"/>
        </w:rPr>
        <w:t xml:space="preserve">ARTICLE VIII </w:t>
      </w:r>
    </w:p>
    <w:p>
      <w:pPr>
        <w:pStyle w:val="TextBody"/>
        <w:spacing w:before="0" w:after="0"/>
        <w:jc w:val="center"/>
        <w:rPr>
          <w:rFonts w:ascii="Times New Roman" w:hAnsi="Times New Roman"/>
          <w:b/>
          <w:sz w:val="20"/>
        </w:rPr>
      </w:pPr>
      <w:r>
        <w:rPr>
          <w:rFonts w:ascii="Times New Roman" w:hAnsi="Times New Roman"/>
          <w:b/>
          <w:sz w:val="20"/>
        </w:rPr>
        <w:t xml:space="preserve">SHARES AND OTHER SECURITIES OF THE CORPORATION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8.1 </w:t>
      </w:r>
      <w:r>
        <w:rPr>
          <w:rFonts w:ascii="Times New Roman" w:hAnsi="Times New Roman"/>
          <w:b/>
          <w:sz w:val="20"/>
          <w:u w:val="single"/>
        </w:rPr>
        <w:t>Certificated and Uncertificated Shares</w:t>
      </w:r>
      <w:r>
        <w:rPr>
          <w:rFonts w:ascii="Times New Roman" w:hAnsi="Times New Roman"/>
          <w:sz w:val="20"/>
        </w:rPr>
        <w:t xml:space="preserve">. The shares of the Corporation may be certificated or uncertificated, subject to the sole discretion of the Board and the requirements of the DGCL.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8.2 </w:t>
      </w:r>
      <w:r>
        <w:rPr>
          <w:rFonts w:ascii="Times New Roman" w:hAnsi="Times New Roman"/>
          <w:b/>
          <w:sz w:val="20"/>
          <w:u w:val="single"/>
        </w:rPr>
        <w:t>Signatures</w:t>
      </w:r>
      <w:r>
        <w:rPr>
          <w:rFonts w:ascii="Times New Roman" w:hAnsi="Times New Roman"/>
          <w:sz w:val="20"/>
        </w:rPr>
        <w:t xml:space="preserve">. Each certificate representing capital stock of the Corporation shall be signed by or in the name of the Corporation by any 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8.3 </w:t>
      </w:r>
      <w:r>
        <w:rPr>
          <w:rFonts w:ascii="Times New Roman" w:hAnsi="Times New Roman"/>
          <w:b/>
          <w:sz w:val="20"/>
          <w:u w:val="single"/>
        </w:rPr>
        <w:t>Lost, Destroyed or Wrongfully Taken Certificates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B-2-15 </w:t>
      </w:r>
    </w:p>
    <w:p>
      <w:pPr>
        <w:pStyle w:val="TextBody"/>
        <w:spacing w:before="0" w:after="0"/>
        <w:jc w:val="left"/>
        <w:rPr>
          <w:rFonts w:ascii="Times New Roman" w:hAnsi="Times New Roman"/>
          <w:sz w:val="20"/>
        </w:rPr>
      </w:pPr>
      <w:r>
        <w:rPr>
          <w:rFonts w:ascii="Times New Roman" w:hAnsi="Times New Roman"/>
          <w:sz w:val="20"/>
        </w:rPr>
        <w:t xml:space="preserve">such certificate or the issuance of such new certificate or uncertificated shares; and (iii) satisfies other reasonable requirements imposed by the Corporation. </w:t>
      </w:r>
    </w:p>
    <w:p>
      <w:pPr>
        <w:pStyle w:val="TextBody"/>
        <w:spacing w:before="120" w:after="0"/>
        <w:jc w:val="left"/>
        <w:rPr>
          <w:rFonts w:ascii="Times New Roman" w:hAnsi="Times New Roman"/>
          <w:sz w:val="20"/>
        </w:rPr>
      </w:pPr>
      <w:r>
        <w:rPr>
          <w:rFonts w:ascii="Times New Roman" w:hAnsi="Times New Roman"/>
          <w:sz w:val="20"/>
        </w:rPr>
        <w:t xml:space="preserve">(b)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8.4 </w:t>
      </w:r>
      <w:r>
        <w:rPr>
          <w:rFonts w:ascii="Times New Roman" w:hAnsi="Times New Roman"/>
          <w:b/>
          <w:sz w:val="20"/>
          <w:u w:val="single"/>
        </w:rPr>
        <w:t>Transfer of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Shares of the Corporation shall be transferable in the manner prescribed by law and in these By-Laws subject to any transfer restrictions contained in the Certificate of Incorporation, the Stockholders Agreement, the [Third Amended and Restated] LLC Agreement of Bakkt Holdings, LLC (</w:t>
      </w:r>
      <w:r>
        <w:rPr>
          <w:rFonts w:ascii="Times New Roman" w:hAnsi="Times New Roman"/>
          <w:sz w:val="20"/>
          <w:u w:val="single"/>
        </w:rPr>
        <w:t>Bakkt LLC</w:t>
      </w:r>
      <w:r>
        <w:rPr>
          <w:rFonts w:ascii="Times New Roman" w:hAnsi="Times New Roman"/>
          <w:sz w:val="20"/>
        </w:rPr>
        <w:t>), dated as of [], 2021, by and among Bakkt LLC, the Corporation and the other Bakkt LLC members that are parties thereto (the </w:t>
      </w:r>
      <w:r>
        <w:rPr>
          <w:rFonts w:ascii="Times New Roman" w:hAnsi="Times New Roman"/>
          <w:sz w:val="20"/>
          <w:u w:val="single"/>
        </w:rPr>
        <w:t>LLC Agreement</w:t>
      </w:r>
      <w:r>
        <w:rPr>
          <w:rFonts w:ascii="Times New Roman" w:hAnsi="Times New Roman"/>
          <w:sz w:val="20"/>
        </w:rPr>
        <w:t>), and the Exchange Agreement, dated as of [], 2021, by and among the Corporation, Bakkt LLC and the other parties thereto (the </w:t>
      </w:r>
      <w:r>
        <w:rPr>
          <w:rFonts w:ascii="Times New Roman" w:hAnsi="Times New Roman"/>
          <w:sz w:val="20"/>
          <w:u w:val="single"/>
        </w:rPr>
        <w:t>Exchange Agreement</w:t>
      </w:r>
      <w:r>
        <w:rPr>
          <w:rFonts w:ascii="Times New Roman" w:hAnsi="Times New Roman"/>
          <w:sz w:val="20"/>
        </w:rPr>
        <w:t xml:space="preserve">).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 </w:t>
      </w:r>
    </w:p>
    <w:p>
      <w:pPr>
        <w:pStyle w:val="TextBody"/>
        <w:spacing w:before="120" w:after="0"/>
        <w:jc w:val="left"/>
        <w:rPr>
          <w:rFonts w:ascii="Times New Roman" w:hAnsi="Times New Roman"/>
          <w:sz w:val="20"/>
        </w:rPr>
      </w:pPr>
      <w:r>
        <w:rPr>
          <w:rFonts w:ascii="Times New Roman" w:hAnsi="Times New Roman"/>
          <w:sz w:val="20"/>
        </w:rPr>
        <w:t xml:space="preserve">(b)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8.5 </w:t>
      </w:r>
      <w:r>
        <w:rPr>
          <w:rFonts w:ascii="Times New Roman" w:hAnsi="Times New Roman"/>
          <w:b/>
          <w:sz w:val="20"/>
          <w:u w:val="single"/>
        </w:rPr>
        <w:t>Registered Stockholders</w:t>
      </w:r>
      <w:r>
        <w:rPr>
          <w:rFonts w:ascii="Times New Roman" w:hAnsi="Times New Roman"/>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8.6 </w:t>
      </w:r>
      <w:r>
        <w:rPr>
          <w:rFonts w:ascii="Times New Roman" w:hAnsi="Times New Roman"/>
          <w:b/>
          <w:sz w:val="20"/>
          <w:u w:val="single"/>
        </w:rPr>
        <w:t>Regulations</w:t>
      </w:r>
      <w:r>
        <w:rPr>
          <w:rFonts w:ascii="Times New Roman" w:hAnsi="Times New Roman"/>
          <w:sz w:val="20"/>
        </w:rPr>
        <w:t xml:space="preserve">.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 </w:t>
      </w:r>
    </w:p>
    <w:p>
      <w:pPr>
        <w:pStyle w:val="TextBody"/>
        <w:spacing w:before="480" w:after="0"/>
        <w:jc w:val="center"/>
        <w:rPr>
          <w:rFonts w:ascii="Times New Roman" w:hAnsi="Times New Roman"/>
          <w:b/>
          <w:sz w:val="20"/>
        </w:rPr>
      </w:pPr>
      <w:r>
        <w:rPr>
          <w:rFonts w:ascii="Times New Roman" w:hAnsi="Times New Roman"/>
          <w:b/>
          <w:sz w:val="20"/>
        </w:rPr>
        <w:t xml:space="preserve">ARTICLE IX </w:t>
      </w:r>
    </w:p>
    <w:p>
      <w:pPr>
        <w:pStyle w:val="TextBody"/>
        <w:spacing w:before="0" w:after="0"/>
        <w:jc w:val="center"/>
        <w:rPr>
          <w:rFonts w:ascii="Times New Roman" w:hAnsi="Times New Roman"/>
          <w:b/>
          <w:sz w:val="20"/>
        </w:rPr>
      </w:pPr>
      <w:r>
        <w:rPr>
          <w:rFonts w:ascii="Times New Roman" w:hAnsi="Times New Roman"/>
          <w:b/>
          <w:sz w:val="20"/>
        </w:rPr>
        <w:t xml:space="preserve">FISCAL YEAR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9.1 </w:t>
      </w:r>
      <w:r>
        <w:rPr>
          <w:rFonts w:ascii="Times New Roman" w:hAnsi="Times New Roman"/>
          <w:b/>
          <w:sz w:val="20"/>
          <w:u w:val="single"/>
        </w:rPr>
        <w:t>Fiscal Year</w:t>
      </w:r>
      <w:r>
        <w:rPr>
          <w:rFonts w:ascii="Times New Roman" w:hAnsi="Times New Roman"/>
          <w:sz w:val="20"/>
        </w:rPr>
        <w:t xml:space="preserve">. The fiscal year of the Corporation shall be, unless otherwise determined by resolution of the Board, the calendar year ending on December 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B-2-16 </w:t>
      </w:r>
    </w:p>
    <w:p>
      <w:pPr>
        <w:pStyle w:val="TextBody"/>
        <w:spacing w:before="0" w:after="0"/>
        <w:jc w:val="center"/>
        <w:rPr>
          <w:rFonts w:ascii="Times New Roman" w:hAnsi="Times New Roman"/>
          <w:b/>
          <w:sz w:val="20"/>
        </w:rPr>
      </w:pPr>
      <w:r>
        <w:rPr>
          <w:rFonts w:ascii="Times New Roman" w:hAnsi="Times New Roman"/>
          <w:b/>
          <w:sz w:val="20"/>
        </w:rPr>
        <w:t xml:space="preserve">ARTICLE X </w:t>
      </w:r>
    </w:p>
    <w:p>
      <w:pPr>
        <w:pStyle w:val="TextBody"/>
        <w:spacing w:before="0" w:after="0"/>
        <w:jc w:val="center"/>
        <w:rPr>
          <w:rFonts w:ascii="Times New Roman" w:hAnsi="Times New Roman"/>
          <w:b/>
          <w:sz w:val="20"/>
        </w:rPr>
      </w:pPr>
      <w:r>
        <w:rPr>
          <w:rFonts w:ascii="Times New Roman" w:hAnsi="Times New Roman"/>
          <w:b/>
          <w:sz w:val="20"/>
        </w:rPr>
        <w:t xml:space="preserve">CORPORATE SEAL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b/>
          <w:sz w:val="20"/>
          <w:u w:val="single"/>
        </w:rPr>
        <w:t>Corporate Seal</w:t>
      </w:r>
      <w:r>
        <w:rPr>
          <w:rFonts w:ascii="Times New Roman" w:hAnsi="Times New Roman"/>
          <w:sz w:val="20"/>
        </w:rPr>
        <w:t xml:space="preserve">. The corporate seal shall have inscribed thereon the name of the Corporation. In lieu of the corporate seal, when so authorized by the Board or a duly empowered committee thereof, a facsimile thereof may be impressed or affixed or reproduced. </w:t>
      </w:r>
    </w:p>
    <w:p>
      <w:pPr>
        <w:pStyle w:val="TextBody"/>
        <w:spacing w:before="480" w:after="0"/>
        <w:jc w:val="center"/>
        <w:rPr>
          <w:rFonts w:ascii="Times New Roman" w:hAnsi="Times New Roman"/>
          <w:b/>
          <w:sz w:val="20"/>
        </w:rPr>
      </w:pPr>
      <w:r>
        <w:rPr>
          <w:rFonts w:ascii="Times New Roman" w:hAnsi="Times New Roman"/>
          <w:b/>
          <w:sz w:val="20"/>
        </w:rPr>
        <w:t xml:space="preserve">ARTICLE XI </w:t>
      </w:r>
    </w:p>
    <w:p>
      <w:pPr>
        <w:pStyle w:val="TextBody"/>
        <w:spacing w:before="0" w:after="0"/>
        <w:jc w:val="center"/>
        <w:rPr>
          <w:rFonts w:ascii="Times New Roman" w:hAnsi="Times New Roman"/>
          <w:b/>
          <w:sz w:val="20"/>
        </w:rPr>
      </w:pPr>
      <w:r>
        <w:rPr>
          <w:rFonts w:ascii="Times New Roman" w:hAnsi="Times New Roman"/>
          <w:b/>
          <w:sz w:val="20"/>
        </w:rPr>
        <w:t xml:space="preserve">GENERAL PROVISIONS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11.1 </w:t>
      </w:r>
      <w:r>
        <w:rPr>
          <w:rFonts w:ascii="Times New Roman" w:hAnsi="Times New Roman"/>
          <w:b/>
          <w:sz w:val="20"/>
          <w:u w:val="single"/>
        </w:rPr>
        <w:t>Notice</w:t>
      </w:r>
      <w:r>
        <w:rPr>
          <w:rFonts w:ascii="Times New Roman" w:hAnsi="Times New Roman"/>
          <w:sz w:val="20"/>
        </w:rPr>
        <w:t xml:space="preserve">. Whenever notice is required to be given by law or under any provision of the Certificate of Incorporation or these By-Laws, 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11.2 </w:t>
      </w:r>
      <w:r>
        <w:rPr>
          <w:rFonts w:ascii="Times New Roman" w:hAnsi="Times New Roman"/>
          <w:b/>
          <w:sz w:val="20"/>
          <w:u w:val="single"/>
        </w:rPr>
        <w:t>Means of Giving Notice</w:t>
      </w:r>
      <w:r>
        <w:rPr>
          <w:rFonts w:ascii="Times New Roman" w:hAnsi="Times New Roman"/>
          <w:sz w:val="20"/>
        </w:rPr>
        <w:t xml:space="preserve">. Except as otherwise set forth in any applicable law or any provision of the Certificate of Incorporation or these By-Laws, notice of any meeting shall be given by the following means: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to Directors</w:t>
      </w:r>
      <w:r>
        <w:rPr>
          <w:rFonts w:ascii="Times New Roman" w:hAnsi="Times New Roman"/>
          <w:sz w:val="20"/>
        </w:rPr>
        <w:t xml:space="preserve">.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Definitions</w:t>
      </w:r>
      <w:r>
        <w:rPr>
          <w:rFonts w:ascii="Times New Roman" w:hAnsi="Times New Roman"/>
          <w:sz w:val="20"/>
        </w:rPr>
        <w:t xml:space="preserve">.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to Stockholders Sharing Same Address</w:t>
      </w:r>
      <w:r>
        <w:rPr>
          <w:rFonts w:ascii="Times New Roman" w:hAnsi="Times New Roman"/>
          <w:sz w:val="20"/>
        </w:rPr>
        <w:t xml:space="preserve">. Without limiting the manner by which notice otherwise may be given effectively by the Corporation to stockholders, any notice to stockholders given by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B-2-17 </w:t>
      </w:r>
    </w:p>
    <w:p>
      <w:pPr>
        <w:pStyle w:val="TextBody"/>
        <w:spacing w:before="0" w:after="0"/>
        <w:jc w:val="left"/>
        <w:rPr>
          <w:rFonts w:ascii="Times New Roman" w:hAnsi="Times New Roman"/>
          <w:sz w:val="20"/>
        </w:rPr>
      </w:pPr>
      <w:r>
        <w:rPr>
          <w:rFonts w:ascii="Times New Roman" w:hAnsi="Times New Roman"/>
          <w:sz w:val="20"/>
        </w:rPr>
        <w:t xml:space="preserve">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Exceptions to Notice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 </w:t>
      </w:r>
    </w:p>
    <w:p>
      <w:pPr>
        <w:pStyle w:val="TextBody"/>
        <w:spacing w:before="120" w:after="0"/>
        <w:jc w:val="left"/>
        <w:rPr>
          <w:rFonts w:ascii="Times New Roman" w:hAnsi="Times New Roman"/>
          <w:sz w:val="20"/>
        </w:rPr>
      </w:pPr>
      <w:r>
        <w:rPr>
          <w:rFonts w:ascii="Times New Roman" w:hAnsi="Times New Roman"/>
          <w:sz w:val="20"/>
        </w:rPr>
        <w:t xml:space="preserve">(ii) 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11.3 </w:t>
      </w:r>
      <w:r>
        <w:rPr>
          <w:rFonts w:ascii="Times New Roman" w:hAnsi="Times New Roman"/>
          <w:b/>
          <w:sz w:val="20"/>
          <w:u w:val="single"/>
        </w:rPr>
        <w:t>Headings</w:t>
      </w:r>
      <w:r>
        <w:rPr>
          <w:rFonts w:ascii="Times New Roman" w:hAnsi="Times New Roman"/>
          <w:sz w:val="20"/>
        </w:rPr>
        <w:t xml:space="preserve">. Section headings in these By-Laws are for convenience of reference only and shall not be given any substantive effect in limiting or otherwise construing any provision herein.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11.4 </w:t>
      </w:r>
      <w:r>
        <w:rPr>
          <w:rFonts w:ascii="Times New Roman" w:hAnsi="Times New Roman"/>
          <w:b/>
          <w:sz w:val="20"/>
          <w:u w:val="single"/>
        </w:rPr>
        <w:t>Conflicts</w:t>
      </w:r>
      <w:r>
        <w:rPr>
          <w:rFonts w:ascii="Times New Roman" w:hAnsi="Times New Roman"/>
          <w:sz w:val="20"/>
        </w:rPr>
        <w:t xml:space="preserve">. In the event that any provision of these By-Laws is or becomes inconsistent with any provision of the Certificate of Incorporation or the DGCL, the provision of the Certificate of Incorporation shall prevail. </w:t>
      </w:r>
    </w:p>
    <w:p>
      <w:pPr>
        <w:pStyle w:val="TextBody"/>
        <w:spacing w:before="480" w:after="0"/>
        <w:jc w:val="center"/>
        <w:rPr>
          <w:rFonts w:ascii="Times New Roman" w:hAnsi="Times New Roman"/>
          <w:b/>
          <w:sz w:val="20"/>
        </w:rPr>
      </w:pPr>
      <w:r>
        <w:rPr>
          <w:rFonts w:ascii="Times New Roman" w:hAnsi="Times New Roman"/>
          <w:b/>
          <w:sz w:val="20"/>
        </w:rPr>
        <w:t xml:space="preserve">ARTICLE XII </w:t>
      </w:r>
    </w:p>
    <w:p>
      <w:pPr>
        <w:pStyle w:val="TextBody"/>
        <w:spacing w:before="0" w:after="0"/>
        <w:jc w:val="center"/>
        <w:rPr>
          <w:rFonts w:ascii="Times New Roman" w:hAnsi="Times New Roman"/>
          <w:b/>
          <w:sz w:val="20"/>
        </w:rPr>
      </w:pPr>
      <w:r>
        <w:rPr>
          <w:rFonts w:ascii="Times New Roman" w:hAnsi="Times New Roman"/>
          <w:b/>
          <w:sz w:val="20"/>
        </w:rPr>
        <w:t xml:space="preserve">AMENDMENTS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12.1 </w:t>
      </w:r>
      <w:r>
        <w:rPr>
          <w:rFonts w:ascii="Times New Roman" w:hAnsi="Times New Roman"/>
          <w:b/>
          <w:sz w:val="20"/>
          <w:u w:val="single"/>
        </w:rPr>
        <w:t>Amendments</w:t>
      </w:r>
      <w:r>
        <w:rPr>
          <w:rFonts w:ascii="Times New Roman" w:hAnsi="Times New Roman"/>
          <w:sz w:val="20"/>
        </w:rPr>
        <w:t xml:space="preserve">. These By-Laws may be made, amended, altered, changed, added to or repealed as set forth in the Certificate of Incorporation.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40" w:name="anc"/>
      <w:bookmarkEnd w:id="140"/>
      <w:r>
        <w:rPr>
          <w:rFonts w:ascii="Times New Roman" w:hAnsi="Times New Roman"/>
          <w:b/>
          <w:sz w:val="20"/>
        </w:rPr>
        <w:t xml:space="preserve">Annex C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EQUITY INCENTIVE PLAN </w:t>
      </w:r>
    </w:p>
    <w:p>
      <w:pPr>
        <w:pStyle w:val="TextBody"/>
        <w:spacing w:before="240" w:after="0"/>
        <w:jc w:val="center"/>
        <w:rPr>
          <w:rFonts w:ascii="Times New Roman" w:hAnsi="Times New Roman"/>
          <w:b/>
          <w:sz w:val="20"/>
        </w:rPr>
      </w:pPr>
      <w:bookmarkStart w:id="141" w:name="toc108105_46"/>
      <w:bookmarkEnd w:id="141"/>
      <w:r>
        <w:rPr>
          <w:rFonts w:ascii="Times New Roman" w:hAnsi="Times New Roman"/>
          <w:b/>
          <w:sz w:val="20"/>
        </w:rPr>
        <w:t xml:space="preserve">BAKKT HOLDINGS, INC. </w:t>
      </w:r>
    </w:p>
    <w:p>
      <w:pPr>
        <w:pStyle w:val="TextBody"/>
        <w:spacing w:before="0" w:after="0"/>
        <w:jc w:val="center"/>
        <w:rPr>
          <w:rFonts w:ascii="Times New Roman" w:hAnsi="Times New Roman"/>
          <w:b/>
          <w:sz w:val="20"/>
        </w:rPr>
      </w:pPr>
      <w:r>
        <w:rPr>
          <w:rFonts w:ascii="Times New Roman" w:hAnsi="Times New Roman"/>
          <w:b/>
          <w:sz w:val="20"/>
        </w:rPr>
        <w:t xml:space="preserve">2021 OMNIBUS INCENTIVE PLAN </w:t>
      </w:r>
    </w:p>
    <w:p>
      <w:pPr>
        <w:pStyle w:val="TextBody"/>
        <w:spacing w:before="24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b/>
          <w:sz w:val="20"/>
        </w:rPr>
      </w:pPr>
      <w:r>
        <w:rPr>
          <w:rFonts w:ascii="Times New Roman" w:hAnsi="Times New Roman"/>
          <w:b/>
          <w:sz w:val="20"/>
        </w:rPr>
        <w:t xml:space="preserve">1.1 Purpose </w:t>
      </w:r>
    </w:p>
    <w:p>
      <w:pPr>
        <w:pStyle w:val="TextBody"/>
        <w:spacing w:before="120" w:after="0"/>
        <w:jc w:val="left"/>
        <w:rPr>
          <w:rFonts w:ascii="Times New Roman" w:hAnsi="Times New Roman"/>
          <w:sz w:val="20"/>
        </w:rPr>
      </w:pPr>
      <w:r>
        <w:rPr>
          <w:rFonts w:ascii="Times New Roman" w:hAnsi="Times New Roman"/>
          <w:sz w:val="20"/>
        </w:rPr>
        <w:t>The purpose of the Bakkt Holdings, Inc. 2021 Omnibus Employee Incentive Plan (as amended from time to time, the </w:t>
      </w:r>
      <w:r>
        <w:rPr>
          <w:rFonts w:ascii="Times New Roman" w:hAnsi="Times New Roman"/>
          <w:b/>
          <w:sz w:val="20"/>
          <w:u w:val="single"/>
        </w:rPr>
        <w:t>Plan</w:t>
      </w:r>
      <w:r>
        <w:rPr>
          <w:rFonts w:ascii="Times New Roman" w:hAnsi="Times New Roman"/>
          <w:sz w:val="20"/>
        </w:rPr>
        <w:t>) is to attract, retain and motivate officers and key employees (including prospective employees), directors, consultants and others who may perform services for Bakkt Holdings, Inc. and any Subsidiary, and any successor entity (the </w:t>
      </w:r>
      <w:r>
        <w:rPr>
          <w:rFonts w:ascii="Times New Roman" w:hAnsi="Times New Roman"/>
          <w:b/>
          <w:sz w:val="20"/>
          <w:u w:val="single"/>
        </w:rPr>
        <w:t>Company</w:t>
      </w:r>
      <w:r>
        <w:rPr>
          <w:rFonts w:ascii="Times New Roman" w:hAnsi="Times New Roman"/>
          <w:sz w:val="20"/>
        </w:rPr>
        <w:t> or </w:t>
      </w:r>
      <w:r>
        <w:rPr>
          <w:rFonts w:ascii="Times New Roman" w:hAnsi="Times New Roman"/>
          <w:b/>
          <w:sz w:val="20"/>
          <w:u w:val="single"/>
        </w:rPr>
        <w:t>Bakkt</w:t>
      </w:r>
      <w:r>
        <w:rPr>
          <w:rFonts w:ascii="Times New Roman" w:hAnsi="Times New Roman"/>
          <w:sz w:val="20"/>
        </w:rPr>
        <w:t xml:space="preserve">), to compensate them for their contributions to the long-term growth and profits of the Company and to encourage them to acquire a proprietary interest in the success of the Company. Terms not otherwise defined in context are defined in </w:t>
      </w:r>
      <w:r>
        <w:rPr>
          <w:rFonts w:ascii="Times New Roman" w:hAnsi="Times New Roman"/>
          <w:sz w:val="20"/>
          <w:u w:val="single"/>
        </w:rPr>
        <w:t>Section 3.23</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1.2 Administration </w:t>
      </w:r>
    </w:p>
    <w:p>
      <w:pPr>
        <w:pStyle w:val="TextBody"/>
        <w:spacing w:before="120" w:after="0"/>
        <w:jc w:val="left"/>
        <w:rPr>
          <w:rFonts w:ascii="Times New Roman" w:hAnsi="Times New Roman"/>
          <w:sz w:val="20"/>
        </w:rPr>
      </w:pPr>
      <w:r>
        <w:rPr>
          <w:rFonts w:ascii="Times New Roman" w:hAnsi="Times New Roman"/>
          <w:sz w:val="20"/>
        </w:rPr>
        <w:t>1.2.1 The Compensation Committee of the Board of Directors of Bakkt (the </w:t>
      </w:r>
      <w:r>
        <w:rPr>
          <w:rFonts w:ascii="Times New Roman" w:hAnsi="Times New Roman"/>
          <w:b/>
          <w:sz w:val="20"/>
          <w:u w:val="single"/>
        </w:rPr>
        <w:t>Board</w:t>
      </w:r>
      <w:r>
        <w:rPr>
          <w:rFonts w:ascii="Times New Roman" w:hAnsi="Times New Roman"/>
          <w:sz w:val="20"/>
        </w:rPr>
        <w:t>, and such committee as constituted from time to time, and including any successor committee, the </w:t>
      </w:r>
      <w:r>
        <w:rPr>
          <w:rFonts w:ascii="Times New Roman" w:hAnsi="Times New Roman"/>
          <w:b/>
          <w:sz w:val="20"/>
          <w:u w:val="single"/>
        </w:rPr>
        <w:t>Committee</w:t>
      </w:r>
      <w:r>
        <w:rPr>
          <w:rFonts w:ascii="Times New Roman" w:hAnsi="Times New Roman"/>
          <w:sz w:val="20"/>
        </w:rPr>
        <w:t xml:space="preserve">) will administer the Plan. In particular, the Committee will have the authority in its sole discretion to: </w:t>
      </w:r>
    </w:p>
    <w:p>
      <w:pPr>
        <w:pStyle w:val="TextBody"/>
        <w:spacing w:before="120" w:after="0"/>
        <w:jc w:val="left"/>
        <w:rPr>
          <w:rFonts w:ascii="Times New Roman" w:hAnsi="Times New Roman"/>
          <w:sz w:val="20"/>
        </w:rPr>
      </w:pPr>
      <w:r>
        <w:rPr>
          <w:rFonts w:ascii="Times New Roman" w:hAnsi="Times New Roman"/>
          <w:sz w:val="20"/>
        </w:rPr>
        <w:t xml:space="preserve">(a) exercise all of the powers granted to it under the Plan; </w:t>
      </w:r>
    </w:p>
    <w:p>
      <w:pPr>
        <w:pStyle w:val="TextBody"/>
        <w:spacing w:before="120" w:after="0"/>
        <w:jc w:val="left"/>
        <w:rPr>
          <w:rFonts w:ascii="Times New Roman" w:hAnsi="Times New Roman"/>
          <w:sz w:val="20"/>
        </w:rPr>
      </w:pPr>
      <w:r>
        <w:rPr>
          <w:rFonts w:ascii="Times New Roman" w:hAnsi="Times New Roman"/>
          <w:sz w:val="20"/>
        </w:rPr>
        <w:t xml:space="preserve">(b) construe, interpret and implement the Plan and all Award Agreements; </w:t>
      </w:r>
    </w:p>
    <w:p>
      <w:pPr>
        <w:pStyle w:val="TextBody"/>
        <w:spacing w:before="120" w:after="0"/>
        <w:jc w:val="left"/>
        <w:rPr>
          <w:rFonts w:ascii="Times New Roman" w:hAnsi="Times New Roman"/>
          <w:sz w:val="20"/>
        </w:rPr>
      </w:pPr>
      <w:r>
        <w:rPr>
          <w:rFonts w:ascii="Times New Roman" w:hAnsi="Times New Roman"/>
          <w:sz w:val="20"/>
        </w:rPr>
        <w:t xml:space="preserve">(c) prescribe, amend and rescind rules and regulations relating to the Plan, including rules governing the Committees own operations, rules applicable to Grantees who are foreign nationals (or employed outside the United States, or both); </w:t>
      </w:r>
    </w:p>
    <w:p>
      <w:pPr>
        <w:pStyle w:val="TextBody"/>
        <w:spacing w:before="120" w:after="0"/>
        <w:jc w:val="left"/>
        <w:rPr>
          <w:rFonts w:ascii="Times New Roman" w:hAnsi="Times New Roman"/>
          <w:sz w:val="20"/>
        </w:rPr>
      </w:pPr>
      <w:r>
        <w:rPr>
          <w:rFonts w:ascii="Times New Roman" w:hAnsi="Times New Roman"/>
          <w:sz w:val="20"/>
        </w:rPr>
        <w:t xml:space="preserve">(d) make all determinations necessary or advisable in administering the Plan; </w:t>
      </w:r>
    </w:p>
    <w:p>
      <w:pPr>
        <w:pStyle w:val="TextBody"/>
        <w:spacing w:before="120" w:after="0"/>
        <w:jc w:val="left"/>
        <w:rPr>
          <w:rFonts w:ascii="Times New Roman" w:hAnsi="Times New Roman"/>
          <w:sz w:val="20"/>
        </w:rPr>
      </w:pPr>
      <w:r>
        <w:rPr>
          <w:rFonts w:ascii="Times New Roman" w:hAnsi="Times New Roman"/>
          <w:sz w:val="20"/>
        </w:rPr>
        <w:t xml:space="preserve">(e) correct any defect, supply any omission and reconcile any inconsistency in the Plan; </w:t>
      </w:r>
    </w:p>
    <w:p>
      <w:pPr>
        <w:pStyle w:val="TextBody"/>
        <w:spacing w:before="120" w:after="0"/>
        <w:jc w:val="left"/>
        <w:rPr>
          <w:rFonts w:ascii="Times New Roman" w:hAnsi="Times New Roman"/>
          <w:sz w:val="20"/>
        </w:rPr>
      </w:pPr>
      <w:r>
        <w:rPr>
          <w:rFonts w:ascii="Times New Roman" w:hAnsi="Times New Roman"/>
          <w:sz w:val="20"/>
        </w:rPr>
        <w:t xml:space="preserve">(f) amend the Plan to reflect changes in applicable law; </w:t>
      </w:r>
    </w:p>
    <w:p>
      <w:pPr>
        <w:pStyle w:val="TextBody"/>
        <w:spacing w:before="120" w:after="0"/>
        <w:jc w:val="left"/>
        <w:rPr>
          <w:rFonts w:ascii="Times New Roman" w:hAnsi="Times New Roman"/>
          <w:sz w:val="20"/>
        </w:rPr>
      </w:pPr>
      <w:r>
        <w:rPr>
          <w:rFonts w:ascii="Times New Roman" w:hAnsi="Times New Roman"/>
          <w:sz w:val="20"/>
        </w:rPr>
        <w:t>(g) grant, or recommend to the Board for approval to grant, awards made pursuant to the Plan (</w:t>
      </w:r>
      <w:r>
        <w:rPr>
          <w:rFonts w:ascii="Times New Roman" w:hAnsi="Times New Roman"/>
          <w:b/>
          <w:sz w:val="20"/>
          <w:u w:val="single"/>
        </w:rPr>
        <w:t>Awards</w:t>
      </w:r>
      <w:r>
        <w:rPr>
          <w:rFonts w:ascii="Times New Roman" w:hAnsi="Times New Roman"/>
          <w:sz w:val="20"/>
        </w:rPr>
        <w:t xml:space="preserve">) and determine who will receive Awards, when such Awards will be granted and the terms of such Awards, including the effect of a termination of Employment or service on such Awards and the vesting and/or lapse of restrictions on Awards upon the attainment of Performance Goals and/or upon continued service; </w:t>
      </w:r>
    </w:p>
    <w:p>
      <w:pPr>
        <w:pStyle w:val="TextBody"/>
        <w:spacing w:before="120" w:after="0"/>
        <w:jc w:val="left"/>
        <w:rPr>
          <w:rFonts w:ascii="Times New Roman" w:hAnsi="Times New Roman"/>
          <w:sz w:val="20"/>
        </w:rPr>
      </w:pPr>
      <w:r>
        <w:rPr>
          <w:rFonts w:ascii="Times New Roman" w:hAnsi="Times New Roman"/>
          <w:sz w:val="20"/>
        </w:rPr>
        <w:t xml:space="preserve">(h) amend any outstanding Award Agreement in any respect including, without limitation, to </w:t>
      </w:r>
    </w:p>
    <w:p>
      <w:pPr>
        <w:pStyle w:val="TextBody"/>
        <w:spacing w:before="120" w:after="0"/>
        <w:jc w:val="left"/>
        <w:rPr>
          <w:rFonts w:ascii="Times New Roman" w:hAnsi="Times New Roman"/>
          <w:sz w:val="20"/>
        </w:rPr>
      </w:pPr>
      <w:r>
        <w:rPr>
          <w:rFonts w:ascii="Times New Roman" w:hAnsi="Times New Roman"/>
          <w:sz w:val="20"/>
        </w:rPr>
        <w:t>(1) accelerate the time or times at which (A) the Award becomes vested, unrestricted or may be exercised or (B) shares of Common Stock (</w:t>
      </w:r>
      <w:r>
        <w:rPr>
          <w:rFonts w:ascii="Times New Roman" w:hAnsi="Times New Roman"/>
          <w:b/>
          <w:sz w:val="20"/>
          <w:u w:val="single"/>
        </w:rPr>
        <w:t>Shares</w:t>
      </w:r>
      <w:r>
        <w:rPr>
          <w:rFonts w:ascii="Times New Roman" w:hAnsi="Times New Roman"/>
          <w:sz w:val="20"/>
        </w:rPr>
        <w:t xml:space="preserve">) are delivered under the Award, and in each case, without limitation on the Committees rights, in connection with such acceleration, the Committee may provide that any Shares acquired pursuant to such Award will be restricted shares, which are subject to vesting, transfer, forfeiture or repayment provisions similar to those in the Grantees underlying Award, </w:t>
      </w:r>
    </w:p>
    <w:p>
      <w:pPr>
        <w:pStyle w:val="TextBody"/>
        <w:spacing w:before="120" w:after="0"/>
        <w:jc w:val="left"/>
        <w:rPr>
          <w:rFonts w:ascii="Times New Roman" w:hAnsi="Times New Roman"/>
          <w:sz w:val="20"/>
        </w:rPr>
      </w:pPr>
      <w:r>
        <w:rPr>
          <w:rFonts w:ascii="Times New Roman" w:hAnsi="Times New Roman"/>
          <w:sz w:val="20"/>
        </w:rPr>
        <w:t xml:space="preserve">(2) waive or amend any goals, restrictions, vesting provisions or conditions set forth in such Award Agreement, or impose new goals, restrictions, vesting provisions and conditions, or </w:t>
      </w:r>
    </w:p>
    <w:p>
      <w:pPr>
        <w:pStyle w:val="TextBody"/>
        <w:spacing w:before="120" w:after="0"/>
        <w:jc w:val="left"/>
        <w:rPr>
          <w:rFonts w:ascii="Times New Roman" w:hAnsi="Times New Roman"/>
          <w:sz w:val="20"/>
        </w:rPr>
      </w:pPr>
      <w:r>
        <w:rPr>
          <w:rFonts w:ascii="Times New Roman" w:hAnsi="Times New Roman"/>
          <w:sz w:val="20"/>
        </w:rPr>
        <w:t>(3) reflect a change in the Grantees circumstances (</w:t>
      </w:r>
      <w:r>
        <w:rPr>
          <w:rFonts w:ascii="Times New Roman" w:hAnsi="Times New Roman"/>
          <w:i/>
          <w:sz w:val="20"/>
        </w:rPr>
        <w:t>e.g</w:t>
      </w:r>
      <w:r>
        <w:rPr>
          <w:rFonts w:ascii="Times New Roman" w:hAnsi="Times New Roman"/>
          <w:sz w:val="20"/>
        </w:rPr>
        <w:t xml:space="preserve">., a change to part-time employment status or a change in position, duties or responsibilities);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 determine at any time whether, to what extent and under what circumstances and method or methods </w:t>
      </w:r>
    </w:p>
    <w:p>
      <w:pPr>
        <w:pStyle w:val="TextBody"/>
        <w:spacing w:before="120" w:after="0"/>
        <w:jc w:val="left"/>
        <w:rPr>
          <w:rFonts w:ascii="Times New Roman" w:hAnsi="Times New Roman"/>
          <w:sz w:val="20"/>
        </w:rPr>
      </w:pPr>
      <w:r>
        <w:rPr>
          <w:rFonts w:ascii="Times New Roman" w:hAnsi="Times New Roman"/>
          <w:sz w:val="20"/>
        </w:rPr>
        <w:t xml:space="preserve">(1) Awards may be </w:t>
      </w:r>
    </w:p>
    <w:p>
      <w:pPr>
        <w:pStyle w:val="TextBody"/>
        <w:spacing w:before="120" w:after="0"/>
        <w:jc w:val="left"/>
        <w:rPr>
          <w:rFonts w:ascii="Times New Roman" w:hAnsi="Times New Roman"/>
          <w:sz w:val="20"/>
        </w:rPr>
      </w:pPr>
      <w:r>
        <w:rPr>
          <w:rFonts w:ascii="Times New Roman" w:hAnsi="Times New Roman"/>
          <w:sz w:val="20"/>
        </w:rPr>
        <w:t xml:space="preserve">(A) settled in cash, Shares, other securities, other Awards or other property (in which event, the Committee may specify what other effects such settlement will have on the Grantees Award, including the effect on any repayment provisions under the Plan or Award Agreement); </w:t>
      </w:r>
    </w:p>
    <w:p>
      <w:pPr>
        <w:pStyle w:val="TextBody"/>
        <w:spacing w:before="120" w:after="0"/>
        <w:jc w:val="left"/>
        <w:rPr>
          <w:rFonts w:ascii="Times New Roman" w:hAnsi="Times New Roman"/>
          <w:sz w:val="20"/>
        </w:rPr>
      </w:pPr>
      <w:r>
        <w:rPr>
          <w:rFonts w:ascii="Times New Roman" w:hAnsi="Times New Roman"/>
          <w:sz w:val="20"/>
        </w:rPr>
        <w:t xml:space="preserve">(B) exercised; or </w:t>
      </w:r>
    </w:p>
    <w:p>
      <w:pPr>
        <w:pStyle w:val="TextBody"/>
        <w:spacing w:before="120" w:after="0"/>
        <w:jc w:val="left"/>
        <w:rPr>
          <w:rFonts w:ascii="Times New Roman" w:hAnsi="Times New Roman"/>
          <w:sz w:val="20"/>
        </w:rPr>
      </w:pPr>
      <w:r>
        <w:rPr>
          <w:rFonts w:ascii="Times New Roman" w:hAnsi="Times New Roman"/>
          <w:sz w:val="20"/>
        </w:rPr>
        <w:t xml:space="preserve">(C) canceled, forfeited or suspended; </w:t>
      </w:r>
    </w:p>
    <w:p>
      <w:pPr>
        <w:pStyle w:val="TextBody"/>
        <w:spacing w:before="120" w:after="0"/>
        <w:jc w:val="left"/>
        <w:rPr>
          <w:rFonts w:ascii="Times New Roman" w:hAnsi="Times New Roman"/>
          <w:sz w:val="20"/>
        </w:rPr>
      </w:pPr>
      <w:r>
        <w:rPr>
          <w:rFonts w:ascii="Times New Roman" w:hAnsi="Times New Roman"/>
          <w:sz w:val="20"/>
        </w:rPr>
        <w:t xml:space="preserve">(2) Shares, other securities, other Awards or other property and other amounts payable for an Award may be deferred either automatically or at the election of the Grantee thereof or of the Committee; </w:t>
      </w:r>
    </w:p>
    <w:p>
      <w:pPr>
        <w:pStyle w:val="TextBody"/>
        <w:spacing w:before="120" w:after="0"/>
        <w:jc w:val="left"/>
        <w:rPr>
          <w:rFonts w:ascii="Times New Roman" w:hAnsi="Times New Roman"/>
          <w:sz w:val="20"/>
        </w:rPr>
      </w:pPr>
      <w:r>
        <w:rPr>
          <w:rFonts w:ascii="Times New Roman" w:hAnsi="Times New Roman"/>
          <w:sz w:val="20"/>
        </w:rPr>
        <w:t xml:space="preserve">(3) to the extent permitted under applicable law, loans (whether or not secured by Common Stock) may be extended by the Company for any Awards; </w:t>
      </w:r>
    </w:p>
    <w:p>
      <w:pPr>
        <w:pStyle w:val="TextBody"/>
        <w:spacing w:before="120" w:after="0"/>
        <w:jc w:val="left"/>
        <w:rPr>
          <w:rFonts w:ascii="Times New Roman" w:hAnsi="Times New Roman"/>
          <w:sz w:val="20"/>
        </w:rPr>
      </w:pPr>
      <w:r>
        <w:rPr>
          <w:rFonts w:ascii="Times New Roman" w:hAnsi="Times New Roman"/>
          <w:sz w:val="20"/>
        </w:rPr>
        <w:t xml:space="preserve">(4) Awards may be settled by Bakkt, any of its Subsidiaries or affiliates or any of their designees; and </w:t>
      </w:r>
    </w:p>
    <w:p>
      <w:pPr>
        <w:pStyle w:val="TextBody"/>
        <w:spacing w:before="120" w:after="0"/>
        <w:jc w:val="left"/>
        <w:rPr>
          <w:rFonts w:ascii="Times New Roman" w:hAnsi="Times New Roman"/>
          <w:sz w:val="20"/>
        </w:rPr>
      </w:pPr>
      <w:r>
        <w:rPr>
          <w:rFonts w:ascii="Times New Roman" w:hAnsi="Times New Roman"/>
          <w:sz w:val="20"/>
        </w:rPr>
        <w:t xml:space="preserve">(5) subject to </w:t>
      </w:r>
      <w:r>
        <w:rPr>
          <w:rFonts w:ascii="Times New Roman" w:hAnsi="Times New Roman"/>
          <w:sz w:val="20"/>
          <w:u w:val="single"/>
        </w:rPr>
        <w:t>Section 2.5.5</w:t>
      </w:r>
      <w:r>
        <w:rPr>
          <w:rFonts w:ascii="Times New Roman" w:hAnsi="Times New Roman"/>
          <w:sz w:val="20"/>
        </w:rPr>
        <w:t xml:space="preserve">, the exercise price for any stock option (other than an Incentive Stock Option, unless the Committee determines that such a stock option will no longer constitute an Incentive Stock Option) or stock appreciation right may be reset; and </w:t>
      </w:r>
    </w:p>
    <w:p>
      <w:pPr>
        <w:pStyle w:val="TextBody"/>
        <w:spacing w:before="120" w:after="0"/>
        <w:jc w:val="left"/>
        <w:rPr>
          <w:rFonts w:ascii="Times New Roman" w:hAnsi="Times New Roman"/>
          <w:sz w:val="20"/>
        </w:rPr>
      </w:pPr>
      <w:r>
        <w:rPr>
          <w:rFonts w:ascii="Times New Roman" w:hAnsi="Times New Roman"/>
          <w:sz w:val="20"/>
        </w:rPr>
        <w:t xml:space="preserve">(j) cause Bakkt to enter into an agreement with any Subsidiary pursuant to which such Subsidiary will reimburse the Company for the cost of such equity incentives. </w:t>
      </w:r>
    </w:p>
    <w:p>
      <w:pPr>
        <w:pStyle w:val="TextBody"/>
        <w:spacing w:before="120" w:after="0"/>
        <w:jc w:val="left"/>
        <w:rPr>
          <w:rFonts w:ascii="Times New Roman" w:hAnsi="Times New Roman"/>
          <w:sz w:val="20"/>
        </w:rPr>
      </w:pPr>
      <w:r>
        <w:rPr>
          <w:rFonts w:ascii="Times New Roman" w:hAnsi="Times New Roman"/>
          <w:sz w:val="20"/>
        </w:rPr>
        <w:t>1.2.2 Actions of the Committee may be taken by the vote of a majority of its members present at a meeting (which may be held telephonically). Any action may be taken by a written instrument signed by each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16(b)-3(d)(1) or Rule 16(b)-3(e) under the Securities Exchange Act 1934, as amended from time to time, or any successor thereto (such act and the applicable rules and regulations thereunder, the </w:t>
      </w:r>
      <w:r>
        <w:rPr>
          <w:rFonts w:ascii="Times New Roman" w:hAnsi="Times New Roman"/>
          <w:b/>
          <w:sz w:val="20"/>
          <w:u w:val="single"/>
        </w:rPr>
        <w:t>Exchange Act</w:t>
      </w:r>
      <w:r>
        <w:rPr>
          <w:rFonts w:ascii="Times New Roman" w:hAnsi="Times New Roman"/>
          <w:sz w:val="20"/>
        </w:rPr>
        <w:t xml:space="preserve">). Except as specifically provided to the contrary, references to the Committee include any administrative group, individual or individuals to whom the Committee has delegated its duties and powers. </w:t>
      </w:r>
    </w:p>
    <w:p>
      <w:pPr>
        <w:pStyle w:val="TextBody"/>
        <w:spacing w:before="120" w:after="0"/>
        <w:jc w:val="left"/>
        <w:rPr>
          <w:rFonts w:ascii="Times New Roman" w:hAnsi="Times New Roman"/>
          <w:sz w:val="20"/>
        </w:rPr>
      </w:pPr>
      <w:r>
        <w:rPr>
          <w:rFonts w:ascii="Times New Roman" w:hAnsi="Times New Roman"/>
          <w:sz w:val="20"/>
        </w:rPr>
        <w:t xml:space="preserve">1.2.3 Notwithstanding anything to the contrary in the Plan, the Board may, in its sole discretion, at any time and from time to time, grant Awards or administer the Plan. In any such case, the Board will have all of the authority and responsibility granted to the Committee. </w:t>
      </w:r>
    </w:p>
    <w:p>
      <w:pPr>
        <w:pStyle w:val="TextBody"/>
        <w:spacing w:before="120" w:after="0"/>
        <w:jc w:val="left"/>
        <w:rPr>
          <w:rFonts w:ascii="Times New Roman" w:hAnsi="Times New Roman"/>
          <w:sz w:val="20"/>
        </w:rPr>
      </w:pPr>
      <w:r>
        <w:rPr>
          <w:rFonts w:ascii="Times New Roman" w:hAnsi="Times New Roman"/>
          <w:sz w:val="20"/>
        </w:rPr>
        <w:t>1.2.4 No member of the Committee or any person to whom the Board or Committee delegates its powers, responsibilities or duties in writing, including by resolution (each such person, a </w:t>
      </w:r>
      <w:r>
        <w:rPr>
          <w:rFonts w:ascii="Times New Roman" w:hAnsi="Times New Roman"/>
          <w:b/>
          <w:sz w:val="20"/>
          <w:u w:val="single"/>
        </w:rPr>
        <w:t>Covered Person</w:t>
      </w:r>
      <w:r>
        <w:rPr>
          <w:rFonts w:ascii="Times New Roman" w:hAnsi="Times New Roman"/>
          <w:sz w:val="20"/>
        </w:rPr>
        <w:t xml:space="preserve">), will have any liability to any person (including any Grantee) for any action taken or omitted to be taken or any determination made for the Plan or any Award, except as expressly provided by statute. Each Covered Person will be indemnified and held harmless by the Company against and from: </w:t>
      </w:r>
    </w:p>
    <w:p>
      <w:pPr>
        <w:pStyle w:val="TextBody"/>
        <w:spacing w:before="120" w:after="0"/>
        <w:jc w:val="left"/>
        <w:rPr>
          <w:rFonts w:ascii="Times New Roman" w:hAnsi="Times New Roman"/>
          <w:sz w:val="20"/>
        </w:rPr>
      </w:pPr>
      <w:r>
        <w:rPr>
          <w:rFonts w:ascii="Times New Roman" w:hAnsi="Times New Roman"/>
          <w:sz w:val="20"/>
        </w:rPr>
        <w:t xml:space="preserve">(a)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 </w:t>
      </w:r>
    </w:p>
    <w:p>
      <w:pPr>
        <w:pStyle w:val="TextBody"/>
        <w:spacing w:before="120" w:after="0"/>
        <w:jc w:val="left"/>
        <w:rPr>
          <w:rFonts w:ascii="Times New Roman" w:hAnsi="Times New Roman"/>
          <w:sz w:val="20"/>
        </w:rPr>
      </w:pPr>
      <w:r>
        <w:rPr>
          <w:rFonts w:ascii="Times New Roman" w:hAnsi="Times New Roman"/>
          <w:sz w:val="20"/>
        </w:rPr>
        <w:t xml:space="preserve">(b) any and all amounts paid by such Covered Person, with the Companys approval, in settlement thereof, or paid by such Covered Person in satisfaction of any judgment in any such action, suit or proceeding against such Covered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Company will have the right, at its own expense, to assume and defend any such action, suit or proceeding and, once the Company gives notice of its intent to assume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w:t>
      </w:r>
    </w:p>
    <w:p>
      <w:pPr>
        <w:pStyle w:val="TextBody"/>
        <w:spacing w:before="240" w:after="0"/>
        <w:jc w:val="left"/>
        <w:rPr>
          <w:rFonts w:ascii="Times New Roman" w:hAnsi="Times New Roman"/>
          <w:sz w:val="20"/>
        </w:rPr>
      </w:pPr>
      <w:r>
        <w:rPr>
          <w:rFonts w:ascii="Times New Roman" w:hAnsi="Times New Roman"/>
          <w:sz w:val="20"/>
        </w:rPr>
        <w:t xml:space="preserve">The foregoing right of indemnification will not be exclusive of any other rights of indemnification to which Covered Persons may be entitled under Bakkts Certificate of Incorporation or Bylaws, pursuant to any individual indemnification agreements between such Covered Person and the Company, as a matter of law, or otherwise, or any other power that the Company may have to indemnify such persons or hold them harmless. </w:t>
      </w:r>
    </w:p>
    <w:p>
      <w:pPr>
        <w:pStyle w:val="TextBody"/>
        <w:spacing w:before="360" w:after="0"/>
        <w:jc w:val="left"/>
        <w:rPr>
          <w:rFonts w:ascii="Times New Roman" w:hAnsi="Times New Roman"/>
          <w:b/>
          <w:sz w:val="20"/>
        </w:rPr>
      </w:pPr>
      <w:r>
        <w:rPr>
          <w:rFonts w:ascii="Times New Roman" w:hAnsi="Times New Roman"/>
          <w:b/>
          <w:sz w:val="20"/>
        </w:rPr>
        <w:t xml:space="preserve">1.3 Shares Available for Awards </w:t>
      </w:r>
    </w:p>
    <w:p>
      <w:pPr>
        <w:pStyle w:val="TextBody"/>
        <w:spacing w:before="12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u w:val="single"/>
        </w:rPr>
        <w:t>Common Stock Subject to the Plan</w:t>
      </w:r>
      <w:r>
        <w:rPr>
          <w:rFonts w:ascii="Times New Roman" w:hAnsi="Times New Roman"/>
          <w:sz w:val="20"/>
        </w:rPr>
        <w:t xml:space="preserve">. Subject to the other provisions of this </w:t>
      </w:r>
      <w:r>
        <w:rPr>
          <w:rFonts w:ascii="Times New Roman" w:hAnsi="Times New Roman"/>
          <w:sz w:val="20"/>
          <w:u w:val="single"/>
        </w:rPr>
        <w:t>Section 1.3</w:t>
      </w:r>
      <w:r>
        <w:rPr>
          <w:rFonts w:ascii="Times New Roman" w:hAnsi="Times New Roman"/>
          <w:sz w:val="20"/>
        </w:rPr>
        <w:t>, the total number of Shares that may be granted under the Plan will be [     ] (the </w:t>
      </w:r>
      <w:r>
        <w:rPr>
          <w:rFonts w:ascii="Times New Roman" w:hAnsi="Times New Roman"/>
          <w:b/>
          <w:sz w:val="20"/>
          <w:u w:val="single"/>
        </w:rPr>
        <w:t>Share Limit</w:t>
      </w:r>
      <w:r>
        <w:rPr>
          <w:rFonts w:ascii="Times New Roman" w:hAnsi="Times New Roman"/>
          <w:sz w:val="20"/>
        </w:rPr>
        <w:t>).1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Times New Roman" w:hAnsi="Times New Roman"/>
          <w:b/>
          <w:sz w:val="20"/>
          <w:u w:val="single"/>
        </w:rPr>
        <w:t>Acquisition Awards</w:t>
      </w:r>
      <w:r>
        <w:rPr>
          <w:rFonts w:ascii="Times New Roman" w:hAnsi="Times New Roman"/>
          <w:sz w:val="20"/>
        </w:rPr>
        <w:t xml:space="preserve">) will not count against the number of Shares that may be granted under the Plan or be subject to the minimum vesting provisions in </w:t>
      </w:r>
      <w:r>
        <w:rPr>
          <w:rFonts w:ascii="Times New Roman" w:hAnsi="Times New Roman"/>
          <w:sz w:val="20"/>
          <w:u w:val="single"/>
        </w:rPr>
        <w:t>Section 2.4</w:t>
      </w:r>
      <w:r>
        <w:rPr>
          <w:rFonts w:ascii="Times New Roman" w:hAnsi="Times New Roman"/>
          <w:sz w:val="20"/>
        </w:rPr>
        <w:t xml:space="preserve">.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Times New Roman" w:hAnsi="Times New Roman"/>
          <w:sz w:val="20"/>
          <w:u w:val="single"/>
        </w:rPr>
        <w:t>Section 1.3.3</w:t>
      </w:r>
      <w:r>
        <w:rPr>
          <w:rFonts w:ascii="Times New Roman" w:hAnsi="Times New Roman"/>
          <w:sz w:val="20"/>
        </w:rPr>
        <w:t xml:space="preserve">) may be delivered through Incentive Stock Options. </w:t>
      </w:r>
    </w:p>
    <w:p>
      <w:pPr>
        <w:pStyle w:val="TextBody"/>
        <w:spacing w:before="12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u w:val="single"/>
        </w:rPr>
        <w:t>Replacement of Shares</w:t>
      </w:r>
      <w:r>
        <w:rPr>
          <w:rFonts w:ascii="Times New Roman" w:hAnsi="Times New Roman"/>
          <w:sz w:val="20"/>
        </w:rPr>
        <w:t xml:space="preserve">.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 </w:t>
      </w:r>
    </w:p>
    <w:p>
      <w:pPr>
        <w:pStyle w:val="TextBody"/>
        <w:spacing w:before="12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u w:val="single"/>
        </w:rPr>
        <w:t>Adjustments</w:t>
      </w:r>
      <w:r>
        <w:rPr>
          <w:rFonts w:ascii="Times New Roman" w:hAnsi="Times New Roman"/>
          <w:sz w:val="20"/>
        </w:rPr>
        <w:t xml:space="preserve">. The Committee will: </w:t>
      </w:r>
    </w:p>
    <w:p>
      <w:pPr>
        <w:pStyle w:val="TextBody"/>
        <w:spacing w:before="120" w:after="0"/>
        <w:jc w:val="left"/>
        <w:rPr>
          <w:rFonts w:ascii="Times New Roman" w:hAnsi="Times New Roman"/>
          <w:sz w:val="20"/>
        </w:rPr>
      </w:pPr>
      <w:r>
        <w:rPr>
          <w:rFonts w:ascii="Times New Roman" w:hAnsi="Times New Roman"/>
          <w:sz w:val="20"/>
        </w:rPr>
        <w:t xml:space="preserve">(a) adjust the number of Shares authorized pursuant to </w:t>
      </w:r>
      <w:r>
        <w:rPr>
          <w:rFonts w:ascii="Times New Roman" w:hAnsi="Times New Roman"/>
          <w:sz w:val="20"/>
          <w:u w:val="single"/>
        </w:rPr>
        <w:t>Section 1.3.1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adjust the individual Grantee limitations set forth in </w:t>
      </w:r>
      <w:r>
        <w:rPr>
          <w:rFonts w:ascii="Times New Roman" w:hAnsi="Times New Roman"/>
          <w:sz w:val="20"/>
          <w:u w:val="single"/>
        </w:rPr>
        <w:t>Sections 1.3.4</w:t>
      </w:r>
      <w:r>
        <w:rPr>
          <w:rFonts w:ascii="Times New Roman" w:hAnsi="Times New Roman"/>
          <w:sz w:val="20"/>
        </w:rPr>
        <w:t xml:space="preserve">; and </w:t>
      </w:r>
    </w:p>
    <w:p>
      <w:pPr>
        <w:pStyle w:val="TextBody"/>
        <w:spacing w:before="120" w:after="0"/>
        <w:jc w:val="left"/>
        <w:rPr>
          <w:rFonts w:ascii="Times New Roman" w:hAnsi="Times New Roman"/>
          <w:sz w:val="20"/>
        </w:rPr>
      </w:pPr>
      <w:r>
        <w:rPr>
          <w:rFonts w:ascii="Times New Roman" w:hAnsi="Times New Roman"/>
          <w:sz w:val="20"/>
        </w:rPr>
        <w:t xml:space="preserve">(c) adjust the terms of any outstanding Awards (including, without limitation, the number of Shares covered by each outstanding Award, the type of property or securities to which the Award relates and the exercise or strike price of any Award), </w:t>
      </w:r>
    </w:p>
    <w:p>
      <w:pPr>
        <w:pStyle w:val="TextBody"/>
        <w:spacing w:before="240" w:after="0"/>
        <w:jc w:val="left"/>
        <w:rPr>
          <w:rFonts w:ascii="Times New Roman" w:hAnsi="Times New Roman"/>
          <w:sz w:val="20"/>
        </w:rPr>
      </w:pPr>
      <w:r>
        <w:rPr>
          <w:rFonts w:ascii="Times New Roman" w:hAnsi="Times New Roman"/>
          <w:sz w:val="20"/>
        </w:rPr>
        <w:t xml:space="preserve">in such manner as it deems appropriate (including, without limitation, by payment of cash) to prevent the enlargement or dilution of rights, as a result of any increase or decrease in the number of issued Shares (or issuance of shares of stock other than Shares) resulting from a recapitalization, stock split, reverse stock split,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NTD:</w:t>
            </w:r>
            <w:r>
              <w:rPr>
                <w:rFonts w:ascii="Times New Roman" w:hAnsi="Times New Roman"/>
                <w:sz w:val="20"/>
              </w:rPr>
              <w:t xml:space="preserve"> Share Limit to be 10% of the fully-diluted shares outstanding following the closing of the de-SPAC transaction.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such adjustment may be made if or to the extent that it would cause an outstanding Award to cease to be exempt from, or to fail to comply with, Section 409A. </w:t>
      </w:r>
    </w:p>
    <w:p>
      <w:pPr>
        <w:pStyle w:val="TextBody"/>
        <w:spacing w:before="12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u w:val="single"/>
        </w:rPr>
        <w:t>Director Limit</w:t>
      </w:r>
      <w:r>
        <w:rPr>
          <w:rFonts w:ascii="Times New Roman" w:hAnsi="Times New Roman"/>
          <w:sz w:val="20"/>
        </w:rPr>
        <w:t xml:space="preserve">. The aggregate maximum Fair Market Value (determined as of the grant date) of the Shares with respect to Awards granted under the Plan in any calendar year to any Non-Employee Director, together with any cash-based retainer, meeting, and other fees paid to such Non-Employee Director during the calendar year, shall not exceed $[    ].2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AWARDS UNDER THE PLAN </w:t>
      </w:r>
    </w:p>
    <w:p>
      <w:pPr>
        <w:pStyle w:val="TextBody"/>
        <w:spacing w:before="240" w:after="0"/>
        <w:jc w:val="left"/>
        <w:rPr>
          <w:rFonts w:ascii="Times New Roman" w:hAnsi="Times New Roman"/>
          <w:b/>
          <w:sz w:val="20"/>
        </w:rPr>
      </w:pPr>
      <w:r>
        <w:rPr>
          <w:rFonts w:ascii="Times New Roman" w:hAnsi="Times New Roman"/>
          <w:b/>
          <w:sz w:val="20"/>
        </w:rPr>
        <w:t xml:space="preserve">2.1 Types of Awards </w:t>
      </w:r>
    </w:p>
    <w:p>
      <w:pPr>
        <w:pStyle w:val="TextBody"/>
        <w:spacing w:before="120" w:after="0"/>
        <w:jc w:val="left"/>
        <w:rPr>
          <w:rFonts w:ascii="Times New Roman" w:hAnsi="Times New Roman"/>
          <w:sz w:val="20"/>
        </w:rPr>
      </w:pPr>
      <w:r>
        <w:rPr>
          <w:rFonts w:ascii="Times New Roman" w:hAnsi="Times New Roman"/>
          <w:sz w:val="20"/>
        </w:rPr>
        <w:t xml:space="preserve">Awards may be made to Employees, Non-Employee Directors and Consultants. Awards may be in the form of cash-based or stock-based Awards and may be subject to one or more Performance Goals. Stock-based Awards may be in the form of any of the following, in each case in respect of Common Stock: </w:t>
      </w:r>
    </w:p>
    <w:p>
      <w:pPr>
        <w:pStyle w:val="TextBody"/>
        <w:spacing w:before="120" w:after="0"/>
        <w:jc w:val="left"/>
        <w:rPr>
          <w:rFonts w:ascii="Times New Roman" w:hAnsi="Times New Roman"/>
          <w:sz w:val="20"/>
        </w:rPr>
      </w:pPr>
      <w:r>
        <w:rPr>
          <w:rFonts w:ascii="Times New Roman" w:hAnsi="Times New Roman"/>
          <w:sz w:val="20"/>
        </w:rPr>
        <w:t xml:space="preserve">(a) stock options (including Incentive Stock Options); </w:t>
      </w:r>
    </w:p>
    <w:p>
      <w:pPr>
        <w:pStyle w:val="TextBody"/>
        <w:spacing w:before="120" w:after="0"/>
        <w:jc w:val="left"/>
        <w:rPr>
          <w:rFonts w:ascii="Times New Roman" w:hAnsi="Times New Roman"/>
          <w:sz w:val="20"/>
        </w:rPr>
      </w:pPr>
      <w:r>
        <w:rPr>
          <w:rFonts w:ascii="Times New Roman" w:hAnsi="Times New Roman"/>
          <w:sz w:val="20"/>
        </w:rPr>
        <w:t xml:space="preserve">(b) stock appreciation rights; </w:t>
      </w:r>
    </w:p>
    <w:p>
      <w:pPr>
        <w:pStyle w:val="TextBody"/>
        <w:spacing w:before="120" w:after="0"/>
        <w:jc w:val="left"/>
        <w:rPr>
          <w:rFonts w:ascii="Times New Roman" w:hAnsi="Times New Roman"/>
          <w:sz w:val="20"/>
        </w:rPr>
      </w:pPr>
      <w:r>
        <w:rPr>
          <w:rFonts w:ascii="Times New Roman" w:hAnsi="Times New Roman"/>
          <w:sz w:val="20"/>
        </w:rPr>
        <w:t xml:space="preserve">(c) restricted shares; </w:t>
      </w:r>
    </w:p>
    <w:p>
      <w:pPr>
        <w:pStyle w:val="TextBody"/>
        <w:spacing w:before="120" w:after="0"/>
        <w:jc w:val="left"/>
        <w:rPr>
          <w:rFonts w:ascii="Times New Roman" w:hAnsi="Times New Roman"/>
          <w:sz w:val="20"/>
        </w:rPr>
      </w:pPr>
      <w:r>
        <w:rPr>
          <w:rFonts w:ascii="Times New Roman" w:hAnsi="Times New Roman"/>
          <w:sz w:val="20"/>
        </w:rPr>
        <w:t xml:space="preserve">(d) restricted stock units; </w:t>
      </w:r>
    </w:p>
    <w:p>
      <w:pPr>
        <w:pStyle w:val="TextBody"/>
        <w:spacing w:before="120" w:after="0"/>
        <w:jc w:val="left"/>
        <w:rPr>
          <w:rFonts w:ascii="Times New Roman" w:hAnsi="Times New Roman"/>
          <w:sz w:val="20"/>
        </w:rPr>
      </w:pPr>
      <w:r>
        <w:rPr>
          <w:rFonts w:ascii="Times New Roman" w:hAnsi="Times New Roman"/>
          <w:sz w:val="20"/>
        </w:rPr>
        <w:t xml:space="preserve">(e) dividend equivalent rights; and </w:t>
      </w:r>
    </w:p>
    <w:p>
      <w:pPr>
        <w:pStyle w:val="TextBody"/>
        <w:spacing w:before="120" w:after="0"/>
        <w:jc w:val="left"/>
        <w:rPr>
          <w:rFonts w:ascii="Times New Roman" w:hAnsi="Times New Roman"/>
          <w:sz w:val="20"/>
        </w:rPr>
      </w:pPr>
      <w:r>
        <w:rPr>
          <w:rFonts w:ascii="Times New Roman" w:hAnsi="Times New Roman"/>
          <w:sz w:val="20"/>
        </w:rPr>
        <w:t xml:space="preserve">(f) other stock-based (as further described in </w:t>
      </w:r>
      <w:r>
        <w:rPr>
          <w:rFonts w:ascii="Times New Roman" w:hAnsi="Times New Roman"/>
          <w:sz w:val="20"/>
          <w:u w:val="single"/>
        </w:rPr>
        <w:t>Section 2.9</w:t>
      </w:r>
      <w:r>
        <w:rPr>
          <w:rFonts w:ascii="Times New Roman" w:hAnsi="Times New Roman"/>
          <w:sz w:val="20"/>
        </w:rPr>
        <w:t xml:space="preserve">), that the Committee determines to be consistent with the purposes of the Plan and the interests of the Company. </w:t>
      </w:r>
    </w:p>
    <w:p>
      <w:pPr>
        <w:pStyle w:val="TextBody"/>
        <w:spacing w:before="360" w:after="0"/>
        <w:jc w:val="left"/>
        <w:rPr>
          <w:rFonts w:ascii="Times New Roman" w:hAnsi="Times New Roman"/>
          <w:b/>
          <w:sz w:val="20"/>
        </w:rPr>
      </w:pPr>
      <w:r>
        <w:rPr>
          <w:rFonts w:ascii="Times New Roman" w:hAnsi="Times New Roman"/>
          <w:b/>
          <w:sz w:val="20"/>
        </w:rPr>
        <w:t xml:space="preserve">2.2 Agreements Evidencing Awards </w:t>
      </w:r>
    </w:p>
    <w:p>
      <w:pPr>
        <w:pStyle w:val="TextBody"/>
        <w:spacing w:before="120" w:after="0"/>
        <w:jc w:val="left"/>
        <w:rPr>
          <w:rFonts w:ascii="Times New Roman" w:hAnsi="Times New Roman"/>
          <w:sz w:val="20"/>
        </w:rPr>
      </w:pPr>
      <w:r>
        <w:rPr>
          <w:rFonts w:ascii="Times New Roman" w:hAnsi="Times New Roman"/>
          <w:sz w:val="20"/>
        </w:rPr>
        <w:t xml:space="preserve">Each Award will be evidenced by an Award Agreement that will contain such provisions and conditions as the Committee deems appropriate. Unless otherwise provided, the Committee may grant Awards in tandem with or in substitution for or satisfaction of any other Award or Awards or any award granted under any other plan of the Company; including, without limitation, that the Committee may grant Awards in substitution for or satisfaction of any obligation or liability relating to a Participation Unit. By accepting an Award, a Grantee thereby agrees that the Award will be subject to all of the terms and provisions of the Plan and the applicable Award Agreement. </w:t>
      </w:r>
    </w:p>
    <w:p>
      <w:pPr>
        <w:pStyle w:val="TextBody"/>
        <w:spacing w:before="360" w:after="0"/>
        <w:jc w:val="left"/>
        <w:rPr>
          <w:rFonts w:ascii="Times New Roman" w:hAnsi="Times New Roman"/>
          <w:b/>
          <w:sz w:val="20"/>
        </w:rPr>
      </w:pPr>
      <w:r>
        <w:rPr>
          <w:rFonts w:ascii="Times New Roman" w:hAnsi="Times New Roman"/>
          <w:b/>
          <w:sz w:val="20"/>
        </w:rPr>
        <w:t xml:space="preserve">2.3 No Rights as a Stockholder </w:t>
      </w:r>
    </w:p>
    <w:p>
      <w:pPr>
        <w:pStyle w:val="TextBody"/>
        <w:spacing w:before="120" w:after="0"/>
        <w:jc w:val="left"/>
        <w:rPr>
          <w:rFonts w:ascii="Times New Roman" w:hAnsi="Times New Roman"/>
          <w:sz w:val="20"/>
        </w:rPr>
      </w:pPr>
      <w:r>
        <w:rPr>
          <w:rFonts w:ascii="Times New Roman" w:hAnsi="Times New Roman"/>
          <w:sz w:val="20"/>
        </w:rPr>
        <w:t xml:space="preserve">No Grantee (or other person having rights pursuant to an Award) will have any of the rights of a stockholder of Bakkt for Shares subject to an Award until the delivery of such Shares. Except as otherwise provided in </w:t>
      </w:r>
      <w:r>
        <w:rPr>
          <w:rFonts w:ascii="Times New Roman" w:hAnsi="Times New Roman"/>
          <w:sz w:val="20"/>
          <w:u w:val="single"/>
        </w:rPr>
        <w:t>Section 1.3.3</w:t>
      </w:r>
      <w:r>
        <w:rPr>
          <w:rFonts w:ascii="Times New Roman" w:hAnsi="Times New Roman"/>
          <w:sz w:val="20"/>
        </w:rPr>
        <w:t>, no adjustments will be made for dividends, distributions or other rights (whether ordinary or extraordinary, and whether in cash, Common Stock, other securities or other property) for which the record date is before the date the stock certificates (or other appropriate document or evidence of ownership) representing Shares (the </w:t>
      </w:r>
      <w:r>
        <w:rPr>
          <w:rFonts w:ascii="Times New Roman" w:hAnsi="Times New Roman"/>
          <w:b/>
          <w:sz w:val="20"/>
          <w:u w:val="single"/>
        </w:rPr>
        <w:t>Certificates</w:t>
      </w:r>
      <w:r>
        <w:rPr>
          <w:rFonts w:ascii="Times New Roman" w:hAnsi="Times New Roman"/>
          <w:sz w:val="20"/>
        </w:rPr>
        <w:t xml:space="preserve">) are delivered, or if the Committee elects to use another system, such as book entries by the transfer agent, before the date in which such system evidences the Grantees ownership of such Shares.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NTD</w:t>
            </w:r>
            <w:r>
              <w:rPr>
                <w:rFonts w:ascii="Times New Roman" w:hAnsi="Times New Roman"/>
                <w:sz w:val="20"/>
              </w:rPr>
              <w:t xml:space="preserve">: Director Limit to be confirmed.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2.4 Minimum Vesting </w:t>
      </w:r>
    </w:p>
    <w:p>
      <w:pPr>
        <w:pStyle w:val="TextBody"/>
        <w:spacing w:before="120" w:after="0"/>
        <w:jc w:val="left"/>
        <w:rPr>
          <w:rFonts w:ascii="Times New Roman" w:hAnsi="Times New Roman"/>
          <w:sz w:val="20"/>
        </w:rPr>
      </w:pPr>
      <w:r>
        <w:rPr>
          <w:rFonts w:ascii="Times New Roman" w:hAnsi="Times New Roman"/>
          <w:sz w:val="20"/>
        </w:rPr>
        <w:t xml:space="preserve">All Awards shall be subject to a minimum time-based vesting or performance period, as applicable, of not less than one year from the grant date (or, in the case of awards to Non-Employee Directors, the period from one annual meeting of Bakkt stockholders to the next). Notwithstanding the foregoing, (a) up to 5% of the Shares available for grant under the Plan may be granted with a minimum vesting schedule that is shorter than that mandated in this </w:t>
      </w:r>
      <w:r>
        <w:rPr>
          <w:rFonts w:ascii="Times New Roman" w:hAnsi="Times New Roman"/>
          <w:sz w:val="20"/>
          <w:u w:val="single"/>
        </w:rPr>
        <w:t>Section 2.4</w:t>
      </w:r>
      <w:r>
        <w:rPr>
          <w:rFonts w:ascii="Times New Roman" w:hAnsi="Times New Roman"/>
          <w:sz w:val="20"/>
        </w:rPr>
        <w:t xml:space="preserve">, (b) this </w:t>
      </w:r>
      <w:r>
        <w:rPr>
          <w:rFonts w:ascii="Times New Roman" w:hAnsi="Times New Roman"/>
          <w:sz w:val="20"/>
          <w:u w:val="single"/>
        </w:rPr>
        <w:t>Section 2.4</w:t>
      </w:r>
      <w:r>
        <w:rPr>
          <w:rFonts w:ascii="Times New Roman" w:hAnsi="Times New Roman"/>
          <w:sz w:val="20"/>
        </w:rPr>
        <w:t xml:space="preserve"> will not apply to Acquisition Awards or to Shares issued in settlement of an obligation of the Company or any Subsidiary otherwise payable in cash, and (c) this </w:t>
      </w:r>
      <w:r>
        <w:rPr>
          <w:rFonts w:ascii="Times New Roman" w:hAnsi="Times New Roman"/>
          <w:sz w:val="20"/>
          <w:u w:val="single"/>
        </w:rPr>
        <w:t>Section 2.4</w:t>
      </w:r>
      <w:r>
        <w:rPr>
          <w:rFonts w:ascii="Times New Roman" w:hAnsi="Times New Roman"/>
          <w:sz w:val="20"/>
        </w:rPr>
        <w:t xml:space="preserve"> shall not prevent the Committee from accelerating any Award in accordance with any provisions set forth in this Plan. Any Award Agreement may also provide that Shares issued or acquired in connection with the applicable Award will be subject to additional holding requirements specified in such Award Agreement. </w:t>
      </w:r>
    </w:p>
    <w:p>
      <w:pPr>
        <w:pStyle w:val="TextBody"/>
        <w:spacing w:before="360" w:after="0"/>
        <w:jc w:val="left"/>
        <w:rPr>
          <w:rFonts w:ascii="Times New Roman" w:hAnsi="Times New Roman"/>
          <w:b/>
          <w:sz w:val="20"/>
        </w:rPr>
      </w:pPr>
      <w:r>
        <w:rPr>
          <w:rFonts w:ascii="Times New Roman" w:hAnsi="Times New Roman"/>
          <w:b/>
          <w:sz w:val="20"/>
        </w:rPr>
        <w:t xml:space="preserve">2.5 Stock Options and Stock Appreciation Rights </w:t>
      </w:r>
    </w:p>
    <w:p>
      <w:pPr>
        <w:pStyle w:val="TextBody"/>
        <w:spacing w:before="120" w:after="0"/>
        <w:jc w:val="left"/>
        <w:rPr>
          <w:rFonts w:ascii="Times New Roman" w:hAnsi="Times New Roman"/>
          <w:sz w:val="20"/>
        </w:rPr>
      </w:pPr>
      <w:r>
        <w:rPr>
          <w:rFonts w:ascii="Times New Roman" w:hAnsi="Times New Roman"/>
          <w:sz w:val="20"/>
        </w:rPr>
        <w:t xml:space="preserve">2.5.1 </w:t>
      </w:r>
      <w:r>
        <w:rPr>
          <w:rFonts w:ascii="Times New Roman" w:hAnsi="Times New Roman"/>
          <w:b/>
          <w:sz w:val="20"/>
          <w:u w:val="single"/>
        </w:rPr>
        <w:t>Designation as Incentive Stock Option</w:t>
      </w:r>
      <w:r>
        <w:rPr>
          <w:rFonts w:ascii="Times New Roman" w:hAnsi="Times New Roman"/>
          <w:sz w:val="20"/>
        </w:rPr>
        <w:t xml:space="preserve">. At the time of grant, the Committee will designate whether stock options are Incentive Stock Options, and the applicable Award Agreement will clearly indicate that such stock option is an Incentive Stock Option or, if applicable, the number of Shares subject to the Incentive Stock Option. Incentive Stock Options may only be granted to eligible Employees, and will be subject to and construed consistently with the requirements of Code Section 422. </w:t>
      </w:r>
    </w:p>
    <w:p>
      <w:pPr>
        <w:pStyle w:val="TextBody"/>
        <w:spacing w:before="120" w:after="0"/>
        <w:jc w:val="left"/>
        <w:rPr>
          <w:rFonts w:ascii="Times New Roman" w:hAnsi="Times New Roman"/>
          <w:sz w:val="20"/>
        </w:rPr>
      </w:pPr>
      <w:r>
        <w:rPr>
          <w:rFonts w:ascii="Times New Roman" w:hAnsi="Times New Roman"/>
          <w:sz w:val="20"/>
        </w:rPr>
        <w:t xml:space="preserve">2.5.2 </w:t>
      </w:r>
      <w:r>
        <w:rPr>
          <w:rFonts w:ascii="Times New Roman" w:hAnsi="Times New Roman"/>
          <w:b/>
          <w:sz w:val="20"/>
          <w:u w:val="single"/>
        </w:rPr>
        <w:t>Exercise Price of Stock Options and Stock Appreciation Rights</w:t>
      </w:r>
      <w:r>
        <w:rPr>
          <w:rFonts w:ascii="Times New Roman" w:hAnsi="Times New Roman"/>
          <w:sz w:val="20"/>
        </w:rPr>
        <w:t xml:space="preserve">. The exercise price per share for each stock option or stock appreciation right will be determined by the Committee but, except as otherwise permitted by </w:t>
      </w:r>
      <w:r>
        <w:rPr>
          <w:rFonts w:ascii="Times New Roman" w:hAnsi="Times New Roman"/>
          <w:sz w:val="20"/>
          <w:u w:val="single"/>
        </w:rPr>
        <w:t>Section 1.3.3</w:t>
      </w:r>
      <w:r>
        <w:rPr>
          <w:rFonts w:ascii="Times New Roman" w:hAnsi="Times New Roman"/>
          <w:sz w:val="20"/>
        </w:rPr>
        <w:t>, may never be less than the Fair Market Value of a Share (or, in the case of an Incentive Stock Option granted to a person owning stock possessing more than 10% of the total combined voting power of all classes of stock of Bakkt and of any Subsidiary or parent corporation of Bakkt (a </w:t>
      </w:r>
      <w:r>
        <w:rPr>
          <w:rFonts w:ascii="Times New Roman" w:hAnsi="Times New Roman"/>
          <w:b/>
          <w:sz w:val="20"/>
          <w:u w:val="single"/>
        </w:rPr>
        <w:t>Ten Percent Stockholder</w:t>
      </w:r>
      <w:r>
        <w:rPr>
          <w:rFonts w:ascii="Times New Roman" w:hAnsi="Times New Roman"/>
          <w:sz w:val="20"/>
        </w:rPr>
        <w:t xml:space="preserve">), 110% of the Fair Market Value). Unless otherwise noted in the Award Agreement, the Fair Market Value of the Common Stock will be its Fair Market Value on the date of grant of the Award of stock options or stock appreciation rights. </w:t>
      </w:r>
    </w:p>
    <w:p>
      <w:pPr>
        <w:pStyle w:val="TextBody"/>
        <w:spacing w:before="120" w:after="0"/>
        <w:jc w:val="left"/>
        <w:rPr>
          <w:rFonts w:ascii="Times New Roman" w:hAnsi="Times New Roman"/>
          <w:sz w:val="20"/>
        </w:rPr>
      </w:pPr>
      <w:r>
        <w:rPr>
          <w:rFonts w:ascii="Times New Roman" w:hAnsi="Times New Roman"/>
          <w:sz w:val="20"/>
        </w:rPr>
        <w:t xml:space="preserve">2.5.3 </w:t>
      </w:r>
      <w:r>
        <w:rPr>
          <w:rFonts w:ascii="Times New Roman" w:hAnsi="Times New Roman"/>
          <w:b/>
          <w:sz w:val="20"/>
          <w:u w:val="single"/>
        </w:rPr>
        <w:t>Term of Stock Options and Stock Appreciation Rights</w:t>
      </w:r>
      <w:r>
        <w:rPr>
          <w:rFonts w:ascii="Times New Roman" w:hAnsi="Times New Roman"/>
          <w:sz w:val="20"/>
        </w:rPr>
        <w:t xml:space="preserve">. In no event will any stock option or stock appreciation right be exercisable after the expiration of ten (10) years (or, in the case of an Incentive Stock Option granted to a Ten Percent Stockholder, five (5) years) from the date on which the stock option or stock appreciation right is granted. </w:t>
      </w:r>
    </w:p>
    <w:p>
      <w:pPr>
        <w:pStyle w:val="TextBody"/>
        <w:spacing w:before="120" w:after="0"/>
        <w:jc w:val="left"/>
        <w:rPr>
          <w:rFonts w:ascii="Times New Roman" w:hAnsi="Times New Roman"/>
          <w:sz w:val="20"/>
        </w:rPr>
      </w:pPr>
      <w:r>
        <w:rPr>
          <w:rFonts w:ascii="Times New Roman" w:hAnsi="Times New Roman"/>
          <w:sz w:val="20"/>
        </w:rPr>
        <w:t xml:space="preserve">2.5.4 </w:t>
      </w:r>
      <w:r>
        <w:rPr>
          <w:rFonts w:ascii="Times New Roman" w:hAnsi="Times New Roman"/>
          <w:b/>
          <w:sz w:val="20"/>
          <w:u w:val="single"/>
        </w:rPr>
        <w:t>Vesting and Exercise of Stock Option and Payment for Shares</w:t>
      </w:r>
      <w:r>
        <w:rPr>
          <w:rFonts w:ascii="Times New Roman" w:hAnsi="Times New Roman"/>
          <w:sz w:val="20"/>
        </w:rPr>
        <w:t xml:space="preserve">. To exercise a stock option or stock appreciation right, the Grantee must give written notice to the Company specifying the number of Shares to be acquired or rights to be exercised. In the case of stock options, the notice must be accompanied by payment of the full purchase price therefor in cash or by certified or official bank check or in another form as determined by the Company, which may include: </w:t>
      </w:r>
    </w:p>
    <w:p>
      <w:pPr>
        <w:pStyle w:val="TextBody"/>
        <w:spacing w:before="120" w:after="0"/>
        <w:jc w:val="left"/>
        <w:rPr>
          <w:rFonts w:ascii="Times New Roman" w:hAnsi="Times New Roman"/>
          <w:sz w:val="20"/>
        </w:rPr>
      </w:pPr>
      <w:r>
        <w:rPr>
          <w:rFonts w:ascii="Times New Roman" w:hAnsi="Times New Roman"/>
          <w:sz w:val="20"/>
        </w:rPr>
        <w:t xml:space="preserve">(a) personal check; </w:t>
      </w:r>
    </w:p>
    <w:p>
      <w:pPr>
        <w:pStyle w:val="TextBody"/>
        <w:spacing w:before="120" w:after="0"/>
        <w:jc w:val="left"/>
        <w:rPr>
          <w:rFonts w:ascii="Times New Roman" w:hAnsi="Times New Roman"/>
          <w:sz w:val="20"/>
        </w:rPr>
      </w:pPr>
      <w:r>
        <w:rPr>
          <w:rFonts w:ascii="Times New Roman" w:hAnsi="Times New Roman"/>
          <w:sz w:val="20"/>
        </w:rPr>
        <w:t xml:space="preserve">(b) Shares, based on the Fair Market Value as of the exercise date, of the same class as those to be granted by exercise of the stock option; </w:t>
      </w:r>
    </w:p>
    <w:p>
      <w:pPr>
        <w:pStyle w:val="TextBody"/>
        <w:spacing w:before="120" w:after="0"/>
        <w:jc w:val="left"/>
        <w:rPr>
          <w:rFonts w:ascii="Times New Roman" w:hAnsi="Times New Roman"/>
          <w:sz w:val="20"/>
        </w:rPr>
      </w:pPr>
      <w:r>
        <w:rPr>
          <w:rFonts w:ascii="Times New Roman" w:hAnsi="Times New Roman"/>
          <w:sz w:val="20"/>
        </w:rPr>
        <w:t xml:space="preserve">(c) any other form of consideration approved by the Company and permitted by applicable law; and </w:t>
      </w:r>
    </w:p>
    <w:p>
      <w:pPr>
        <w:pStyle w:val="TextBody"/>
        <w:spacing w:before="120" w:after="0"/>
        <w:jc w:val="left"/>
        <w:rPr>
          <w:rFonts w:ascii="Times New Roman" w:hAnsi="Times New Roman"/>
          <w:sz w:val="20"/>
        </w:rPr>
      </w:pPr>
      <w:r>
        <w:rPr>
          <w:rFonts w:ascii="Times New Roman" w:hAnsi="Times New Roman"/>
          <w:sz w:val="20"/>
        </w:rPr>
        <w:t xml:space="preserve">(d) any combination of the foregoing. </w:t>
      </w:r>
    </w:p>
    <w:p>
      <w:pPr>
        <w:pStyle w:val="TextBody"/>
        <w:spacing w:before="240" w:after="0"/>
        <w:jc w:val="left"/>
        <w:rPr>
          <w:rFonts w:ascii="Times New Roman" w:hAnsi="Times New Roman"/>
          <w:sz w:val="20"/>
        </w:rPr>
      </w:pPr>
      <w:r>
        <w:rPr>
          <w:rFonts w:ascii="Times New Roman" w:hAnsi="Times New Roman"/>
          <w:sz w:val="20"/>
        </w:rPr>
        <w:t>The Committee may also make arrangements for the cashless exercise of a stock option. Any person exercising a stock option or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of 1933, as amended from time to time, or any successor thereto, and the applicable rules and regulations thereunder (the </w:t>
      </w:r>
      <w:r>
        <w:rPr>
          <w:rFonts w:ascii="Times New Roman" w:hAnsi="Times New Roman"/>
          <w:b/>
          <w:sz w:val="20"/>
          <w:u w:val="single"/>
        </w:rPr>
        <w:t>Securities Act</w:t>
      </w:r>
      <w:r>
        <w:rPr>
          <w:rFonts w:ascii="Times New Roman" w:hAnsi="Times New Roman"/>
          <w:sz w:val="20"/>
        </w:rPr>
        <w:t xml:space="preserve">), the Exchange Act and any other applicable legal requirements. The Committee may, in its sole discretion, also take whatever additional actions it deems appropriate to effect such compliance including,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without limitation, placing legends on share certificates and issuing stop-transfer notices to agents and registrars. If a Grantee so requests, Shares acquired pursuant to the exercise of a stock option or stock appreciation right may be issued in the name of the Grantee and another jointly with the right of survivorship. </w:t>
      </w:r>
    </w:p>
    <w:p>
      <w:pPr>
        <w:pStyle w:val="TextBody"/>
        <w:spacing w:before="120" w:after="0"/>
        <w:jc w:val="left"/>
        <w:rPr>
          <w:rFonts w:ascii="Times New Roman" w:hAnsi="Times New Roman"/>
          <w:sz w:val="20"/>
        </w:rPr>
      </w:pPr>
      <w:r>
        <w:rPr>
          <w:rFonts w:ascii="Times New Roman" w:hAnsi="Times New Roman"/>
          <w:sz w:val="20"/>
        </w:rPr>
        <w:t xml:space="preserve">2.5.5 </w:t>
      </w:r>
      <w:r>
        <w:rPr>
          <w:rFonts w:ascii="Times New Roman" w:hAnsi="Times New Roman"/>
          <w:b/>
          <w:sz w:val="20"/>
          <w:u w:val="single"/>
        </w:rPr>
        <w:t>No Repricing or Reloads</w:t>
      </w:r>
      <w:r>
        <w:rPr>
          <w:rFonts w:ascii="Times New Roman" w:hAnsi="Times New Roman"/>
          <w:sz w:val="20"/>
        </w:rPr>
        <w:t xml:space="preserve">. Except as otherwise permitted by </w:t>
      </w:r>
      <w:r>
        <w:rPr>
          <w:rFonts w:ascii="Times New Roman" w:hAnsi="Times New Roman"/>
          <w:sz w:val="20"/>
          <w:u w:val="single"/>
        </w:rPr>
        <w:t>Section 1.3.3</w:t>
      </w:r>
      <w:r>
        <w:rPr>
          <w:rFonts w:ascii="Times New Roman" w:hAnsi="Times New Roman"/>
          <w:sz w:val="20"/>
        </w:rPr>
        <w:t xml:space="preserve">, reducing the exercise price of stock options or stock appreciation rights issued and outstanding under the Plan, including through amendment, cancellation in exchange for the grant of a substitute Award, repurchase for cash or other consideration (in each case that has the effect of reducing the exercise price), or any other action that would be treated as a repricing of such stock options or such stock appreciation rights, will require approval of Bakkts stockholders. The Company will not grant any stock options or stock appreciation rights with automatic reload features. </w:t>
      </w:r>
    </w:p>
    <w:p>
      <w:pPr>
        <w:pStyle w:val="TextBody"/>
        <w:spacing w:before="360" w:after="0"/>
        <w:jc w:val="left"/>
        <w:rPr>
          <w:rFonts w:ascii="Times New Roman" w:hAnsi="Times New Roman"/>
          <w:b/>
          <w:sz w:val="20"/>
        </w:rPr>
      </w:pPr>
      <w:r>
        <w:rPr>
          <w:rFonts w:ascii="Times New Roman" w:hAnsi="Times New Roman"/>
          <w:b/>
          <w:sz w:val="20"/>
        </w:rPr>
        <w:t xml:space="preserve">2.6 Restricted Shares </w:t>
      </w:r>
    </w:p>
    <w:p>
      <w:pPr>
        <w:pStyle w:val="TextBody"/>
        <w:spacing w:before="120" w:after="0"/>
        <w:jc w:val="left"/>
        <w:rPr>
          <w:rFonts w:ascii="Times New Roman" w:hAnsi="Times New Roman"/>
          <w:sz w:val="20"/>
        </w:rPr>
      </w:pPr>
      <w:r>
        <w:rPr>
          <w:rFonts w:ascii="Times New Roman" w:hAnsi="Times New Roman"/>
          <w:sz w:val="20"/>
        </w:rPr>
        <w:t xml:space="preserve">2.6.1 </w:t>
      </w:r>
      <w:r>
        <w:rPr>
          <w:rFonts w:ascii="Times New Roman" w:hAnsi="Times New Roman"/>
          <w:b/>
          <w:sz w:val="20"/>
          <w:u w:val="single"/>
        </w:rPr>
        <w:t>Grants</w:t>
      </w:r>
      <w:r>
        <w:rPr>
          <w:rFonts w:ascii="Times New Roman" w:hAnsi="Times New Roman"/>
          <w:sz w:val="20"/>
        </w:rPr>
        <w:t xml:space="preserve">. The Committee may grant or offer for sale restricted shares in such amounts and subject to such terms and conditions as the Committee may determine (subject to </w:t>
      </w:r>
      <w:r>
        <w:rPr>
          <w:rFonts w:ascii="Times New Roman" w:hAnsi="Times New Roman"/>
          <w:sz w:val="20"/>
          <w:u w:val="single"/>
        </w:rPr>
        <w:t>Section 2.4</w:t>
      </w:r>
      <w:r>
        <w:rPr>
          <w:rFonts w:ascii="Times New Roman" w:hAnsi="Times New Roman"/>
          <w:sz w:val="20"/>
        </w:rPr>
        <w:t xml:space="preserve">). Upon delivery, the Grantee will have the rights of a stockholder for the restricted shares, subject to any other restrictions and conditions as the Committee may include in the applicable Award Agreement. Each Grantee of an Award of restricted shares will be issued a Certificate in respect of such shares, unless the Committee elects to use another system, such as book entries by the transfer agent, as evidencing ownership of such shares. If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 </w:t>
      </w:r>
    </w:p>
    <w:p>
      <w:pPr>
        <w:pStyle w:val="TextBody"/>
        <w:spacing w:before="240" w:after="0"/>
        <w:jc w:val="left"/>
        <w:rPr>
          <w:rFonts w:ascii="Times New Roman" w:hAnsi="Times New Roman"/>
          <w:sz w:val="20"/>
        </w:rPr>
      </w:pPr>
      <w:r>
        <w:rPr>
          <w:rFonts w:ascii="Times New Roman" w:hAnsi="Times New Roman"/>
          <w:sz w:val="20"/>
        </w:rPr>
        <w:t xml:space="preserve">2.6.2 </w:t>
      </w:r>
      <w:r>
        <w:rPr>
          <w:rFonts w:ascii="Times New Roman" w:hAnsi="Times New Roman"/>
          <w:b/>
          <w:sz w:val="20"/>
          <w:u w:val="single"/>
        </w:rPr>
        <w:t>Right to Vote and Receive Dividends on Restricted Shares</w:t>
      </w:r>
      <w:r>
        <w:rPr>
          <w:rFonts w:ascii="Times New Roman" w:hAnsi="Times New Roman"/>
          <w:sz w:val="20"/>
        </w:rPr>
        <w:t xml:space="preserve">.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the Company for the account of the relevant Grantee. Such dividends or other distributions will revert to the Company if for any reason the restricted share upon which such dividends or other distributions were paid reverts to the Company. Upon the expiration of the period of restriction, all such dividends or other distributions made on such restricted share and retained by the Company will be paid, without interest, to the relevant Grantee. </w:t>
      </w:r>
    </w:p>
    <w:p>
      <w:pPr>
        <w:pStyle w:val="TextBody"/>
        <w:spacing w:before="360" w:after="0"/>
        <w:jc w:val="left"/>
        <w:rPr>
          <w:rFonts w:ascii="Times New Roman" w:hAnsi="Times New Roman"/>
          <w:b/>
          <w:sz w:val="20"/>
        </w:rPr>
      </w:pPr>
      <w:r>
        <w:rPr>
          <w:rFonts w:ascii="Times New Roman" w:hAnsi="Times New Roman"/>
          <w:b/>
          <w:sz w:val="20"/>
        </w:rPr>
        <w:t xml:space="preserve">2.7 Restricted Stock Units </w:t>
      </w:r>
    </w:p>
    <w:p>
      <w:pPr>
        <w:pStyle w:val="TextBody"/>
        <w:spacing w:before="120" w:after="0"/>
        <w:jc w:val="left"/>
        <w:rPr>
          <w:rFonts w:ascii="Times New Roman" w:hAnsi="Times New Roman"/>
          <w:sz w:val="20"/>
        </w:rPr>
      </w:pPr>
      <w:r>
        <w:rPr>
          <w:rFonts w:ascii="Times New Roman" w:hAnsi="Times New Roman"/>
          <w:sz w:val="20"/>
        </w:rPr>
        <w:t xml:space="preserve">The Committee may grant Awards of restricted stock units in such amounts and subject to such terms and conditions as the Committee may determine (subject to </w:t>
      </w:r>
      <w:r>
        <w:rPr>
          <w:rFonts w:ascii="Times New Roman" w:hAnsi="Times New Roman"/>
          <w:sz w:val="20"/>
          <w:u w:val="single"/>
        </w:rPr>
        <w:t>Section 2.4</w:t>
      </w:r>
      <w:r>
        <w:rPr>
          <w:rFonts w:ascii="Times New Roman" w:hAnsi="Times New Roman"/>
          <w:sz w:val="20"/>
        </w:rPr>
        <w:t xml:space="preserve">). A Grantee of a restricted stock unit will have only the rights of a general unsecured creditor of Bakkt,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one Share or a combination thereof, as specified by the Committee. </w:t>
      </w:r>
    </w:p>
    <w:p>
      <w:pPr>
        <w:pStyle w:val="TextBody"/>
        <w:spacing w:before="360" w:after="0"/>
        <w:jc w:val="left"/>
        <w:rPr>
          <w:rFonts w:ascii="Times New Roman" w:hAnsi="Times New Roman"/>
          <w:b/>
          <w:sz w:val="20"/>
        </w:rPr>
      </w:pPr>
      <w:r>
        <w:rPr>
          <w:rFonts w:ascii="Times New Roman" w:hAnsi="Times New Roman"/>
          <w:b/>
          <w:sz w:val="20"/>
        </w:rPr>
        <w:t xml:space="preserve">2.8 Dividend Equivalent Rights </w:t>
      </w:r>
    </w:p>
    <w:p>
      <w:pPr>
        <w:pStyle w:val="TextBody"/>
        <w:spacing w:before="120" w:after="0"/>
        <w:jc w:val="left"/>
        <w:rPr>
          <w:rFonts w:ascii="Times New Roman" w:hAnsi="Times New Roman"/>
          <w:sz w:val="20"/>
        </w:rPr>
      </w:pPr>
      <w:r>
        <w:rPr>
          <w:rFonts w:ascii="Times New Roman" w:hAnsi="Times New Roman"/>
          <w:sz w:val="20"/>
        </w:rPr>
        <w:t xml:space="preserve">The Committee may include in the Award Agreement for any Award, a dividend equivalent right entitling the Grantee to receive amounts equal to all or any portion of the regular cash dividends that would be paid on the Shares covered by such Award if such Shares had been delivered pursuant to such Award. Notwithstanding anything to the contrary in the Plan, with respect to any Award of restricted stock units (including any Performance Award of restricted stock units), such dividend equivalents rights shall be subject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same performance conditions or service conditions, as applicable, as the underlying Award, and no dividend equivalents shall be released to a Grantee until the Award to which they pertain has vested. The Grantee of a dividend equivalent right will have only the rights of a general unsecured creditor of Bakkt until payment of such amounts is made as specified in the applicable Award Agreement. If such a provision is included in an Award Agreement, the Committee will determine whether such payments will be made in cash, in Shares or in another form, whether they will be conditioned upon the settlement of the vested Award to which they relate (subject to compliance with Section 409A), the time or times at which they will be made, and such other terms and conditions as the Committee will deem appropriate. </w:t>
      </w:r>
    </w:p>
    <w:p>
      <w:pPr>
        <w:pStyle w:val="TextBody"/>
        <w:spacing w:before="360" w:after="0"/>
        <w:jc w:val="left"/>
        <w:rPr>
          <w:rFonts w:ascii="Times New Roman" w:hAnsi="Times New Roman"/>
          <w:b/>
          <w:sz w:val="20"/>
        </w:rPr>
      </w:pPr>
      <w:r>
        <w:rPr>
          <w:rFonts w:ascii="Times New Roman" w:hAnsi="Times New Roman"/>
          <w:b/>
          <w:sz w:val="20"/>
        </w:rPr>
        <w:t xml:space="preserve">2.9 Other Stock-Based or Cash-Based Awards </w:t>
      </w:r>
    </w:p>
    <w:p>
      <w:pPr>
        <w:pStyle w:val="TextBody"/>
        <w:spacing w:before="120" w:after="0"/>
        <w:jc w:val="left"/>
        <w:rPr>
          <w:rFonts w:ascii="Times New Roman" w:hAnsi="Times New Roman"/>
          <w:sz w:val="20"/>
        </w:rPr>
      </w:pPr>
      <w:r>
        <w:rPr>
          <w:rFonts w:ascii="Times New Roman" w:hAnsi="Times New Roman"/>
          <w:sz w:val="20"/>
        </w:rPr>
        <w:t xml:space="preserve">2.9.1 </w:t>
      </w:r>
      <w:r>
        <w:rPr>
          <w:rFonts w:ascii="Times New Roman" w:hAnsi="Times New Roman"/>
          <w:b/>
          <w:sz w:val="20"/>
          <w:u w:val="single"/>
        </w:rPr>
        <w:t>Grant</w:t>
      </w:r>
      <w:r>
        <w:rPr>
          <w:rFonts w:ascii="Times New Roman" w:hAnsi="Times New Roman"/>
          <w:sz w:val="20"/>
        </w:rPr>
        <w:t>. The Committee may grant other types of stock-based, stock-related or cash-based Awards (including the grant or offer for sale of unrestricted Shares, performance share Awards or performance units settled in cash) (</w:t>
      </w:r>
      <w:r>
        <w:rPr>
          <w:rFonts w:ascii="Times New Roman" w:hAnsi="Times New Roman"/>
          <w:b/>
          <w:sz w:val="20"/>
          <w:u w:val="single"/>
        </w:rPr>
        <w:t>Other Stock-Based or Cash-Based Awards</w:t>
      </w:r>
      <w:r>
        <w:rPr>
          <w:rFonts w:ascii="Times New Roman" w:hAnsi="Times New Roman"/>
          <w:sz w:val="20"/>
        </w:rPr>
        <w:t xml:space="preserve">) in such amounts and subject to such terms and conditions as the Committee may determine (subject to </w:t>
      </w:r>
      <w:r>
        <w:rPr>
          <w:rFonts w:ascii="Times New Roman" w:hAnsi="Times New Roman"/>
          <w:sz w:val="20"/>
          <w:u w:val="single"/>
        </w:rPr>
        <w:t>Section 2.4</w:t>
      </w:r>
      <w:r>
        <w:rPr>
          <w:rFonts w:ascii="Times New Roman" w:hAnsi="Times New Roman"/>
          <w:sz w:val="20"/>
        </w:rPr>
        <w:t xml:space="preserve">). The terms and conditions set forth by the Committee in the applicable Award Agreement may relate to vesting and nontransferability restrictions that will lapse upon the achievement of one or more goals related to the completion of service by the Grantee or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 </w:t>
      </w:r>
    </w:p>
    <w:p>
      <w:pPr>
        <w:pStyle w:val="TextBody"/>
        <w:spacing w:before="360" w:after="0"/>
        <w:jc w:val="left"/>
        <w:rPr>
          <w:rFonts w:ascii="Times New Roman" w:hAnsi="Times New Roman"/>
          <w:b/>
          <w:sz w:val="20"/>
        </w:rPr>
      </w:pPr>
      <w:r>
        <w:rPr>
          <w:rFonts w:ascii="Times New Roman" w:hAnsi="Times New Roman"/>
          <w:b/>
          <w:sz w:val="20"/>
        </w:rPr>
        <w:t xml:space="preserve">2.10 Repayment If Conditions Not Met </w:t>
      </w:r>
    </w:p>
    <w:p>
      <w:pPr>
        <w:pStyle w:val="TextBody"/>
        <w:spacing w:before="120" w:after="0"/>
        <w:jc w:val="left"/>
        <w:rPr>
          <w:rFonts w:ascii="Times New Roman" w:hAnsi="Times New Roman"/>
          <w:sz w:val="20"/>
        </w:rPr>
      </w:pPr>
      <w:r>
        <w:rPr>
          <w:rFonts w:ascii="Times New Roman" w:hAnsi="Times New Roman"/>
          <w:sz w:val="20"/>
        </w:rPr>
        <w:t xml:space="preserve">If the Committee determines that all terms and conditions of the Plan and a Grantees Award Agreement were not satisfied, then the Grantee will be obligated to pay the Company immediately upon demand therefor, (a) for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for restricted shares, an amount equal to the Fair Market Value (determined at the time such shares became vested) of such restricted shares and (c) for restricted stock units, an amount equal to the Fair Market Value (determined at the time of delivery) of the Shares delivered for the applicable delivery date, in each case for clauses (a), (b) and (c) of this </w:t>
      </w:r>
      <w:r>
        <w:rPr>
          <w:rFonts w:ascii="Times New Roman" w:hAnsi="Times New Roman"/>
          <w:sz w:val="20"/>
          <w:u w:val="single"/>
        </w:rPr>
        <w:t>Section 2.11</w:t>
      </w:r>
      <w:r>
        <w:rPr>
          <w:rFonts w:ascii="Times New Roman" w:hAnsi="Times New Roman"/>
          <w:sz w:val="20"/>
        </w:rPr>
        <w:t xml:space="preserve">, without reduction for any amount applied to satisfy withholding tax or other obligations in respect of such Award.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240" w:after="0"/>
        <w:jc w:val="left"/>
        <w:rPr>
          <w:rFonts w:ascii="Times New Roman" w:hAnsi="Times New Roman"/>
          <w:b/>
          <w:sz w:val="20"/>
        </w:rPr>
      </w:pPr>
      <w:r>
        <w:rPr>
          <w:rFonts w:ascii="Times New Roman" w:hAnsi="Times New Roman"/>
          <w:b/>
          <w:sz w:val="20"/>
        </w:rPr>
        <w:t xml:space="preserve">3.1 Amendment of the Plan </w:t>
      </w:r>
    </w:p>
    <w:p>
      <w:pPr>
        <w:pStyle w:val="TextBody"/>
        <w:spacing w:before="120" w:after="0"/>
        <w:jc w:val="left"/>
        <w:rPr>
          <w:rFonts w:ascii="Times New Roman" w:hAnsi="Times New Roman"/>
          <w:sz w:val="20"/>
        </w:rPr>
      </w:pPr>
      <w:r>
        <w:rPr>
          <w:rFonts w:ascii="Times New Roman" w:hAnsi="Times New Roman"/>
          <w:sz w:val="20"/>
        </w:rPr>
        <w:t xml:space="preserve">3.1.1 Unless otherwise provided in the Plan or in an Award Agreement, the Board may at any time and from time to time suspend, discontinue, revise or amend the Plan in any respect whatsoever but, subject to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1.2</w:t>
      </w:r>
      <w:r>
        <w:rPr>
          <w:rFonts w:ascii="Times New Roman" w:hAnsi="Times New Roman"/>
          <w:sz w:val="20"/>
        </w:rPr>
        <w:t xml:space="preserve">, </w:t>
      </w:r>
      <w:r>
        <w:rPr>
          <w:rFonts w:ascii="Times New Roman" w:hAnsi="Times New Roman"/>
          <w:sz w:val="20"/>
          <w:u w:val="single"/>
        </w:rPr>
        <w:t>1.3.3</w:t>
      </w:r>
      <w:r>
        <w:rPr>
          <w:rFonts w:ascii="Times New Roman" w:hAnsi="Times New Roman"/>
          <w:sz w:val="20"/>
        </w:rPr>
        <w:t xml:space="preserve"> and </w:t>
      </w:r>
      <w:r>
        <w:rPr>
          <w:rFonts w:ascii="Times New Roman" w:hAnsi="Times New Roman"/>
          <w:sz w:val="20"/>
          <w:u w:val="single"/>
        </w:rPr>
        <w:t>3.7</w:t>
      </w:r>
      <w:r>
        <w:rPr>
          <w:rFonts w:ascii="Times New Roman" w:hAnsi="Times New Roman"/>
          <w:sz w:val="20"/>
        </w:rPr>
        <w:t xml:space="preserve">, no such amendment may materially adversely impair the rights of the Grantee of any Award without the Grantees consent. Subject to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1.2</w:t>
      </w:r>
      <w:r>
        <w:rPr>
          <w:rFonts w:ascii="Times New Roman" w:hAnsi="Times New Roman"/>
          <w:sz w:val="20"/>
        </w:rPr>
        <w:t xml:space="preserve">, </w:t>
      </w:r>
      <w:r>
        <w:rPr>
          <w:rFonts w:ascii="Times New Roman" w:hAnsi="Times New Roman"/>
          <w:sz w:val="20"/>
          <w:u w:val="single"/>
        </w:rPr>
        <w:t>1.3.3</w:t>
      </w:r>
      <w:r>
        <w:rPr>
          <w:rFonts w:ascii="Times New Roman" w:hAnsi="Times New Roman"/>
          <w:sz w:val="20"/>
        </w:rPr>
        <w:t xml:space="preserve"> and </w:t>
      </w:r>
      <w:r>
        <w:rPr>
          <w:rFonts w:ascii="Times New Roman" w:hAnsi="Times New Roman"/>
          <w:sz w:val="20"/>
          <w:u w:val="single"/>
        </w:rPr>
        <w:t>3.7</w:t>
      </w:r>
      <w:r>
        <w:rPr>
          <w:rFonts w:ascii="Times New Roman" w:hAnsi="Times New Roman"/>
          <w:sz w:val="20"/>
        </w:rPr>
        <w:t xml:space="preserve">, an Award Agreement may not be amended in a manner that materially adversely impairs the rights of a Grantee without the Grantees consent. </w:t>
      </w:r>
    </w:p>
    <w:p>
      <w:pPr>
        <w:pStyle w:val="TextBody"/>
        <w:spacing w:before="240" w:after="0"/>
        <w:jc w:val="left"/>
        <w:rPr>
          <w:rFonts w:ascii="Times New Roman" w:hAnsi="Times New Roman"/>
          <w:sz w:val="20"/>
        </w:rPr>
      </w:pPr>
      <w:r>
        <w:rPr>
          <w:rFonts w:ascii="Times New Roman" w:hAnsi="Times New Roman"/>
          <w:sz w:val="20"/>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and to the extent the Board determines it is appropriate for the Plan to comply with the provisions of Code Section 422, no amendment that would require stockholder approval under Code Section 422 will be effective without the approval of Bakkts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3.2 Tax Withholding </w:t>
      </w:r>
    </w:p>
    <w:p>
      <w:pPr>
        <w:pStyle w:val="TextBody"/>
        <w:spacing w:before="120" w:after="0"/>
        <w:jc w:val="left"/>
        <w:rPr>
          <w:rFonts w:ascii="Times New Roman" w:hAnsi="Times New Roman"/>
          <w:sz w:val="20"/>
        </w:rPr>
      </w:pPr>
      <w:r>
        <w:rPr>
          <w:rFonts w:ascii="Times New Roman" w:hAnsi="Times New Roman"/>
          <w:sz w:val="20"/>
        </w:rPr>
        <w:t xml:space="preserve">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 </w:t>
      </w:r>
    </w:p>
    <w:p>
      <w:pPr>
        <w:pStyle w:val="TextBody"/>
        <w:spacing w:before="120" w:after="0"/>
        <w:jc w:val="left"/>
        <w:rPr>
          <w:rFonts w:ascii="Times New Roman" w:hAnsi="Times New Roman"/>
          <w:sz w:val="20"/>
        </w:rPr>
      </w:pPr>
      <w:r>
        <w:rPr>
          <w:rFonts w:ascii="Times New Roman" w:hAnsi="Times New Roman"/>
          <w:sz w:val="20"/>
        </w:rPr>
        <w:t xml:space="preserve">(a) the Company may deduct or withhold (or cause to be deducted or withheld) from any payment or distribution to a Grantee whether or not pursuant to the Plan (including Shares otherwise deliverable); </w:t>
      </w:r>
    </w:p>
    <w:p>
      <w:pPr>
        <w:pStyle w:val="TextBody"/>
        <w:spacing w:before="120" w:after="0"/>
        <w:jc w:val="left"/>
        <w:rPr>
          <w:rFonts w:ascii="Times New Roman" w:hAnsi="Times New Roman"/>
          <w:sz w:val="20"/>
        </w:rPr>
      </w:pPr>
      <w:r>
        <w:rPr>
          <w:rFonts w:ascii="Times New Roman" w:hAnsi="Times New Roman"/>
          <w:sz w:val="20"/>
        </w:rPr>
        <w:t xml:space="preserve">(b) the Committee will be entitled to require that the Grantee remit cash to the Company (through payroll deduction or otherwise); or </w:t>
      </w:r>
    </w:p>
    <w:p>
      <w:pPr>
        <w:pStyle w:val="TextBody"/>
        <w:spacing w:before="120" w:after="0"/>
        <w:jc w:val="left"/>
        <w:rPr>
          <w:rFonts w:ascii="Times New Roman" w:hAnsi="Times New Roman"/>
          <w:sz w:val="20"/>
        </w:rPr>
      </w:pPr>
      <w:r>
        <w:rPr>
          <w:rFonts w:ascii="Times New Roman" w:hAnsi="Times New Roman"/>
          <w:sz w:val="20"/>
        </w:rPr>
        <w:t xml:space="preserve">(c) the Company may enter into any other suitable arrangements to withhold such taxes required by law to be withheld in an amount not to exceed the individual tax rates applicable to the Grantee, as determined by the Company. </w:t>
      </w:r>
    </w:p>
    <w:p>
      <w:pPr>
        <w:pStyle w:val="TextBody"/>
        <w:spacing w:before="360" w:after="0"/>
        <w:jc w:val="left"/>
        <w:rPr>
          <w:rFonts w:ascii="Times New Roman" w:hAnsi="Times New Roman"/>
          <w:b/>
          <w:sz w:val="20"/>
        </w:rPr>
      </w:pPr>
      <w:r>
        <w:rPr>
          <w:rFonts w:ascii="Times New Roman" w:hAnsi="Times New Roman"/>
          <w:b/>
          <w:sz w:val="20"/>
        </w:rPr>
        <w:t xml:space="preserve">3.3 Required Consents and Legends </w:t>
      </w:r>
    </w:p>
    <w:p>
      <w:pPr>
        <w:pStyle w:val="TextBody"/>
        <w:spacing w:before="120" w:after="0"/>
        <w:jc w:val="left"/>
        <w:rPr>
          <w:rFonts w:ascii="Times New Roman" w:hAnsi="Times New Roman"/>
          <w:sz w:val="20"/>
        </w:rPr>
      </w:pPr>
      <w:r>
        <w:rPr>
          <w:rFonts w:ascii="Times New Roman" w:hAnsi="Times New Roman"/>
          <w:sz w:val="20"/>
        </w:rPr>
        <w:t>If the Committee at any time determines that any consent or approval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hAnsi="Times New Roman"/>
          <w:b/>
          <w:sz w:val="20"/>
          <w:u w:val="single"/>
        </w:rPr>
        <w:t>Plan Action</w:t>
      </w:r>
      <w:r>
        <w:rPr>
          <w:rFonts w:ascii="Times New Roman" w:hAnsi="Times New Roman"/>
          <w:sz w:val="20"/>
        </w:rPr>
        <w:t xml:space="preserve">), then, subject to </w:t>
      </w:r>
      <w:r>
        <w:rPr>
          <w:rFonts w:ascii="Times New Roman" w:hAnsi="Times New Roman"/>
          <w:sz w:val="20"/>
          <w:u w:val="single"/>
        </w:rPr>
        <w:t>Section 3.14</w:t>
      </w:r>
      <w:r>
        <w:rPr>
          <w:rFonts w:ascii="Times New Roman" w:hAnsi="Times New Roman"/>
          <w:sz w:val="20"/>
        </w:rPr>
        <w:t xml:space="preserve"> such Plan Action will not be taken, in whole or in part, unless and until such consent or approval will have been effected or obtained to the full satisfaction of the Committee, as determined in its discretion in accordance with applicable law, the terms of this Plan and the applicable Award Agreement, and any administrative procedures or guidelines adopted by the Committee in respect of the Plan.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Nothing in the Plan will require the Company to list, register or qualify the Shares on any securities exchange. </w:t>
      </w:r>
    </w:p>
    <w:p>
      <w:pPr>
        <w:pStyle w:val="TextBody"/>
        <w:spacing w:before="360" w:after="0"/>
        <w:jc w:val="left"/>
        <w:rPr>
          <w:rFonts w:ascii="Times New Roman" w:hAnsi="Times New Roman"/>
          <w:b/>
          <w:sz w:val="20"/>
        </w:rPr>
      </w:pPr>
      <w:r>
        <w:rPr>
          <w:rFonts w:ascii="Times New Roman" w:hAnsi="Times New Roman"/>
          <w:b/>
          <w:sz w:val="20"/>
        </w:rPr>
        <w:t xml:space="preserve">3.4 Right of Offset </w:t>
      </w:r>
    </w:p>
    <w:p>
      <w:pPr>
        <w:pStyle w:val="TextBody"/>
        <w:spacing w:before="120" w:after="0"/>
        <w:jc w:val="left"/>
        <w:rPr>
          <w:rFonts w:ascii="Times New Roman" w:hAnsi="Times New Roman"/>
          <w:sz w:val="20"/>
        </w:rPr>
      </w:pPr>
      <w:r>
        <w:rPr>
          <w:rFonts w:ascii="Times New Roman" w:hAnsi="Times New Roman"/>
          <w:sz w:val="20"/>
        </w:rPr>
        <w:t xml:space="preserve">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the Committee will have no right to offset against its obligation to deliver Shares (or other property or cash) under the Plan or any Award Agreement if such offset could subject the Grantee to the additional tax imposed under Section 409A in respect of an outstanding Award. </w:t>
      </w:r>
    </w:p>
    <w:p>
      <w:pPr>
        <w:pStyle w:val="TextBody"/>
        <w:spacing w:before="360" w:after="0"/>
        <w:jc w:val="left"/>
        <w:rPr>
          <w:rFonts w:ascii="Times New Roman" w:hAnsi="Times New Roman"/>
          <w:b/>
          <w:sz w:val="20"/>
        </w:rPr>
      </w:pPr>
      <w:r>
        <w:rPr>
          <w:rFonts w:ascii="Times New Roman" w:hAnsi="Times New Roman"/>
          <w:b/>
          <w:sz w:val="20"/>
        </w:rPr>
        <w:t xml:space="preserve">3.5 Nonassignability; No Hedging </w:t>
      </w:r>
    </w:p>
    <w:p>
      <w:pPr>
        <w:pStyle w:val="TextBody"/>
        <w:spacing w:before="120" w:after="0"/>
        <w:jc w:val="left"/>
        <w:rPr>
          <w:rFonts w:ascii="Times New Roman" w:hAnsi="Times New Roman"/>
          <w:sz w:val="20"/>
        </w:rPr>
      </w:pPr>
      <w:r>
        <w:rPr>
          <w:rFonts w:ascii="Times New Roman" w:hAnsi="Times New Roman"/>
          <w:sz w:val="20"/>
        </w:rPr>
        <w:t xml:space="preserve">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that it deems appropriate in its sole discretion, a Grantee to transfer any Award to any person or entity that the Committee so determines; </w:t>
      </w:r>
      <w:r>
        <w:rPr>
          <w:rFonts w:ascii="Times New Roman" w:hAnsi="Times New Roman"/>
          <w:sz w:val="20"/>
          <w:u w:val="single"/>
        </w:rPr>
        <w:t>provided</w:t>
      </w:r>
      <w:r>
        <w:rPr>
          <w:rFonts w:ascii="Times New Roman" w:hAnsi="Times New Roman"/>
          <w:sz w:val="20"/>
        </w:rPr>
        <w:t xml:space="preserve">, that in no case will the Committee permit any transfer to a third-party financial institution. Any sale, exchange, transfer, assignment, pledge, hypothecation, or other disposition in violation of the provisions of this </w:t>
      </w:r>
      <w:r>
        <w:rPr>
          <w:rFonts w:ascii="Times New Roman" w:hAnsi="Times New Roman"/>
          <w:sz w:val="20"/>
          <w:u w:val="single"/>
        </w:rPr>
        <w:t>Section 3.5</w:t>
      </w:r>
      <w:r>
        <w:rPr>
          <w:rFonts w:ascii="Times New Roman" w:hAnsi="Times New Roman"/>
          <w:sz w:val="20"/>
        </w:rPr>
        <w:t xml:space="preserve"> will be null and void and any Award which is hedged in any manner will immediately be forfeited. All of the terms and conditions of the Plan and the Award Agreements will be binding upon any permitted successors and assigns. </w:t>
      </w:r>
    </w:p>
    <w:p>
      <w:pPr>
        <w:pStyle w:val="TextBody"/>
        <w:spacing w:before="360" w:after="0"/>
        <w:jc w:val="left"/>
        <w:rPr>
          <w:rFonts w:ascii="Times New Roman" w:hAnsi="Times New Roman"/>
          <w:b/>
          <w:sz w:val="20"/>
        </w:rPr>
      </w:pPr>
      <w:r>
        <w:rPr>
          <w:rFonts w:ascii="Times New Roman" w:hAnsi="Times New Roman"/>
          <w:b/>
          <w:sz w:val="20"/>
        </w:rPr>
        <w:t xml:space="preserve">3.6 Change in Control </w:t>
      </w:r>
    </w:p>
    <w:p>
      <w:pPr>
        <w:pStyle w:val="TextBody"/>
        <w:spacing w:before="120" w:after="0"/>
        <w:jc w:val="left"/>
        <w:rPr>
          <w:rFonts w:ascii="Times New Roman" w:hAnsi="Times New Roman"/>
          <w:sz w:val="20"/>
        </w:rPr>
      </w:pPr>
      <w:r>
        <w:rPr>
          <w:rFonts w:ascii="Times New Roman" w:hAnsi="Times New Roman"/>
          <w:sz w:val="20"/>
        </w:rPr>
        <w:t xml:space="preserve">3.6.1 Unless otherwise determined by the Committee (or unless otherwise provided in the applicable Award Agreement or a Grantees employment agreement), if a Grantees Employment is terminated by the Company or any successor entity thereto without Cause, or the Grantee terminates Employment for Good Reason, or a Grantees service as a Non-Employee Director is terminated by Bakkt or any successor entity thereto, in each case, upon or within two (2) years after a Change in Control, (i) each Award granted to such Grantee prior to such Change in Control will become fully vested (including the lapsing of all restrictions and conditions) and, as applicable, exercisable as of the date of such termination of Employment or service, and (ii) any Shares deliverable pursuant to restricted stock units will be delivered promptly (but no later than fifteen (15) days) following such Grantees termination of Employment or service. </w:t>
      </w:r>
    </w:p>
    <w:p>
      <w:pPr>
        <w:pStyle w:val="TextBody"/>
        <w:spacing w:before="120" w:after="0"/>
        <w:jc w:val="left"/>
        <w:rPr>
          <w:rFonts w:ascii="Times New Roman" w:hAnsi="Times New Roman"/>
          <w:sz w:val="20"/>
        </w:rPr>
      </w:pPr>
      <w:r>
        <w:rPr>
          <w:rFonts w:ascii="Times New Roman" w:hAnsi="Times New Roman"/>
          <w:sz w:val="20"/>
        </w:rPr>
        <w:t xml:space="preserve">3.6.2 As of the Change in Control date, any outstanding Performance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Times New Roman" w:hAnsi="Times New Roman"/>
          <w:sz w:val="20"/>
          <w:u w:val="single"/>
        </w:rPr>
        <w:t>Section 3.6.1</w:t>
      </w:r>
      <w:r>
        <w:rPr>
          <w:rFonts w:ascii="Times New Roman" w:hAnsi="Times New Roman"/>
          <w:sz w:val="20"/>
        </w:rPr>
        <w:t xml:space="preserve"> above. </w:t>
      </w:r>
    </w:p>
    <w:p>
      <w:pPr>
        <w:pStyle w:val="TextBody"/>
        <w:spacing w:before="120" w:after="0"/>
        <w:jc w:val="left"/>
        <w:rPr>
          <w:rFonts w:ascii="Times New Roman" w:hAnsi="Times New Roman"/>
          <w:sz w:val="20"/>
        </w:rPr>
      </w:pPr>
      <w:r>
        <w:rPr>
          <w:rFonts w:ascii="Times New Roman" w:hAnsi="Times New Roman"/>
          <w:sz w:val="20"/>
        </w:rPr>
        <w:t xml:space="preserve">3.6.3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fair value (as determined in the sole discretion of the Committee), which in the case of stock options and stock appreciation rights, may equal the excess, if any, of the value of the consideration to be paid in the Change in Control transaction to holders of the same number of Shares subject to such stock options or stock appreciation rights over the aggregate exercise price of such stock options or stock appreciation rights, as the case may be; (ii) provide for the assumption of or the issuance of substitute awards that will substantially preserve the otherwise applicable terms of any affected Awards previously granted under the Plan, as determined by the Committee in its sole discretion; or (iii) provide that for a period of at least twenty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clause (i) above are (a) valued at closing taking into account such contingent value rights (with the value determined by the Committee in its sole discretion) or (b) entitled to a share of such contingent value rights.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hAnsi="Times New Roman"/>
          <w:sz w:val="20"/>
          <w:u w:val="single"/>
        </w:rPr>
        <w:t>Section 3.6.3</w:t>
      </w:r>
      <w:r>
        <w:rPr>
          <w:rFonts w:ascii="Times New Roman" w:hAnsi="Times New Roman"/>
          <w:sz w:val="20"/>
        </w:rPr>
        <w:t xml:space="preserve"> may be taken in the event of a merger or other corporate reorganization that does not constitute a Change in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3.7 No Continued Employment or Engagement; Right of Discharge Reserved </w:t>
      </w:r>
    </w:p>
    <w:p>
      <w:pPr>
        <w:pStyle w:val="TextBody"/>
        <w:spacing w:before="120" w:after="0"/>
        <w:jc w:val="left"/>
        <w:rPr>
          <w:rFonts w:ascii="Times New Roman" w:hAnsi="Times New Roman"/>
          <w:sz w:val="20"/>
        </w:rPr>
      </w:pPr>
      <w:r>
        <w:rPr>
          <w:rFonts w:ascii="Times New Roman" w:hAnsi="Times New Roman"/>
          <w:sz w:val="20"/>
        </w:rPr>
        <w:t xml:space="preserve">Neither the adoption of the Plan nor the grant of any Award (or any provision in the Plan or Award Agreement) will confer upon any Grantee any right to continued Employment or service, or other engagement, with the Company, nor will it interfere in any way with the right of the Company to terminate, or alter the terms and conditions of, such Employment or service or other engagement at any time. </w:t>
      </w:r>
    </w:p>
    <w:p>
      <w:pPr>
        <w:pStyle w:val="TextBody"/>
        <w:spacing w:before="360" w:after="0"/>
        <w:jc w:val="left"/>
        <w:rPr>
          <w:rFonts w:ascii="Times New Roman" w:hAnsi="Times New Roman"/>
          <w:b/>
          <w:sz w:val="20"/>
        </w:rPr>
      </w:pPr>
      <w:r>
        <w:rPr>
          <w:rFonts w:ascii="Times New Roman" w:hAnsi="Times New Roman"/>
          <w:b/>
          <w:sz w:val="20"/>
        </w:rPr>
        <w:t xml:space="preserve">3.8 Nature of Payments </w:t>
      </w:r>
    </w:p>
    <w:p>
      <w:pPr>
        <w:pStyle w:val="TextBody"/>
        <w:spacing w:before="120" w:after="0"/>
        <w:jc w:val="left"/>
        <w:rPr>
          <w:rFonts w:ascii="Times New Roman" w:hAnsi="Times New Roman"/>
          <w:sz w:val="20"/>
        </w:rPr>
      </w:pPr>
      <w:r>
        <w:rPr>
          <w:rFonts w:ascii="Times New Roman" w:hAnsi="Times New Roman"/>
          <w:sz w:val="20"/>
        </w:rPr>
        <w:t xml:space="preserve">3.8.1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 </w:t>
      </w:r>
    </w:p>
    <w:p>
      <w:pPr>
        <w:pStyle w:val="TextBody"/>
        <w:spacing w:before="120" w:after="0"/>
        <w:jc w:val="left"/>
        <w:rPr>
          <w:rFonts w:ascii="Times New Roman" w:hAnsi="Times New Roman"/>
          <w:sz w:val="20"/>
        </w:rPr>
      </w:pPr>
      <w:r>
        <w:rPr>
          <w:rFonts w:ascii="Times New Roman" w:hAnsi="Times New Roman"/>
          <w:sz w:val="20"/>
        </w:rPr>
        <w:t xml:space="preserve">3.8.2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 </w:t>
      </w:r>
    </w:p>
    <w:p>
      <w:pPr>
        <w:pStyle w:val="TextBody"/>
        <w:spacing w:before="360" w:after="0"/>
        <w:jc w:val="left"/>
        <w:rPr>
          <w:rFonts w:ascii="Times New Roman" w:hAnsi="Times New Roman"/>
          <w:b/>
          <w:sz w:val="20"/>
        </w:rPr>
      </w:pPr>
      <w:r>
        <w:rPr>
          <w:rFonts w:ascii="Times New Roman" w:hAnsi="Times New Roman"/>
          <w:b/>
          <w:sz w:val="20"/>
        </w:rPr>
        <w:t xml:space="preserve">3.9 Non-Uniform Determinations </w:t>
      </w:r>
    </w:p>
    <w:p>
      <w:pPr>
        <w:pStyle w:val="TextBody"/>
        <w:spacing w:before="120" w:after="0"/>
        <w:jc w:val="left"/>
        <w:rPr>
          <w:rFonts w:ascii="Times New Roman" w:hAnsi="Times New Roman"/>
          <w:sz w:val="20"/>
        </w:rPr>
      </w:pPr>
      <w:r>
        <w:rPr>
          <w:rFonts w:ascii="Times New Roman" w:hAnsi="Times New Roman"/>
          <w:sz w:val="20"/>
        </w:rPr>
        <w:t xml:space="preserve">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or service has been terminated for purposes of the Plan. </w:t>
      </w:r>
    </w:p>
    <w:p>
      <w:pPr>
        <w:pStyle w:val="TextBody"/>
        <w:spacing w:before="360" w:after="0"/>
        <w:jc w:val="left"/>
        <w:rPr>
          <w:rFonts w:ascii="Times New Roman" w:hAnsi="Times New Roman"/>
          <w:b/>
          <w:sz w:val="20"/>
        </w:rPr>
      </w:pPr>
      <w:r>
        <w:rPr>
          <w:rFonts w:ascii="Times New Roman" w:hAnsi="Times New Roman"/>
          <w:b/>
          <w:sz w:val="20"/>
        </w:rPr>
        <w:t xml:space="preserve">3.10 Other Payments or Awards </w:t>
      </w:r>
    </w:p>
    <w:p>
      <w:pPr>
        <w:pStyle w:val="TextBody"/>
        <w:spacing w:before="120" w:after="0"/>
        <w:jc w:val="left"/>
        <w:rPr>
          <w:rFonts w:ascii="Times New Roman" w:hAnsi="Times New Roman"/>
          <w:sz w:val="20"/>
        </w:rPr>
      </w:pPr>
      <w:r>
        <w:rPr>
          <w:rFonts w:ascii="Times New Roman" w:hAnsi="Times New Roman"/>
          <w:sz w:val="20"/>
        </w:rPr>
        <w:t xml:space="preserve">Nothing contained in the Plan will be deemed in any way to limit or restrict the Company from making any award or payment to any person under any other plan, arrangement or understanding, whether now existing or hereafter in effect. </w:t>
      </w:r>
    </w:p>
    <w:p>
      <w:pPr>
        <w:pStyle w:val="TextBody"/>
        <w:spacing w:before="360" w:after="0"/>
        <w:jc w:val="left"/>
        <w:rPr>
          <w:rFonts w:ascii="Times New Roman" w:hAnsi="Times New Roman"/>
          <w:b/>
          <w:sz w:val="20"/>
        </w:rPr>
      </w:pPr>
      <w:r>
        <w:rPr>
          <w:rFonts w:ascii="Times New Roman" w:hAnsi="Times New Roman"/>
          <w:b/>
          <w:sz w:val="20"/>
        </w:rPr>
        <w:t xml:space="preserve">3.11 Plan Headings </w:t>
      </w:r>
    </w:p>
    <w:p>
      <w:pPr>
        <w:pStyle w:val="TextBody"/>
        <w:spacing w:before="120" w:after="0"/>
        <w:jc w:val="left"/>
        <w:rPr>
          <w:rFonts w:ascii="Times New Roman" w:hAnsi="Times New Roman"/>
          <w:sz w:val="20"/>
        </w:rPr>
      </w:pPr>
      <w:r>
        <w:rPr>
          <w:rFonts w:ascii="Times New Roman" w:hAnsi="Times New Roman"/>
          <w:sz w:val="20"/>
        </w:rPr>
        <w:t xml:space="preserve">The headings in the Plan are for the purpose of convenience only and are not intended to define or limit the construction of the provisions hereof. </w:t>
      </w:r>
    </w:p>
    <w:p>
      <w:pPr>
        <w:pStyle w:val="TextBody"/>
        <w:spacing w:before="360" w:after="0"/>
        <w:jc w:val="left"/>
        <w:rPr>
          <w:rFonts w:ascii="Times New Roman" w:hAnsi="Times New Roman"/>
          <w:b/>
          <w:sz w:val="20"/>
        </w:rPr>
      </w:pPr>
      <w:r>
        <w:rPr>
          <w:rFonts w:ascii="Times New Roman" w:hAnsi="Times New Roman"/>
          <w:b/>
          <w:sz w:val="20"/>
        </w:rPr>
        <w:t xml:space="preserve">3.12 Termination of Plan </w:t>
      </w:r>
    </w:p>
    <w:p>
      <w:pPr>
        <w:pStyle w:val="TextBody"/>
        <w:spacing w:before="120" w:after="0"/>
        <w:jc w:val="left"/>
        <w:rPr>
          <w:rFonts w:ascii="Times New Roman" w:hAnsi="Times New Roman"/>
          <w:sz w:val="20"/>
        </w:rPr>
      </w:pPr>
      <w:r>
        <w:rPr>
          <w:rFonts w:ascii="Times New Roman" w:hAnsi="Times New Roman"/>
          <w:sz w:val="20"/>
        </w:rPr>
        <w:t xml:space="preserve">The Board reserves the right to terminate the Plan at any time;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in any case, the Plan will terminate on the day before the tenth anniversary of the Effective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Awards made under the Plan before its termination will remain in effect until such Awards have been satisfied or terminated in accordance with the terms and provisions of the Plan and the applicable Award Agreements. </w:t>
      </w:r>
    </w:p>
    <w:p>
      <w:pPr>
        <w:pStyle w:val="TextBody"/>
        <w:spacing w:before="360" w:after="0"/>
        <w:jc w:val="left"/>
        <w:rPr>
          <w:rFonts w:ascii="Times New Roman" w:hAnsi="Times New Roman"/>
          <w:b/>
          <w:sz w:val="20"/>
        </w:rPr>
      </w:pPr>
      <w:r>
        <w:rPr>
          <w:rFonts w:ascii="Times New Roman" w:hAnsi="Times New Roman"/>
          <w:b/>
          <w:sz w:val="20"/>
        </w:rPr>
        <w:t xml:space="preserve">3.13 Clawback/Recapture Policy </w:t>
      </w:r>
    </w:p>
    <w:p>
      <w:pPr>
        <w:pStyle w:val="TextBody"/>
        <w:spacing w:before="120" w:after="0"/>
        <w:jc w:val="left"/>
        <w:rPr>
          <w:rFonts w:ascii="Times New Roman" w:hAnsi="Times New Roman"/>
          <w:sz w:val="20"/>
        </w:rPr>
      </w:pPr>
      <w:r>
        <w:rPr>
          <w:rFonts w:ascii="Times New Roman" w:hAnsi="Times New Roman"/>
          <w:sz w:val="20"/>
        </w:rPr>
        <w:t xml:space="preserve">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3.14 Section 409A </w:t>
      </w:r>
    </w:p>
    <w:p>
      <w:pPr>
        <w:pStyle w:val="TextBody"/>
        <w:spacing w:before="120" w:after="0"/>
        <w:jc w:val="left"/>
        <w:rPr>
          <w:rFonts w:ascii="Times New Roman" w:hAnsi="Times New Roman"/>
          <w:sz w:val="20"/>
        </w:rPr>
      </w:pPr>
      <w:r>
        <w:rPr>
          <w:rFonts w:ascii="Times New Roman" w:hAnsi="Times New Roman"/>
          <w:sz w:val="20"/>
        </w:rPr>
        <w:t xml:space="preserve">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for an Award, the Plan will govern. </w:t>
      </w:r>
    </w:p>
    <w:p>
      <w:pPr>
        <w:pStyle w:val="TextBody"/>
        <w:spacing w:before="120" w:after="0"/>
        <w:jc w:val="left"/>
        <w:rPr>
          <w:rFonts w:ascii="Times New Roman" w:hAnsi="Times New Roman"/>
          <w:sz w:val="20"/>
        </w:rPr>
      </w:pPr>
      <w:r>
        <w:rPr>
          <w:rFonts w:ascii="Times New Roman" w:hAnsi="Times New Roman"/>
          <w:sz w:val="20"/>
        </w:rPr>
        <w:t xml:space="preserve">3.14.2 Without limiting the generality of </w:t>
      </w:r>
      <w:r>
        <w:rPr>
          <w:rFonts w:ascii="Times New Roman" w:hAnsi="Times New Roman"/>
          <w:sz w:val="20"/>
          <w:u w:val="single"/>
        </w:rPr>
        <w:t>Section 3.14.1</w:t>
      </w:r>
      <w:r>
        <w:rPr>
          <w:rFonts w:ascii="Times New Roman" w:hAnsi="Times New Roman"/>
          <w:sz w:val="20"/>
        </w:rPr>
        <w:t xml:space="preserve">, for any Award made under the Plan that is intended to be deferred compensation subject to Section 409A: </w:t>
      </w:r>
    </w:p>
    <w:p>
      <w:pPr>
        <w:pStyle w:val="TextBody"/>
        <w:spacing w:before="120" w:after="0"/>
        <w:jc w:val="left"/>
        <w:rPr>
          <w:rFonts w:ascii="Times New Roman" w:hAnsi="Times New Roman"/>
          <w:sz w:val="20"/>
        </w:rPr>
      </w:pPr>
      <w:r>
        <w:rPr>
          <w:rFonts w:ascii="Times New Roman" w:hAnsi="Times New Roman"/>
          <w:sz w:val="20"/>
        </w:rPr>
        <w:t xml:space="preserve">(a) any payment due upon a Grantees termination of Employment will be paid only upon such Grantees separation from service from the Company within the meaning of Section 409A; </w:t>
      </w:r>
    </w:p>
    <w:p>
      <w:pPr>
        <w:pStyle w:val="TextBody"/>
        <w:spacing w:before="120" w:after="0"/>
        <w:jc w:val="left"/>
        <w:rPr>
          <w:rFonts w:ascii="Times New Roman" w:hAnsi="Times New Roman"/>
          <w:sz w:val="20"/>
        </w:rPr>
      </w:pPr>
      <w:r>
        <w:rPr>
          <w:rFonts w:ascii="Times New Roman" w:hAnsi="Times New Roman"/>
          <w:sz w:val="20"/>
        </w:rPr>
        <w:t xml:space="preserve">(b) Any payment due upon a Change in Control of the Company will be paid only if such Change in Control constitutes a change in ownership or change in effective control within the meaning of Section 409A, and if such Change in Control does not constitute a change in the ownership or change in the effective control within the meaning of Section 409A, such Award will vest upon the Change in Control and any payment will be delayed until the first compliant date under Section 409A; </w:t>
      </w:r>
    </w:p>
    <w:p>
      <w:pPr>
        <w:pStyle w:val="TextBody"/>
        <w:spacing w:before="120" w:after="0"/>
        <w:jc w:val="left"/>
        <w:rPr>
          <w:rFonts w:ascii="Times New Roman" w:hAnsi="Times New Roman"/>
          <w:sz w:val="20"/>
        </w:rPr>
      </w:pPr>
      <w:r>
        <w:rPr>
          <w:rFonts w:ascii="Times New Roman" w:hAnsi="Times New Roman"/>
          <w:sz w:val="20"/>
        </w:rPr>
        <w:t xml:space="preserve">(c) any payment to be made for such Award in connection with the Grantees separation from service from the Company within the meaning of Section 409A (and any other payment that would be subject to the limitations in Section 409A(a)(2)(B)) will be delayed until six (6) months after the Grantees separation from service (or earlier death) in accordance with the requirements of Section 409A; </w:t>
      </w:r>
    </w:p>
    <w:p>
      <w:pPr>
        <w:pStyle w:val="TextBody"/>
        <w:spacing w:before="120" w:after="0"/>
        <w:jc w:val="left"/>
        <w:rPr>
          <w:rFonts w:ascii="Times New Roman" w:hAnsi="Times New Roman"/>
          <w:sz w:val="20"/>
        </w:rPr>
      </w:pPr>
      <w:r>
        <w:rPr>
          <w:rFonts w:ascii="Times New Roman" w:hAnsi="Times New Roman"/>
          <w:sz w:val="20"/>
        </w:rPr>
        <w:t xml:space="preserve">(e) 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for the Shares that would otherwise have been deliverable (unless the Committee elects a later date for this purpose in accordance with the requirements of Section 409A); </w:t>
      </w:r>
    </w:p>
    <w:p>
      <w:pPr>
        <w:pStyle w:val="TextBody"/>
        <w:spacing w:before="120" w:after="0"/>
        <w:jc w:val="left"/>
        <w:rPr>
          <w:rFonts w:ascii="Times New Roman" w:hAnsi="Times New Roman"/>
          <w:sz w:val="20"/>
        </w:rPr>
      </w:pPr>
      <w:r>
        <w:rPr>
          <w:rFonts w:ascii="Times New Roman" w:hAnsi="Times New Roman"/>
          <w:sz w:val="20"/>
        </w:rPr>
        <w:t xml:space="preserve">(f) for any required Consent described in </w:t>
      </w:r>
      <w:r>
        <w:rPr>
          <w:rFonts w:ascii="Times New Roman" w:hAnsi="Times New Roman"/>
          <w:sz w:val="20"/>
          <w:u w:val="single"/>
        </w:rPr>
        <w:t>Section 3.3</w:t>
      </w:r>
      <w:r>
        <w:rPr>
          <w:rFonts w:ascii="Times New Roman" w:hAnsi="Times New Roman"/>
          <w:sz w:val="20"/>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 </w:t>
      </w:r>
    </w:p>
    <w:p>
      <w:pPr>
        <w:pStyle w:val="TextBody"/>
        <w:spacing w:before="240" w:after="0"/>
        <w:jc w:val="left"/>
        <w:rPr>
          <w:rFonts w:ascii="Times New Roman" w:hAnsi="Times New Roman"/>
          <w:sz w:val="20"/>
        </w:rPr>
      </w:pPr>
      <w:r>
        <w:rPr>
          <w:rFonts w:ascii="Times New Roman" w:hAnsi="Times New Roman"/>
          <w:sz w:val="20"/>
        </w:rPr>
        <w:t xml:space="preserve">(g) 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 </w:t>
      </w:r>
    </w:p>
    <w:p>
      <w:pPr>
        <w:pStyle w:val="TextBody"/>
        <w:spacing w:before="120" w:after="0"/>
        <w:jc w:val="left"/>
        <w:rPr>
          <w:rFonts w:ascii="Times New Roman" w:hAnsi="Times New Roman"/>
          <w:sz w:val="20"/>
        </w:rPr>
      </w:pPr>
      <w:r>
        <w:rPr>
          <w:rFonts w:ascii="Times New Roman" w:hAnsi="Times New Roman"/>
          <w:sz w:val="20"/>
        </w:rPr>
        <w:t xml:space="preserve">(h) if the Award includes dividend equivalents (within the meaning of Section 1.409A-3(e) of the Treasury Regulations), the Grantees right to the dividend equivalents will be treated separately from the right to other amounts under the Award; and </w:t>
      </w:r>
    </w:p>
    <w:p>
      <w:pPr>
        <w:pStyle w:val="TextBody"/>
        <w:spacing w:before="120" w:after="0"/>
        <w:jc w:val="left"/>
        <w:rPr>
          <w:rFonts w:ascii="Times New Roman" w:hAnsi="Times New Roman"/>
          <w:sz w:val="20"/>
        </w:rPr>
      </w:pPr>
      <w:r>
        <w:rPr>
          <w:rFonts w:ascii="Times New Roman" w:hAnsi="Times New Roman"/>
          <w:sz w:val="20"/>
        </w:rPr>
        <w:t xml:space="preserve">(i) 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Bakkt,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language at least 20 percent is used instead of at least 80 percent each place it appears in Section 1.414(c)-2(b)(2)(i) of the Treasury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3.15 Governing Law </w:t>
      </w:r>
    </w:p>
    <w:p>
      <w:pPr>
        <w:pStyle w:val="TextBody"/>
        <w:spacing w:before="120" w:after="0"/>
        <w:jc w:val="left"/>
        <w:rPr>
          <w:rFonts w:ascii="Times New Roman" w:hAnsi="Times New Roman"/>
          <w:sz w:val="20"/>
        </w:rPr>
      </w:pPr>
      <w:r>
        <w:rPr>
          <w:rFonts w:ascii="Times New Roman" w:hAnsi="Times New Roman"/>
          <w:sz w:val="20"/>
        </w:rPr>
        <w:t xml:space="preserve">THE PLAN AND ALL AWARDS MADE AND ACTIONS TAKEN THEREUNDER WILL BE GOVERNED BY AND CONSTRUED IN ACCORDANCE WITH THE LAWS OF THE STATE OF DELAWARE, WITHOUT REFERENCE TO PRINCIPLES OF CONFLICT OF LAWS. </w:t>
      </w:r>
    </w:p>
    <w:p>
      <w:pPr>
        <w:pStyle w:val="TextBody"/>
        <w:spacing w:before="360" w:after="0"/>
        <w:jc w:val="left"/>
        <w:rPr>
          <w:rFonts w:ascii="Times New Roman" w:hAnsi="Times New Roman"/>
          <w:b/>
          <w:sz w:val="20"/>
        </w:rPr>
      </w:pPr>
      <w:r>
        <w:rPr>
          <w:rFonts w:ascii="Times New Roman" w:hAnsi="Times New Roman"/>
          <w:b/>
          <w:sz w:val="20"/>
        </w:rPr>
        <w:t xml:space="preserve">3.16 Disputes; Choice of Forum </w:t>
      </w:r>
    </w:p>
    <w:p>
      <w:pPr>
        <w:pStyle w:val="TextBody"/>
        <w:spacing w:before="120" w:after="0"/>
        <w:jc w:val="left"/>
        <w:rPr>
          <w:rFonts w:ascii="Times New Roman" w:hAnsi="Times New Roman"/>
          <w:sz w:val="20"/>
        </w:rPr>
      </w:pPr>
      <w:r>
        <w:rPr>
          <w:rFonts w:ascii="Times New Roman" w:hAnsi="Times New Roman"/>
          <w:sz w:val="20"/>
        </w:rPr>
        <w:t xml:space="preserve">3.16.1 The Company and each Grantee, as a condition to such Grantees participation in the Plan, hereby irrevocably submit to the exclusive jurisdiction of any state or federal court located in Atlanta, Georgia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Times New Roman" w:hAnsi="Times New Roman"/>
          <w:sz w:val="20"/>
          <w:u w:val="single"/>
        </w:rPr>
        <w:t>Section 3.16.1</w:t>
      </w:r>
      <w:r>
        <w:rPr>
          <w:rFonts w:ascii="Times New Roman" w:hAnsi="Times New Roman"/>
          <w:sz w:val="20"/>
        </w:rPr>
        <w:t xml:space="preserve"> has a reasonable relation to the Plan and to the relationship between such Grantee and the Company. Notwithstanding the foregoing, nothing in the Plan will preclude the Company from bringing any action or proceeding in any other court for the purpose of enforcing the provisions of this </w:t>
      </w:r>
      <w:r>
        <w:rPr>
          <w:rFonts w:ascii="Times New Roman" w:hAnsi="Times New Roman"/>
          <w:sz w:val="20"/>
          <w:u w:val="single"/>
        </w:rPr>
        <w:t>Section 3.16.1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3.16.2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Times New Roman" w:hAnsi="Times New Roman"/>
          <w:sz w:val="20"/>
          <w:u w:val="single"/>
        </w:rPr>
        <w:t>Section 3.16.1</w:t>
      </w:r>
      <w:r>
        <w:rPr>
          <w:rFonts w:ascii="Times New Roman" w:hAnsi="Times New Roman"/>
          <w:sz w:val="20"/>
        </w:rPr>
        <w:t xml:space="preserve">, (iii) undertake not to commence any action arising out of or relating to or concerning the Plan in any forum other than the forum described in this </w:t>
      </w:r>
      <w:r>
        <w:rPr>
          <w:rFonts w:ascii="Times New Roman" w:hAnsi="Times New Roman"/>
          <w:sz w:val="20"/>
          <w:u w:val="single"/>
        </w:rPr>
        <w:t>Section 3.16</w:t>
      </w:r>
      <w:r>
        <w:rPr>
          <w:rFonts w:ascii="Times New Roman" w:hAnsi="Times New Roman"/>
          <w:sz w:val="20"/>
        </w:rPr>
        <w:t xml:space="preserve"> and (iv) agree that, to the fullest extent permitted by applicable law, a final and non-appealable judgment in any such suit, action or proceeding in any such court will be conclusive and binding upon the Company and each Grantee. </w:t>
      </w:r>
    </w:p>
    <w:p>
      <w:pPr>
        <w:pStyle w:val="TextBody"/>
        <w:spacing w:before="120" w:after="0"/>
        <w:jc w:val="left"/>
        <w:rPr>
          <w:rFonts w:ascii="Times New Roman" w:hAnsi="Times New Roman"/>
          <w:sz w:val="20"/>
        </w:rPr>
      </w:pPr>
      <w:r>
        <w:rPr>
          <w:rFonts w:ascii="Times New Roman" w:hAnsi="Times New Roman"/>
          <w:sz w:val="20"/>
        </w:rPr>
        <w:t xml:space="preserve">3.16.3 Each Grantee, as a condition to such Grantees participation in the Plan, hereby irrevocably appoints the General Counsel of Bakkt as such Grantees agent for service of process in connection with any action, suit or proceeding arising out of or relating to or concerning the Plan, who will promptly advise such Grantee of any such service of process. </w:t>
      </w:r>
    </w:p>
    <w:p>
      <w:pPr>
        <w:pStyle w:val="TextBody"/>
        <w:spacing w:before="120" w:after="0"/>
        <w:jc w:val="left"/>
        <w:rPr>
          <w:rFonts w:ascii="Times New Roman" w:hAnsi="Times New Roman"/>
          <w:sz w:val="20"/>
        </w:rPr>
      </w:pPr>
      <w:r>
        <w:rPr>
          <w:rFonts w:ascii="Times New Roman" w:hAnsi="Times New Roman"/>
          <w:sz w:val="20"/>
        </w:rPr>
        <w:t xml:space="preserve">3.16.4 Each Grantee, as a condition to such Grantees participation in the Plan, agrees to keep confidential the existence of, and any information concerning, a dispute, controversy or claim described in </w:t>
      </w:r>
      <w:r>
        <w:rPr>
          <w:rFonts w:ascii="Times New Roman" w:hAnsi="Times New Roman"/>
          <w:sz w:val="20"/>
          <w:u w:val="single"/>
        </w:rPr>
        <w:t>Section 3.18</w:t>
      </w:r>
      <w:r>
        <w:rPr>
          <w:rFonts w:ascii="Times New Roman" w:hAnsi="Times New Roman"/>
          <w:sz w:val="20"/>
        </w:rPr>
        <w:t>, except that a Grantee may disclose information concerning such dispute, controversy or claim to the court that is considering such dispute, controversy or claim or to such Grantees legal counsel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counsel agrees not to disclose any such information other than as necessary to the prosecution or defense of the dispute, controversy or claim). For the avoidance of doubt, nothing in this Plan or any Award Agreement is intended to impair such Grantees right to make disclosures under the whistleblower provisions of any applicable law or regulation or require such Grantee to notify Bakkt or obtain its authorization prior to doing so, or prohibit such Grantee from responding truthfully to a valid subpoena. </w:t>
      </w:r>
    </w:p>
    <w:p>
      <w:pPr>
        <w:pStyle w:val="TextBody"/>
        <w:spacing w:before="360" w:after="0"/>
        <w:jc w:val="left"/>
        <w:rPr>
          <w:rFonts w:ascii="Times New Roman" w:hAnsi="Times New Roman"/>
          <w:b/>
          <w:sz w:val="20"/>
        </w:rPr>
      </w:pPr>
      <w:r>
        <w:rPr>
          <w:rFonts w:ascii="Times New Roman" w:hAnsi="Times New Roman"/>
          <w:b/>
          <w:sz w:val="20"/>
        </w:rPr>
        <w:t xml:space="preserve">3.17 Waiver of Jury Trial </w:t>
      </w:r>
    </w:p>
    <w:p>
      <w:pPr>
        <w:pStyle w:val="TextBody"/>
        <w:spacing w:before="120" w:after="0"/>
        <w:jc w:val="left"/>
        <w:rPr>
          <w:rFonts w:ascii="Times New Roman" w:hAnsi="Times New Roman"/>
          <w:sz w:val="20"/>
        </w:rPr>
      </w:pPr>
      <w:r>
        <w:rPr>
          <w:rFonts w:ascii="Times New Roman" w:hAnsi="Times New Roman"/>
          <w:sz w:val="20"/>
        </w:rPr>
        <w:t xml:space="preserve">EACH GRANTEE WAIVES ANY RIGHT IT MAY HAVE TO TRIAL BY JURY IN RESPECT OF ANY LITIGATION BASED ON, ARISING OUT OF, UNDER OR IN CONNECTION WITH THE PLAN. </w:t>
      </w:r>
    </w:p>
    <w:p>
      <w:pPr>
        <w:pStyle w:val="TextBody"/>
        <w:spacing w:before="360" w:after="0"/>
        <w:jc w:val="left"/>
        <w:rPr>
          <w:rFonts w:ascii="Times New Roman" w:hAnsi="Times New Roman"/>
          <w:b/>
          <w:sz w:val="20"/>
        </w:rPr>
      </w:pPr>
      <w:r>
        <w:rPr>
          <w:rFonts w:ascii="Times New Roman" w:hAnsi="Times New Roman"/>
          <w:b/>
          <w:sz w:val="20"/>
        </w:rPr>
        <w:t xml:space="preserve">3.18 Waiver of Claims </w:t>
      </w:r>
    </w:p>
    <w:p>
      <w:pPr>
        <w:pStyle w:val="TextBody"/>
        <w:spacing w:before="120" w:after="0"/>
        <w:jc w:val="left"/>
        <w:rPr>
          <w:rFonts w:ascii="Times New Roman" w:hAnsi="Times New Roman"/>
          <w:sz w:val="20"/>
        </w:rPr>
      </w:pPr>
      <w:r>
        <w:rPr>
          <w:rFonts w:ascii="Times New Roman" w:hAnsi="Times New Roman"/>
          <w:sz w:val="20"/>
        </w:rPr>
        <w:t xml:space="preserve">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 </w:t>
      </w:r>
    </w:p>
    <w:p>
      <w:pPr>
        <w:pStyle w:val="TextBody"/>
        <w:spacing w:before="360" w:after="0"/>
        <w:jc w:val="left"/>
        <w:rPr>
          <w:rFonts w:ascii="Times New Roman" w:hAnsi="Times New Roman"/>
          <w:b/>
          <w:sz w:val="20"/>
        </w:rPr>
      </w:pPr>
      <w:r>
        <w:rPr>
          <w:rFonts w:ascii="Times New Roman" w:hAnsi="Times New Roman"/>
          <w:b/>
          <w:sz w:val="20"/>
        </w:rPr>
        <w:t xml:space="preserve">3.19 Severability; Entire Agreement; Successors and Assigns </w:t>
      </w:r>
    </w:p>
    <w:p>
      <w:pPr>
        <w:pStyle w:val="TextBody"/>
        <w:spacing w:before="120" w:after="0"/>
        <w:jc w:val="left"/>
        <w:rPr>
          <w:rFonts w:ascii="Times New Roman" w:hAnsi="Times New Roman"/>
          <w:sz w:val="20"/>
        </w:rPr>
      </w:pPr>
      <w:r>
        <w:rPr>
          <w:rFonts w:ascii="Times New Roman" w:hAnsi="Times New Roman"/>
          <w:sz w:val="20"/>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for the subject matter thereof and supersede all prior agreements, promises, covenants, arrangements, communications, representations and warranties between them, whether written or oral for the subject matter thereof. The terms of the Plan will be binding upon and inure to the benefit of the Company and any successor entity, including as contemplated by </w:t>
      </w:r>
      <w:r>
        <w:rPr>
          <w:rFonts w:ascii="Times New Roman" w:hAnsi="Times New Roman"/>
          <w:sz w:val="20"/>
          <w:u w:val="single"/>
        </w:rPr>
        <w:t>Section 3.6</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3.20 No Liability for Tax Qualification or Adverse Tax Treatment </w:t>
      </w:r>
    </w:p>
    <w:p>
      <w:pPr>
        <w:pStyle w:val="TextBody"/>
        <w:spacing w:before="120" w:after="0"/>
        <w:jc w:val="left"/>
        <w:rPr>
          <w:rFonts w:ascii="Times New Roman" w:hAnsi="Times New Roman"/>
          <w:sz w:val="20"/>
        </w:rPr>
      </w:pPr>
      <w:r>
        <w:rPr>
          <w:rFonts w:ascii="Times New Roman" w:hAnsi="Times New Roman"/>
          <w:sz w:val="20"/>
        </w:rPr>
        <w:t xml:space="preserve">Notwithstanding anything to the contrary in the Plan, in no event will the Company be liable to a Grantee on account of an Awards failure to (a) qualify for favorable United States or foreign tax treatment or (b) avoid adverse tax treatment under United States or foreign law, including, without limitation, Section 409A. </w:t>
      </w:r>
    </w:p>
    <w:p>
      <w:pPr>
        <w:pStyle w:val="TextBody"/>
        <w:spacing w:before="360" w:after="0"/>
        <w:jc w:val="left"/>
        <w:rPr>
          <w:rFonts w:ascii="Times New Roman" w:hAnsi="Times New Roman"/>
          <w:b/>
          <w:sz w:val="20"/>
        </w:rPr>
      </w:pPr>
      <w:r>
        <w:rPr>
          <w:rFonts w:ascii="Times New Roman" w:hAnsi="Times New Roman"/>
          <w:b/>
          <w:sz w:val="20"/>
        </w:rPr>
        <w:t xml:space="preserve">3.21 No Third-Party Beneficiaries </w:t>
      </w:r>
    </w:p>
    <w:p>
      <w:pPr>
        <w:pStyle w:val="TextBody"/>
        <w:spacing w:before="120" w:after="0"/>
        <w:jc w:val="left"/>
        <w:rPr>
          <w:rFonts w:ascii="Times New Roman" w:hAnsi="Times New Roman"/>
          <w:sz w:val="20"/>
        </w:rPr>
      </w:pPr>
      <w:r>
        <w:rPr>
          <w:rFonts w:ascii="Times New Roman" w:hAnsi="Times New Roman"/>
          <w:sz w:val="20"/>
        </w:rPr>
        <w:t xml:space="preserve">Except as expressly provided in an Award Agreement, neither the Plan nor any Award Agreement will confer on any person other than the Company and the Grantee of any Award any rights or remedies thereunder. The exculpation and indemnification provisions of </w:t>
      </w:r>
      <w:r>
        <w:rPr>
          <w:rFonts w:ascii="Times New Roman" w:hAnsi="Times New Roman"/>
          <w:sz w:val="20"/>
          <w:u w:val="single"/>
        </w:rPr>
        <w:t>Section 1.2.4</w:t>
      </w:r>
      <w:r>
        <w:rPr>
          <w:rFonts w:ascii="Times New Roman" w:hAnsi="Times New Roman"/>
          <w:sz w:val="20"/>
        </w:rPr>
        <w:t xml:space="preserve"> will inure to the benefit of a Covered Persons estate and beneficiaries and legatees. </w:t>
      </w:r>
    </w:p>
    <w:p>
      <w:pPr>
        <w:pStyle w:val="TextBody"/>
        <w:spacing w:before="360" w:after="0"/>
        <w:jc w:val="left"/>
        <w:rPr>
          <w:rFonts w:ascii="Times New Roman" w:hAnsi="Times New Roman"/>
          <w:b/>
          <w:sz w:val="20"/>
        </w:rPr>
      </w:pPr>
      <w:r>
        <w:rPr>
          <w:rFonts w:ascii="Times New Roman" w:hAnsi="Times New Roman"/>
          <w:b/>
          <w:sz w:val="20"/>
        </w:rPr>
        <w:t xml:space="preserve">3.22 Date of Adoption, Approval of Stockholders and Effective Date </w:t>
      </w:r>
    </w:p>
    <w:p>
      <w:pPr>
        <w:pStyle w:val="TextBody"/>
        <w:spacing w:before="120" w:after="0"/>
        <w:jc w:val="left"/>
        <w:rPr>
          <w:rFonts w:ascii="Times New Roman" w:hAnsi="Times New Roman"/>
          <w:sz w:val="20"/>
        </w:rPr>
      </w:pPr>
      <w:r>
        <w:rPr>
          <w:rFonts w:ascii="Times New Roman" w:hAnsi="Times New Roman"/>
          <w:sz w:val="20"/>
        </w:rPr>
        <w:t>The Plan was adopted by the Board on [            ] and was approved by Bakkts stockholders on [ ] (the </w:t>
      </w:r>
      <w:r>
        <w:rPr>
          <w:rFonts w:ascii="Times New Roman" w:hAnsi="Times New Roman"/>
          <w:b/>
          <w:sz w:val="20"/>
          <w:u w:val="single"/>
        </w:rPr>
        <w:t>Effective Date</w:t>
      </w:r>
      <w:r>
        <w:rPr>
          <w:rFonts w:ascii="Times New Roman" w:hAnsi="Times New Roman"/>
          <w:sz w:val="20"/>
        </w:rPr>
        <w:t xml:space="preserve">). Any Awards granted under the Plan prior to such stockholder approval will be conditioned upon such approval and will be null and void if such approval is not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stock options and stock appreciation rights granted under the Plan prior to such stockholder approval may not be exercisable until after such stockholder approval and no Shares may be delivered pursuant to a restricted stock unit granted under the Plan prior to such stockholder approval until after such stockholder approval;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restricted stock and Other Stock-Based or Cash-Based Awards may not be granted prior to obtaining stockholder approval. If the Plan is not so approved by the stockholders of Bakkt, then the Plan will be null and void in its entirety and the Prior Plan will remain in full force and effect. </w:t>
      </w:r>
    </w:p>
    <w:p>
      <w:pPr>
        <w:pStyle w:val="TextBody"/>
        <w:spacing w:before="360" w:after="0"/>
        <w:jc w:val="left"/>
        <w:rPr>
          <w:rFonts w:ascii="Times New Roman" w:hAnsi="Times New Roman"/>
          <w:b/>
          <w:sz w:val="20"/>
        </w:rPr>
      </w:pPr>
      <w:r>
        <w:rPr>
          <w:rFonts w:ascii="Times New Roman" w:hAnsi="Times New Roman"/>
          <w:b/>
          <w:sz w:val="20"/>
        </w:rPr>
        <w:t xml:space="preserve">3.23 Definitions of Certain Terms </w:t>
      </w:r>
    </w:p>
    <w:p>
      <w:pPr>
        <w:pStyle w:val="TextBody"/>
        <w:spacing w:before="120" w:after="0"/>
        <w:jc w:val="left"/>
        <w:rPr>
          <w:rFonts w:ascii="Times New Roman" w:hAnsi="Times New Roman"/>
          <w:sz w:val="20"/>
        </w:rPr>
      </w:pPr>
      <w:r>
        <w:rPr>
          <w:rFonts w:ascii="Times New Roman" w:hAnsi="Times New Roman"/>
          <w:sz w:val="20"/>
        </w:rPr>
        <w:t>3.23.1 </w:t>
      </w:r>
      <w:r>
        <w:rPr>
          <w:rFonts w:ascii="Times New Roman" w:hAnsi="Times New Roman"/>
          <w:b/>
          <w:sz w:val="20"/>
          <w:u w:val="single"/>
        </w:rPr>
        <w:t>Award Agreement</w:t>
      </w:r>
      <w:r>
        <w:rPr>
          <w:rFonts w:ascii="Times New Roman" w:hAnsi="Times New Roman"/>
          <w:sz w:val="20"/>
        </w:rPr>
        <w:t xml:space="preserve"> means the written document by which each Award is evidenced, and which may, but need not be (as determined by the Committee) executed or acknowledged by a Grantee as a condition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receiving an Award or the benefits under an Award, and which sets forth the terms and provisions applicable to Awards granted under the Plan to such Grantee. Any reference in the Plan to an agreement in writing will be deemed to include an electronic writing to the extent permitted by applicable law. </w:t>
      </w:r>
    </w:p>
    <w:p>
      <w:pPr>
        <w:pStyle w:val="TextBody"/>
        <w:spacing w:before="120" w:after="0"/>
        <w:jc w:val="left"/>
        <w:rPr>
          <w:rFonts w:ascii="Times New Roman" w:hAnsi="Times New Roman"/>
          <w:sz w:val="20"/>
        </w:rPr>
      </w:pPr>
      <w:r>
        <w:rPr>
          <w:rFonts w:ascii="Times New Roman" w:hAnsi="Times New Roman"/>
          <w:sz w:val="20"/>
        </w:rPr>
        <w:t>3.23.2 </w:t>
      </w:r>
      <w:r>
        <w:rPr>
          <w:rFonts w:ascii="Times New Roman" w:hAnsi="Times New Roman"/>
          <w:b/>
          <w:sz w:val="20"/>
          <w:u w:val="single"/>
        </w:rPr>
        <w:t>Cause</w:t>
      </w:r>
      <w:r>
        <w:rPr>
          <w:rFonts w:ascii="Times New Roman" w:hAnsi="Times New Roman"/>
          <w:sz w:val="20"/>
        </w:rPr>
        <w:t xml:space="preserve"> means, unless otherwise provided in an Award Agreement or employment agreement applicable to the relevant Grantee: </w:t>
      </w:r>
    </w:p>
    <w:p>
      <w:pPr>
        <w:pStyle w:val="TextBody"/>
        <w:spacing w:before="120" w:after="0"/>
        <w:jc w:val="left"/>
        <w:rPr>
          <w:rFonts w:ascii="Times New Roman" w:hAnsi="Times New Roman"/>
          <w:sz w:val="20"/>
        </w:rPr>
      </w:pPr>
      <w:r>
        <w:rPr>
          <w:rFonts w:ascii="Times New Roman" w:hAnsi="Times New Roman"/>
          <w:sz w:val="20"/>
        </w:rPr>
        <w:t xml:space="preserve">(a) Grantee is convicted of, pleads guilty to, or confesses or otherwise admits to any felony involving intentional conduct or any act of fraud, misappropriation or embezzlement; </w:t>
      </w:r>
    </w:p>
    <w:p>
      <w:pPr>
        <w:pStyle w:val="TextBody"/>
        <w:spacing w:before="120" w:after="0"/>
        <w:jc w:val="left"/>
        <w:rPr>
          <w:rFonts w:ascii="Times New Roman" w:hAnsi="Times New Roman"/>
          <w:sz w:val="20"/>
        </w:rPr>
      </w:pPr>
      <w:r>
        <w:rPr>
          <w:rFonts w:ascii="Times New Roman" w:hAnsi="Times New Roman"/>
          <w:sz w:val="20"/>
        </w:rPr>
        <w:t xml:space="preserve">(b) Grantee knowingly engages in any act or course of conduct or knowingly fails to engage in any act or course of conduct which is reasonably likely to adversely affect the Companys ability to conduct its business; </w:t>
      </w:r>
    </w:p>
    <w:p>
      <w:pPr>
        <w:pStyle w:val="TextBody"/>
        <w:spacing w:before="120" w:after="0"/>
        <w:jc w:val="left"/>
        <w:rPr>
          <w:rFonts w:ascii="Times New Roman" w:hAnsi="Times New Roman"/>
          <w:sz w:val="20"/>
        </w:rPr>
      </w:pPr>
      <w:r>
        <w:rPr>
          <w:rFonts w:ascii="Times New Roman" w:hAnsi="Times New Roman"/>
          <w:sz w:val="20"/>
        </w:rPr>
        <w:t xml:space="preserve">(c) any act or omission by Grantee involving malfeasance or gross negligence in the performance of Grantees duties and responsibilities to the material detriment of the Company; or </w:t>
      </w:r>
    </w:p>
    <w:p>
      <w:pPr>
        <w:pStyle w:val="TextBody"/>
        <w:spacing w:before="120" w:after="0"/>
        <w:jc w:val="left"/>
        <w:rPr>
          <w:rFonts w:ascii="Times New Roman" w:hAnsi="Times New Roman"/>
          <w:sz w:val="20"/>
        </w:rPr>
      </w:pPr>
      <w:r>
        <w:rPr>
          <w:rFonts w:ascii="Times New Roman" w:hAnsi="Times New Roman"/>
          <w:sz w:val="20"/>
        </w:rPr>
        <w:t xml:space="preserve">(d) Grantee breaches in any material respect any of the provisions of any applicable employment agreement or Award Agreement or violates any provision of any generally applicable code of conduct which is distributed in writing to the Companys Employees or Non-Employee Directors, as applicable. </w:t>
      </w:r>
    </w:p>
    <w:p>
      <w:pPr>
        <w:pStyle w:val="TextBody"/>
        <w:spacing w:before="120" w:after="0"/>
        <w:jc w:val="left"/>
        <w:rPr>
          <w:rFonts w:ascii="Times New Roman" w:hAnsi="Times New Roman"/>
          <w:sz w:val="20"/>
        </w:rPr>
      </w:pPr>
      <w:r>
        <w:rPr>
          <w:rFonts w:ascii="Times New Roman" w:hAnsi="Times New Roman"/>
          <w:sz w:val="20"/>
        </w:rPr>
        <w:t>3.23.3 </w:t>
      </w:r>
      <w:r>
        <w:rPr>
          <w:rFonts w:ascii="Times New Roman" w:hAnsi="Times New Roman"/>
          <w:b/>
          <w:sz w:val="20"/>
          <w:u w:val="single"/>
        </w:rPr>
        <w:t>Change in Control</w:t>
      </w:r>
      <w:r>
        <w:rPr>
          <w:rFonts w:ascii="Times New Roman" w:hAnsi="Times New Roman"/>
          <w:sz w:val="20"/>
        </w:rPr>
        <w:t xml:space="preserve"> means the happening of any of the following: </w:t>
      </w:r>
    </w:p>
    <w:p>
      <w:pPr>
        <w:pStyle w:val="TextBody"/>
        <w:spacing w:before="120" w:after="0"/>
        <w:jc w:val="left"/>
        <w:rPr>
          <w:rFonts w:ascii="Times New Roman" w:hAnsi="Times New Roman"/>
          <w:sz w:val="20"/>
        </w:rPr>
      </w:pPr>
      <w:r>
        <w:rPr>
          <w:rFonts w:ascii="Times New Roman" w:hAnsi="Times New Roman"/>
          <w:sz w:val="20"/>
        </w:rPr>
        <w:t>(a) any person (as that term is used in Sections 13(d) and 14(d)(2) of the Exchange Act), is or becomes the beneficial owner (as defined in Rule 13d-3 under the Exchange Act), directly or indirectly, of securities representing the greater of (1) 30% or more of the combined voting power of the then outstanding securities of Bakkt eligible to vote for the election of the members of Bakkts Board (the </w:t>
      </w:r>
      <w:r>
        <w:rPr>
          <w:rFonts w:ascii="Times New Roman" w:hAnsi="Times New Roman"/>
          <w:b/>
          <w:sz w:val="20"/>
          <w:u w:val="single"/>
        </w:rPr>
        <w:t>Company Voting Securities</w:t>
      </w:r>
      <w:r>
        <w:rPr>
          <w:rFonts w:ascii="Times New Roman" w:hAnsi="Times New Roman"/>
          <w:sz w:val="20"/>
        </w:rPr>
        <w:t>), and (2) the percentage of the voting power of the Company Voting Securities held by Intercontinental Exchange, Inc. and its subsidiaries (</w:t>
      </w:r>
      <w:r>
        <w:rPr>
          <w:rFonts w:ascii="Times New Roman" w:hAnsi="Times New Roman"/>
          <w:b/>
          <w:sz w:val="20"/>
          <w:u w:val="single"/>
        </w:rPr>
        <w:t>ICE</w:t>
      </w:r>
      <w:r>
        <w:rPr>
          <w:rFonts w:ascii="Times New Roman" w:hAnsi="Times New Roman"/>
          <w:sz w:val="20"/>
        </w:rPr>
        <w:t xml:space="preserve">) [(such ICE voting power to be determined without giving effect to the Voting Agreement, dated [                ], 2021, by and between Bakkt and ICE)], unless (i) such person is the Company or ICE, (ii) such person is an employee benefit plan (or a trust which is a part of such a plan) which provides benefits exclusively to, or on behalf of, employees or former employees of the Company, (iii) such person is the Grantee, an entity controlled by the Grantee or a group which includes the Grantee or (iv) such person acquired such securities in a Non-Qualifying Transaction (as defined in </w:t>
      </w:r>
      <w:r>
        <w:rPr>
          <w:rFonts w:ascii="Times New Roman" w:hAnsi="Times New Roman"/>
          <w:sz w:val="20"/>
          <w:u w:val="single"/>
        </w:rPr>
        <w:t>Section 3.23.3(d)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(b) during any period of not more than thirty-six (36) months, individuals who constitute the Board as of the beginning of the period (the </w:t>
      </w:r>
      <w:r>
        <w:rPr>
          <w:rFonts w:ascii="Times New Roman" w:hAnsi="Times New Roman"/>
          <w:b/>
          <w:sz w:val="20"/>
          <w:u w:val="single"/>
        </w:rPr>
        <w:t>Incumbent Directors</w:t>
      </w:r>
      <w:r>
        <w:rPr>
          <w:rFonts w:ascii="Times New Roman" w:hAnsi="Times New Roman"/>
          <w:sz w:val="20"/>
        </w:rPr>
        <w:t xml:space="preserve">) cease for any reason to constitute at least a majority of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will be an Incumbent Director;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individual initially elected or nominated as a director of Bakkt as a result of an actual or publicly threatened election contest with respect to directors or as a result of any other actual or publicly threatened solicitation of proxies by or on behalf of any person other than the Board will be deemed to be an Incumbent Director; </w:t>
      </w:r>
    </w:p>
    <w:p>
      <w:pPr>
        <w:pStyle w:val="TextBody"/>
        <w:spacing w:before="120" w:after="0"/>
        <w:jc w:val="left"/>
        <w:rPr>
          <w:rFonts w:ascii="Times New Roman" w:hAnsi="Times New Roman"/>
          <w:sz w:val="20"/>
        </w:rPr>
      </w:pPr>
      <w:r>
        <w:rPr>
          <w:rFonts w:ascii="Times New Roman" w:hAnsi="Times New Roman"/>
          <w:sz w:val="20"/>
        </w:rPr>
        <w:t xml:space="preserve">(c) any dissolution or liquidation of Bakkt or any sale or the disposition of 50% or more of the assets or business of Bakkt; or </w:t>
      </w:r>
    </w:p>
    <w:p>
      <w:pPr>
        <w:pStyle w:val="TextBody"/>
        <w:spacing w:before="120" w:after="0"/>
        <w:jc w:val="left"/>
        <w:rPr>
          <w:rFonts w:ascii="Times New Roman" w:hAnsi="Times New Roman"/>
          <w:sz w:val="20"/>
        </w:rPr>
      </w:pPr>
      <w:r>
        <w:rPr>
          <w:rFonts w:ascii="Times New Roman" w:hAnsi="Times New Roman"/>
          <w:sz w:val="20"/>
        </w:rPr>
        <w:t xml:space="preserve">(d) the consummation of any reorganization, merger, consolidation or share exchange or similar form of corporate transaction involving Bakkt unless (1) the persons who were the beneficial owners of the outstanding securities eligible to vote for the election of the members of Bakkts Board immediately before the consummation of such transaction hold more than [60]3% of the voting power of the securities eligible to vote for the members of the board of directors of (i) the successor or survivor corporation in such transaction immediately following the consummation of such transaction or (ii) if applicable, the ultimate parent corporation that directly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NTD:</w:t>
            </w:r>
            <w:r>
              <w:rPr>
                <w:rFonts w:ascii="Times New Roman" w:hAnsi="Times New Roman"/>
                <w:sz w:val="20"/>
              </w:rPr>
              <w:t xml:space="preserve"> To confirm percentage threshold.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or indirectly has beneficial ownership of at least 95% of the voting power of the successor or survivor corporation in such transaction and (2) the number of the securities of such successor or survivor corporation or ultimate parent corporation (the </w:t>
      </w:r>
      <w:r>
        <w:rPr>
          <w:rFonts w:ascii="Times New Roman" w:hAnsi="Times New Roman"/>
          <w:b/>
          <w:sz w:val="20"/>
          <w:u w:val="single"/>
        </w:rPr>
        <w:t>Post-Transaction Corporation</w:t>
      </w:r>
      <w:r>
        <w:rPr>
          <w:rFonts w:ascii="Times New Roman" w:hAnsi="Times New Roman"/>
          <w:sz w:val="20"/>
        </w:rPr>
        <w:t xml:space="preserve">) representing the voting power described in </w:t>
      </w:r>
      <w:r>
        <w:rPr>
          <w:rFonts w:ascii="Times New Roman" w:hAnsi="Times New Roman"/>
          <w:sz w:val="20"/>
          <w:u w:val="single"/>
        </w:rPr>
        <w:t>Section 3.23.3(d)(1)</w:t>
      </w:r>
      <w:r>
        <w:rPr>
          <w:rFonts w:ascii="Times New Roman" w:hAnsi="Times New Roman"/>
          <w:sz w:val="20"/>
        </w:rPr>
        <w:t xml:space="preserve"> held by the persons described in </w:t>
      </w:r>
      <w:r>
        <w:rPr>
          <w:rFonts w:ascii="Times New Roman" w:hAnsi="Times New Roman"/>
          <w:sz w:val="20"/>
          <w:u w:val="single"/>
        </w:rPr>
        <w:t>Section 3.23.3(d)(1)</w:t>
      </w:r>
      <w:r>
        <w:rPr>
          <w:rFonts w:ascii="Times New Roman" w:hAnsi="Times New Roman"/>
          <w:sz w:val="20"/>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w:t>
      </w:r>
      <w:r>
        <w:rPr>
          <w:rFonts w:ascii="Times New Roman" w:hAnsi="Times New Roman"/>
          <w:sz w:val="20"/>
          <w:u w:val="single"/>
        </w:rPr>
        <w:t>provided</w:t>
      </w:r>
      <w:r>
        <w:rPr>
          <w:rFonts w:ascii="Times New Roman" w:hAnsi="Times New Roman"/>
          <w:sz w:val="20"/>
        </w:rPr>
        <w:t xml:space="preserve"> (3) the percentage described in </w:t>
      </w:r>
      <w:r>
        <w:rPr>
          <w:rFonts w:ascii="Times New Roman" w:hAnsi="Times New Roman"/>
          <w:sz w:val="20"/>
          <w:u w:val="single"/>
        </w:rPr>
        <w:t>Section 3.23.3(d)(1)</w:t>
      </w:r>
      <w:r>
        <w:rPr>
          <w:rFonts w:ascii="Times New Roman" w:hAnsi="Times New Roman"/>
          <w:sz w:val="20"/>
        </w:rPr>
        <w:t xml:space="preserve"> of the securities of the Post-Transaction Corporation and the number described in </w:t>
      </w:r>
      <w:r>
        <w:rPr>
          <w:rFonts w:ascii="Times New Roman" w:hAnsi="Times New Roman"/>
          <w:sz w:val="20"/>
          <w:u w:val="single"/>
        </w:rPr>
        <w:t>Section 3.23.3(d)(2)</w:t>
      </w:r>
      <w:r>
        <w:rPr>
          <w:rFonts w:ascii="Times New Roman" w:hAnsi="Times New Roman"/>
          <w:sz w:val="20"/>
        </w:rPr>
        <w:t xml:space="preserve"> of the securities of the Post-Transaction Corporation will be determined exclusively by reference to the securities of the Post-Transaction Corporation which result from the beneficial ownership of Shares by the persons described in </w:t>
      </w:r>
      <w:r>
        <w:rPr>
          <w:rFonts w:ascii="Times New Roman" w:hAnsi="Times New Roman"/>
          <w:sz w:val="20"/>
          <w:u w:val="single"/>
        </w:rPr>
        <w:t>Section 3.23.3(d)(1)</w:t>
      </w:r>
      <w:r>
        <w:rPr>
          <w:rFonts w:ascii="Times New Roman" w:hAnsi="Times New Roman"/>
          <w:sz w:val="20"/>
        </w:rPr>
        <w:t xml:space="preserve"> immediately before the consummation of such transaction (any transaction which satisfies all of the criteria specified in (1), (2) and (3) above will be deemed to be a </w:t>
      </w:r>
      <w:r>
        <w:rPr>
          <w:rFonts w:ascii="Times New Roman" w:hAnsi="Times New Roman"/>
          <w:b/>
          <w:sz w:val="20"/>
          <w:u w:val="single"/>
        </w:rPr>
        <w:t>Non-Qualifying Transaction</w:t>
      </w:r>
      <w:r>
        <w:rPr>
          <w:rFonts w:ascii="Times New Roman" w:hAnsi="Times New Roman"/>
          <w:sz w:val="20"/>
        </w:rPr>
        <w:t xml:space="preserve">). Notwithstanding anything to the contrary in the Plan, the consummation of any reorganization, merger, consolidation or share exchange or similar form of corporate transaction involving Bakkt shall not constitute a Change in Control if the direct or indirect beneficial ownership of the Post-Closing Corporation held by ICE is equivalent to or greater than the direct or indirect beneficial ownership of Bakkt held by ICE prior to such corporate transaction. </w:t>
      </w:r>
    </w:p>
    <w:p>
      <w:pPr>
        <w:pStyle w:val="TextBody"/>
        <w:spacing w:before="120" w:after="0"/>
        <w:jc w:val="left"/>
        <w:rPr>
          <w:rFonts w:ascii="Times New Roman" w:hAnsi="Times New Roman"/>
          <w:sz w:val="20"/>
        </w:rPr>
      </w:pPr>
      <w:r>
        <w:rPr>
          <w:rFonts w:ascii="Times New Roman" w:hAnsi="Times New Roman"/>
          <w:sz w:val="20"/>
        </w:rPr>
        <w:t>3.23.4 </w:t>
      </w:r>
      <w:r>
        <w:rPr>
          <w:rFonts w:ascii="Times New Roman" w:hAnsi="Times New Roman"/>
          <w:b/>
          <w:sz w:val="20"/>
          <w:u w:val="single"/>
        </w:rPr>
        <w:t>Code</w:t>
      </w:r>
      <w:r>
        <w:rPr>
          <w:rFonts w:ascii="Times New Roman" w:hAnsi="Times New Roman"/>
          <w:sz w:val="20"/>
        </w:rPr>
        <w:t xml:space="preserve"> means the Internal Revenue Code of 1986, as amended from time to time, or any successor thereto, and the applicable rulings and regulations thereunder. </w:t>
      </w:r>
    </w:p>
    <w:p>
      <w:pPr>
        <w:pStyle w:val="TextBody"/>
        <w:spacing w:before="120" w:after="0"/>
        <w:jc w:val="left"/>
        <w:rPr>
          <w:rFonts w:ascii="Times New Roman" w:hAnsi="Times New Roman"/>
          <w:sz w:val="20"/>
        </w:rPr>
      </w:pPr>
      <w:r>
        <w:rPr>
          <w:rFonts w:ascii="Times New Roman" w:hAnsi="Times New Roman"/>
          <w:sz w:val="20"/>
        </w:rPr>
        <w:t>3.23.5 </w:t>
      </w:r>
      <w:r>
        <w:rPr>
          <w:rFonts w:ascii="Times New Roman" w:hAnsi="Times New Roman"/>
          <w:b/>
          <w:sz w:val="20"/>
          <w:u w:val="single"/>
        </w:rPr>
        <w:t>Common Stock</w:t>
      </w:r>
      <w:r>
        <w:rPr>
          <w:rFonts w:ascii="Times New Roman" w:hAnsi="Times New Roman"/>
          <w:sz w:val="20"/>
        </w:rPr>
        <w:t xml:space="preserve"> means the Class A common stock of Bakkt, par value $0.0001 per share, and any other securities or property issued in exchange therefor or in lieu thereof pursuant to </w:t>
      </w:r>
      <w:r>
        <w:rPr>
          <w:rFonts w:ascii="Times New Roman" w:hAnsi="Times New Roman"/>
          <w:sz w:val="20"/>
          <w:u w:val="single"/>
        </w:rPr>
        <w:t>Section 1.3.3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3.23.6 </w:t>
      </w:r>
      <w:r>
        <w:rPr>
          <w:rFonts w:ascii="Times New Roman" w:hAnsi="Times New Roman"/>
          <w:b/>
          <w:sz w:val="20"/>
          <w:u w:val="single"/>
        </w:rPr>
        <w:t>Consultant</w:t>
      </w:r>
      <w:r>
        <w:rPr>
          <w:rFonts w:ascii="Times New Roman" w:hAnsi="Times New Roman"/>
          <w:sz w:val="20"/>
        </w:rPr>
        <w:t xml:space="preserve"> means any individual, corporation, partnership, limited liability company or other entity that provides bona fide consulting or advisory services to the Company. </w:t>
      </w:r>
    </w:p>
    <w:p>
      <w:pPr>
        <w:pStyle w:val="TextBody"/>
        <w:spacing w:before="120" w:after="0"/>
        <w:jc w:val="left"/>
        <w:rPr>
          <w:rFonts w:ascii="Times New Roman" w:hAnsi="Times New Roman"/>
          <w:sz w:val="20"/>
        </w:rPr>
      </w:pPr>
      <w:r>
        <w:rPr>
          <w:rFonts w:ascii="Times New Roman" w:hAnsi="Times New Roman"/>
          <w:sz w:val="20"/>
        </w:rPr>
        <w:t>3.23.7 </w:t>
      </w:r>
      <w:r>
        <w:rPr>
          <w:rFonts w:ascii="Times New Roman" w:hAnsi="Times New Roman"/>
          <w:b/>
          <w:sz w:val="20"/>
          <w:u w:val="single"/>
        </w:rPr>
        <w:t>Employee</w:t>
      </w:r>
      <w:r>
        <w:rPr>
          <w:rFonts w:ascii="Times New Roman" w:hAnsi="Times New Roman"/>
          <w:sz w:val="20"/>
        </w:rPr>
        <w:t xml:space="preserve"> means any officer or other regular, active employee and/or a prospective employee of the Company or any Subsidiary. </w:t>
      </w:r>
    </w:p>
    <w:p>
      <w:pPr>
        <w:pStyle w:val="TextBody"/>
        <w:spacing w:before="120" w:after="0"/>
        <w:jc w:val="left"/>
        <w:rPr>
          <w:rFonts w:ascii="Times New Roman" w:hAnsi="Times New Roman"/>
          <w:sz w:val="20"/>
        </w:rPr>
      </w:pPr>
      <w:r>
        <w:rPr>
          <w:rFonts w:ascii="Times New Roman" w:hAnsi="Times New Roman"/>
          <w:sz w:val="20"/>
        </w:rPr>
        <w:t>3.23.8 </w:t>
      </w:r>
      <w:r>
        <w:rPr>
          <w:rFonts w:ascii="Times New Roman" w:hAnsi="Times New Roman"/>
          <w:b/>
          <w:sz w:val="20"/>
          <w:u w:val="single"/>
        </w:rPr>
        <w:t>Employment</w:t>
      </w:r>
      <w:r>
        <w:rPr>
          <w:rFonts w:ascii="Times New Roman" w:hAnsi="Times New Roman"/>
          <w:sz w:val="20"/>
        </w:rPr>
        <w:t xml:space="preserve">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 </w:t>
      </w:r>
    </w:p>
    <w:p>
      <w:pPr>
        <w:pStyle w:val="TextBody"/>
        <w:spacing w:before="120" w:after="0"/>
        <w:jc w:val="left"/>
        <w:rPr>
          <w:rFonts w:ascii="Times New Roman" w:hAnsi="Times New Roman"/>
          <w:sz w:val="20"/>
        </w:rPr>
      </w:pPr>
      <w:r>
        <w:rPr>
          <w:rFonts w:ascii="Times New Roman" w:hAnsi="Times New Roman"/>
          <w:sz w:val="20"/>
        </w:rPr>
        <w:t>3.23.9 </w:t>
      </w:r>
      <w:r>
        <w:rPr>
          <w:rFonts w:ascii="Times New Roman" w:hAnsi="Times New Roman"/>
          <w:b/>
          <w:sz w:val="20"/>
          <w:u w:val="single"/>
        </w:rPr>
        <w:t>Fair Market Value</w:t>
      </w:r>
      <w:r>
        <w:rPr>
          <w:rFonts w:ascii="Times New Roman" w:hAnsi="Times New Roman"/>
          <w:sz w:val="20"/>
        </w:rPr>
        <w:t xml:space="preserve"> means, for a Share, the closing price reported for the Common Stock on the applicable date as reported on the New York Stock Exchange or, if not so reported, as determined in accordance with a valuation methodology approved by the Committee, unless determined as otherwise specified in the Plan.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 </w:t>
      </w:r>
    </w:p>
    <w:p>
      <w:pPr>
        <w:pStyle w:val="TextBody"/>
        <w:spacing w:before="120" w:after="0"/>
        <w:jc w:val="left"/>
        <w:rPr>
          <w:rFonts w:ascii="Times New Roman" w:hAnsi="Times New Roman"/>
          <w:sz w:val="20"/>
        </w:rPr>
      </w:pPr>
      <w:r>
        <w:rPr>
          <w:rFonts w:ascii="Times New Roman" w:hAnsi="Times New Roman"/>
          <w:sz w:val="20"/>
        </w:rPr>
        <w:t>3.23.10 </w:t>
      </w:r>
      <w:r>
        <w:rPr>
          <w:rFonts w:ascii="Times New Roman" w:hAnsi="Times New Roman"/>
          <w:b/>
          <w:sz w:val="20"/>
          <w:u w:val="single"/>
        </w:rPr>
        <w:t>Good Reason</w:t>
      </w:r>
      <w:r>
        <w:rPr>
          <w:rFonts w:ascii="Times New Roman" w:hAnsi="Times New Roman"/>
          <w:sz w:val="20"/>
        </w:rPr>
        <w:t xml:space="preserve"> means, unless otherwise provided in an Award Agreement or employment agreement, and in the absence of written consent of a Grantee: </w:t>
      </w:r>
    </w:p>
    <w:p>
      <w:pPr>
        <w:pStyle w:val="TextBody"/>
        <w:spacing w:before="120" w:after="0"/>
        <w:jc w:val="left"/>
        <w:rPr>
          <w:rFonts w:ascii="Times New Roman" w:hAnsi="Times New Roman"/>
          <w:sz w:val="20"/>
        </w:rPr>
      </w:pPr>
      <w:r>
        <w:rPr>
          <w:rFonts w:ascii="Times New Roman" w:hAnsi="Times New Roman"/>
          <w:sz w:val="20"/>
        </w:rPr>
        <w:t xml:space="preserve">(a) there is a material reduction in the Grantees base salary in effect immediately prior to a Change in Control; or </w:t>
      </w:r>
    </w:p>
    <w:p>
      <w:pPr>
        <w:pStyle w:val="TextBody"/>
        <w:spacing w:before="120" w:after="0"/>
        <w:jc w:val="left"/>
        <w:rPr>
          <w:rFonts w:ascii="Times New Roman" w:hAnsi="Times New Roman"/>
          <w:sz w:val="20"/>
        </w:rPr>
      </w:pPr>
      <w:r>
        <w:rPr>
          <w:rFonts w:ascii="Times New Roman" w:hAnsi="Times New Roman"/>
          <w:sz w:val="20"/>
        </w:rPr>
        <w:t xml:space="preserve">(b) there is a transfer of the Grantees primary work site to a new primary work site that is more than 30 miles (measured along a straight line) from the Grantees primary work site unless such new primary work site is closer (measured along a straight line) to the Grantees primary residence than the Grantees then current primary work site.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the Grantee does not deliver to the Company a written notice of termination within sixty (60) days after the Grantee has knowledge that an event constituting Good Reason has occurred, the event will no longer constitute Good Reason. In addition, the Grantee must give the Company thirty (30) days to cure the event constituting Good Reason, and must actually terminate his or her employment with the Company within sixty (60) days after the Companys failure to cure such event. </w:t>
      </w:r>
    </w:p>
    <w:p>
      <w:pPr>
        <w:pStyle w:val="TextBody"/>
        <w:spacing w:before="120" w:after="0"/>
        <w:jc w:val="left"/>
        <w:rPr>
          <w:rFonts w:ascii="Times New Roman" w:hAnsi="Times New Roman"/>
          <w:sz w:val="20"/>
        </w:rPr>
      </w:pPr>
      <w:r>
        <w:rPr>
          <w:rFonts w:ascii="Times New Roman" w:hAnsi="Times New Roman"/>
          <w:sz w:val="20"/>
        </w:rPr>
        <w:t>3.23.11 </w:t>
      </w:r>
      <w:r>
        <w:rPr>
          <w:rFonts w:ascii="Times New Roman" w:hAnsi="Times New Roman"/>
          <w:b/>
          <w:sz w:val="20"/>
          <w:u w:val="single"/>
        </w:rPr>
        <w:t>Grantee</w:t>
      </w:r>
      <w:r>
        <w:rPr>
          <w:rFonts w:ascii="Times New Roman" w:hAnsi="Times New Roman"/>
          <w:sz w:val="20"/>
        </w:rPr>
        <w:t xml:space="preserve"> means an Employee, Non-Employee Director or Consultant who receives an Award. </w:t>
      </w:r>
    </w:p>
    <w:p>
      <w:pPr>
        <w:pStyle w:val="TextBody"/>
        <w:spacing w:before="120" w:after="0"/>
        <w:jc w:val="left"/>
        <w:rPr>
          <w:rFonts w:ascii="Times New Roman" w:hAnsi="Times New Roman"/>
          <w:sz w:val="20"/>
        </w:rPr>
      </w:pPr>
      <w:r>
        <w:rPr>
          <w:rFonts w:ascii="Times New Roman" w:hAnsi="Times New Roman"/>
          <w:sz w:val="20"/>
        </w:rPr>
        <w:t>3.23.12 </w:t>
      </w:r>
      <w:r>
        <w:rPr>
          <w:rFonts w:ascii="Times New Roman" w:hAnsi="Times New Roman"/>
          <w:b/>
          <w:sz w:val="20"/>
          <w:u w:val="single"/>
        </w:rPr>
        <w:t>Incentive Stock Option</w:t>
      </w:r>
      <w:r>
        <w:rPr>
          <w:rFonts w:ascii="Times New Roman" w:hAnsi="Times New Roman"/>
          <w:sz w:val="20"/>
        </w:rPr>
        <w:t xml:space="preserve"> means a stock option that is intended to be an incentive stock option within the meaning of Code Sections 421 and 422, as now constituted or subsequently amended, or pursuant to a successor Code provision. </w:t>
      </w:r>
    </w:p>
    <w:p>
      <w:pPr>
        <w:pStyle w:val="TextBody"/>
        <w:spacing w:before="120" w:after="0"/>
        <w:jc w:val="left"/>
        <w:rPr>
          <w:rFonts w:ascii="Times New Roman" w:hAnsi="Times New Roman"/>
          <w:sz w:val="20"/>
        </w:rPr>
      </w:pPr>
      <w:r>
        <w:rPr>
          <w:rFonts w:ascii="Times New Roman" w:hAnsi="Times New Roman"/>
          <w:sz w:val="20"/>
        </w:rPr>
        <w:t>3.23.13 </w:t>
      </w:r>
      <w:r>
        <w:rPr>
          <w:rFonts w:ascii="Times New Roman" w:hAnsi="Times New Roman"/>
          <w:b/>
          <w:sz w:val="20"/>
          <w:u w:val="single"/>
        </w:rPr>
        <w:t>Non-Employee Director</w:t>
      </w:r>
      <w:r>
        <w:rPr>
          <w:rFonts w:ascii="Times New Roman" w:hAnsi="Times New Roman"/>
          <w:sz w:val="20"/>
        </w:rPr>
        <w:t xml:space="preserve"> means a member of the Board who is not an Employee. </w:t>
      </w:r>
    </w:p>
    <w:p>
      <w:pPr>
        <w:pStyle w:val="TextBody"/>
        <w:spacing w:before="120" w:after="0"/>
        <w:jc w:val="left"/>
        <w:rPr>
          <w:rFonts w:ascii="Times New Roman" w:hAnsi="Times New Roman"/>
          <w:sz w:val="20"/>
        </w:rPr>
      </w:pPr>
      <w:r>
        <w:rPr>
          <w:rFonts w:ascii="Times New Roman" w:hAnsi="Times New Roman"/>
          <w:sz w:val="20"/>
        </w:rPr>
        <w:t>3.23.14 </w:t>
      </w:r>
      <w:r>
        <w:rPr>
          <w:rFonts w:ascii="Times New Roman" w:hAnsi="Times New Roman"/>
          <w:b/>
          <w:sz w:val="20"/>
          <w:u w:val="single"/>
        </w:rPr>
        <w:t>Participation Unit</w:t>
      </w:r>
      <w:r>
        <w:rPr>
          <w:rFonts w:ascii="Times New Roman" w:hAnsi="Times New Roman"/>
          <w:sz w:val="20"/>
        </w:rPr>
        <w:t xml:space="preserve"> has the meaning assigned to it in the Amended and Restated Bakkt Equity Incentive Plan. </w:t>
      </w:r>
    </w:p>
    <w:p>
      <w:pPr>
        <w:pStyle w:val="TextBody"/>
        <w:spacing w:before="120" w:after="0"/>
        <w:jc w:val="left"/>
        <w:rPr>
          <w:rFonts w:ascii="Times New Roman" w:hAnsi="Times New Roman"/>
          <w:sz w:val="20"/>
        </w:rPr>
      </w:pPr>
      <w:r>
        <w:rPr>
          <w:rFonts w:ascii="Times New Roman" w:hAnsi="Times New Roman"/>
          <w:sz w:val="20"/>
        </w:rPr>
        <w:t>3.23.15 </w:t>
      </w:r>
      <w:r>
        <w:rPr>
          <w:rFonts w:ascii="Times New Roman" w:hAnsi="Times New Roman"/>
          <w:b/>
          <w:sz w:val="20"/>
          <w:u w:val="single"/>
        </w:rPr>
        <w:t>Performance Criteria</w:t>
      </w:r>
      <w:r>
        <w:rPr>
          <w:rFonts w:ascii="Times New Roman" w:hAnsi="Times New Roman"/>
          <w:sz w:val="20"/>
        </w:rPr>
        <w:t xml:space="preserve"> means one or more of the following business criteria (either separately or in combination), or any other business criteria established by the Committee, with regard to Bakkt (or a Subsidiary, division, other operational unit or administrative department of Bakkt):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shareholder return or similar measures); increase in the Fair Market Value of Common Stock; or changes (or the absence of changes) in the per share or aggregate Fair Market Value of Common Stock. </w:t>
      </w:r>
    </w:p>
    <w:p>
      <w:pPr>
        <w:pStyle w:val="TextBody"/>
        <w:spacing w:before="120" w:after="0"/>
        <w:jc w:val="left"/>
        <w:rPr>
          <w:rFonts w:ascii="Times New Roman" w:hAnsi="Times New Roman"/>
          <w:sz w:val="20"/>
        </w:rPr>
      </w:pPr>
      <w:r>
        <w:rPr>
          <w:rFonts w:ascii="Times New Roman" w:hAnsi="Times New Roman"/>
          <w:sz w:val="20"/>
        </w:rPr>
        <w:t>3.23.16 </w:t>
      </w:r>
      <w:r>
        <w:rPr>
          <w:rFonts w:ascii="Times New Roman" w:hAnsi="Times New Roman"/>
          <w:b/>
          <w:sz w:val="20"/>
          <w:u w:val="single"/>
        </w:rPr>
        <w:t>Performance Goals</w:t>
      </w:r>
      <w:r>
        <w:rPr>
          <w:rFonts w:ascii="Times New Roman" w:hAnsi="Times New Roman"/>
          <w:sz w:val="20"/>
        </w:rPr>
        <w:t xml:space="preserve"> means the performance goals established by the Committee in connection with the grant of Awards, which may or may not be based on Performance Criteria and which may differ from Grantee to Grantee and from Award to Award. </w:t>
      </w:r>
    </w:p>
    <w:p>
      <w:pPr>
        <w:pStyle w:val="TextBody"/>
        <w:spacing w:before="120" w:after="0"/>
        <w:jc w:val="left"/>
        <w:rPr>
          <w:rFonts w:ascii="Times New Roman" w:hAnsi="Times New Roman"/>
          <w:sz w:val="20"/>
        </w:rPr>
      </w:pPr>
      <w:r>
        <w:rPr>
          <w:rFonts w:ascii="Times New Roman" w:hAnsi="Times New Roman"/>
          <w:sz w:val="20"/>
        </w:rPr>
        <w:t>3.23.17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409A</w:t>
      </w:r>
      <w:r>
        <w:rPr>
          <w:rFonts w:ascii="Times New Roman" w:hAnsi="Times New Roman"/>
          <w:sz w:val="20"/>
        </w:rPr>
        <w:t xml:space="preserve"> means Code Section 409A, including any amendments or successor provisions to that section, and any regulations and other administrative guidance thereunder, as it may be from time to time amended or interpreted through further administrative guidance. </w:t>
      </w:r>
    </w:p>
    <w:p>
      <w:pPr>
        <w:pStyle w:val="TextBody"/>
        <w:spacing w:before="120" w:after="0"/>
        <w:jc w:val="left"/>
        <w:rPr>
          <w:rFonts w:ascii="Times New Roman" w:hAnsi="Times New Roman"/>
          <w:sz w:val="20"/>
        </w:rPr>
      </w:pPr>
      <w:r>
        <w:rPr>
          <w:rFonts w:ascii="Times New Roman" w:hAnsi="Times New Roman"/>
          <w:sz w:val="20"/>
        </w:rPr>
        <w:t>3.23.18 </w:t>
      </w:r>
      <w:r>
        <w:rPr>
          <w:rFonts w:ascii="Times New Roman" w:hAnsi="Times New Roman"/>
          <w:b/>
          <w:sz w:val="20"/>
          <w:u w:val="single"/>
        </w:rPr>
        <w:t>Subsidiary</w:t>
      </w:r>
      <w:r>
        <w:rPr>
          <w:rFonts w:ascii="Times New Roman" w:hAnsi="Times New Roman"/>
          <w:sz w:val="20"/>
        </w:rPr>
        <w:t xml:space="preserve"> means any subsidiary of Bakkt within the meaning of Rule 405 under the Securities Act, including, as of the Effective Date, Bakkt Holdings, LLC and its direct and indirect subsidiaries. </w:t>
      </w:r>
    </w:p>
    <w:p>
      <w:pPr>
        <w:pStyle w:val="TextBody"/>
        <w:spacing w:before="120" w:after="0"/>
        <w:jc w:val="left"/>
        <w:rPr>
          <w:rFonts w:ascii="Times New Roman" w:hAnsi="Times New Roman"/>
          <w:sz w:val="20"/>
        </w:rPr>
      </w:pPr>
      <w:r>
        <w:rPr>
          <w:rFonts w:ascii="Times New Roman" w:hAnsi="Times New Roman"/>
          <w:sz w:val="20"/>
        </w:rPr>
        <w:t>3.23.19 </w:t>
      </w:r>
      <w:r>
        <w:rPr>
          <w:rFonts w:ascii="Times New Roman" w:hAnsi="Times New Roman"/>
          <w:b/>
          <w:sz w:val="20"/>
          <w:u w:val="single"/>
        </w:rPr>
        <w:t>Treasury Regulations</w:t>
      </w:r>
      <w:r>
        <w:rPr>
          <w:rFonts w:ascii="Times New Roman" w:hAnsi="Times New Roman"/>
          <w:sz w:val="20"/>
        </w:rPr>
        <w:t xml:space="preserve"> means the regulations promulgated under the Code by the United States Treasury Department,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42" w:name="and"/>
      <w:bookmarkEnd w:id="142"/>
      <w:r>
        <w:rPr>
          <w:rFonts w:ascii="Times New Roman" w:hAnsi="Times New Roman"/>
          <w:b/>
          <w:sz w:val="20"/>
        </w:rPr>
        <w:t xml:space="preserve">Annex D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EXCHANGE AGREEMENT </w:t>
      </w:r>
    </w:p>
    <w:p>
      <w:pPr>
        <w:pStyle w:val="TextBody"/>
        <w:spacing w:before="480" w:after="0"/>
        <w:jc w:val="center"/>
        <w:rPr>
          <w:rFonts w:ascii="Times New Roman" w:hAnsi="Times New Roman"/>
          <w:b/>
          <w:sz w:val="20"/>
        </w:rPr>
      </w:pPr>
      <w:bookmarkStart w:id="143" w:name="toc108105_47"/>
      <w:bookmarkEnd w:id="143"/>
      <w:r>
        <w:rPr>
          <w:rFonts w:ascii="Times New Roman" w:hAnsi="Times New Roman"/>
          <w:b/>
          <w:sz w:val="20"/>
        </w:rPr>
        <w:t xml:space="preserve">EXCHANGE AGREEMENT </w:t>
      </w:r>
    </w:p>
    <w:p>
      <w:pPr>
        <w:pStyle w:val="TextBody"/>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sz w:val="20"/>
          <w:u w:val="single"/>
        </w:rPr>
        <w:t>Agreement</w:t>
      </w:r>
      <w:r>
        <w:rPr>
          <w:rFonts w:ascii="Times New Roman" w:hAnsi="Times New Roman"/>
          <w:sz w:val="20"/>
        </w:rPr>
        <w:t>), dated as of [], 2021, is entered into by and among Bakkt Holdings, Inc., a Delaware corporation (together with any successor thereto, </w:t>
      </w:r>
      <w:r>
        <w:rPr>
          <w:rFonts w:ascii="Times New Roman" w:hAnsi="Times New Roman"/>
          <w:sz w:val="20"/>
          <w:u w:val="single"/>
        </w:rPr>
        <w:t>Bakkt Pubco</w:t>
      </w:r>
      <w:r>
        <w:rPr>
          <w:rFonts w:ascii="Times New Roman" w:hAnsi="Times New Roman"/>
          <w:sz w:val="20"/>
        </w:rPr>
        <w:t>), Bakkt Opco Holdings, LLC, a Delaware limited liability company (together with any successor thereto, the </w:t>
      </w:r>
      <w:r>
        <w:rPr>
          <w:rFonts w:ascii="Times New Roman" w:hAnsi="Times New Roman"/>
          <w:sz w:val="20"/>
          <w:u w:val="single"/>
        </w:rPr>
        <w:t>Company</w:t>
      </w:r>
      <w:r>
        <w:rPr>
          <w:rFonts w:ascii="Times New Roman" w:hAnsi="Times New Roman"/>
          <w:sz w:val="20"/>
        </w:rPr>
        <w:t xml:space="preserve">), and the other Unitholders of the Company from time to time party hereto. </w:t>
      </w:r>
    </w:p>
    <w:p>
      <w:pPr>
        <w:pStyle w:val="TextBody"/>
        <w:spacing w:before="240" w:after="0"/>
        <w:jc w:val="left"/>
        <w:rPr>
          <w:rFonts w:ascii="Times New Roman" w:hAnsi="Times New Roman"/>
          <w:sz w:val="20"/>
        </w:rPr>
      </w:pPr>
      <w:r>
        <w:rPr>
          <w:rFonts w:ascii="Times New Roman" w:hAnsi="Times New Roman"/>
          <w:sz w:val="20"/>
        </w:rPr>
        <w:t xml:space="preserve">WHEREAS, the parties hereto desire to provide for the exchange of Paired Interests (as defined herein) for shares of Class A Common Stock (as defined herein) or the Cash Amount (as defined herein), on the terms and subject to the conditions set forth herein.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mutual covenants and undertakings contained herein and for good and valuable consideration, the receipt and sufficiency of which are hereby acknowledged, the parties hereto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240" w:after="0"/>
        <w:jc w:val="left"/>
        <w:rPr>
          <w:rFonts w:ascii="Times New Roman" w:hAnsi="Times New Roman"/>
          <w:sz w:val="20"/>
        </w:rPr>
      </w:pPr>
      <w:r>
        <w:rPr>
          <w:rFonts w:ascii="Times New Roman" w:hAnsi="Times New Roman"/>
          <w:sz w:val="20"/>
          <w:u w:val="single"/>
        </w:rPr>
        <w:t>SECTION 1.1 Definitions.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following definitions shall be for all purposes, unless otherwise clearly indicated to the contrary, applied to the terms used in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Pubco</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Bakkt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Saturday, Sunday, federal or New York State holiday or other day on which commercial banks in New York City are authorized or required by law to be closed for business; </w:t>
      </w:r>
      <w:r>
        <w:rPr>
          <w:rFonts w:ascii="Times New Roman" w:hAnsi="Times New Roman"/>
          <w:sz w:val="20"/>
          <w:u w:val="single"/>
        </w:rPr>
        <w:t>provided</w:t>
      </w:r>
      <w:r>
        <w:rPr>
          <w:rFonts w:ascii="Times New Roman" w:hAnsi="Times New Roman"/>
          <w:sz w:val="20"/>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Amount</w:t>
      </w:r>
      <w:r>
        <w:rPr>
          <w:rFonts w:ascii="Times New Roman" w:hAnsi="Times New Roman"/>
          <w:sz w:val="20"/>
        </w:rPr>
        <w:t xml:space="preserve"> means the amount of cash equal to the Cash Amount Per Share </w:t>
      </w:r>
      <w:r>
        <w:rPr>
          <w:rFonts w:ascii="Times New Roman" w:hAnsi="Times New Roman"/>
          <w:sz w:val="20"/>
          <w:u w:val="single"/>
        </w:rPr>
        <w:t>multiplied by</w:t>
      </w:r>
      <w:r>
        <w:rPr>
          <w:rFonts w:ascii="Times New Roman" w:hAnsi="Times New Roman"/>
          <w:sz w:val="20"/>
        </w:rPr>
        <w:t xml:space="preserve"> the number of Common Units transferred in connection with the applicable Exchange </w:t>
      </w:r>
      <w:r>
        <w:rPr>
          <w:rFonts w:ascii="Times New Roman" w:hAnsi="Times New Roman"/>
          <w:sz w:val="20"/>
          <w:u w:val="single"/>
        </w:rPr>
        <w:t>multiplied by</w:t>
      </w:r>
      <w:r>
        <w:rPr>
          <w:rFonts w:ascii="Times New Roman" w:hAnsi="Times New Roman"/>
          <w:sz w:val="20"/>
        </w:rPr>
        <w:t xml:space="preserve"> the Exchange Rate.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Amount Per Share</w:t>
      </w:r>
      <w:r>
        <w:rPr>
          <w:rFonts w:ascii="Times New Roman" w:hAnsi="Times New Roman"/>
          <w:sz w:val="20"/>
        </w:rPr>
        <w:t xml:space="preserve"> means the amount of cash per share of Class A Common Stock equal to the Value of such share of Class A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Election Notice</w:t>
      </w:r>
      <w:r>
        <w:rPr>
          <w:rFonts w:ascii="Times New Roman" w:hAnsi="Times New Roman"/>
          <w:sz w:val="20"/>
        </w:rPr>
        <w:t xml:space="preserve"> has the meaning set forth in </w:t>
      </w:r>
      <w:r>
        <w:rPr>
          <w:rFonts w:ascii="Times New Roman" w:hAnsi="Times New Roman"/>
          <w:sz w:val="20"/>
          <w:u w:val="single"/>
        </w:rPr>
        <w:t>Section 2.4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has the meaning given to such term in the Tax Receivable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Common Stock</w:t>
      </w:r>
      <w:r>
        <w:rPr>
          <w:rFonts w:ascii="Times New Roman" w:hAnsi="Times New Roman"/>
          <w:sz w:val="20"/>
        </w:rPr>
        <w:t xml:space="preserve"> means the Class A common stock, par value $0.0001 per share, of Bakkt Pubco.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V Common Stock</w:t>
      </w:r>
      <w:r>
        <w:rPr>
          <w:rFonts w:ascii="Times New Roman" w:hAnsi="Times New Roman"/>
          <w:sz w:val="20"/>
        </w:rPr>
        <w:t xml:space="preserve"> means the Class V common stock, par value $0.0001 per share, of Bakkt Pubco.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Unit</w:t>
      </w:r>
      <w:r>
        <w:rPr>
          <w:rFonts w:ascii="Times New Roman" w:hAnsi="Times New Roman"/>
          <w:sz w:val="20"/>
        </w:rPr>
        <w:t xml:space="preserve"> has the meaning given to such term in the Company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LLC Agreement</w:t>
      </w:r>
      <w:r>
        <w:rPr>
          <w:rFonts w:ascii="Times New Roman" w:hAnsi="Times New Roman"/>
          <w:sz w:val="20"/>
        </w:rPr>
        <w:t xml:space="preserve"> means the Third Amended and Restated Limited Liability Company Agreement of the Company, dated the date hereof, as such agreement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xml:space="preserve"> has the meaning given to such term in the Company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Election of Exchange</w:t>
      </w:r>
      <w:r>
        <w:rPr>
          <w:rFonts w:ascii="Times New Roman" w:hAnsi="Times New Roman"/>
          <w:sz w:val="20"/>
        </w:rPr>
        <w:t xml:space="preserve"> has the meaning set forth in </w:t>
      </w:r>
      <w:r>
        <w:rPr>
          <w:rFonts w:ascii="Times New Roman" w:hAnsi="Times New Roman"/>
          <w:sz w:val="20"/>
          <w:u w:val="single"/>
        </w:rPr>
        <w:t>Section 2.1(b)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w:t>
      </w:r>
      <w:r>
        <w:rPr>
          <w:rFonts w:ascii="Times New Roman" w:hAnsi="Times New Roman"/>
          <w:sz w:val="20"/>
        </w:rPr>
        <w:t xml:space="preserve"> has the meaning set forth in </w:t>
      </w:r>
      <w:r>
        <w:rPr>
          <w:rFonts w:ascii="Times New Roman" w:hAnsi="Times New Roman"/>
          <w:sz w:val="20"/>
          <w:u w:val="single"/>
        </w:rPr>
        <w:t>Section 2.1(a)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Date</w:t>
      </w:r>
      <w:r>
        <w:rPr>
          <w:rFonts w:ascii="Times New Roman" w:hAnsi="Times New Roman"/>
          <w:sz w:val="20"/>
        </w:rPr>
        <w:t xml:space="preserve"> means the later of (i) the date specified in the Election of Exchange, (ii) the date upon which the contingencies described in such Election of Exchange are satisfied, or (iii) the first Business Day that occurs after the day on which the Election Response Period ends,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Rate</w:t>
      </w:r>
      <w:r>
        <w:rPr>
          <w:rFonts w:ascii="Times New Roman" w:hAnsi="Times New Roman"/>
          <w:sz w:val="20"/>
        </w:rPr>
        <w:t xml:space="preserve"> means, at any time, the number of shares of Class A Common Stock for which a Paired Interest is entitled to be exchanged at such time. On the date of this Agreement, the Exchange Rate shall be one, subject to adjustment pursuant to </w:t>
      </w:r>
      <w:r>
        <w:rPr>
          <w:rFonts w:ascii="Times New Roman" w:hAnsi="Times New Roman"/>
          <w:sz w:val="20"/>
          <w:u w:val="single"/>
        </w:rPr>
        <w:t>Section 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Paired Interest</w:t>
      </w:r>
      <w:r>
        <w:rPr>
          <w:rFonts w:ascii="Times New Roman" w:hAnsi="Times New Roman"/>
          <w:sz w:val="20"/>
        </w:rPr>
        <w:t xml:space="preserve"> means one Common Unit together with one share of Class V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Transferee</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partnership, firm, corporation, limited liability company, association, trust, unincorporated organization or other entity, as well as any syndicate or group that would be deemed to be a person under Section 13(d)(3) of the Exchange Act.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Publicly Traded</w:t>
      </w:r>
      <w:r>
        <w:rPr>
          <w:rFonts w:ascii="Times New Roman" w:hAnsi="Times New Roman"/>
          <w:sz w:val="20"/>
        </w:rPr>
        <w:t xml:space="preserve"> means listed or admitted to trading on the New York Stock Exchange or another national securities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that certain Registration Rights Agreement, dated as of the date hereof, by and among Bakkt Pubco, the Unitholders and VPC Impact Acquisition Holdings Sponsor, LLC (together with any joinder thereto from time to time by any successor or assign to any party to such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has the meaning set forth in </w:t>
      </w:r>
      <w:r>
        <w:rPr>
          <w:rFonts w:ascii="Times New Roman" w:hAnsi="Times New Roman"/>
          <w:sz w:val="20"/>
          <w:u w:val="single"/>
        </w:rPr>
        <w:t>Section 2.1(e)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 Agreement</w:t>
      </w:r>
      <w:r>
        <w:rPr>
          <w:rFonts w:ascii="Times New Roman" w:hAnsi="Times New Roman"/>
          <w:sz w:val="20"/>
        </w:rPr>
        <w:t xml:space="preserve"> means that certain Stockholders Agreement, dated as of the date hereof, by and among Bakkt Pubco, each of the Unitholders listed on Schedule 1 thereto, and VPC Impact Acquisition Holdings Sponsor, LLC, a Delaware limited liability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Receivable Agreement</w:t>
      </w:r>
      <w:r>
        <w:rPr>
          <w:rFonts w:ascii="Times New Roman" w:hAnsi="Times New Roman"/>
          <w:sz w:val="20"/>
        </w:rPr>
        <w:t xml:space="preserve"> means that certain Tax Receivable Agreement, dated as of the date hereof, by and among the Company, Bakkt Pubco, and the other parties from time to time party thereto, as amended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Transaction</w:t>
      </w:r>
      <w:r>
        <w:rPr>
          <w:rFonts w:ascii="Times New Roman" w:hAnsi="Times New Roman"/>
          <w:sz w:val="20"/>
        </w:rPr>
        <w:t xml:space="preserve"> has the meaning set forth in the Company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 day on which the New York Stock Exchange or such other principal United States securities exchange on which the Class A Common Stock is listed or admitted to trading is open for the transaction of business (unless such trading shall have been suspended for the entire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Unitholder</w:t>
      </w:r>
      <w:r>
        <w:rPr>
          <w:rFonts w:ascii="Times New Roman" w:hAnsi="Times New Roman"/>
          <w:sz w:val="20"/>
        </w:rPr>
        <w:t xml:space="preserve"> means each holder of one or more Common Units that may from time to time be a party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Value</w:t>
      </w:r>
      <w:r>
        <w:rPr>
          <w:rFonts w:ascii="Times New Roman" w:hAnsi="Times New Roman"/>
          <w:sz w:val="20"/>
        </w:rPr>
        <w:t xml:space="preserve">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date of receipt of the applicable Election of Exchange. If the shares of Class A Common Stock are not Publicly Traded, the Value of a share of Class A Common Stock means the amount that a holder of a share of Class A Common Stock would receive if each of the assets of Bakkt Pubco were to be sold for its fair market value on the date of delivery of the applicable Election of Exchange, Bakkt Pubco were to pay all of its outstanding liabilities, and the remaining proceeds were to be distributed to the holders of Bakkt Pubcos equity, and such Value shall be determined by an independent valuation firm selected by the Company, acting in good faith and based upon a commercially reasonable estimate of the amount that would be realized by Bakkt Pubco if each asset of Bakkt Pubco (and each asset of each partnership, limited liability company, trust, joint venture or other entity in which Bakkt Pubco owns a direct or indirect interest) were sold to an unrelated purchaser in an arms length transaction where neither the purchaser nor the seller were under economic compulsion to enter into the transaction (without regard to any discount in value as a result of Bakkt Pubcos minority interest in any property or any illiquidity of Bakkt Pubcos interest in any property).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240" w:after="0"/>
        <w:jc w:val="left"/>
        <w:rPr>
          <w:rFonts w:ascii="Times New Roman" w:hAnsi="Times New Roman"/>
          <w:sz w:val="20"/>
        </w:rPr>
      </w:pP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Exchange of Paired Interests for Class A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Upon the terms and subject to the conditions of this Agreement, after the date that is six (6) months after the date of this Agreement, each Unitholder (other than Bakkt Pubco) shall be entitled at any time, and from time to time, but no more than once per calendar month without the prior consent of Bakkt Pubco and the Company, to surrender Paired Interests (other than those that include unvested Common Units) to Bakkt Pubco in exchange for the delivery to the exchanging Unitholder of, in the sole and absolute discretion of Bakkt Pubco, either (i) a number of shares of Class A Common Stock that is equal to the product of the number of Paired Interests surrendered </w:t>
      </w:r>
      <w:r>
        <w:rPr>
          <w:rFonts w:ascii="Times New Roman" w:hAnsi="Times New Roman"/>
          <w:sz w:val="20"/>
          <w:u w:val="single"/>
        </w:rPr>
        <w:t>multiplied by</w:t>
      </w:r>
      <w:r>
        <w:rPr>
          <w:rFonts w:ascii="Times New Roman" w:hAnsi="Times New Roman"/>
          <w:sz w:val="20"/>
        </w:rPr>
        <w:t xml:space="preserve"> the Exchange Rate or (ii) pursuant to </w:t>
      </w:r>
      <w:r>
        <w:rPr>
          <w:rFonts w:ascii="Times New Roman" w:hAnsi="Times New Roman"/>
          <w:sz w:val="20"/>
          <w:u w:val="single"/>
        </w:rPr>
        <w:t>Section 2.4</w:t>
      </w:r>
      <w:r>
        <w:rPr>
          <w:rFonts w:ascii="Times New Roman" w:hAnsi="Times New Roman"/>
          <w:sz w:val="20"/>
        </w:rPr>
        <w:t>, the Cash Amount (such exchange, an </w:t>
      </w:r>
      <w:r>
        <w:rPr>
          <w:rFonts w:ascii="Times New Roman" w:hAnsi="Times New Roman"/>
          <w:sz w:val="20"/>
          <w:u w:val="single"/>
        </w:rPr>
        <w:t>Exchange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Exchange is for a minimum of the lesser of (A) 25,000 Paired Interests (which minimum shall be equitably adjusted in accordance with any adjustments to the Exchange Rate) or (B) all of the Paired Interests (other than those that include unvested Common Units) held by such Unitholder. </w:t>
      </w:r>
    </w:p>
    <w:p>
      <w:pPr>
        <w:pStyle w:val="TextBody"/>
        <w:spacing w:before="120" w:after="0"/>
        <w:jc w:val="left"/>
        <w:rPr>
          <w:rFonts w:ascii="Times New Roman" w:hAnsi="Times New Roman"/>
          <w:sz w:val="20"/>
        </w:rPr>
      </w:pPr>
      <w:r>
        <w:rPr>
          <w:rFonts w:ascii="Times New Roman" w:hAnsi="Times New Roman"/>
          <w:sz w:val="20"/>
        </w:rPr>
        <w:t xml:space="preserve">(b) A Unitholder shall exercise its right to make an Exchange as set forth in </w:t>
      </w:r>
      <w:r>
        <w:rPr>
          <w:rFonts w:ascii="Times New Roman" w:hAnsi="Times New Roman"/>
          <w:sz w:val="20"/>
          <w:u w:val="single"/>
        </w:rPr>
        <w:t>Section 2.1(a)</w:t>
      </w:r>
      <w:r>
        <w:rPr>
          <w:rFonts w:ascii="Times New Roman" w:hAnsi="Times New Roman"/>
          <w:sz w:val="20"/>
        </w:rPr>
        <w:t xml:space="preserve"> above by delivering to Bakkt Pubco and to the Company a written election of Exchange (the </w:t>
      </w:r>
      <w:r>
        <w:rPr>
          <w:rFonts w:ascii="Times New Roman" w:hAnsi="Times New Roman"/>
          <w:sz w:val="20"/>
          <w:u w:val="single"/>
        </w:rPr>
        <w:t>Election of Exchange</w:t>
      </w:r>
      <w:r>
        <w:rPr>
          <w:rFonts w:ascii="Times New Roman" w:hAnsi="Times New Roman"/>
          <w:sz w:val="20"/>
        </w:rPr>
        <w:t xml:space="preserve">) in respect of the Paired Interests to be exchanged substantially in the form of </w:t>
      </w:r>
      <w:r>
        <w:rPr>
          <w:rFonts w:ascii="Times New Roman" w:hAnsi="Times New Roman"/>
          <w:sz w:val="20"/>
          <w:u w:val="single"/>
        </w:rPr>
        <w:t>Exhibit A</w:t>
      </w:r>
      <w:r>
        <w:rPr>
          <w:rFonts w:ascii="Times New Roman" w:hAnsi="Times New Roman"/>
          <w:sz w:val="20"/>
        </w:rPr>
        <w:t xml:space="preserve"> hereto and the certificates, if any, representing the associated Common Units and the shares of Class V Common Stock corresponding to such Common Units, duly executed by such holder or such holders duly authorized attorney, in each case delivered during normal business hours at the principal executive offices of Bakkt Pubco and of the Company. An Election of Exchange may specify that the Exchange is to be (x) contingent (including as to the timing) upon the consummation of a purchase by another Person (whether in a tender or exchange offer, an underwritten offering or otherwise) of shares of any Class A Common Stock into which the Paired Interests are exchangeable, or contingent (including as to timing) upon the closing of an announced merger, consolidation or other transaction or event in which any Class A Common Stock would be exchanged or converted or become exchangeable for or convertible into cash or other securities or property or (y) effective no more than fifteen (15) Business Days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following delivery of the Election of Exchange. Within three (3) Business Days of delivery of such Election of Exchange (and the concurrent consummation of the transfer of the Paired Interests from such Unitholder to Bakkt Pubco), Bakkt Pubco shall deliver or cause to be delivered at the offices of the then-acting registrar and transfer agent of the Class A Common Stock or, if there is no then-acting registrar and transfer agent of the Class A Common Stock, at the principal executive offices of Bakkt Pubco, the number of shares of Class A Common Stock deliverable upon such Exchange, registered in the name of the relevant exchanging Unitholder or its designee, unless Bakkt Pubco elects to pay the Cash Amount in accordance with and pursuant to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Bakkt Pubco and the Unitholder may change the number of Paired Interests to be exchanged specified in such Election of Exchange to another number by mutual agreement signed in writing by each of them. An Exchange shall be effective the moment in time immediately prior to the close of business on the Exchange Date and the Unitholder (or other Person(s) whose name or names in which any Class A Common Stock is to be issued) shall be deemed to be a holder of any Class A Common Stock from and after the effectiveness of the Exchange. Notwithstanding the foregoing, if the Class A Common Stock is settled through the facilities of The Depository Trust Company, and the exchanging Unitholder is permitted to hold shares of Class A Common Stock through The Depository Trust Company, Bakkt Pubco will, upon the written instruction of an exchanging Unitholder, use its reasonable best efforts to deliver or cause to be delivered the shares of Class A Common Stock deliverable to such exchanging Unitholder, through the facilities of The Depository Trust Company, to the account of the participant of The Depository Trust Company designated by such exchanging Unitholder. When a Paired Interest has been Exchanged in accordance with this Agreement for shares of Class A Common Stock or the Cash Amount: (i) the share of Class V Common Stock corresponding to such Paired Interest shall be cancelled for no consideration by Bakkt Pubco, and Bakkt Pubco shall cause such cancellation to be registered in the books and records of Bakkt Pubco; and (ii) the Common Unit corresponding to such Paired Interest shall be transferred from the exchanging Unitholder to Bakkt Pubco, and the Company shall cause such transfer to be registered in the books and records of the Company. Bakkt Pubco, including in its capacity as the managing member of the Company, shall take such actions as may be required to ensure the performance by the Company of its obligations under this </w:t>
      </w:r>
      <w:r>
        <w:rPr>
          <w:rFonts w:ascii="Times New Roman" w:hAnsi="Times New Roman"/>
          <w:sz w:val="20"/>
          <w:u w:val="single"/>
        </w:rPr>
        <w:t>Article II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(c) Notwithstanding anything herein to the contrary, an Election of Exchange may be withdrawn or amended, in whole or in part, prior to the effectiveness of the Exchange (including following the delivery of a Cash Election Notice pursuant to </w:t>
      </w:r>
      <w:r>
        <w:rPr>
          <w:rFonts w:ascii="Times New Roman" w:hAnsi="Times New Roman"/>
          <w:sz w:val="20"/>
          <w:u w:val="single"/>
        </w:rPr>
        <w:t>Section 2.4</w:t>
      </w:r>
      <w:r>
        <w:rPr>
          <w:rFonts w:ascii="Times New Roman" w:hAnsi="Times New Roman"/>
          <w:sz w:val="20"/>
        </w:rPr>
        <w:t>), at any time prior to 5:00 p.m., New York City time, on the Business Day immediately preceding the Exchange Date (excluding clause (iii) of the definition of Exchange Date for such purpose) (or if later, at any time within twenty-four (24) hours of the delivery of a Cash Election Notice (the </w:t>
      </w:r>
      <w:r>
        <w:rPr>
          <w:rFonts w:ascii="Times New Roman" w:hAnsi="Times New Roman"/>
          <w:sz w:val="20"/>
          <w:u w:val="single"/>
        </w:rPr>
        <w:t>Election Response Period</w:t>
      </w:r>
      <w:r>
        <w:rPr>
          <w:rFonts w:ascii="Times New Roman" w:hAnsi="Times New Roman"/>
          <w:sz w:val="20"/>
        </w:rPr>
        <w:t xml:space="preserve">)) by delivery of a written notice of withdrawal to Bakkt Pubco and the Company or the then-acting registrar and transfer agent of the Class A Common Stock, specifying (1) the number of withdrawn Paired Interests, (2) if any, the number of Paired Interests as to which the Election of Exchange remains in effect and (3) if such Unitholder so determines, a new Exchange Date or any other new or revised information permitted in the Election of Exchange (which new Exchange Date shall not be earlier than the date that is three (3) Business Days after the date such notice of withdrawal is received by Bakkt Pubco and the Company and shall not be more than fifteen (15) Business Days later than the original Exchange Date. </w:t>
      </w:r>
    </w:p>
    <w:p>
      <w:pPr>
        <w:pStyle w:val="TextBody"/>
        <w:spacing w:before="120" w:after="0"/>
        <w:jc w:val="left"/>
        <w:rPr>
          <w:rFonts w:ascii="Times New Roman" w:hAnsi="Times New Roman"/>
          <w:sz w:val="20"/>
        </w:rPr>
      </w:pPr>
      <w:r>
        <w:rPr>
          <w:rFonts w:ascii="Times New Roman" w:hAnsi="Times New Roman"/>
          <w:sz w:val="20"/>
        </w:rPr>
        <w:t xml:space="preserve">(d) Subject to the Registration Rights Agreement, Bakkt Pubco, the Company and each exchanging Unitholder shall bear its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shares of Class A Common Stock are to be delivered in a name other than that of the Unitholder that requested the Exchange, then such Unitholder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 </w:t>
      </w:r>
    </w:p>
    <w:p>
      <w:pPr>
        <w:pStyle w:val="TextBody"/>
        <w:spacing w:before="240" w:after="0"/>
        <w:jc w:val="left"/>
        <w:rPr>
          <w:rFonts w:ascii="Times New Roman" w:hAnsi="Times New Roman"/>
          <w:sz w:val="20"/>
        </w:rPr>
      </w:pPr>
      <w:r>
        <w:rPr>
          <w:rFonts w:ascii="Times New Roman" w:hAnsi="Times New Roman"/>
          <w:sz w:val="20"/>
        </w:rPr>
        <w:t xml:space="preserve">(e) For the avoidance of doubt, and notwithstanding anything to the contrary herein, a Unitholder shall not be entitled to effect an Exchange to the extent Bakkt Pubco determines that such Exchange (i) would be prohibited by law or regulation (including the unavailability of any requisite registration statement filed under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U.S. Securities Act of 1933, as amended (the </w:t>
      </w:r>
      <w:r>
        <w:rPr>
          <w:rFonts w:ascii="Times New Roman" w:hAnsi="Times New Roman"/>
          <w:sz w:val="20"/>
          <w:u w:val="single"/>
        </w:rPr>
        <w:t>Securities Act</w:t>
      </w:r>
      <w:r>
        <w:rPr>
          <w:rFonts w:ascii="Times New Roman" w:hAnsi="Times New Roman"/>
          <w:sz w:val="20"/>
        </w:rPr>
        <w:t xml:space="preserve">), or any exemption from the registration requirements thereunder) or (ii) would not be permitted under any other agreements with Bakkt Pubco or its subsidiaries to which such Unitholder may be party (including the Company LLC Agreement) or any written policies of Bakkt Pubco related to unlawful or inappropriate trading applicable to its directors, officers or other personnel. </w:t>
      </w:r>
    </w:p>
    <w:p>
      <w:pPr>
        <w:pStyle w:val="TextBody"/>
        <w:spacing w:before="120" w:after="0"/>
        <w:jc w:val="left"/>
        <w:rPr>
          <w:rFonts w:ascii="Times New Roman" w:hAnsi="Times New Roman"/>
          <w:sz w:val="20"/>
        </w:rPr>
      </w:pPr>
      <w:r>
        <w:rPr>
          <w:rFonts w:ascii="Times New Roman" w:hAnsi="Times New Roman"/>
          <w:sz w:val="20"/>
        </w:rPr>
        <w:t xml:space="preserve">(f) The shares of Class A Common Stock issued upon an Exchange, other than any such shares issued in an Exchange subject to an effective registration statement under the Securities Act, shall bear a legend in substantially the following form: </w:t>
      </w:r>
    </w:p>
    <w:p>
      <w:pPr>
        <w:pStyle w:val="TextBody"/>
        <w:spacing w:before="120" w:after="0"/>
        <w:jc w:val="left"/>
        <w:rPr>
          <w:rFonts w:ascii="Times New Roman" w:hAnsi="Times New Roman"/>
          <w:sz w:val="20"/>
        </w:rPr>
      </w:pPr>
      <w:r>
        <w:rPr>
          <w:rFonts w:ascii="Times New Roman" w:hAnsi="Times New Roman"/>
          <w:sz w:val="20"/>
        </w:rPr>
        <w:t>THE SECURITIES REPRESENTED BY THIS CERTIFICATE HAVE NOT BEEN REGISTERED UNDER THE SECURITIES ACT OF 1933, AS AMENDED (THE </w:t>
      </w:r>
      <w:r>
        <w:rPr>
          <w:rFonts w:ascii="Times New Roman" w:hAnsi="Times New Roman"/>
          <w:sz w:val="20"/>
          <w:u w:val="single"/>
        </w:rPr>
        <w:t>ACT</w:t>
      </w:r>
      <w:r>
        <w:rPr>
          <w:rFonts w:ascii="Times New Roman" w:hAnsi="Times New Roman"/>
          <w:sz w:val="20"/>
        </w:rPr>
        <w:t xml:space="preserve">), AND MAY NOT BE SOLD OR TRANSFERRED IN THE ABSENCE OF AN EFFECTIVE REGISTRATION STATEMENT UNDER THE ACT OR AN EXEMPTION FROM REGISTRATION THEREUNDER. </w:t>
      </w:r>
    </w:p>
    <w:p>
      <w:pPr>
        <w:pStyle w:val="TextBody"/>
        <w:spacing w:before="240" w:after="0"/>
        <w:jc w:val="left"/>
        <w:rPr>
          <w:rFonts w:ascii="Times New Roman" w:hAnsi="Times New Roman"/>
          <w:sz w:val="20"/>
        </w:rPr>
      </w:pPr>
      <w:r>
        <w:rPr>
          <w:rFonts w:ascii="Times New Roman" w:hAnsi="Times New Roman"/>
          <w:sz w:val="20"/>
        </w:rPr>
        <w:t xml:space="preserve">Bakkt Pubco shall imprint such legend on certificates (if any) evidencing the shares of Class A Common Stock. </w:t>
      </w:r>
    </w:p>
    <w:p>
      <w:pPr>
        <w:pStyle w:val="TextBody"/>
        <w:spacing w:before="240" w:after="0"/>
        <w:jc w:val="left"/>
        <w:rPr>
          <w:rFonts w:ascii="Times New Roman" w:hAnsi="Times New Roman"/>
          <w:sz w:val="20"/>
        </w:rPr>
      </w:pP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Adjustment</w:t>
      </w:r>
      <w:r>
        <w:rPr>
          <w:rFonts w:ascii="Times New Roman" w:hAnsi="Times New Roman"/>
          <w:sz w:val="20"/>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or the Class V Common Stock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and the Class V Common Stock. If there is any reclassification, reorganization, recapitalization or other similar transaction (including any Change of Control) in which the Class A Common Stock is converted or changed into another security, securities or other property, then upon any subsequent Exchange, an exchanging Unitholder shall be entitled to receive the amount of such security, securities or other property that such exchanging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This Agreement shall apply to, </w:t>
      </w:r>
      <w:r>
        <w:rPr>
          <w:rFonts w:ascii="Times New Roman" w:hAnsi="Times New Roman"/>
          <w:i/>
          <w:sz w:val="20"/>
        </w:rPr>
        <w:t>mutatis mutandis</w:t>
      </w:r>
      <w:r>
        <w:rPr>
          <w:rFonts w:ascii="Times New Roman" w:hAnsi="Times New Roman"/>
          <w:sz w:val="20"/>
        </w:rPr>
        <w:t xml:space="preserve">, and all references to Paired Interests shall be deemed to include, any security, securities or other property of Bakkt Pubco or the Company which may be issued in respect of, in exchange for or in substitution of shares of Class V Common Stock or Common Units, as applicable, by reason of stock or unit split, reverse stock or unit split, stock or unit dividend or distribution, combination, reclassification, reorganization, recapitalization, merger, exchange (other than an Exchange) or other transaction (including any Change of Control). Except as set forth in this </w:t>
      </w:r>
      <w:r>
        <w:rPr>
          <w:rFonts w:ascii="Times New Roman" w:hAnsi="Times New Roman"/>
          <w:sz w:val="20"/>
          <w:u w:val="single"/>
        </w:rPr>
        <w:t>Section 2.2</w:t>
      </w:r>
      <w:r>
        <w:rPr>
          <w:rFonts w:ascii="Times New Roman" w:hAnsi="Times New Roman"/>
          <w:sz w:val="20"/>
        </w:rPr>
        <w:t xml:space="preserve">, no adjustments to the Exchange Rate, or otherwise relating to distributions shall be made with respect to the exchange of any Paired Interest. If the Exchange Date with respect to a Common Unit occurs after the record date for the payment of a distribution on Common Units but before the date of the payment, then the Unitholder as of the record date will be entitled to receive the distribution payable on the Common Unit on the payment date notwithstanding the Exchange of the Paired Interests or a default in payment of the distribution due as of the Exchange Date. For the avoidance of doubt, no Unitholder, or Person designated by a Unitholder to receive shares of Class A Common Stock, shall be entitled to receive, with respect to such record date, distributions or dividends both on Common Units exchanged by such Unitholder and on shares of Class A Common Stock received by such Unitholder, or other Person so designated, if applicable, in such Exchange. </w:t>
      </w:r>
    </w:p>
    <w:p>
      <w:pPr>
        <w:pStyle w:val="TextBody"/>
        <w:spacing w:before="240" w:after="0"/>
        <w:jc w:val="left"/>
        <w:rPr>
          <w:rFonts w:ascii="Times New Roman" w:hAnsi="Times New Roman"/>
          <w:sz w:val="20"/>
        </w:rPr>
      </w:pPr>
      <w:r>
        <w:rPr>
          <w:rFonts w:ascii="Times New Roman" w:hAnsi="Times New Roman"/>
          <w:sz w:val="20"/>
          <w:u w:val="single"/>
        </w:rPr>
        <w:t>SECTION 2.3</w:t>
      </w:r>
      <w:r>
        <w:rPr>
          <w:rFonts w:ascii="Times New Roman" w:hAnsi="Times New Roman"/>
          <w:sz w:val="20"/>
        </w:rPr>
        <w:t xml:space="preserve"> </w:t>
      </w:r>
      <w:r>
        <w:rPr>
          <w:rFonts w:ascii="Times New Roman" w:hAnsi="Times New Roman"/>
          <w:sz w:val="20"/>
          <w:u w:val="single"/>
        </w:rPr>
        <w:t>Class A Common Stock to be Issued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Bakkt Pubco shall at all times reserve and keep available out of its authorized but unissued Class A Common Stock, solely for the purpose of issuance upon an Exchange, such number of shares of Class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 as may be deliverable upon any such Exchange; </w:t>
      </w:r>
      <w:r>
        <w:rPr>
          <w:rFonts w:ascii="Times New Roman" w:hAnsi="Times New Roman"/>
          <w:sz w:val="20"/>
          <w:u w:val="single"/>
        </w:rPr>
        <w:t>provided</w:t>
      </w:r>
      <w:r>
        <w:rPr>
          <w:rFonts w:ascii="Times New Roman" w:hAnsi="Times New Roman"/>
          <w:sz w:val="20"/>
        </w:rPr>
        <w:t xml:space="preserve">, that nothing contained herein shall be construed to preclude Bakkt Pubco from satisfying its obligations in respect of the Exchange of the Paired Interests by delivery of shares of Class A Common Stock which are held in the treasury of Bakkt Pubco or by delivery of purchased shares of Class A Common Stock (which may or may not be held in the treasury of Bakkt Pubco or held by any subsidiary thereof), or by delivery of the Cash Amount. Bakkt Pubco and the Company covenant that all Class A Common Stock issued upon an Exchange will, upon issuance, be validly issued, fully paid and non-assessable. </w:t>
      </w:r>
    </w:p>
    <w:p>
      <w:pPr>
        <w:pStyle w:val="TextBody"/>
        <w:spacing w:before="120" w:after="0"/>
        <w:jc w:val="left"/>
        <w:rPr>
          <w:rFonts w:ascii="Times New Roman" w:hAnsi="Times New Roman"/>
          <w:sz w:val="20"/>
        </w:rPr>
      </w:pPr>
      <w:r>
        <w:rPr>
          <w:rFonts w:ascii="Times New Roman" w:hAnsi="Times New Roman"/>
          <w:sz w:val="20"/>
        </w:rPr>
        <w:t xml:space="preserve">(b) Bakkt Pubco and the Company shall at all times ensure that the execution and delivery of this Agreement by each of Bakkt Pubco and the Company and the consummation by each of Bakkt Pubco and the Company of the transactions contemplated hereby (including without limitation, the issuance of the Class A Common Stock) have been duly authorized by all necessary corporate or limited liability company action, as the case may be, on the part of Bakkt Pubco and the Company, including, but not limited to, all actions necessary to ensure that the acquisition of shares of Class A Common Stock pursuant to the transactions contemplated hereby, to the fullest extent of Bakkt Pubcos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(c) Bakkt Pubco and the Company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Unitholder requesting such Exchange, Bakkt Pubco and the Company shall use commercially reasonable efforts to promptly facilitate such Exchange pursuant to any reasonably available exemption from such registration requirements. Bakkt Pubco and the Company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 </w:t>
      </w:r>
    </w:p>
    <w:p>
      <w:pPr>
        <w:pStyle w:val="TextBody"/>
        <w:spacing w:before="120" w:after="0"/>
        <w:jc w:val="left"/>
        <w:rPr>
          <w:rFonts w:ascii="Times New Roman" w:hAnsi="Times New Roman"/>
          <w:sz w:val="20"/>
        </w:rPr>
      </w:pPr>
      <w:r>
        <w:rPr>
          <w:rFonts w:ascii="Times New Roman" w:hAnsi="Times New Roman"/>
          <w:sz w:val="20"/>
        </w:rPr>
        <w:t xml:space="preserve">(d) Notwithstanding anything to the contrary in this Agreement, no fractional shares of Class A Common Stock shall be issued as a result of any Exchange. In lieu of any fractional share of Class A Common Stock to which a Unitholder would otherwise be entitled in any Exchange, the Company or Bakkt Pubco, as applicable, shall pay to such Unitholder cash equal to such fraction multiplied by the Value. </w:t>
      </w:r>
    </w:p>
    <w:p>
      <w:pPr>
        <w:pStyle w:val="TextBody"/>
        <w:spacing w:before="240" w:after="0"/>
        <w:jc w:val="left"/>
        <w:rPr>
          <w:rFonts w:ascii="Times New Roman" w:hAnsi="Times New Roman"/>
          <w:sz w:val="20"/>
        </w:rPr>
      </w:pP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Exchange for Cash Amount</w:t>
      </w:r>
      <w:r>
        <w:rPr>
          <w:rFonts w:ascii="Times New Roman" w:hAnsi="Times New Roman"/>
          <w:sz w:val="20"/>
        </w:rPr>
        <w:t xml:space="preserve">. Notwithstanding anything to the contrary in this </w:t>
      </w:r>
      <w:r>
        <w:rPr>
          <w:rFonts w:ascii="Times New Roman" w:hAnsi="Times New Roman"/>
          <w:sz w:val="20"/>
          <w:u w:val="single"/>
        </w:rPr>
        <w:t>Article II</w:t>
      </w:r>
      <w:r>
        <w:rPr>
          <w:rFonts w:ascii="Times New Roman" w:hAnsi="Times New Roman"/>
          <w:sz w:val="20"/>
        </w:rPr>
        <w:t xml:space="preserve">, by delivery of an Election of Exchange pursuant to </w:t>
      </w:r>
      <w:r>
        <w:rPr>
          <w:rFonts w:ascii="Times New Roman" w:hAnsi="Times New Roman"/>
          <w:sz w:val="20"/>
          <w:u w:val="single"/>
        </w:rPr>
        <w:t>Section 2.1(a)</w:t>
      </w:r>
      <w:r>
        <w:rPr>
          <w:rFonts w:ascii="Times New Roman" w:hAnsi="Times New Roman"/>
          <w:sz w:val="20"/>
        </w:rPr>
        <w:t>, the applicable holder shall be deemed to have offered to sell its Paired Interests described in the Election of Exchange to Bakkt Pubco, and Bakkt Pubco may, in its sole and absolute discretion, by means of delivery of a notice to such effect (the Cash Election Notice</w:t>
      </w:r>
      <w:r>
        <w:rPr>
          <w:rFonts w:ascii="Times New Roman" w:hAnsi="Times New Roman"/>
          <w:sz w:val="20"/>
          <w:u w:val="single"/>
        </w:rPr>
        <w:t></w:t>
      </w:r>
      <w:r>
        <w:rPr>
          <w:rFonts w:ascii="Times New Roman" w:hAnsi="Times New Roman"/>
          <w:sz w:val="20"/>
        </w:rPr>
        <w:t xml:space="preserve">) no later than the date which is three Business Days following the delivery of such Election of Exchange, elect to purchase directly and acquire such Paired Interests by paying to such holder the Cash Amount, whereupon Bakkt Pubco shall acquire the Paired Interest offered for Exchange by such holder. As promptly as practicable following the delivery of the Cash Election Notice, but in any event, no more than five (5) Business Days after delivery of an Election of Exchange (unless Bakkt Pubco in its sole discretion agrees in writing to a shorter period), Bakkt Pubco shall deposit or cause to be deposited the Cash Amount in the account of such exchanging holder specified in its Election of Exchange. In the event that Bakkt Pubco does not deliver the Cash Election Notice prior to the third (3rd) Business Day immediately following the delivery of such Election of Exchange, it shall be deemed to have elected to settle the Exchange with shares of Class A Common Stock. </w:t>
      </w:r>
    </w:p>
    <w:p>
      <w:pPr>
        <w:pStyle w:val="TextBody"/>
        <w:spacing w:before="240" w:after="0"/>
        <w:jc w:val="left"/>
        <w:rPr>
          <w:rFonts w:ascii="Times New Roman" w:hAnsi="Times New Roman"/>
          <w:sz w:val="20"/>
        </w:rPr>
      </w:pP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Termination Transactions</w:t>
      </w:r>
      <w:r>
        <w:rPr>
          <w:rFonts w:ascii="Times New Roman" w:hAnsi="Times New Roman"/>
          <w:sz w:val="20"/>
        </w:rPr>
        <w:t xml:space="preserve">. The Company may only require and initiate an Exchange to the extent contemplated and permitted by Section 10.8 of the Company LLC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III </w:t>
      </w:r>
    </w:p>
    <w:p>
      <w:pPr>
        <w:pStyle w:val="TextBody"/>
        <w:spacing w:before="240" w:after="0"/>
        <w:jc w:val="left"/>
        <w:rPr>
          <w:rFonts w:ascii="Times New Roman" w:hAnsi="Times New Roman"/>
          <w:sz w:val="20"/>
        </w:rPr>
      </w:pP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Additional Unitholders</w:t>
      </w:r>
      <w:r>
        <w:rPr>
          <w:rFonts w:ascii="Times New Roman" w:hAnsi="Times New Roman"/>
          <w:sz w:val="20"/>
        </w:rPr>
        <w:t>. To the extent a Unitholder validly transfers any or all of such holder</w:t>
      </w:r>
      <w:r>
        <w:rPr>
          <w:rFonts w:ascii="Times New Roman" w:hAnsi="Times New Roman"/>
          <w:sz w:val="20"/>
          <w:u w:val="single"/>
        </w:rPr>
        <w:t></w:t>
      </w:r>
      <w:r>
        <w:rPr>
          <w:rFonts w:ascii="Times New Roman" w:hAnsi="Times New Roman"/>
          <w:sz w:val="20"/>
        </w:rPr>
        <w:t>s Paired Interests to another person in a transaction in accordance with, and not in contravention of, the Company LLC Agreement, the Stockholders Agreement, the Registration Rights Agreement or any other agreement or agreements with Bakkt Pubco or any of its subsidiaries to which a transferring Unitholder may be party, then such transferee (each, a </w:t>
      </w:r>
      <w:r>
        <w:rPr>
          <w:rFonts w:ascii="Times New Roman" w:hAnsi="Times New Roman"/>
          <w:sz w:val="20"/>
          <w:u w:val="single"/>
        </w:rPr>
        <w:t>Permitted Transferee</w:t>
      </w:r>
      <w:r>
        <w:rPr>
          <w:rFonts w:ascii="Times New Roman" w:hAnsi="Times New Roman"/>
          <w:sz w:val="20"/>
        </w:rPr>
        <w:t xml:space="preserve">) shall have the right to execute and deliver a joinder to this Agreement, substantially in the form of </w:t>
      </w:r>
      <w:r>
        <w:rPr>
          <w:rFonts w:ascii="Times New Roman" w:hAnsi="Times New Roman"/>
          <w:sz w:val="20"/>
          <w:u w:val="single"/>
        </w:rPr>
        <w:t>Exhibit B</w:t>
      </w:r>
      <w:r>
        <w:rPr>
          <w:rFonts w:ascii="Times New Roman" w:hAnsi="Times New Roman"/>
          <w:sz w:val="20"/>
        </w:rPr>
        <w:t xml:space="preserve"> hereto, whereupon such Permitted Transferee shall become a Unitholder hereunder. To the extent the Company issues Common Units in the future, the Company shall be entitled, in its sole discretion, to make any holder of such Common Units a Unitholder hereunder through such holders execution and delivery of a joinder to this Agreement, substantially in the form of </w:t>
      </w:r>
      <w:r>
        <w:rPr>
          <w:rFonts w:ascii="Times New Roman" w:hAnsi="Times New Roman"/>
          <w:sz w:val="20"/>
          <w:u w:val="single"/>
        </w:rPr>
        <w:t>Exhibit B</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Addresses and Notices</w:t>
      </w:r>
      <w:r>
        <w:rPr>
          <w:rFonts w:ascii="Times New Roman" w:hAnsi="Times New Roman"/>
          <w:sz w:val="20"/>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hAnsi="Times New Roman"/>
          <w:sz w:val="20"/>
          <w:u w:val="single"/>
        </w:rPr>
        <w:t>Section 3.2)</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to Bakkt Pubco, to: </w:t>
            </w:r>
          </w:p>
        </w:tc>
      </w:tr>
    </w:tbl>
    <w:p>
      <w:pPr>
        <w:pStyle w:val="TextBody"/>
        <w:spacing w:before="12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marc.dannunzio@bakkt.com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(b)</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spacing w:before="120" w:after="0"/>
        <w:jc w:val="left"/>
        <w:rPr>
          <w:rFonts w:ascii="Times New Roman" w:hAnsi="Times New Roman"/>
          <w:sz w:val="20"/>
        </w:rPr>
      </w:pPr>
      <w:r>
        <w:rPr>
          <w:rFonts w:ascii="Times New Roman" w:hAnsi="Times New Roman"/>
          <w:sz w:val="20"/>
        </w:rPr>
        <w:t xml:space="preserve">c/o Bakkt Holdings, Inc.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marc.dannunzio@bakkt.com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(c)</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to any Unitholder, to the address and other contact information set forth in the records of the Company from time to time. </w:t>
            </w:r>
          </w:p>
        </w:tc>
      </w:tr>
    </w:tbl>
    <w:p>
      <w:pPr>
        <w:pStyle w:val="TextBody"/>
        <w:spacing w:before="240" w:after="0"/>
        <w:jc w:val="left"/>
        <w:rPr>
          <w:rFonts w:ascii="Times New Roman" w:hAnsi="Times New Roman"/>
          <w:sz w:val="20"/>
        </w:rPr>
      </w:pP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Further Action</w:t>
      </w:r>
      <w:r>
        <w:rPr>
          <w:rFonts w:ascii="Times New Roman" w:hAnsi="Times New Roman"/>
          <w:sz w:val="20"/>
        </w:rPr>
        <w:t xml:space="preserve">. The parties shall execute and deliver all documents, provide all information and take or refrain from taking action as may be necessary or appropriate to achieve the purposes of this Agreement. </w:t>
      </w:r>
    </w:p>
    <w:p>
      <w:pPr>
        <w:pStyle w:val="TextBody"/>
        <w:spacing w:before="240" w:after="0"/>
        <w:jc w:val="left"/>
        <w:rPr>
          <w:rFonts w:ascii="Times New Roman" w:hAnsi="Times New Roman"/>
          <w:sz w:val="20"/>
        </w:rPr>
      </w:pPr>
      <w:r>
        <w:rPr>
          <w:rFonts w:ascii="Times New Roman" w:hAnsi="Times New Roman"/>
          <w:sz w:val="20"/>
          <w:u w:val="single"/>
        </w:rPr>
        <w:t>SECTION 3.4</w:t>
      </w:r>
      <w:r>
        <w:rPr>
          <w:rFonts w:ascii="Times New Roman" w:hAnsi="Times New Roman"/>
          <w:sz w:val="20"/>
        </w:rPr>
        <w:t xml:space="preserve"> </w:t>
      </w:r>
      <w:r>
        <w:rPr>
          <w:rFonts w:ascii="Times New Roman" w:hAnsi="Times New Roman"/>
          <w:sz w:val="20"/>
          <w:u w:val="single"/>
        </w:rPr>
        <w:t>Binding Effect</w:t>
      </w:r>
      <w:r>
        <w:rPr>
          <w:rFonts w:ascii="Times New Roman" w:hAnsi="Times New Roman"/>
          <w:sz w:val="20"/>
        </w:rPr>
        <w:t xml:space="preserve">. This Agreement shall be binding upon and inure to the benefit of all of the parties and, to the extent permitted by this Agreement, their successors, executors, administrators, heirs, legal representatives and assigns. </w:t>
      </w:r>
    </w:p>
    <w:p>
      <w:pPr>
        <w:pStyle w:val="TextBody"/>
        <w:spacing w:before="240" w:after="0"/>
        <w:jc w:val="left"/>
        <w:rPr>
          <w:rFonts w:ascii="Times New Roman" w:hAnsi="Times New Roman"/>
          <w:sz w:val="20"/>
        </w:rPr>
      </w:pPr>
      <w:r>
        <w:rPr>
          <w:rFonts w:ascii="Times New Roman" w:hAnsi="Times New Roman"/>
          <w:sz w:val="20"/>
          <w:u w:val="single"/>
        </w:rPr>
        <w:t>SECTION 3.5</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u w:val="single"/>
        </w:rPr>
        <w:t>SECTION 3.6</w:t>
      </w:r>
      <w:r>
        <w:rPr>
          <w:rFonts w:ascii="Times New Roman" w:hAnsi="Times New Roman"/>
          <w:sz w:val="20"/>
        </w:rPr>
        <w:t xml:space="preserve"> </w:t>
      </w:r>
      <w:r>
        <w:rPr>
          <w:rFonts w:ascii="Times New Roman" w:hAnsi="Times New Roman"/>
          <w:sz w:val="20"/>
          <w:u w:val="single"/>
        </w:rPr>
        <w:t>Amendment</w:t>
      </w:r>
      <w:r>
        <w:rPr>
          <w:rFonts w:ascii="Times New Roman" w:hAnsi="Times New Roman"/>
          <w:sz w:val="20"/>
        </w:rPr>
        <w:t xml:space="preserve">. The provisions of this Agreement may be amended only by the affirmative vote or written consent of each of (i) Bakkt Pubco, (ii) the Company and (iii) Unitholders holding at least a majority of the then outstanding Common Units (excluding Common Units held by Bakkt Pubco); provided that no amendment may materially, disproportionately and adversely affect the rights of a Unitholder (other than Bakkt Pubco and its subsidiaries) without the consent of such Unitholder (or, if there is more than one such Unitholder that is so affected, without the consent of a majority in interest of such affected Unitholders (other than Bakkt Pubco and its subsidiaries) in accordance with their holdings of Common Units). </w:t>
      </w:r>
    </w:p>
    <w:p>
      <w:pPr>
        <w:pStyle w:val="TextBody"/>
        <w:spacing w:before="240" w:after="0"/>
        <w:jc w:val="left"/>
        <w:rPr>
          <w:rFonts w:ascii="Times New Roman" w:hAnsi="Times New Roman"/>
          <w:sz w:val="20"/>
        </w:rPr>
      </w:pPr>
      <w:r>
        <w:rPr>
          <w:rFonts w:ascii="Times New Roman" w:hAnsi="Times New Roman"/>
          <w:sz w:val="20"/>
          <w:u w:val="single"/>
        </w:rPr>
        <w:t>SECTION 3.7</w:t>
      </w:r>
      <w:r>
        <w:rPr>
          <w:rFonts w:ascii="Times New Roman" w:hAnsi="Times New Roman"/>
          <w:sz w:val="20"/>
        </w:rPr>
        <w:t xml:space="preserve"> </w:t>
      </w:r>
      <w:r>
        <w:rPr>
          <w:rFonts w:ascii="Times New Roman" w:hAnsi="Times New Roman"/>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w:t>
      </w:r>
    </w:p>
    <w:p>
      <w:pPr>
        <w:pStyle w:val="TextBody"/>
        <w:spacing w:before="240" w:after="0"/>
        <w:jc w:val="left"/>
        <w:rPr>
          <w:rFonts w:ascii="Times New Roman" w:hAnsi="Times New Roman"/>
          <w:sz w:val="20"/>
        </w:rPr>
      </w:pPr>
      <w:r>
        <w:rPr>
          <w:rFonts w:ascii="Times New Roman" w:hAnsi="Times New Roman"/>
          <w:sz w:val="20"/>
          <w:u w:val="single"/>
        </w:rPr>
        <w:t>SECTION 3.8</w:t>
      </w:r>
      <w:r>
        <w:rPr>
          <w:rFonts w:ascii="Times New Roman" w:hAnsi="Times New Roman"/>
          <w:sz w:val="20"/>
        </w:rPr>
        <w:t xml:space="preserve"> </w:t>
      </w:r>
      <w:r>
        <w:rPr>
          <w:rFonts w:ascii="Times New Roman" w:hAnsi="Times New Roman"/>
          <w:sz w:val="20"/>
          <w:u w:val="single"/>
        </w:rPr>
        <w:t>Submission to Jurisdiction; Waiver of Jury Trial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Times New Roman" w:hAnsi="Times New Roman"/>
          <w:sz w:val="20"/>
          <w:u w:val="single"/>
        </w:rPr>
        <w:t>Section 3.2</w:t>
      </w:r>
      <w:r>
        <w:rPr>
          <w:rFonts w:ascii="Times New Roman" w:hAnsi="Times New Roman"/>
          <w:sz w:val="20"/>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 w:hAnsi="Times New Roman"/>
          <w:sz w:val="20"/>
          <w:u w:val="single"/>
        </w:rPr>
        <w:t>Section 3.8</w:t>
      </w:r>
      <w:r>
        <w:rPr>
          <w:rFonts w:ascii="Times New Roman" w:hAnsi="Times New Roman"/>
          <w:sz w:val="20"/>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 </w:t>
      </w:r>
    </w:p>
    <w:p>
      <w:pPr>
        <w:pStyle w:val="TextBody"/>
        <w:spacing w:before="120" w:after="0"/>
        <w:jc w:val="left"/>
        <w:rPr>
          <w:rFonts w:ascii="Times New Roman" w:hAnsi="Times New Roman"/>
          <w:sz w:val="20"/>
        </w:rPr>
      </w:pPr>
      <w:r>
        <w:rPr>
          <w:rFonts w:ascii="Times New Roman" w:hAnsi="Times New Roman"/>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 </w:t>
      </w:r>
    </w:p>
    <w:p>
      <w:pPr>
        <w:pStyle w:val="TextBody"/>
        <w:spacing w:before="120" w:after="0"/>
        <w:jc w:val="left"/>
        <w:rPr>
          <w:rFonts w:ascii="Times New Roman" w:hAnsi="Times New Roman"/>
          <w:sz w:val="20"/>
        </w:rPr>
      </w:pPr>
      <w:r>
        <w:rPr>
          <w:rFonts w:ascii="Times New Roman" w:hAnsi="Times New Roman"/>
          <w:sz w:val="20"/>
        </w:rPr>
        <w:t xml:space="preserve">(c) 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 </w:t>
      </w:r>
    </w:p>
    <w:p>
      <w:pPr>
        <w:pStyle w:val="TextBody"/>
        <w:spacing w:before="120" w:after="0"/>
        <w:jc w:val="left"/>
        <w:rPr>
          <w:rFonts w:ascii="Times New Roman" w:hAnsi="Times New Roman"/>
          <w:sz w:val="20"/>
        </w:rPr>
      </w:pPr>
      <w:r>
        <w:rPr>
          <w:rFonts w:ascii="Times New Roman" w:hAnsi="Times New Roman"/>
          <w:sz w:val="20"/>
        </w:rPr>
        <w:t xml:space="preserve">(d) EACH PARTY HEREBY IRREVOCABLY AND UNCONDITIONALLY WAIVES TO THE FULLEST EXTENT PERMITTED BY APPLICABLE LAW ALL RIGHT TO TRIAL BY JURY IN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ACTION OR COUNTERCLAIM (WHETHER BASED ON CONTRACT, TORT OR OTHERWISE) ARISING OUT OF OR RELATING TO THE ACTIONS OF THE PARTIES PURSUANT TO THIS AGREEMENT IN THE NEGOTIATION, ADMINISTRATION, PERFORMANCE OR ENFORCEMENT HEREOF OR THEREOF. </w:t>
      </w:r>
    </w:p>
    <w:p>
      <w:pPr>
        <w:pStyle w:val="TextBody"/>
        <w:spacing w:before="120" w:after="0"/>
        <w:jc w:val="left"/>
        <w:rPr>
          <w:rFonts w:ascii="Times New Roman" w:hAnsi="Times New Roman"/>
          <w:sz w:val="20"/>
        </w:rPr>
      </w:pPr>
      <w:r>
        <w:rPr>
          <w:rFonts w:ascii="Times New Roman" w:hAnsi="Times New Roman"/>
          <w:sz w:val="20"/>
        </w:rPr>
        <w:t xml:space="preserve">(e) 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Times New Roman" w:hAnsi="Times New Roman"/>
          <w:sz w:val="20"/>
          <w:u w:val="single"/>
        </w:rPr>
        <w:t>Section 3.8</w:t>
      </w:r>
      <w:r>
        <w:rPr>
          <w:rFonts w:ascii="Times New Roman" w:hAnsi="Times New Roman"/>
          <w:sz w:val="20"/>
        </w:rPr>
        <w:t xml:space="preserve"> and such parties agree not to plead or claim the same. </w:t>
      </w:r>
    </w:p>
    <w:p>
      <w:pPr>
        <w:pStyle w:val="TextBody"/>
        <w:spacing w:before="240" w:after="0"/>
        <w:jc w:val="left"/>
        <w:rPr>
          <w:rFonts w:ascii="Times New Roman" w:hAnsi="Times New Roman"/>
          <w:sz w:val="20"/>
        </w:rPr>
      </w:pPr>
      <w:r>
        <w:rPr>
          <w:rFonts w:ascii="Times New Roman" w:hAnsi="Times New Roman"/>
          <w:sz w:val="20"/>
          <w:u w:val="single"/>
        </w:rPr>
        <w:t>Section 3.9</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and delivered (including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Times New Roman" w:hAnsi="Times New Roman"/>
          <w:sz w:val="20"/>
          <w:u w:val="single"/>
        </w:rPr>
        <w:t>Section 3.9</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u w:val="single"/>
        </w:rPr>
        <w:t>Section 3.10</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This Agreement shall be treated as part of the partnership agreement of the Company as described in Section 761(c) of the Code and Sections 1.704-1(b)(2)(ii)(h) and 1.761-1(c) of the Treasury Regulations promulgated thereunder. As required by the Code and the Treasury Regulations, the parties shall report any Exchange consummated hereunder as a taxable sale of the Common Unit by a Unitholder to Bakkt Pubco, and no party shall take a contrary position on any income tax return, amendment thereof or communication with a taxing authority unless an alternate position is permitted under the Code and Treasury Regulations and Bakkt Pubco consents in writing, such consent not to be unreasonably withheld, conditioned, or delayed. Further, in connection with any Exchange consummated hereunder, the Company and/or Bakkt Pubco shall provide the exchanging Unitholder with all reasonably necessary information to enable the exchanging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180 days following the close of such taxable year (and, upon written request of an exchanging Unitholder, shall use commercially reasonable efforts to provide estimates of such information within 90 days following the close of such taxable year). </w:t>
      </w:r>
    </w:p>
    <w:p>
      <w:pPr>
        <w:pStyle w:val="TextBody"/>
        <w:spacing w:before="240" w:after="0"/>
        <w:jc w:val="left"/>
        <w:rPr>
          <w:rFonts w:ascii="Times New Roman" w:hAnsi="Times New Roman"/>
          <w:sz w:val="20"/>
        </w:rPr>
      </w:pPr>
      <w:r>
        <w:rPr>
          <w:rFonts w:ascii="Times New Roman" w:hAnsi="Times New Roman"/>
          <w:sz w:val="20"/>
          <w:u w:val="single"/>
        </w:rPr>
        <w:t>SECTION 3.11</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Bakkt Pubco and the Company shall be entitled to deduct and withhold from any payment made to a Unitholder pursuant to any Exchange consummated under this Agreement all Taxes that each of Bakkt Pubco and the Company is required to deduct and withhold with respect to such payment under the Code (or any other provision of applicable law), including, without limitation, Section 1445 and 1446(f) of the Code. In connection with an Exchange, a Unitholder may, at its sole discretion, agree in the applicable Election of Exchange to tender to Bakkt Pubco or the Company, as applicable, an amount equal to the amount of the required withholding described in the immediately preceding sentence, as a condition of the Exchange. If a Unitholder does not so agree, or fails, to tender the required amount prior to or at the time of any Exchange, Bakkt Pubco or the Company, as applicable, may reduce the amount of Class A Common Stock issued to a Unitholder in an Exchange by a number of shares equal to the amount of the required withholding described in the first sentence of this </w:t>
      </w:r>
      <w:r>
        <w:rPr>
          <w:rFonts w:ascii="Times New Roman" w:hAnsi="Times New Roman"/>
          <w:sz w:val="20"/>
          <w:u w:val="single"/>
        </w:rPr>
        <w:t>Section 3.11</w:t>
      </w:r>
      <w:r>
        <w:rPr>
          <w:rFonts w:ascii="Times New Roman" w:hAnsi="Times New Roman"/>
          <w:sz w:val="20"/>
        </w:rPr>
        <w:t xml:space="preserve"> (or, if Bakkt Pubco elects to settle the Exchange with cash pursuant to Article II, deduct and withhold the amount of such required withholding from the Cash Amount otherwise payable to such Unitholder) and all such amounts shall be treated as having been paid to such Unitholder. Notwithstanding the foregoing, the parties acknowledge and agree that, on the basis of applicable law as of the date of this Agreement, no U.S. federal income tax withholding would be required with respect to an Exchange by any Unitholder who is a United States person within the meaning of Section 7701(a)(30) of the Code, who has provided appropriate certification of such status and who, if required, has properly certified that such Unitholder is not subject to federal backup withholding. In connection with any Exchange, the Company and the exchanging Unitholder shall deliver to Bakkt Pubco properly completed and executed copies of any certificates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reasonably requested by Bakkt Pubco that the Company and the exchanging Unitholder are legally able to provide, in a form reasonably acceptable to Bakkt Pubco, so as to permit Bakkt Pubco to reduce or eliminate any deduction or withholding with respect to Taxes that may otherwise be required to be made with respect to an Exchange (including for purposes of Section 1445 and Section 1446(f) of the Code). </w:t>
      </w:r>
    </w:p>
    <w:p>
      <w:pPr>
        <w:pStyle w:val="TextBody"/>
        <w:spacing w:before="240" w:after="0"/>
        <w:jc w:val="left"/>
        <w:rPr>
          <w:rFonts w:ascii="Times New Roman" w:hAnsi="Times New Roman"/>
          <w:sz w:val="20"/>
        </w:rPr>
      </w:pPr>
      <w:r>
        <w:rPr>
          <w:rFonts w:ascii="Times New Roman" w:hAnsi="Times New Roman"/>
          <w:sz w:val="20"/>
          <w:u w:val="single"/>
        </w:rPr>
        <w:t>SECTION 3.12</w:t>
      </w:r>
      <w:r>
        <w:rPr>
          <w:rFonts w:ascii="Times New Roman" w:hAnsi="Times New Roman"/>
          <w:sz w:val="20"/>
        </w:rPr>
        <w:t xml:space="preserve"> </w:t>
      </w:r>
      <w:r>
        <w:rPr>
          <w:rFonts w:ascii="Times New Roman" w:hAnsi="Times New Roman"/>
          <w:sz w:val="20"/>
          <w:u w:val="single"/>
        </w:rPr>
        <w:t>Specific Performance</w:t>
      </w:r>
      <w:r>
        <w:rPr>
          <w:rFonts w:ascii="Times New Roman" w:hAnsi="Times New Roman"/>
          <w:sz w:val="20"/>
        </w:rPr>
        <w:t xml:space="preserve">.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 </w:t>
      </w:r>
    </w:p>
    <w:p>
      <w:pPr>
        <w:pStyle w:val="TextBody"/>
        <w:spacing w:before="240" w:after="0"/>
        <w:jc w:val="left"/>
        <w:rPr>
          <w:rFonts w:ascii="Times New Roman" w:hAnsi="Times New Roman"/>
          <w:sz w:val="20"/>
        </w:rPr>
      </w:pPr>
      <w:r>
        <w:rPr>
          <w:rFonts w:ascii="Times New Roman" w:hAnsi="Times New Roman"/>
          <w:sz w:val="20"/>
          <w:u w:val="single"/>
        </w:rPr>
        <w:t>SECTION 3.13</w:t>
      </w:r>
      <w:r>
        <w:rPr>
          <w:rFonts w:ascii="Times New Roman" w:hAnsi="Times New Roman"/>
          <w:sz w:val="20"/>
        </w:rPr>
        <w:t xml:space="preserve"> </w:t>
      </w:r>
      <w:r>
        <w:rPr>
          <w:rFonts w:ascii="Times New Roman" w:hAnsi="Times New Roman"/>
          <w:sz w:val="20"/>
          <w:u w:val="single"/>
        </w:rPr>
        <w:t>Independent Nature of Unitholders Rights and Obligations</w:t>
      </w:r>
      <w:r>
        <w:rPr>
          <w:rFonts w:ascii="Times New Roman" w:hAnsi="Times New Roman"/>
          <w:sz w:val="20"/>
        </w:rPr>
        <w:t xml:space="preserve">. The obligations of each Unitholder hereunder are several and not joint with the obligations of any other Unitholder, and no Unitholder shall be responsible in any way for the performance of the obligations of any other Unitholder hereunder. The decision of each Unitholder to enter into to this Agreement has been made by such Unitholder independently of any other Unitholder. Nothing contained herein, and no action taken by any Unitholder pursuant hereto, shall be deemed to constitute the Unitholders as a partnership, an association, a joint venture or any other kind of entity, or create a presumption that the Unitholders are in any way acting in concert or as a group with respect to such obligations or the transactions contemplated hereby. Bakkt Pubco acknowledges that the Unitholders are not acting in concert or as a group, and Bakkt Pubco will not assert any such claim, with respect to such obligations or the transactions contemplated hereby. </w:t>
      </w:r>
    </w:p>
    <w:p>
      <w:pPr>
        <w:pStyle w:val="TextBody"/>
        <w:spacing w:before="240" w:after="0"/>
        <w:jc w:val="left"/>
        <w:rPr>
          <w:rFonts w:ascii="Times New Roman" w:hAnsi="Times New Roman"/>
          <w:sz w:val="20"/>
        </w:rPr>
      </w:pPr>
      <w:r>
        <w:rPr>
          <w:rFonts w:ascii="Times New Roman" w:hAnsi="Times New Roman"/>
          <w:sz w:val="20"/>
          <w:u w:val="single"/>
        </w:rPr>
        <w:t>SECTION 3.14</w:t>
      </w:r>
      <w:r>
        <w:rPr>
          <w:rFonts w:ascii="Times New Roman" w:hAnsi="Times New Roman"/>
          <w:sz w:val="20"/>
        </w:rPr>
        <w:t xml:space="preserve"> </w:t>
      </w:r>
      <w:r>
        <w:rPr>
          <w:rFonts w:ascii="Times New Roman" w:hAnsi="Times New Roman"/>
          <w:sz w:val="20"/>
          <w:u w:val="single"/>
        </w:rPr>
        <w:t>Applicable Law</w:t>
      </w:r>
      <w:r>
        <w:rPr>
          <w:rFonts w:ascii="Times New Roman" w:hAnsi="Times New Roman"/>
          <w:sz w:val="20"/>
        </w:rPr>
        <w:t xml:space="preserve">. This Agreement shall be governed by, and construed in accordance with, the law of the State of Delaware, without regards to its principles of conflicts of laws. </w:t>
      </w:r>
    </w:p>
    <w:p>
      <w:pPr>
        <w:pStyle w:val="TextBody"/>
        <w:spacing w:before="0" w:after="0"/>
        <w:jc w:val="left"/>
        <w:rPr/>
      </w:pPr>
      <w:r>
        <w:rPr/>
        <w:t> </w:t>
      </w:r>
    </w:p>
    <w:p>
      <w:pPr>
        <w:pStyle w:val="TextBody"/>
        <w:spacing w:before="0" w:after="0"/>
        <w:jc w:val="left"/>
        <w:rPr/>
      </w:pPr>
      <w:r>
        <w:rPr/>
        <w:t> </w:t>
      </w:r>
    </w:p>
    <w:p>
      <w:pPr>
        <w:pStyle w:val="TextBody"/>
        <w:spacing w:before="192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Pages Follow.</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all as of the date first set forth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97"/>
        <w:gridCol w:w="113"/>
        <w:gridCol w:w="2872"/>
      </w:tblGrid>
      <w:tr>
        <w:trPr/>
        <w:tc>
          <w:tcPr>
            <w:tcW w:w="109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BAKKT PUBCO: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INC.</w:t>
            </w:r>
          </w:p>
        </w:tc>
      </w:tr>
      <w:tr>
        <w:trPr>
          <w:trHeight w:val="240" w:hRule="atLeast"/>
        </w:trPr>
        <w:tc>
          <w:tcPr>
            <w:tcW w:w="1097" w:type="dxa"/>
            <w:tcBorders/>
            <w:shd w:fill="auto" w:val="clear"/>
            <w:vAlign w:val="center"/>
          </w:tcPr>
          <w:p>
            <w:pPr>
              <w:pStyle w:val="TableContents"/>
              <w:spacing w:before="0" w:after="283"/>
              <w:rPr>
                <w:sz w:val="4"/>
                <w:szCs w:val="4"/>
              </w:rPr>
            </w:pPr>
            <w:r>
              <w:rPr>
                <w:sz w:val="4"/>
                <w:szCs w:val="4"/>
              </w:rPr>
            </w:r>
          </w:p>
        </w:tc>
        <w:tc>
          <w:tcPr>
            <w:tcW w:w="2985" w:type="dxa"/>
            <w:gridSpan w:val="2"/>
            <w:tcBorders/>
            <w:shd w:fill="auto" w:val="clear"/>
            <w:vAlign w:val="center"/>
          </w:tcPr>
          <w:p>
            <w:pPr>
              <w:pStyle w:val="TableContents"/>
              <w:spacing w:before="0" w:after="283"/>
              <w:rPr>
                <w:sz w:val="4"/>
                <w:szCs w:val="4"/>
              </w:rPr>
            </w:pPr>
            <w:r>
              <w:rPr>
                <w:sz w:val="4"/>
                <w:szCs w:val="4"/>
              </w:rPr>
            </w:r>
          </w:p>
        </w:tc>
      </w:tr>
      <w:tr>
        <w:trPr/>
        <w:tc>
          <w:tcPr>
            <w:tcW w:w="1097" w:type="dxa"/>
            <w:tcBorders/>
            <w:shd w:fill="auto" w:val="clear"/>
          </w:tcPr>
          <w:p>
            <w:pPr>
              <w:pStyle w:val="TableContents"/>
              <w:spacing w:before="0" w:after="283"/>
              <w:rPr/>
            </w:pPr>
            <w:r>
              <w:rPr/>
              <w:t>By:</w:t>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pBdr>
                <w:bottom w:val="single" w:sz="2" w:space="1" w:color="000000"/>
              </w:pBdr>
              <w:spacing w:before="0" w:after="20"/>
              <w:rPr/>
            </w:pPr>
            <w:r>
              <w:rPr/>
              <w:t> </w:t>
            </w:r>
          </w:p>
        </w:tc>
      </w:tr>
      <w:tr>
        <w:trPr/>
        <w:tc>
          <w:tcPr>
            <w:tcW w:w="10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pPr>
            <w:r>
              <w:rPr/>
              <w:t>Name:</w:t>
            </w:r>
          </w:p>
        </w:tc>
      </w:tr>
      <w:tr>
        <w:trPr/>
        <w:tc>
          <w:tcPr>
            <w:tcW w:w="10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COMPANY: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OPCO HOLDINGS, LLC</w:t>
            </w:r>
          </w:p>
        </w:tc>
      </w:tr>
      <w:tr>
        <w:trPr>
          <w:trHeight w:val="240" w:hRule="atLeast"/>
        </w:trPr>
        <w:tc>
          <w:tcPr>
            <w:tcW w:w="1097" w:type="dxa"/>
            <w:tcBorders/>
            <w:shd w:fill="auto" w:val="clear"/>
            <w:vAlign w:val="center"/>
          </w:tcPr>
          <w:p>
            <w:pPr>
              <w:pStyle w:val="TableContents"/>
              <w:spacing w:before="0" w:after="283"/>
              <w:rPr>
                <w:sz w:val="4"/>
                <w:szCs w:val="4"/>
              </w:rPr>
            </w:pPr>
            <w:r>
              <w:rPr>
                <w:sz w:val="4"/>
                <w:szCs w:val="4"/>
              </w:rPr>
            </w:r>
          </w:p>
        </w:tc>
        <w:tc>
          <w:tcPr>
            <w:tcW w:w="2985" w:type="dxa"/>
            <w:gridSpan w:val="2"/>
            <w:tcBorders/>
            <w:shd w:fill="auto" w:val="clear"/>
            <w:vAlign w:val="center"/>
          </w:tcPr>
          <w:p>
            <w:pPr>
              <w:pStyle w:val="TableContents"/>
              <w:spacing w:before="0" w:after="283"/>
              <w:rPr>
                <w:sz w:val="4"/>
                <w:szCs w:val="4"/>
              </w:rPr>
            </w:pPr>
            <w:r>
              <w:rPr>
                <w:sz w:val="4"/>
                <w:szCs w:val="4"/>
              </w:rPr>
            </w:r>
          </w:p>
        </w:tc>
      </w:tr>
      <w:tr>
        <w:trPr/>
        <w:tc>
          <w:tcPr>
            <w:tcW w:w="1097" w:type="dxa"/>
            <w:tcBorders/>
            <w:shd w:fill="auto" w:val="clear"/>
          </w:tcPr>
          <w:p>
            <w:pPr>
              <w:pStyle w:val="TableContents"/>
              <w:spacing w:before="0" w:after="283"/>
              <w:rPr/>
            </w:pPr>
            <w:r>
              <w:rPr/>
              <w:t>By:</w:t>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pBdr>
                <w:bottom w:val="single" w:sz="2" w:space="1" w:color="000000"/>
              </w:pBdr>
              <w:spacing w:before="0" w:after="20"/>
              <w:rPr/>
            </w:pPr>
            <w:r>
              <w:rPr/>
              <w:t> </w:t>
            </w:r>
          </w:p>
        </w:tc>
      </w:tr>
      <w:tr>
        <w:trPr/>
        <w:tc>
          <w:tcPr>
            <w:tcW w:w="10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pPr>
            <w:r>
              <w:rPr/>
              <w:t>Name:</w:t>
            </w:r>
          </w:p>
        </w:tc>
      </w:tr>
      <w:tr>
        <w:trPr/>
        <w:tc>
          <w:tcPr>
            <w:tcW w:w="10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UNITHOLDERS:</w:t>
            </w:r>
          </w:p>
        </w:tc>
      </w:tr>
      <w:tr>
        <w:trPr>
          <w:trHeight w:val="240" w:hRule="atLeast"/>
        </w:trPr>
        <w:tc>
          <w:tcPr>
            <w:tcW w:w="1097" w:type="dxa"/>
            <w:tcBorders/>
            <w:shd w:fill="auto" w:val="clear"/>
            <w:vAlign w:val="center"/>
          </w:tcPr>
          <w:p>
            <w:pPr>
              <w:pStyle w:val="TableContents"/>
              <w:spacing w:before="0" w:after="283"/>
              <w:rPr>
                <w:sz w:val="4"/>
                <w:szCs w:val="4"/>
              </w:rPr>
            </w:pPr>
            <w:r>
              <w:rPr>
                <w:sz w:val="4"/>
                <w:szCs w:val="4"/>
              </w:rPr>
            </w:r>
          </w:p>
        </w:tc>
        <w:tc>
          <w:tcPr>
            <w:tcW w:w="2985" w:type="dxa"/>
            <w:gridSpan w:val="2"/>
            <w:tcBorders/>
            <w:shd w:fill="auto" w:val="clear"/>
            <w:vAlign w:val="center"/>
          </w:tcPr>
          <w:p>
            <w:pPr>
              <w:pStyle w:val="TableContents"/>
              <w:spacing w:before="0" w:after="283"/>
              <w:rPr>
                <w:sz w:val="4"/>
                <w:szCs w:val="4"/>
              </w:rPr>
            </w:pPr>
            <w:r>
              <w:rPr>
                <w:sz w:val="4"/>
                <w:szCs w:val="4"/>
              </w:rPr>
            </w:r>
          </w:p>
        </w:tc>
      </w:tr>
      <w:tr>
        <w:trPr/>
        <w:tc>
          <w:tcPr>
            <w:tcW w:w="1097" w:type="dxa"/>
            <w:tcBorders/>
            <w:shd w:fill="auto" w:val="clear"/>
          </w:tcPr>
          <w:p>
            <w:pPr>
              <w:pStyle w:val="TableContents"/>
              <w:spacing w:before="0" w:after="283"/>
              <w:rPr/>
            </w:pPr>
            <w:r>
              <w:rPr/>
              <w:t>[]</w:t>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sz w:val="4"/>
                <w:szCs w:val="4"/>
              </w:rPr>
            </w:pPr>
            <w:r>
              <w:rPr>
                <w:sz w:val="4"/>
                <w:szCs w:val="4"/>
              </w:rPr>
            </w:r>
          </w:p>
        </w:tc>
      </w:tr>
      <w:tr>
        <w:trPr>
          <w:trHeight w:val="240" w:hRule="atLeast"/>
        </w:trPr>
        <w:tc>
          <w:tcPr>
            <w:tcW w:w="1097" w:type="dxa"/>
            <w:tcBorders/>
            <w:shd w:fill="auto" w:val="clear"/>
            <w:vAlign w:val="center"/>
          </w:tcPr>
          <w:p>
            <w:pPr>
              <w:pStyle w:val="TableContents"/>
              <w:spacing w:before="0" w:after="283"/>
              <w:rPr>
                <w:sz w:val="4"/>
                <w:szCs w:val="4"/>
              </w:rPr>
            </w:pPr>
            <w:r>
              <w:rPr>
                <w:sz w:val="4"/>
                <w:szCs w:val="4"/>
              </w:rPr>
            </w:r>
          </w:p>
        </w:tc>
        <w:tc>
          <w:tcPr>
            <w:tcW w:w="2985" w:type="dxa"/>
            <w:gridSpan w:val="2"/>
            <w:tcBorders/>
            <w:shd w:fill="auto" w:val="clear"/>
            <w:vAlign w:val="center"/>
          </w:tcPr>
          <w:p>
            <w:pPr>
              <w:pStyle w:val="TableContents"/>
              <w:spacing w:before="0" w:after="283"/>
              <w:rPr>
                <w:sz w:val="4"/>
                <w:szCs w:val="4"/>
              </w:rPr>
            </w:pPr>
            <w:r>
              <w:rPr>
                <w:sz w:val="4"/>
                <w:szCs w:val="4"/>
              </w:rPr>
            </w:r>
          </w:p>
        </w:tc>
      </w:tr>
      <w:tr>
        <w:trPr/>
        <w:tc>
          <w:tcPr>
            <w:tcW w:w="1097" w:type="dxa"/>
            <w:tcBorders/>
            <w:shd w:fill="auto" w:val="clear"/>
          </w:tcPr>
          <w:p>
            <w:pPr>
              <w:pStyle w:val="TableContents"/>
              <w:spacing w:before="0" w:after="283"/>
              <w:rPr/>
            </w:pPr>
            <w:r>
              <w:rPr/>
              <w:t>By:</w:t>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pBdr>
                <w:bottom w:val="single" w:sz="2" w:space="1" w:color="000000"/>
              </w:pBdr>
              <w:spacing w:before="0" w:after="20"/>
              <w:rPr/>
            </w:pPr>
            <w:r>
              <w:rPr/>
              <w:t> </w:t>
            </w:r>
          </w:p>
        </w:tc>
      </w:tr>
      <w:tr>
        <w:trPr/>
        <w:tc>
          <w:tcPr>
            <w:tcW w:w="10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pPr>
            <w:r>
              <w:rPr/>
              <w:t>Name:</w:t>
            </w:r>
          </w:p>
        </w:tc>
      </w:tr>
      <w:tr>
        <w:trPr/>
        <w:tc>
          <w:tcPr>
            <w:tcW w:w="10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872" w:type="dxa"/>
            <w:tcBorders/>
            <w:shd w:fill="auto" w:val="clear"/>
          </w:tcPr>
          <w:p>
            <w:pPr>
              <w:pStyle w:val="TableContents"/>
              <w:spacing w:before="0" w:after="283"/>
              <w:rPr/>
            </w:pPr>
            <w:r>
              <w:rPr/>
              <w:t>Title:</w:t>
            </w:r>
          </w:p>
        </w:tc>
      </w:tr>
    </w:tbl>
    <w:p>
      <w:pPr>
        <w:pStyle w:val="TextBody"/>
        <w:spacing w:before="0" w:after="0"/>
        <w:jc w:val="left"/>
        <w:rPr/>
      </w:pPr>
      <w:r>
        <w:rPr/>
        <w:t> </w:t>
      </w:r>
    </w:p>
    <w:p>
      <w:pPr>
        <w:pStyle w:val="TextBody"/>
        <w:spacing w:before="1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Exchange Agreement</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sz w:val="20"/>
        </w:rPr>
      </w:pPr>
      <w:r>
        <w:rPr>
          <w:rFonts w:ascii="Times New Roman" w:hAnsi="Times New Roman"/>
          <w:sz w:val="20"/>
        </w:rPr>
        <w:t xml:space="preserve">FORM OF </w:t>
      </w:r>
    </w:p>
    <w:p>
      <w:pPr>
        <w:pStyle w:val="TextBody"/>
        <w:spacing w:before="0" w:after="0"/>
        <w:jc w:val="center"/>
        <w:rPr>
          <w:rFonts w:ascii="Times New Roman" w:hAnsi="Times New Roman"/>
          <w:sz w:val="20"/>
        </w:rPr>
      </w:pPr>
      <w:r>
        <w:rPr>
          <w:rFonts w:ascii="Times New Roman" w:hAnsi="Times New Roman"/>
          <w:sz w:val="20"/>
        </w:rPr>
        <w:t xml:space="preserve">ELECTION OF EXCHANGE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Address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Attention: [] </w:t>
      </w:r>
    </w:p>
    <w:p>
      <w:pPr>
        <w:pStyle w:val="TextBody"/>
        <w:spacing w:before="240" w:after="0"/>
        <w:jc w:val="left"/>
        <w:rPr>
          <w:rFonts w:ascii="Times New Roman" w:hAnsi="Times New Roman"/>
          <w:sz w:val="20"/>
        </w:rPr>
      </w:pPr>
      <w:r>
        <w:rPr>
          <w:rFonts w:ascii="Times New Roman" w:hAnsi="Times New Roman"/>
          <w:sz w:val="20"/>
        </w:rPr>
        <w:t xml:space="preserve">Bakkt Opco Holdings, LLC </w:t>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Address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Attention: [] </w:t>
      </w:r>
    </w:p>
    <w:p>
      <w:pPr>
        <w:pStyle w:val="TextBody"/>
        <w:spacing w:before="240" w:after="0"/>
        <w:jc w:val="left"/>
        <w:rPr>
          <w:rFonts w:ascii="Times New Roman" w:hAnsi="Times New Roman"/>
          <w:sz w:val="20"/>
        </w:rPr>
      </w:pPr>
      <w:r>
        <w:rPr>
          <w:rFonts w:ascii="Times New Roman" w:hAnsi="Times New Roman"/>
          <w:sz w:val="20"/>
        </w:rPr>
        <w:t>Reference is hereby made to the Exchange Agreement, dated as of [], 2021 (the </w:t>
      </w:r>
      <w:r>
        <w:rPr>
          <w:rFonts w:ascii="Times New Roman" w:hAnsi="Times New Roman"/>
          <w:sz w:val="20"/>
          <w:u w:val="single"/>
        </w:rPr>
        <w:t>Exchange Agreement</w:t>
      </w:r>
      <w:r>
        <w:rPr>
          <w:rFonts w:ascii="Times New Roman" w:hAnsi="Times New Roman"/>
          <w:sz w:val="20"/>
        </w:rPr>
        <w:t>), among Bakkt Holdings, Inc., a Delaware corporation (</w:t>
      </w:r>
      <w:r>
        <w:rPr>
          <w:rFonts w:ascii="Times New Roman" w:hAnsi="Times New Roman"/>
          <w:sz w:val="20"/>
          <w:u w:val="single"/>
        </w:rPr>
        <w:t>Bakkt Pubco</w:t>
      </w:r>
      <w:r>
        <w:rPr>
          <w:rFonts w:ascii="Times New Roman" w:hAnsi="Times New Roman"/>
          <w:sz w:val="20"/>
        </w:rPr>
        <w:t>), Bakkt Opco Holdings, LLC, a Delaware limited liability company (the </w:t>
      </w:r>
      <w:r>
        <w:rPr>
          <w:rFonts w:ascii="Times New Roman" w:hAnsi="Times New Roman"/>
          <w:sz w:val="20"/>
          <w:u w:val="single"/>
        </w:rPr>
        <w:t>Company</w:t>
      </w:r>
      <w:r>
        <w:rPr>
          <w:rFonts w:ascii="Times New Roman" w:hAnsi="Times New Roman"/>
          <w:sz w:val="20"/>
        </w:rPr>
        <w:t xml:space="preserve">), and the other members of the Company from time to time party thereto. Capitalized terms used but not defined herein shall have the meanings given to them in the Exchange Agreement. </w:t>
      </w:r>
    </w:p>
    <w:p>
      <w:pPr>
        <w:pStyle w:val="TextBody"/>
        <w:spacing w:before="240" w:after="0"/>
        <w:jc w:val="left"/>
        <w:rPr>
          <w:rFonts w:ascii="Times New Roman" w:hAnsi="Times New Roman"/>
          <w:sz w:val="20"/>
        </w:rPr>
      </w:pPr>
      <w:r>
        <w:rPr>
          <w:rFonts w:ascii="Times New Roman" w:hAnsi="Times New Roman"/>
          <w:sz w:val="20"/>
        </w:rPr>
        <w:t xml:space="preserve">The undersigned Unitholder hereby transfers effective as of the Exchange Date, and, in the case of a contingent exchange, subject to the occurrence of the contingency set forth below, the number of Paired Interests (each consisting of one Common Unit and one share of Class V Common Stock) set forth below to Bakkt Pubco in exchange for shares of Class A Common Stock to be issued in its name as set forth below, as set forth in the Exchange Agreement. </w:t>
      </w:r>
    </w:p>
    <w:p>
      <w:pPr>
        <w:pStyle w:val="TextBody"/>
        <w:spacing w:before="240" w:after="0"/>
        <w:jc w:val="left"/>
        <w:rPr>
          <w:rFonts w:ascii="Times New Roman" w:hAnsi="Times New Roman"/>
          <w:sz w:val="20"/>
        </w:rPr>
      </w:pPr>
      <w:r>
        <w:rPr>
          <w:rFonts w:ascii="Times New Roman" w:hAnsi="Times New Roman"/>
          <w:sz w:val="20"/>
        </w:rPr>
        <w:t xml:space="preserve">Legal Name of Unitholder: </w:t>
      </w:r>
      <w:r>
        <w:rPr>
          <w:rFonts w:ascii="Times New Roman" w:hAnsi="Times New Roman"/>
          <w:sz w:val="20"/>
          <w:u w:val="single"/>
        </w:rPr>
        <w: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Address: </w:t>
      </w:r>
      <w:r>
        <w:rPr>
          <w:rFonts w:ascii="Times New Roman" w:hAnsi="Times New Roman"/>
          <w:sz w:val="20"/>
          <w:u w:val="single"/>
        </w:rPr>
        <w: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Number of Paired Interests to be exchanged: </w:t>
      </w:r>
      <w:r>
        <w:rPr>
          <w:rFonts w:ascii="Times New Roman" w:hAnsi="Times New Roman"/>
          <w:sz w:val="20"/>
          <w:u w:val="single"/>
        </w:rPr>
        <w:t xml:space="preserve">                                                                              </w:t>
      </w:r>
    </w:p>
    <w:p>
      <w:pPr>
        <w:pStyle w:val="TextBody"/>
        <w:spacing w:before="120" w:after="0"/>
        <w:jc w:val="left"/>
        <w:rPr>
          <w:rFonts w:ascii="Times New Roman" w:hAnsi="Times New Roman"/>
          <w:sz w:val="20"/>
        </w:rPr>
      </w:pPr>
      <w:r>
        <w:rPr>
          <w:rFonts w:ascii="Times New Roman" w:hAnsi="Times New Roman"/>
          <w:sz w:val="20"/>
        </w:rPr>
        <w:t xml:space="preserve">Percentage Limitation (if any) on Tax Benefit Payments pursuant to Section 7.16 of Tax </w:t>
      </w:r>
    </w:p>
    <w:p>
      <w:pPr>
        <w:pStyle w:val="TextBody"/>
        <w:spacing w:before="0" w:after="0"/>
        <w:jc w:val="left"/>
        <w:rPr>
          <w:rFonts w:ascii="Times New Roman" w:hAnsi="Times New Roman"/>
          <w:sz w:val="20"/>
        </w:rPr>
      </w:pPr>
      <w:r>
        <w:rPr>
          <w:rFonts w:ascii="Times New Roman" w:hAnsi="Times New Roman"/>
          <w:sz w:val="20"/>
        </w:rPr>
        <w:t xml:space="preserve">Receivable Agreement: </w:t>
      </w:r>
      <w:r>
        <w:rPr>
          <w:rFonts w:ascii="Times New Roman" w:hAnsi="Times New Roman"/>
          <w:sz w:val="20"/>
          <w:u w:val="single"/>
        </w:rPr>
        <w:t xml:space="preserve">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Whether Unitholder agrees to tender cash for the amount of any required </w:t>
      </w:r>
    </w:p>
    <w:p>
      <w:pPr>
        <w:pStyle w:val="TextBody"/>
        <w:spacing w:before="0" w:after="0"/>
        <w:jc w:val="left"/>
        <w:rPr>
          <w:rFonts w:ascii="Times New Roman" w:hAnsi="Times New Roman"/>
          <w:sz w:val="20"/>
        </w:rPr>
      </w:pPr>
      <w:r>
        <w:rPr>
          <w:rFonts w:ascii="Times New Roman" w:hAnsi="Times New Roman"/>
          <w:sz w:val="20"/>
        </w:rPr>
        <w:t xml:space="preserve">withholding pursuant to Section 3.11 of the Exchange Agreement: </w:t>
      </w:r>
      <w:r>
        <w:rPr>
          <w:rFonts w:ascii="Times New Roman" w:hAnsi="Times New Roman"/>
          <w:sz w:val="20"/>
          <w:u w:val="single"/>
        </w:rPr>
        <w: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Account information for deposit of Cash Amount, if applicable: </w:t>
      </w:r>
    </w:p>
    <w:p>
      <w:pPr>
        <w:pStyle w:val="TextBody"/>
        <w:spacing w:before="120" w:after="0"/>
        <w:jc w:val="left"/>
        <w:rPr>
          <w:rFonts w:ascii="Times New Roman" w:hAnsi="Times New Roman"/>
          <w:sz w:val="20"/>
        </w:rPr>
      </w:pPr>
      <w:r>
        <w:rPr>
          <w:rFonts w:ascii="Times New Roman" w:hAnsi="Times New Roman"/>
          <w:sz w:val="20"/>
        </w:rPr>
        <w:t xml:space="preserve">Bank Name: </w:t>
      </w:r>
      <w:r>
        <w:rPr>
          <w:rFonts w:ascii="Times New Roman" w:hAnsi="Times New Roman"/>
          <w:sz w:val="20"/>
          <w:u w:val="single"/>
        </w:rPr>
        <w: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ABA No.: </w:t>
      </w:r>
      <w:r>
        <w:rPr>
          <w:rFonts w:ascii="Times New Roman" w:hAnsi="Times New Roman"/>
          <w:sz w:val="20"/>
          <w:u w:val="single"/>
        </w:rPr>
        <w:t xml:space="preserve">                                                                                                                                    </w:t>
      </w:r>
    </w:p>
    <w:p>
      <w:pPr>
        <w:pStyle w:val="TextBody"/>
        <w:spacing w:before="120" w:after="0"/>
        <w:jc w:val="left"/>
        <w:rPr>
          <w:rFonts w:ascii="Times New Roman" w:hAnsi="Times New Roman"/>
          <w:sz w:val="20"/>
        </w:rPr>
      </w:pPr>
      <w:r>
        <w:rPr>
          <w:rFonts w:ascii="Times New Roman" w:hAnsi="Times New Roman"/>
          <w:sz w:val="20"/>
        </w:rPr>
        <w:t xml:space="preserve">Account No.: </w:t>
      </w:r>
      <w:r>
        <w:rPr>
          <w:rFonts w:ascii="Times New Roman" w:hAnsi="Times New Roman"/>
          <w:sz w:val="20"/>
          <w:u w:val="single"/>
        </w:rPr>
        <w: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Account Name: </w:t>
      </w:r>
      <w:r>
        <w:rPr>
          <w:rFonts w:ascii="Times New Roman" w:hAnsi="Times New Roman"/>
          <w:sz w:val="20"/>
          <w:u w:val="single"/>
        </w:rPr>
        <w:t>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Timing / Contingent Exchanges (complete either (a) or (b)) </w:t>
      </w:r>
    </w:p>
    <w:p>
      <w:pPr>
        <w:pStyle w:val="TextBody"/>
        <w:spacing w:before="120" w:after="0"/>
        <w:jc w:val="left"/>
        <w:rPr>
          <w:rFonts w:ascii="Times New Roman" w:hAnsi="Times New Roman"/>
          <w:sz w:val="20"/>
        </w:rPr>
      </w:pPr>
      <w:r>
        <w:rPr>
          <w:rFonts w:ascii="Times New Roman" w:hAnsi="Times New Roman"/>
          <w:sz w:val="20"/>
        </w:rPr>
        <w:t xml:space="preserve">(a) Exchange Date (if other than close of business on the date of receipt by the </w:t>
      </w:r>
    </w:p>
    <w:p>
      <w:pPr>
        <w:pStyle w:val="TextBody"/>
        <w:spacing w:before="0" w:after="0"/>
        <w:jc w:val="left"/>
        <w:rPr>
          <w:rFonts w:ascii="Times New Roman" w:hAnsi="Times New Roman"/>
          <w:sz w:val="20"/>
        </w:rPr>
      </w:pPr>
      <w:r>
        <w:rPr>
          <w:rFonts w:ascii="Times New Roman" w:hAnsi="Times New Roman"/>
          <w:sz w:val="20"/>
        </w:rPr>
        <w:t xml:space="preserve">Company): </w:t>
      </w:r>
      <w:r>
        <w:rPr>
          <w:rFonts w:ascii="Times New Roman" w:hAnsi="Times New Roman"/>
          <w:sz w:val="20"/>
          <w:u w:val="single"/>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If Exchange is contingent upon the occurrence of any event pursuant to </w:t>
      </w:r>
    </w:p>
    <w:p>
      <w:pPr>
        <w:pStyle w:val="TextBody"/>
        <w:spacing w:before="0" w:after="0"/>
        <w:jc w:val="left"/>
        <w:rPr>
          <w:rFonts w:ascii="Times New Roman" w:hAnsi="Times New Roman"/>
          <w:sz w:val="20"/>
        </w:rPr>
      </w:pPr>
      <w:r>
        <w:rPr>
          <w:rFonts w:ascii="Times New Roman" w:hAnsi="Times New Roman"/>
          <w:sz w:val="20"/>
        </w:rPr>
        <w:t xml:space="preserve">Section 2.1(b), please describe such contingency: </w:t>
      </w:r>
      <w:r>
        <w:rPr>
          <w:rFonts w:ascii="Times New Roman" w:hAnsi="Times New Roman"/>
          <w:sz w:val="20"/>
          <w:u w:val="single"/>
        </w:rPr>
        <w:t xml:space="preserve">                                         </w:t>
      </w:r>
    </w:p>
    <w:p>
      <w:pPr>
        <w:pStyle w:val="TextBody"/>
        <w:spacing w:before="0" w:after="0"/>
        <w:jc w:val="left"/>
        <w:rPr/>
      </w:pPr>
      <w:r>
        <w:rPr>
          <w:u w:val="single"/>
        </w:rPr>
        <w:t>                                                                                                                           </w:t>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undersigned hereby represents and warrants that (i) the undersigned has full legal capacity to execute and deliver this Election of Exchange and to perform the undersigneds obligations hereunder; (ii)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Election of Exchange has been duly executed and delivered by the undersigned and is the legal, valid and binding obligation of the undersigned enforceable against it in accordance with the terms hereof, subject to applicable bankruptcy, insolvency and similar laws affecting creditors rights generally and the availability of equitable remedies; (iii) the Paired Interests subject to this Election of Exchange are being transferred to Bakkt Pubco free and clear of any pledge, lien, security interest, encumbrance, equities or claim; (iv) no consent, approval, authorization, order, registration or qualification of any third party or with any court or governmental agency or body having jurisdiction over the undersigned or the Paired Interests subject to this Election of Exchange is required to be obtained by the undersigned for the transfer of such Paired Interests to Bakkt Pubco; (v) the undersigned is owner of the Paired Interests subject to this Election of Exchange and (vi) the Paired Interests have not been transferred in violation of Bakkt Pubcos Certificate of Incorporation, Bakkt Pubcos By-Laws, the Stockholders Agreement, the LLC Agreement, or this Agreement. </w:t>
      </w:r>
    </w:p>
    <w:p>
      <w:pPr>
        <w:pStyle w:val="TextBody"/>
        <w:spacing w:before="240" w:after="0"/>
        <w:jc w:val="left"/>
        <w:rPr>
          <w:rFonts w:ascii="Times New Roman" w:hAnsi="Times New Roman"/>
          <w:sz w:val="20"/>
        </w:rPr>
      </w:pPr>
      <w:r>
        <w:rPr>
          <w:rFonts w:ascii="Times New Roman" w:hAnsi="Times New Roman"/>
          <w:sz w:val="20"/>
        </w:rPr>
        <w:t xml:space="preserve">The undersigned hereby irrevocably constitutes and appoints any officer of Bakkt Pubco or of the Company as the attorney of the undersigned, with full power of substitution and resubstitution in the premises, to do any and all things and to take any and all actions that may be necessary to transfer the Paired Interests to Bakkt Pubco subject to this Election of Exchange and to deliver to the undersigned the shares of Class A Common Stock to be delivered in exchange therefor. </w:t>
      </w:r>
    </w:p>
    <w:p>
      <w:pPr>
        <w:pStyle w:val="TextBody"/>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Election of Exchange to be executed and delivered by the undersigned or by its duly authorized attorney.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50"/>
        <w:gridCol w:w="61"/>
        <w:gridCol w:w="3371"/>
      </w:tblGrid>
      <w:tr>
        <w:trPr/>
        <w:tc>
          <w:tcPr>
            <w:tcW w:w="65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71" w:type="dxa"/>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tcPr>
          <w:p>
            <w:pPr>
              <w:pStyle w:val="TableContents"/>
              <w:spacing w:before="0" w:after="283"/>
              <w:rPr/>
            </w:pPr>
            <w:r>
              <w:rPr/>
              <w:t xml:space="preserve">By: </w:t>
            </w:r>
          </w:p>
        </w:tc>
        <w:tc>
          <w:tcPr>
            <w:tcW w:w="61" w:type="dxa"/>
            <w:tcBorders/>
            <w:shd w:fill="auto" w:val="clear"/>
            <w:vAlign w:val="bottom"/>
          </w:tcPr>
          <w:p>
            <w:pPr>
              <w:pStyle w:val="TableContents"/>
              <w:spacing w:before="0" w:after="283"/>
              <w:rPr/>
            </w:pPr>
            <w:r>
              <w:rPr/>
              <w:t> </w:t>
            </w:r>
          </w:p>
        </w:tc>
        <w:tc>
          <w:tcPr>
            <w:tcW w:w="3371" w:type="dxa"/>
            <w:tcBorders/>
            <w:shd w:fill="auto" w:val="clear"/>
          </w:tcPr>
          <w:p>
            <w:pPr>
              <w:pStyle w:val="TableContents"/>
              <w:pBdr>
                <w:bottom w:val="single" w:sz="2" w:space="1" w:color="000000"/>
              </w:pBdr>
              <w:spacing w:before="0" w:after="20"/>
              <w:rPr/>
            </w:pPr>
            <w:r>
              <w:rPr/>
              <w:t> </w:t>
            </w:r>
          </w:p>
        </w:tc>
      </w:tr>
      <w:tr>
        <w:trPr>
          <w:trHeight w:val="240" w:hRule="atLeast"/>
        </w:trPr>
        <w:tc>
          <w:tcPr>
            <w:tcW w:w="650" w:type="dxa"/>
            <w:tcBorders/>
            <w:shd w:fill="auto" w:val="clear"/>
            <w:vAlign w:val="center"/>
          </w:tcPr>
          <w:p>
            <w:pPr>
              <w:pStyle w:val="TableContents"/>
              <w:spacing w:before="0" w:after="283"/>
              <w:rPr>
                <w:sz w:val="4"/>
                <w:szCs w:val="4"/>
              </w:rPr>
            </w:pPr>
            <w:r>
              <w:rPr>
                <w:sz w:val="4"/>
                <w:szCs w:val="4"/>
              </w:rPr>
            </w:r>
          </w:p>
        </w:tc>
        <w:tc>
          <w:tcPr>
            <w:tcW w:w="3432" w:type="dxa"/>
            <w:gridSpan w:val="2"/>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Dated:</w:t>
            </w:r>
          </w:p>
        </w:tc>
        <w:tc>
          <w:tcPr>
            <w:tcW w:w="61" w:type="dxa"/>
            <w:tcBorders/>
            <w:shd w:fill="auto" w:val="clear"/>
            <w:vAlign w:val="bottom"/>
          </w:tcPr>
          <w:p>
            <w:pPr>
              <w:pStyle w:val="TableContents"/>
              <w:spacing w:before="0" w:after="283"/>
              <w:rPr/>
            </w:pPr>
            <w:r>
              <w:rPr/>
              <w:t> </w:t>
            </w:r>
          </w:p>
        </w:tc>
        <w:tc>
          <w:tcPr>
            <w:tcW w:w="3371" w:type="dxa"/>
            <w:tcBorders/>
            <w:shd w:fill="auto" w:val="clear"/>
          </w:tcPr>
          <w:p>
            <w:pPr>
              <w:pStyle w:val="TableContents"/>
              <w:pBdr>
                <w:bottom w:val="single" w:sz="2" w:space="1" w:color="000000"/>
              </w:pBdr>
              <w:spacing w:before="0" w:after="20"/>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240" w:after="0"/>
        <w:jc w:val="center"/>
        <w:rPr>
          <w:rFonts w:ascii="Times New Roman" w:hAnsi="Times New Roman"/>
          <w:sz w:val="20"/>
        </w:rPr>
      </w:pPr>
      <w:r>
        <w:rPr>
          <w:rFonts w:ascii="Times New Roman" w:hAnsi="Times New Roman"/>
          <w:sz w:val="20"/>
        </w:rPr>
        <w:t xml:space="preserve">FORM OF </w:t>
      </w:r>
    </w:p>
    <w:p>
      <w:pPr>
        <w:pStyle w:val="TextBody"/>
        <w:spacing w:before="0" w:after="0"/>
        <w:jc w:val="center"/>
        <w:rPr>
          <w:rFonts w:ascii="Times New Roman" w:hAnsi="Times New Roman"/>
          <w:sz w:val="20"/>
        </w:rPr>
      </w:pPr>
      <w:r>
        <w:rPr>
          <w:rFonts w:ascii="Times New Roman" w:hAnsi="Times New Roman"/>
          <w:sz w:val="20"/>
        </w:rPr>
        <w:t xml:space="preserve">JOINDER AGREEMENT </w:t>
      </w:r>
    </w:p>
    <w:p>
      <w:pPr>
        <w:pStyle w:val="TextBody"/>
        <w:spacing w:before="240" w:after="0"/>
        <w:jc w:val="left"/>
        <w:rPr>
          <w:rFonts w:ascii="Times New Roman" w:hAnsi="Times New Roman"/>
          <w:sz w:val="20"/>
        </w:rPr>
      </w:pPr>
      <w:r>
        <w:rPr>
          <w:rFonts w:ascii="Times New Roman" w:hAnsi="Times New Roman"/>
          <w:sz w:val="20"/>
        </w:rPr>
        <w:t>This Joinder Agreement (</w:t>
      </w:r>
      <w:r>
        <w:rPr>
          <w:rFonts w:ascii="Times New Roman" w:hAnsi="Times New Roman"/>
          <w:sz w:val="20"/>
          <w:u w:val="single"/>
        </w:rPr>
        <w:t>Joinder Agreement</w:t>
      </w:r>
      <w:r>
        <w:rPr>
          <w:rFonts w:ascii="Times New Roman" w:hAnsi="Times New Roman"/>
          <w:sz w:val="20"/>
        </w:rPr>
        <w:t>) is a joinder to the Exchange Agreement, dated as of [], 2021 (the </w:t>
      </w:r>
      <w:r>
        <w:rPr>
          <w:rFonts w:ascii="Times New Roman" w:hAnsi="Times New Roman"/>
          <w:sz w:val="20"/>
          <w:u w:val="single"/>
        </w:rPr>
        <w:t>Exchange Agreement</w:t>
      </w:r>
      <w:r>
        <w:rPr>
          <w:rFonts w:ascii="Times New Roman" w:hAnsi="Times New Roman"/>
          <w:sz w:val="20"/>
        </w:rPr>
        <w:t>), among Bakkt Holdings, Inc., a Delaware corporation (</w:t>
      </w:r>
      <w:r>
        <w:rPr>
          <w:rFonts w:ascii="Times New Roman" w:hAnsi="Times New Roman"/>
          <w:sz w:val="20"/>
          <w:u w:val="single"/>
        </w:rPr>
        <w:t>Bakkt Pubco</w:t>
      </w:r>
      <w:r>
        <w:rPr>
          <w:rFonts w:ascii="Times New Roman" w:hAnsi="Times New Roman"/>
          <w:sz w:val="20"/>
        </w:rPr>
        <w:t>), Bakkt Opco Holdings, LLC, a Delaware limited liability company (the </w:t>
      </w:r>
      <w:r>
        <w:rPr>
          <w:rFonts w:ascii="Times New Roman" w:hAnsi="Times New Roman"/>
          <w:sz w:val="20"/>
          <w:u w:val="single"/>
        </w:rPr>
        <w:t>Company</w:t>
      </w:r>
      <w:r>
        <w:rPr>
          <w:rFonts w:ascii="Times New Roman" w:hAnsi="Times New Roman"/>
          <w:sz w:val="20"/>
        </w:rPr>
        <w:t xml:space="preserve">), and each of the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 </w:t>
      </w:r>
    </w:p>
    <w:p>
      <w:pPr>
        <w:pStyle w:val="TextBody"/>
        <w:spacing w:before="240" w:after="0"/>
        <w:jc w:val="left"/>
        <w:rPr>
          <w:rFonts w:ascii="Times New Roman" w:hAnsi="Times New Roman"/>
          <w:sz w:val="20"/>
        </w:rPr>
      </w:pPr>
      <w:r>
        <w:rPr>
          <w:rFonts w:ascii="Times New Roman" w:hAnsi="Times New Roman"/>
          <w:sz w:val="20"/>
        </w:rPr>
        <w:t xml:space="preserve">The undersigned hereby joins and enters into the Exchange Agreement having acquired Common Units and a corresponding number of shares of Class V Common Stock. By signing and returning this Joinder Agreement to Bakkt Pubco and the Company, the undersigned accepts and agrees to be bound by and subject to all of the terms and conditions of and agreements of a Unitholder contained in the Exchange Agreement, with all attendant rights, duties and obligations of a Unitholder thereunder. The parties to the Exchange Agreement shall treat the execution and delivery hereof by the undersigned as the execution and delivery of the Exchange Agreement by the undersigned and, upon receipt of this Joinder Agreement by Bakkt Pubco and by the Company, the signature of the undersigned set forth below shall constitute a counterpart signature to the signature page of the Exchange Agreement. </w:t>
      </w:r>
    </w:p>
    <w:p>
      <w:pPr>
        <w:pStyle w:val="TextBody"/>
        <w:spacing w:before="240" w:after="0"/>
        <w:jc w:val="left"/>
        <w:rPr>
          <w:rFonts w:ascii="Times New Roman" w:hAnsi="Times New Roman"/>
          <w:sz w:val="20"/>
        </w:rPr>
      </w:pPr>
      <w:r>
        <w:rPr>
          <w:rFonts w:ascii="Times New Roman" w:hAnsi="Times New Roman"/>
          <w:sz w:val="20"/>
        </w:rPr>
        <w:t xml:space="preserve">Name: </w:t>
      </w:r>
      <w:r>
        <w:rPr>
          <w:rFonts w:ascii="Times New Roman" w:hAnsi="Times New Roman"/>
          <w:sz w:val="20"/>
          <w:u w:val="single"/>
        </w:rPr>
        <w:t>                                                                                                      </w:t>
      </w:r>
      <w:r>
        <w:rPr>
          <w:rFonts w:ascii="Times New Roman" w:hAnsi="Times New Roman"/>
          <w:sz w:val="20"/>
        </w:rPr>
        <w:t xml:space="preserve">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195"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Address for Notices:</w:t>
            </w:r>
          </w:p>
          <w:p>
            <w:pPr>
              <w:pStyle w:val="TableContents"/>
              <w:pBdr>
                <w:bottom w:val="single" w:sz="2" w:space="1" w:color="000000"/>
              </w:pBdr>
              <w:spacing w:before="0" w:after="20"/>
              <w:rPr/>
            </w:pPr>
            <w:r>
              <w:rPr/>
              <w:t> </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With copies to:</w:t>
            </w:r>
          </w:p>
          <w:p>
            <w:pPr>
              <w:pStyle w:val="TableContents"/>
              <w:pBdr>
                <w:bottom w:val="single" w:sz="2" w:space="1" w:color="000000"/>
              </w:pBdr>
              <w:spacing w:before="0" w:after="20"/>
              <w:rPr/>
            </w:pPr>
            <w:r>
              <w:rPr/>
              <w:t> </w:t>
            </w:r>
          </w:p>
        </w:tc>
      </w:tr>
      <w:tr>
        <w:trPr/>
        <w:tc>
          <w:tcPr>
            <w:tcW w:w="5204" w:type="dxa"/>
            <w:tcBorders/>
            <w:shd w:fill="auto" w:val="clear"/>
            <w:vAlign w:val="bottom"/>
          </w:tcPr>
          <w:p>
            <w:pPr>
              <w:pStyle w:val="TableContents"/>
              <w:pBdr>
                <w:bottom w:val="single" w:sz="2" w:space="1" w:color="000000"/>
              </w:pBdr>
              <w:spacing w:before="0" w:after="20"/>
              <w:rPr/>
            </w:pPr>
            <w:r>
              <w:rPr/>
              <w:t> </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20"/>
              <w:rPr/>
            </w:pPr>
            <w:r>
              <w:rPr/>
              <w:t> </w:t>
            </w:r>
          </w:p>
        </w:tc>
      </w:tr>
      <w:tr>
        <w:trPr/>
        <w:tc>
          <w:tcPr>
            <w:tcW w:w="5204" w:type="dxa"/>
            <w:tcBorders/>
            <w:shd w:fill="auto" w:val="clear"/>
            <w:vAlign w:val="bottom"/>
          </w:tcPr>
          <w:p>
            <w:pPr>
              <w:pStyle w:val="TableContents"/>
              <w:pBdr>
                <w:bottom w:val="single" w:sz="2" w:space="1" w:color="000000"/>
              </w:pBdr>
              <w:spacing w:before="0" w:after="20"/>
              <w:rPr/>
            </w:pPr>
            <w:r>
              <w:rPr/>
              <w:t> </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20"/>
              <w:rPr/>
            </w:pPr>
            <w:r>
              <w:rPr/>
              <w:t> </w:t>
            </w:r>
          </w:p>
        </w:tc>
      </w:tr>
      <w:tr>
        <w:trPr/>
        <w:tc>
          <w:tcPr>
            <w:tcW w:w="5204" w:type="dxa"/>
            <w:tcBorders/>
            <w:shd w:fill="auto" w:val="clear"/>
            <w:vAlign w:val="bottom"/>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Email:</w:t>
            </w:r>
          </w:p>
          <w:p>
            <w:pPr>
              <w:pStyle w:val="TableContents"/>
              <w:pBdr>
                <w:bottom w:val="single" w:sz="2" w:space="1" w:color="000000"/>
              </w:pBdr>
              <w:spacing w:before="0" w:after="20"/>
              <w:rPr>
                <w:rFonts w:ascii="Times New Roman" w:hAnsi="Times New Roman"/>
                <w:sz w:val="20"/>
              </w:rPr>
            </w:pPr>
            <w:r>
              <w:rPr>
                <w:rFonts w:ascii="Times New Roman" w:hAnsi="Times New Roman"/>
                <w:sz w:val="20"/>
              </w:rPr>
              <w:t>Attention:</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Email:</w:t>
            </w:r>
          </w:p>
          <w:p>
            <w:pPr>
              <w:pStyle w:val="TableContents"/>
              <w:pBdr>
                <w:bottom w:val="single" w:sz="2" w:space="1" w:color="000000"/>
              </w:pBdr>
              <w:spacing w:before="0" w:after="20"/>
              <w:rPr>
                <w:rFonts w:ascii="Times New Roman" w:hAnsi="Times New Roman"/>
                <w:sz w:val="20"/>
              </w:rPr>
            </w:pPr>
            <w:r>
              <w:rPr>
                <w:rFonts w:ascii="Times New Roman" w:hAnsi="Times New Roman"/>
                <w:sz w:val="20"/>
              </w:rPr>
              <w:t>Attention:</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44" w:name="ane"/>
      <w:bookmarkEnd w:id="144"/>
      <w:r>
        <w:rPr>
          <w:rFonts w:ascii="Times New Roman" w:hAnsi="Times New Roman"/>
          <w:b/>
          <w:sz w:val="20"/>
        </w:rPr>
        <w:t xml:space="preserve">Annex E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b/>
          <w:sz w:val="20"/>
          <w:u w:val="single"/>
        </w:rPr>
      </w:pPr>
      <w:bookmarkStart w:id="145" w:name="toc108105_48"/>
      <w:bookmarkEnd w:id="145"/>
      <w:r>
        <w:rPr>
          <w:rFonts w:ascii="Times New Roman" w:hAnsi="Times New Roman"/>
          <w:b/>
          <w:sz w:val="20"/>
          <w:u w:val="single"/>
        </w:rPr>
        <w:t xml:space="preserve">REGISTRATION RIGHTS AGREEMENT </w:t>
      </w:r>
    </w:p>
    <w:p>
      <w:pPr>
        <w:pStyle w:val="TextBody"/>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as of [], 2021, by and among (i) Bakkt Holdings Inc., a Delaware corporation (formerly known as VPC Impact Acquisition Holdings) (</w:t>
      </w:r>
      <w:r>
        <w:rPr>
          <w:rFonts w:ascii="Times New Roman" w:hAnsi="Times New Roman"/>
          <w:sz w:val="20"/>
          <w:u w:val="single"/>
        </w:rPr>
        <w:t>Pubco</w:t>
      </w:r>
      <w:r>
        <w:rPr>
          <w:rFonts w:ascii="Times New Roman" w:hAnsi="Times New Roman"/>
          <w:sz w:val="20"/>
        </w:rPr>
        <w:t xml:space="preserve">), (ii) each of the parties listed on </w:t>
      </w:r>
      <w:r>
        <w:rPr>
          <w:rFonts w:ascii="Times New Roman" w:hAnsi="Times New Roman"/>
          <w:sz w:val="20"/>
          <w:u w:val="single"/>
        </w:rPr>
        <w:t>Schedule 1</w:t>
      </w:r>
      <w:r>
        <w:rPr>
          <w:rFonts w:ascii="Times New Roman" w:hAnsi="Times New Roman"/>
          <w:sz w:val="20"/>
        </w:rPr>
        <w:t xml:space="preserve"> hereto (each, a </w:t>
      </w:r>
      <w:r>
        <w:rPr>
          <w:rFonts w:ascii="Times New Roman" w:hAnsi="Times New Roman"/>
          <w:sz w:val="20"/>
          <w:u w:val="single"/>
        </w:rPr>
        <w:t>Bakkt Equity Holder</w:t>
      </w:r>
      <w:r>
        <w:rPr>
          <w:rFonts w:ascii="Times New Roman" w:hAnsi="Times New Roman"/>
          <w:sz w:val="20"/>
        </w:rPr>
        <w:t> and collectively, the </w:t>
      </w:r>
      <w:r>
        <w:rPr>
          <w:rFonts w:ascii="Times New Roman" w:hAnsi="Times New Roman"/>
          <w:sz w:val="20"/>
          <w:u w:val="single"/>
        </w:rPr>
        <w:t>Bakkt Equity Holders</w:t>
      </w:r>
      <w:r>
        <w:rPr>
          <w:rFonts w:ascii="Times New Roman" w:hAnsi="Times New Roman"/>
          <w:sz w:val="20"/>
        </w:rPr>
        <w:t>), (iii) VPC Impact Acquisition Holdings Sponsor, LLC, a Delaware limited liability company (the </w:t>
      </w:r>
      <w:r>
        <w:rPr>
          <w:rFonts w:ascii="Times New Roman" w:hAnsi="Times New Roman"/>
          <w:sz w:val="20"/>
          <w:u w:val="single"/>
        </w:rPr>
        <w:t>Sponsor</w:t>
      </w:r>
      <w:r>
        <w:rPr>
          <w:rFonts w:ascii="Times New Roman" w:hAnsi="Times New Roman"/>
          <w:sz w:val="20"/>
        </w:rPr>
        <w:t xml:space="preserve">), (iv) the other individuals identified on the signature pages hereto and any person or entity who hereafter becomes a party to this Agreement pursuant to </w:t>
      </w:r>
      <w:r>
        <w:rPr>
          <w:rFonts w:ascii="Times New Roman" w:hAnsi="Times New Roman"/>
          <w:sz w:val="20"/>
          <w:u w:val="single"/>
        </w:rPr>
        <w:t>Section 6.2</w:t>
      </w:r>
      <w:r>
        <w:rPr>
          <w:rFonts w:ascii="Times New Roman" w:hAnsi="Times New Roman"/>
          <w:sz w:val="20"/>
        </w:rPr>
        <w:t xml:space="preserve"> of this Agreement.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spacing w:before="240" w:after="0"/>
        <w:jc w:val="left"/>
        <w:rPr>
          <w:rFonts w:ascii="Times New Roman" w:hAnsi="Times New Roman"/>
          <w:sz w:val="20"/>
        </w:rPr>
      </w:pPr>
      <w:r>
        <w:rPr>
          <w:rFonts w:ascii="Times New Roman" w:hAnsi="Times New Roman"/>
          <w:sz w:val="20"/>
        </w:rPr>
        <w:t>WHEREAS, Pubco, which was formerly a Cayman Islands exempted company named VPC Impact Acquisition Holdings (</w:t>
      </w:r>
      <w:r>
        <w:rPr>
          <w:rFonts w:ascii="Times New Roman" w:hAnsi="Times New Roman"/>
          <w:sz w:val="20"/>
          <w:u w:val="single"/>
        </w:rPr>
        <w:t>VIH</w:t>
      </w:r>
      <w:r>
        <w:rPr>
          <w:rFonts w:ascii="Times New Roman" w:hAnsi="Times New Roman"/>
          <w:sz w:val="20"/>
        </w:rPr>
        <w:t>), completed its initial public offering on September 25, 2020 (the </w:t>
      </w:r>
      <w:r>
        <w:rPr>
          <w:rFonts w:ascii="Times New Roman" w:hAnsi="Times New Roman"/>
          <w:sz w:val="20"/>
          <w:u w:val="single"/>
        </w:rPr>
        <w:t>IPO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Pubco has entered into that certain Agreement and Plan of Merger, dated as of January 11, 2021 (as may be amended, restated, supplemented or otherwise modified from time to time, the </w:t>
      </w:r>
      <w:r>
        <w:rPr>
          <w:rFonts w:ascii="Times New Roman" w:hAnsi="Times New Roman"/>
          <w:sz w:val="20"/>
          <w:u w:val="single"/>
        </w:rPr>
        <w:t>Merger Agreement</w:t>
      </w:r>
      <w:r>
        <w:rPr>
          <w:rFonts w:ascii="Times New Roman" w:hAnsi="Times New Roman"/>
          <w:sz w:val="20"/>
        </w:rPr>
        <w:t>), with Pylon Merger Company LLC, a Delaware limited liability company and wholly-owned Subsidiary of Pubco (</w:t>
      </w:r>
      <w:r>
        <w:rPr>
          <w:rFonts w:ascii="Times New Roman" w:hAnsi="Times New Roman"/>
          <w:sz w:val="20"/>
          <w:u w:val="single"/>
        </w:rPr>
        <w:t>Merger Sub</w:t>
      </w:r>
      <w:r>
        <w:rPr>
          <w:rFonts w:ascii="Times New Roman" w:hAnsi="Times New Roman"/>
          <w:sz w:val="20"/>
        </w:rPr>
        <w:t>), Bakkt Holdings, LLC, a Delaware limited liability company (together with any successor thereto upon the consummation of the Merger (as defined below), </w:t>
      </w:r>
      <w:r>
        <w:rPr>
          <w:rFonts w:ascii="Times New Roman" w:hAnsi="Times New Roman"/>
          <w:sz w:val="20"/>
          <w:u w:val="single"/>
        </w:rPr>
        <w:t>Bakkt Opco</w:t>
      </w:r>
      <w:r>
        <w:rPr>
          <w:rFonts w:ascii="Times New Roman" w:hAnsi="Times New Roman"/>
          <w:sz w:val="20"/>
        </w:rPr>
        <w:t>), pursuant to which Merger Sub merged with and into Bakkt Opco (the </w:t>
      </w:r>
      <w:r>
        <w:rPr>
          <w:rFonts w:ascii="Times New Roman" w:hAnsi="Times New Roman"/>
          <w:sz w:val="20"/>
          <w:u w:val="single"/>
        </w:rPr>
        <w:t>Merger</w:t>
      </w:r>
      <w:r>
        <w:rPr>
          <w:rFonts w:ascii="Times New Roman" w:hAnsi="Times New Roman"/>
          <w:sz w:val="20"/>
        </w:rPr>
        <w:t xml:space="preserve">) with Bakkt Opco surviving the Merger; </w:t>
      </w:r>
    </w:p>
    <w:p>
      <w:pPr>
        <w:pStyle w:val="TextBody"/>
        <w:spacing w:before="240" w:after="0"/>
        <w:jc w:val="left"/>
        <w:rPr>
          <w:rFonts w:ascii="Times New Roman" w:hAnsi="Times New Roman"/>
          <w:sz w:val="20"/>
        </w:rPr>
      </w:pPr>
      <w:r>
        <w:rPr>
          <w:rFonts w:ascii="Times New Roman" w:hAnsi="Times New Roman"/>
          <w:sz w:val="20"/>
        </w:rPr>
        <w:t>WHEREAS, immediately prior to the consummation of the transactions contemplated by the Merger Agreement (the </w:t>
      </w:r>
      <w:r>
        <w:rPr>
          <w:rFonts w:ascii="Times New Roman" w:hAnsi="Times New Roman"/>
          <w:sz w:val="20"/>
          <w:u w:val="single"/>
        </w:rPr>
        <w:t>Transactions</w:t>
      </w:r>
      <w:r>
        <w:rPr>
          <w:rFonts w:ascii="Times New Roman" w:hAnsi="Times New Roman"/>
          <w:sz w:val="20"/>
        </w:rPr>
        <w:t>), Pubco effected a transfer by way of continuation of Pubco from the Cayman Islands to the State of Delaware in accordance with the applicable provisions of the Companies Law (2020 Revisions) of the Cayman Islands and a transfer by way of domestication under Section 388 of the General Corporation Law of the State of Delaware (the </w:t>
      </w:r>
      <w:r>
        <w:rPr>
          <w:rFonts w:ascii="Times New Roman" w:hAnsi="Times New Roman"/>
          <w:sz w:val="20"/>
          <w:u w:val="single"/>
        </w:rPr>
        <w:t>Domestication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in connection with the Domestication and the Transactions, among other things, (i) Pubco changed its name from </w:t>
      </w:r>
      <w:r>
        <w:rPr>
          <w:rFonts w:ascii="Times New Roman" w:hAnsi="Times New Roman"/>
          <w:sz w:val="20"/>
          <w:u w:val="single"/>
        </w:rPr>
        <w:t>VPC Impact Acquisition Holdings</w:t>
      </w:r>
      <w:r>
        <w:rPr>
          <w:rFonts w:ascii="Times New Roman" w:hAnsi="Times New Roman"/>
          <w:sz w:val="20"/>
        </w:rPr>
        <w:t> to </w:t>
      </w:r>
      <w:r>
        <w:rPr>
          <w:rFonts w:ascii="Times New Roman" w:hAnsi="Times New Roman"/>
          <w:sz w:val="20"/>
          <w:u w:val="single"/>
        </w:rPr>
        <w:t>Bakkt Holdings, Inc.</w:t>
      </w:r>
      <w:r>
        <w:rPr>
          <w:rFonts w:ascii="Times New Roman" w:hAnsi="Times New Roman"/>
          <w:sz w:val="20"/>
        </w:rPr>
        <w:t>, (ii) each VIH Public Unit issued and outstanding immediately prior to the Domestication was separated into its component Pubco Class A ordinary share and warrant; (ii) the issued and outstanding Class A ordinary shares of Pubco, par value $0.0001 per share, were automatically converted into shares of Class A common stock, par value $0.0001 per share, of Pubco (the </w:t>
      </w:r>
      <w:r>
        <w:rPr>
          <w:rFonts w:ascii="Times New Roman" w:hAnsi="Times New Roman"/>
          <w:sz w:val="20"/>
          <w:u w:val="single"/>
        </w:rPr>
        <w:t>Class A Common Stock</w:t>
      </w:r>
      <w:r>
        <w:rPr>
          <w:rFonts w:ascii="Times New Roman" w:hAnsi="Times New Roman"/>
          <w:sz w:val="20"/>
        </w:rPr>
        <w:t>), (iii) the issued and outstanding Class B ordinary shares of Pubco (collectively, the </w:t>
      </w:r>
      <w:r>
        <w:rPr>
          <w:rFonts w:ascii="Times New Roman" w:hAnsi="Times New Roman"/>
          <w:sz w:val="20"/>
          <w:u w:val="single"/>
        </w:rPr>
        <w:t>Founders Shares</w:t>
      </w:r>
      <w:r>
        <w:rPr>
          <w:rFonts w:ascii="Times New Roman" w:hAnsi="Times New Roman"/>
          <w:sz w:val="20"/>
        </w:rPr>
        <w:t>), all of which were held by the Sponsor and the independent directors of Pubco (the </w:t>
      </w:r>
      <w:r>
        <w:rPr>
          <w:rFonts w:ascii="Times New Roman" w:hAnsi="Times New Roman"/>
          <w:sz w:val="20"/>
          <w:u w:val="single"/>
        </w:rPr>
        <w:t>Pre-Closing Independent Directors</w:t>
      </w:r>
      <w:r>
        <w:rPr>
          <w:rFonts w:ascii="Times New Roman" w:hAnsi="Times New Roman"/>
          <w:sz w:val="20"/>
        </w:rPr>
        <w:t xml:space="preserve">), automatically converted into shares of Class A Common Stock on a one-for-one basis; and (iv) each VIH Warrant became exercisable for shares of Class A Common Stock in accordance with the terms of such warrants; </w:t>
      </w:r>
    </w:p>
    <w:p>
      <w:pPr>
        <w:pStyle w:val="TextBody"/>
        <w:spacing w:before="240" w:after="0"/>
        <w:jc w:val="left"/>
        <w:rPr>
          <w:rFonts w:ascii="Times New Roman" w:hAnsi="Times New Roman"/>
          <w:sz w:val="20"/>
        </w:rPr>
      </w:pPr>
      <w:r>
        <w:rPr>
          <w:rFonts w:ascii="Times New Roman" w:hAnsi="Times New Roman"/>
          <w:sz w:val="20"/>
        </w:rPr>
        <w:t xml:space="preserve">WHEREAS, pursuant to the Merger Agreement, at the Closing (and following the filing of the Certificate of Incorporation), (i) the Bakkt Equity Holders received Bakkt Opco Common Units and shares of Pubco Class V Common Stock, and (ii) Pubco received Bakkt Opco Common Units in an amount equal to the number of shares of Class A Common Stock outstanding immediately prior to the Effective Time; </w:t>
      </w:r>
    </w:p>
    <w:p>
      <w:pPr>
        <w:pStyle w:val="TextBody"/>
        <w:spacing w:before="240" w:after="0"/>
        <w:jc w:val="left"/>
        <w:rPr>
          <w:rFonts w:ascii="Times New Roman" w:hAnsi="Times New Roman"/>
          <w:sz w:val="20"/>
        </w:rPr>
      </w:pPr>
      <w:r>
        <w:rPr>
          <w:rFonts w:ascii="Times New Roman" w:hAnsi="Times New Roman"/>
          <w:sz w:val="20"/>
        </w:rPr>
        <w:t>WHEREAS, following the Closing, each Bakkt Equity Holder has the right to exchange Bakkt Opco Common Units received by such Bakkt Equity Holder in connection with the Merger, and cancel an equal number of shares of Class V Common Stock, for shares of Class A Common Stock (the </w:t>
      </w:r>
      <w:r>
        <w:rPr>
          <w:rFonts w:ascii="Times New Roman" w:hAnsi="Times New Roman"/>
          <w:sz w:val="20"/>
          <w:u w:val="single"/>
        </w:rPr>
        <w:t>Pubco Exchanged Shares</w:t>
      </w:r>
      <w:r>
        <w:rPr>
          <w:rFonts w:ascii="Times New Roman" w:hAnsi="Times New Roman"/>
          <w:sz w:val="20"/>
        </w:rPr>
        <w:t xml:space="preserve">) in the manner set forth in, and pursuant to the terms and conditions of, the Surviving Company LLC Agreement and the Exchange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WHEREAS, immediately prior to the Closing of the Transactions, the Sponsor and the Pre-Closing Independent Directors owned all of the 5,184,300 Founder Shares then outstanding; </w:t>
      </w:r>
    </w:p>
    <w:p>
      <w:pPr>
        <w:pStyle w:val="TextBody"/>
        <w:spacing w:before="240" w:after="0"/>
        <w:jc w:val="left"/>
        <w:rPr>
          <w:rFonts w:ascii="Times New Roman" w:hAnsi="Times New Roman"/>
          <w:sz w:val="20"/>
        </w:rPr>
      </w:pPr>
      <w:r>
        <w:rPr>
          <w:rFonts w:ascii="Times New Roman" w:hAnsi="Times New Roman"/>
          <w:sz w:val="20"/>
        </w:rPr>
        <w:t>WHEREAS, the Sponsor also holds an aggregate of 6,147,440 Private Placement Warrants (as defined below), each of which became exercisable to purchase one share of Class A Common Stock after the Closing of the Transactions, in accordance with its terms (the </w:t>
      </w:r>
      <w:r>
        <w:rPr>
          <w:rFonts w:ascii="Times New Roman" w:hAnsi="Times New Roman"/>
          <w:sz w:val="20"/>
          <w:u w:val="single"/>
        </w:rPr>
        <w:t>Class A Warrant Shares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in connection with the IPO, VIH, the Sponsor and the Pre-Closing Independent Directors entered into that certain Registration Rights Agreement, dated as of September 22, 2020 (the </w:t>
      </w:r>
      <w:r>
        <w:rPr>
          <w:rFonts w:ascii="Times New Roman" w:hAnsi="Times New Roman"/>
          <w:sz w:val="20"/>
          <w:u w:val="single"/>
        </w:rPr>
        <w:t>Original RRA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in connection with the execution of this Agreement, the parties to the Original RRA desire to terminate the Original RRA and replace it with this Agreement; </w:t>
      </w:r>
    </w:p>
    <w:p>
      <w:pPr>
        <w:pStyle w:val="TextBody"/>
        <w:spacing w:before="240" w:after="0"/>
        <w:jc w:val="left"/>
        <w:rPr>
          <w:rFonts w:ascii="Times New Roman" w:hAnsi="Times New Roman"/>
          <w:sz w:val="20"/>
        </w:rPr>
      </w:pPr>
      <w:r>
        <w:rPr>
          <w:rFonts w:ascii="Times New Roman" w:hAnsi="Times New Roman"/>
          <w:sz w:val="20"/>
        </w:rPr>
        <w:t xml:space="preserve">WHEREAS, in connection with the Transactions, Pubco and the Stockholders wish to set forth certain understandings between such parties, including with respect to certain rights and obligations associated with the Registrable Securities (as defined below); and </w:t>
      </w:r>
    </w:p>
    <w:p>
      <w:pPr>
        <w:pStyle w:val="TextBody"/>
        <w:spacing w:before="240" w:after="0"/>
        <w:jc w:val="left"/>
        <w:rPr>
          <w:rFonts w:ascii="Times New Roman" w:hAnsi="Times New Roman"/>
          <w:sz w:val="20"/>
        </w:rPr>
      </w:pPr>
      <w:r>
        <w:rPr>
          <w:rFonts w:ascii="Times New Roman" w:hAnsi="Times New Roman"/>
          <w:sz w:val="20"/>
        </w:rPr>
        <w:t xml:space="preserve">WHEREAS, capitalized term used but not otherwise defined herein shall have the meanings ascribed to such terms in the Merger Agreement.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representations, covenants and agreements contained herein, and certain other good and valuable consideration, the receipt and sufficiency of which are hereby acknowledged, the parties hereto, intending to be legally bound,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u w:val="single"/>
        </w:rPr>
        <w:t>DEFINITIONS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sz w:val="20"/>
          <w:u w:val="single"/>
        </w:rPr>
        <w:t>Definitions</w:t>
      </w:r>
      <w:r>
        <w:rPr>
          <w:rFonts w:ascii="Times New Roman" w:hAnsi="Times New Roman"/>
          <w:sz w:val="20"/>
        </w:rPr>
        <w:t xml:space="preserve">. The terms defined in this Article I shall, for all purposes of this Agreement, have the respective meanings set forth below: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 Lock-up Period</w:t>
      </w:r>
      <w:r>
        <w:rPr>
          <w:rFonts w:ascii="Times New Roman" w:hAnsi="Times New Roman"/>
          <w:sz w:val="20"/>
        </w:rPr>
        <w:t xml:space="preserve"> shall have the meaning set forth in the Stockholders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 Trade</w:t>
      </w:r>
      <w:r>
        <w:rPr>
          <w:rFonts w:ascii="Times New Roman" w:hAnsi="Times New Roman"/>
          <w:sz w:val="20"/>
        </w:rPr>
        <w:t xml:space="preserve"> shall have the meaning given in </w:t>
      </w:r>
      <w:r>
        <w:rPr>
          <w:rFonts w:ascii="Times New Roman" w:hAnsi="Times New Roman"/>
          <w:sz w:val="20"/>
          <w:u w:val="single"/>
        </w:rPr>
        <w:t>Section 2.6(a)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Saturday, Sunday, federal or New York State holiday or other day on which commercial banks in New York City are authorized or required by law to be closed for business; provided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Common Stock</w:t>
      </w:r>
      <w:r>
        <w:rPr>
          <w:rFonts w:ascii="Times New Roman" w:hAnsi="Times New Roman"/>
          <w:sz w:val="20"/>
        </w:rPr>
        <w:t xml:space="preserve"> shall mean the Class A common stock, par value $0.0001 per share,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shall have the meaning given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U.S. Securities and Exchange Commission.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Demanding Holder</w:t>
      </w:r>
      <w:r>
        <w:rPr>
          <w:rFonts w:ascii="Times New Roman" w:hAnsi="Times New Roman"/>
          <w:sz w:val="20"/>
        </w:rPr>
        <w:t xml:space="preserve"> means a holder or holders of Registrable Securities that have a value of at least $50,000,000 based on the average closing price of the Class A common stock in the preceding thirty (30) trading days prior to the date of such determination.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Effectiveness Deadline</w:t>
      </w:r>
      <w:r>
        <w:rPr>
          <w:rFonts w:ascii="Times New Roman" w:hAnsi="Times New Roman"/>
          <w:sz w:val="20"/>
        </w:rPr>
        <w:t xml:space="preserve"> shall have the meaning given in </w:t>
      </w:r>
      <w:r>
        <w:rPr>
          <w:rFonts w:ascii="Times New Roman" w:hAnsi="Times New Roman"/>
          <w:sz w:val="20"/>
          <w:u w:val="single"/>
        </w:rPr>
        <w:t>Section 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Form S-3</w:t>
      </w:r>
      <w:r>
        <w:rPr>
          <w:rFonts w:ascii="Times New Roman" w:hAnsi="Times New Roman"/>
          <w:sz w:val="20"/>
        </w:rPr>
        <w:t xml:space="preserve"> shall have the meaning given in </w:t>
      </w:r>
      <w:r>
        <w:rPr>
          <w:rFonts w:ascii="Times New Roman" w:hAnsi="Times New Roman"/>
          <w:sz w:val="20"/>
          <w:u w:val="single"/>
        </w:rPr>
        <w:t>Section 2.4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Founder Shares</w:t>
      </w:r>
      <w:r>
        <w:rPr>
          <w:rFonts w:ascii="Times New Roman" w:hAnsi="Times New Roman"/>
          <w:sz w:val="20"/>
        </w:rPr>
        <w:t xml:space="preserve"> shall have the meaning given in the Recitals, and shall include the Class A Common Stock issuable in exchange therefor pursuant to the Domestication and Merger.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ICE</w:t>
      </w:r>
      <w:r>
        <w:rPr>
          <w:rFonts w:ascii="Times New Roman" w:hAnsi="Times New Roman"/>
          <w:sz w:val="20"/>
        </w:rPr>
        <w:t xml:space="preserve"> means Intercontinental Exchange Holdings, Inc. and its Affiliates (as defined in the Stockholders Agreement) other than Pubco and Bakkt Opco.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Shelf</w:t>
      </w:r>
      <w:r>
        <w:rPr>
          <w:rFonts w:ascii="Times New Roman" w:hAnsi="Times New Roman"/>
          <w:sz w:val="20"/>
        </w:rPr>
        <w:t xml:space="preserve"> shall have the meaning given in </w:t>
      </w:r>
      <w:r>
        <w:rPr>
          <w:rFonts w:ascii="Times New Roman" w:hAnsi="Times New Roman"/>
          <w:sz w:val="20"/>
          <w:u w:val="single"/>
        </w:rPr>
        <w:t>Section 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Lock-up Periods</w:t>
      </w:r>
      <w:r>
        <w:rPr>
          <w:rFonts w:ascii="Times New Roman" w:hAnsi="Times New Roman"/>
          <w:sz w:val="20"/>
        </w:rPr>
        <w:t xml:space="preserve"> shall mean the Sponsor Lock-up Period, the Private Placement Lock-up Period and the Bakkt Equity Holder Lock-up Period, as the context requires it.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Number of Securities</w:t>
      </w:r>
      <w:r>
        <w:rPr>
          <w:rFonts w:ascii="Times New Roman" w:hAnsi="Times New Roman"/>
          <w:sz w:val="20"/>
        </w:rPr>
        <w:t xml:space="preserve"> shall have the meaning given in </w:t>
      </w:r>
      <w:r>
        <w:rPr>
          <w:rFonts w:ascii="Times New Roman" w:hAnsi="Times New Roman"/>
          <w:sz w:val="20"/>
          <w:u w:val="single"/>
        </w:rPr>
        <w:t>Section 2.2(b)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Agreement</w:t>
      </w:r>
      <w:r>
        <w:rPr>
          <w:rFonts w:ascii="Times New Roman" w:hAnsi="Times New Roman"/>
          <w:sz w:val="20"/>
        </w:rPr>
        <w:t xml:space="preserve"> shall have the meaning given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Misstatement</w:t>
      </w:r>
      <w:r>
        <w:rPr>
          <w:rFonts w:ascii="Times New Roman" w:hAnsi="Times New Roman"/>
          <w:sz w:val="20"/>
        </w:rPr>
        <w:t xml:space="preserve">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Notice</w:t>
      </w:r>
      <w:r>
        <w:rPr>
          <w:rFonts w:ascii="Times New Roman" w:hAnsi="Times New Roman"/>
          <w:sz w:val="20"/>
        </w:rPr>
        <w:t xml:space="preserve"> shall have the meaning given to it in </w:t>
      </w:r>
      <w:r>
        <w:rPr>
          <w:rFonts w:ascii="Times New Roman" w:hAnsi="Times New Roman"/>
          <w:sz w:val="20"/>
          <w:u w:val="single"/>
        </w:rPr>
        <w:t>Section 6.1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Transferees</w:t>
      </w:r>
      <w:r>
        <w:rPr>
          <w:rFonts w:ascii="Times New Roman" w:hAnsi="Times New Roman"/>
          <w:sz w:val="20"/>
        </w:rPr>
        <w:t xml:space="preserve"> shall have the meaning set forth in the Stockholders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Piggyback Registration</w:t>
      </w:r>
      <w:r>
        <w:rPr>
          <w:rFonts w:ascii="Times New Roman" w:hAnsi="Times New Roman"/>
          <w:sz w:val="20"/>
        </w:rPr>
        <w:t xml:space="preserve"> shall have the meaning given in </w:t>
      </w:r>
      <w:r>
        <w:rPr>
          <w:rFonts w:ascii="Times New Roman" w:hAnsi="Times New Roman"/>
          <w:sz w:val="20"/>
          <w:u w:val="single"/>
        </w:rPr>
        <w:t>Section 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Warrants</w:t>
      </w:r>
      <w:r>
        <w:rPr>
          <w:rFonts w:ascii="Times New Roman" w:hAnsi="Times New Roman"/>
          <w:sz w:val="20"/>
        </w:rPr>
        <w:t xml:space="preserve"> means the warrants that were issued to the Sponsor concurrently with the IPO, each of which will become exercisable for one share of Class A Common Stock after the closing of the Transaction, in accordance with its terms.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shall mean the prospectus included in any Registration Statement, as supplemented by any and all prospectus supplements and as amended by any and all post-effective amendments and including all material incorporated by reference in such prospectus.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Pubco</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Qualifying Registration Event</w:t>
      </w:r>
      <w:r>
        <w:rPr>
          <w:rFonts w:ascii="Times New Roman" w:hAnsi="Times New Roman"/>
          <w:sz w:val="20"/>
        </w:rPr>
        <w:t xml:space="preserve">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fifty million U.S. dollars ($50,000,000.00) (net of any underwriting discount or other underwriting fees, commissions or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Lock-up Period</w:t>
      </w:r>
      <w:r>
        <w:rPr>
          <w:rFonts w:ascii="Times New Roman" w:hAnsi="Times New Roman"/>
          <w:sz w:val="20"/>
        </w:rPr>
        <w:t xml:space="preserve"> shall have the meaning set forth in the Stockholders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Registrable Securities</w:t>
      </w:r>
      <w:r>
        <w:rPr>
          <w:rFonts w:ascii="Times New Roman" w:hAnsi="Times New Roman"/>
          <w:sz w:val="20"/>
        </w:rPr>
        <w:t xml:space="preserve"> shall mean (a) any of the Founders Shares (including any Founder Shares held by the members of the Sponsor upon Sponsors distribution of such Founder Shares to its members), (b) any Pubco Exchanged Shares issuable to Bakkt Equity Holders pursuant to the Surviving Company LLC Agreement and Exchange Agreement, (c) the Private Placement Warrants and any of the Class A Common Stock issuable upon the exercise thereof, and (d) any other equity security of Pubco issued or issuable to any Stockholder with respect to any such share of Class A Common Stock referred to in clauses (a)  (c) by way of a stock dividend or stock split or in connection with a combination of shares, recapitalization, merger, consolidation or reorganization;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(iii) such shares of Class A Common Stock are eligible for resale without volume or manner-of-sale restrictions and without current public information pursuant to Rule 144; or (iv) such securities have been sold to, or through, a broker, dealer or underwriter in a public distribution or other public securities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w:t>
      </w:r>
      <w:r>
        <w:rPr>
          <w:rFonts w:ascii="Times New Roman" w:hAnsi="Times New Roman"/>
          <w:sz w:val="20"/>
        </w:rPr>
        <w:t xml:space="preserve"> shall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Expenses</w:t>
      </w:r>
      <w:r>
        <w:rPr>
          <w:rFonts w:ascii="Times New Roman" w:hAnsi="Times New Roman"/>
          <w:sz w:val="20"/>
        </w:rPr>
        <w:t xml:space="preserve"> shall mean the out-of-pocket expenses of a Registration, including, without limitation, the following: </w:t>
      </w:r>
    </w:p>
    <w:p>
      <w:pPr>
        <w:pStyle w:val="TextBody"/>
        <w:spacing w:before="120" w:after="0"/>
        <w:jc w:val="left"/>
        <w:rPr>
          <w:rFonts w:ascii="Times New Roman" w:hAnsi="Times New Roman"/>
          <w:sz w:val="20"/>
        </w:rPr>
      </w:pPr>
      <w:r>
        <w:rPr>
          <w:rFonts w:ascii="Times New Roman" w:hAnsi="Times New Roman"/>
          <w:sz w:val="20"/>
        </w:rPr>
        <w:t xml:space="preserve">(a) all registration and filing fees (including fees with respect to filings required to be made with the Financial Industry Regulatory Authority, Inc.) and any securities exchange on which the Class A Common Stock is then listed; </w:t>
      </w:r>
    </w:p>
    <w:p>
      <w:pPr>
        <w:pStyle w:val="TextBody"/>
        <w:spacing w:before="120" w:after="0"/>
        <w:jc w:val="left"/>
        <w:rPr>
          <w:rFonts w:ascii="Times New Roman" w:hAnsi="Times New Roman"/>
          <w:sz w:val="20"/>
        </w:rPr>
      </w:pPr>
      <w:r>
        <w:rPr>
          <w:rFonts w:ascii="Times New Roman" w:hAnsi="Times New Roman"/>
          <w:sz w:val="20"/>
        </w:rPr>
        <w:t xml:space="preserve">(b) fees and expenses of compliance with securities or blue sky laws (including reasonable fees and disbursements of counsel for the Underwriters in connection with blue sky qualifications of Registrable Securities); </w:t>
      </w:r>
    </w:p>
    <w:p>
      <w:pPr>
        <w:pStyle w:val="TextBody"/>
        <w:spacing w:before="120" w:after="0"/>
        <w:jc w:val="left"/>
        <w:rPr>
          <w:rFonts w:ascii="Times New Roman" w:hAnsi="Times New Roman"/>
          <w:sz w:val="20"/>
        </w:rPr>
      </w:pPr>
      <w:r>
        <w:rPr>
          <w:rFonts w:ascii="Times New Roman" w:hAnsi="Times New Roman"/>
          <w:sz w:val="20"/>
        </w:rPr>
        <w:t xml:space="preserve">(c) printing, messenger, telephone and delivery expenses; </w:t>
      </w:r>
    </w:p>
    <w:p>
      <w:pPr>
        <w:pStyle w:val="TextBody"/>
        <w:spacing w:before="120" w:after="0"/>
        <w:jc w:val="left"/>
        <w:rPr>
          <w:rFonts w:ascii="Times New Roman" w:hAnsi="Times New Roman"/>
          <w:sz w:val="20"/>
        </w:rPr>
      </w:pPr>
      <w:r>
        <w:rPr>
          <w:rFonts w:ascii="Times New Roman" w:hAnsi="Times New Roman"/>
          <w:sz w:val="20"/>
        </w:rPr>
        <w:t xml:space="preserve">(d) reasonable fees and disbursements of counsel for Pubco; </w:t>
      </w:r>
    </w:p>
    <w:p>
      <w:pPr>
        <w:pStyle w:val="TextBody"/>
        <w:spacing w:before="120" w:after="0"/>
        <w:jc w:val="left"/>
        <w:rPr>
          <w:rFonts w:ascii="Times New Roman" w:hAnsi="Times New Roman"/>
          <w:sz w:val="20"/>
        </w:rPr>
      </w:pPr>
      <w:r>
        <w:rPr>
          <w:rFonts w:ascii="Times New Roman" w:hAnsi="Times New Roman"/>
          <w:sz w:val="20"/>
        </w:rPr>
        <w:t xml:space="preserve">(e) reasonable fees and disbursements of all independent registered public accountants of Pubco incurred specifically in connection with such Registration (including the expenses of any special audit and comfort letters required by or incident to such performance); and </w:t>
      </w:r>
    </w:p>
    <w:p>
      <w:pPr>
        <w:pStyle w:val="TextBody"/>
        <w:spacing w:before="120" w:after="0"/>
        <w:jc w:val="left"/>
        <w:rPr>
          <w:rFonts w:ascii="Times New Roman" w:hAnsi="Times New Roman"/>
          <w:sz w:val="20"/>
        </w:rPr>
      </w:pPr>
      <w:r>
        <w:rPr>
          <w:rFonts w:ascii="Times New Roman" w:hAnsi="Times New Roman"/>
          <w:sz w:val="20"/>
        </w:rPr>
        <w:t xml:space="preserve">(f) reasonable fees and expenses of one (1) legal counsel of the Stockholders in connection with any Registration.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Replacement S-3 Shelf</w:t>
      </w:r>
      <w:r>
        <w:rPr>
          <w:rFonts w:ascii="Times New Roman" w:hAnsi="Times New Roman"/>
          <w:sz w:val="20"/>
        </w:rPr>
        <w:t xml:space="preserve"> shall have the meaning given in </w:t>
      </w:r>
      <w:r>
        <w:rPr>
          <w:rFonts w:ascii="Times New Roman" w:hAnsi="Times New Roman"/>
          <w:sz w:val="20"/>
          <w:u w:val="single"/>
        </w:rPr>
        <w:t>Section 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w:t>
      </w:r>
      <w:r>
        <w:rPr>
          <w:rFonts w:ascii="Times New Roman" w:hAnsi="Times New Roman"/>
          <w:sz w:val="20"/>
        </w:rPr>
        <w:t xml:space="preserve"> shall mean, with respect to any person, such persons affiliates and its and their respective directors, officers, employees, managers, members, stockholders, partners, incorporators, trustees, counsel, financial advisors, accountants, auditors and other agents or authorized representatives.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shall mean the Securities Act of 1933,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Lock-up Period</w:t>
      </w:r>
      <w:r>
        <w:rPr>
          <w:rFonts w:ascii="Times New Roman" w:hAnsi="Times New Roman"/>
          <w:sz w:val="20"/>
        </w:rPr>
        <w:t xml:space="preserve"> shall have the meaning set forth in the Stockholders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w:t>
      </w:r>
      <w:r>
        <w:rPr>
          <w:rFonts w:ascii="Times New Roman" w:hAnsi="Times New Roman"/>
          <w:sz w:val="20"/>
        </w:rPr>
        <w:t xml:space="preserve"> means a holder of Registrable Securities or its Permitted Transferee.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Suspension Notice</w:t>
      </w:r>
      <w:r>
        <w:rPr>
          <w:rFonts w:ascii="Times New Roman" w:hAnsi="Times New Roman"/>
          <w:sz w:val="20"/>
        </w:rPr>
        <w:t xml:space="preserve"> shall have the meaning set forth in </w:t>
      </w:r>
      <w:r>
        <w:rPr>
          <w:rFonts w:ascii="Times New Roman" w:hAnsi="Times New Roman"/>
          <w:sz w:val="20"/>
          <w:u w:val="single"/>
        </w:rPr>
        <w:t>Section 3.4(b)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u w:val="single"/>
        </w:rPr>
        <w:t>Suspension Period</w:t>
      </w:r>
      <w:r>
        <w:rPr>
          <w:rFonts w:ascii="Times New Roman" w:hAnsi="Times New Roman"/>
          <w:sz w:val="20"/>
        </w:rPr>
        <w:t xml:space="preserve"> shall have the meaning set forth in </w:t>
      </w:r>
      <w:r>
        <w:rPr>
          <w:rFonts w:ascii="Times New Roman" w:hAnsi="Times New Roman"/>
          <w:sz w:val="20"/>
          <w:u w:val="single"/>
        </w:rPr>
        <w:t>Section 3.4(b)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shall have the meaning given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shall have the meaning set forth in the Stockholders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Underwriter</w:t>
      </w:r>
      <w:r>
        <w:rPr>
          <w:rFonts w:ascii="Times New Roman" w:hAnsi="Times New Roman"/>
          <w:sz w:val="20"/>
        </w:rPr>
        <w:t xml:space="preserve"> shall mean a securities dealer who purchases any Registrable Securities as principal in an Underwritten Offering and not as part of such dealers market-making activities.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w:t>
      </w:r>
      <w:r>
        <w:rPr>
          <w:rFonts w:ascii="Times New Roman" w:hAnsi="Times New Roman"/>
          <w:sz w:val="20"/>
        </w:rPr>
        <w:t xml:space="preserve"> shall mean an offering in which securities of Pubco are sold to an Underwriter in a firm commitment underwriting for distribution to the public.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u w:val="single"/>
        </w:rPr>
        <w:t>REGISTRATIONS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sz w:val="20"/>
          <w:u w:val="single"/>
        </w:rPr>
        <w:t>Registration Statement</w:t>
      </w:r>
      <w:r>
        <w:rPr>
          <w:rFonts w:ascii="Times New Roman" w:hAnsi="Times New Roman"/>
          <w:sz w:val="20"/>
        </w:rPr>
        <w:t xml:space="preserve">. Pubco shall, as soon as practicable after the Closing Date, but in any event within 30 days after the Closing Date, file a Registration Statement under the Securities Act to permit the public resale of all the Registrable Securities held by the Stockholders from time to time as permitted by Rule 415 under the Securities Act (or any successor or similar provision adopted by the Commission then in effect) on the terms and conditions specified in this </w:t>
      </w:r>
      <w:r>
        <w:rPr>
          <w:rFonts w:ascii="Times New Roman" w:hAnsi="Times New Roman"/>
          <w:sz w:val="20"/>
          <w:u w:val="single"/>
        </w:rPr>
        <w:t>Section 2.1</w:t>
      </w:r>
      <w:r>
        <w:rPr>
          <w:rFonts w:ascii="Times New Roman" w:hAnsi="Times New Roman"/>
          <w:sz w:val="20"/>
        </w:rPr>
        <w:t xml:space="preserve"> and shall use its reasonable best efforts to cause such Registration Statement to be declared effective as soon as practicable after the filing thereof, but in any event no later than the earlier of (a) 60 days (or 90 days if the Commission notifies Pubco that it will review the Registration Statement) after the Closing Date and (b) the tenth Business Day after the date Pubco is notified (orally or in writing, whichever is earlier) by the Commission that such Registration Statement will not be reviewed or will not be subject to further review (such earlier date, the </w:t>
      </w:r>
      <w:r>
        <w:rPr>
          <w:rFonts w:ascii="Times New Roman" w:hAnsi="Times New Roman"/>
          <w:sz w:val="20"/>
          <w:u w:val="single"/>
        </w:rPr>
        <w:t>Effectiveness Deadline</w:t>
      </w:r>
      <w:r>
        <w:rPr>
          <w:rFonts w:ascii="Times New Roman" w:hAnsi="Times New Roman"/>
          <w:sz w:val="20"/>
        </w:rPr>
        <w:t xml:space="preserve">). The Registration Statement filed with the Commission pursuant to this </w:t>
      </w:r>
      <w:r>
        <w:rPr>
          <w:rFonts w:ascii="Times New Roman" w:hAnsi="Times New Roman"/>
          <w:sz w:val="20"/>
          <w:u w:val="single"/>
        </w:rPr>
        <w:t>Section 2.1</w:t>
      </w:r>
      <w:r>
        <w:rPr>
          <w:rFonts w:ascii="Times New Roman" w:hAnsi="Times New Roman"/>
          <w:sz w:val="20"/>
        </w:rPr>
        <w:t xml:space="preserve"> shall be on Form S-1 or such other form of registration statement as is then available to effect a registration for resale of such Registrable Securities, covering such Registrable Securities, and shall contain a Prospectus in such form as to permit any Stockholder to sell such Registrable Securities pursuant to Rule 415 under the Securities Act (or any successor or similar provision adopted by the Commission then in effect) at any time beginning on the effective date for such Registration Statement. If the initial Registration Statement (the </w:t>
      </w:r>
      <w:r>
        <w:rPr>
          <w:rFonts w:ascii="Times New Roman" w:hAnsi="Times New Roman"/>
          <w:sz w:val="20"/>
          <w:u w:val="single"/>
        </w:rPr>
        <w:t>Initial Shelf</w:t>
      </w:r>
      <w:r>
        <w:rPr>
          <w:rFonts w:ascii="Times New Roman" w:hAnsi="Times New Roman"/>
          <w:sz w:val="20"/>
        </w:rPr>
        <w:t xml:space="preserve">) filed by Pubco pursuant to this </w:t>
      </w:r>
      <w:r>
        <w:rPr>
          <w:rFonts w:ascii="Times New Roman" w:hAnsi="Times New Roman"/>
          <w:sz w:val="20"/>
          <w:u w:val="single"/>
        </w:rPr>
        <w:t>Section 2.1</w:t>
      </w:r>
      <w:r>
        <w:rPr>
          <w:rFonts w:ascii="Times New Roman" w:hAnsi="Times New Roman"/>
          <w:sz w:val="20"/>
        </w:rPr>
        <w:t xml:space="preserve"> is on Form S-1, upon Pubco becoming eligible to register the Registrable Securities for resale by the Stockholders on Form S-3, Pubco shall use its reasonable best efforts to amend the Initial Shelf to a Registration Statement on Form S-3 or file a Registration Statement on Form S-3 in substitution of the Initial Shelf (the </w:t>
      </w:r>
      <w:r>
        <w:rPr>
          <w:rFonts w:ascii="Times New Roman" w:hAnsi="Times New Roman"/>
          <w:sz w:val="20"/>
          <w:u w:val="single"/>
        </w:rPr>
        <w:t>Replacement S-3 Shelf</w:t>
      </w:r>
      <w:r>
        <w:rPr>
          <w:rFonts w:ascii="Times New Roman" w:hAnsi="Times New Roman"/>
          <w:sz w:val="20"/>
        </w:rPr>
        <w:t xml:space="preserve">) and cause the Replacement S-3 Shelf to be declared effective as soon as practicable thereafter. A Registration Statement filed pursuant to this </w:t>
      </w:r>
      <w:r>
        <w:rPr>
          <w:rFonts w:ascii="Times New Roman" w:hAnsi="Times New Roman"/>
          <w:sz w:val="20"/>
          <w:u w:val="single"/>
        </w:rPr>
        <w:t>Section 2.1</w:t>
      </w:r>
      <w:r>
        <w:rPr>
          <w:rFonts w:ascii="Times New Roman" w:hAnsi="Times New Roman"/>
          <w:sz w:val="20"/>
        </w:rPr>
        <w:t xml:space="preserve"> shall provide for the resale pursuant to any method or combination of methods legally available to, and requested by, the Stockholders. Pubco shall use its reasonable best efforts to cause a Registration Statement filed pursuant to this </w:t>
      </w:r>
      <w:r>
        <w:rPr>
          <w:rFonts w:ascii="Times New Roman" w:hAnsi="Times New Roman"/>
          <w:sz w:val="20"/>
          <w:u w:val="single"/>
        </w:rPr>
        <w:t>Section 2.1</w:t>
      </w:r>
      <w:r>
        <w:rPr>
          <w:rFonts w:ascii="Times New Roman" w:hAnsi="Times New Roman"/>
          <w:sz w:val="20"/>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Stockholders until all such Registrable Securities have ceased to be Registrable Securities. If at any time a Registration Statement filed pursuant to this </w:t>
      </w:r>
      <w:r>
        <w:rPr>
          <w:rFonts w:ascii="Times New Roman" w:hAnsi="Times New Roman"/>
          <w:sz w:val="20"/>
          <w:u w:val="single"/>
        </w:rPr>
        <w:t>Section 2.1</w:t>
      </w:r>
      <w:r>
        <w:rPr>
          <w:rFonts w:ascii="Times New Roman" w:hAnsi="Times New Roman"/>
          <w:sz w:val="20"/>
        </w:rPr>
        <w:t xml:space="preserve"> is not effective or is not otherwise available for the resale of all the Registrable Securities held by the Stockholders, Stockholder(s) may demand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registration under the Securities Act of all or part of their Registrable Securities at any time and from time to time, and Pubco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hAnsi="Times New Roman"/>
          <w:sz w:val="20"/>
          <w:u w:val="single"/>
        </w:rPr>
        <w:t>Section 2.1</w:t>
      </w:r>
      <w:r>
        <w:rPr>
          <w:rFonts w:ascii="Times New Roman" w:hAnsi="Times New Roman"/>
          <w:sz w:val="20"/>
        </w:rPr>
        <w:t xml:space="preserve">, but in any event within three Business Days of such date, Pubco shall notify the Stockholders of the effectiveness of such Registration Statement. When effective, a Registration Statement filed pursuant to this </w:t>
      </w:r>
      <w:r>
        <w:rPr>
          <w:rFonts w:ascii="Times New Roman" w:hAnsi="Times New Roman"/>
          <w:sz w:val="20"/>
          <w:u w:val="single"/>
        </w:rPr>
        <w:t>Section 2.1</w:t>
      </w:r>
      <w:r>
        <w:rPr>
          <w:rFonts w:ascii="Times New Roman" w:hAnsi="Times New Roman"/>
          <w:sz w:val="20"/>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sz w:val="20"/>
          <w:u w:val="single"/>
        </w:rPr>
        <w:t>Underwritten Offering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(5) Business Days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hAnsi="Times New Roman"/>
          <w:sz w:val="20"/>
          <w:u w:val="single"/>
        </w:rPr>
        <w:t>Section 2.2</w:t>
      </w:r>
      <w:r>
        <w:rPr>
          <w:rFonts w:ascii="Times New Roman" w:hAnsi="Times New Roman"/>
          <w:sz w:val="20"/>
        </w:rPr>
        <w:t xml:space="preserve"> shall enter into an underwriting agreement with the underwriters, which underwriting agreement shall contain such representations, covenants, indemnities (subject to </w:t>
      </w:r>
      <w:r>
        <w:rPr>
          <w:rFonts w:ascii="Times New Roman" w:hAnsi="Times New Roman"/>
          <w:sz w:val="20"/>
          <w:u w:val="single"/>
        </w:rPr>
        <w:t>Article IV</w:t>
      </w:r>
      <w:r>
        <w:rPr>
          <w:rFonts w:ascii="Times New Roman" w:hAnsi="Times New Roman"/>
          <w:sz w:val="20"/>
        </w:rPr>
        <w:t xml:space="preserve">) and other rights and obligations as are customary in underwritten offerings of equity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(b) 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sz w:val="20"/>
          <w:u w:val="single"/>
        </w:rPr>
        <w:t>Maximum Number of Securities</w:t>
      </w:r>
      <w:r>
        <w:rPr>
          <w:rFonts w:ascii="Times New Roman" w:hAnsi="Times New Roman"/>
          <w:sz w:val="20"/>
        </w:rPr>
        <w:t xml:space="preserve">), then Pubco shall include in such Underwritten Offering,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the Registrable Securities of the Demanding Holders </w:t>
      </w:r>
      <w:r>
        <w:rPr>
          <w:rFonts w:ascii="Times New Roman" w:hAnsi="Times New Roman"/>
          <w:i/>
          <w:sz w:val="20"/>
        </w:rPr>
        <w:t>pro rata</w:t>
      </w:r>
      <w:r>
        <w:rPr>
          <w:rFonts w:ascii="Times New Roman" w:hAnsi="Times New Roman"/>
          <w:sz w:val="20"/>
        </w:rPr>
        <w:t xml:space="preserve"> based on the respective number of Registrable Securities that each Demanding Holder has requested be included in such Underwritten Offering and the aggregate number of Registrable Securities that the Demanding Holders have requested be included in such Underwritten Offering that can be sold without exceeding the Maximum Number of Securities;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the Registrable Securities of Stockholders (</w:t>
      </w:r>
      <w:r>
        <w:rPr>
          <w:rFonts w:ascii="Times New Roman" w:hAnsi="Times New Roman"/>
          <w:i/>
          <w:sz w:val="20"/>
        </w:rPr>
        <w:t>pro rata</w:t>
      </w:r>
      <w:r>
        <w:rPr>
          <w:rFonts w:ascii="Times New Roman" w:hAnsi="Times New Roman"/>
          <w:sz w:val="20"/>
        </w:rPr>
        <w:t>, based on the respective number of Registrable Securities that each such Stockholder has so requested) exercising their rights to register their Registrable Securities pursuant to</w:t>
      </w:r>
      <w:r>
        <w:rPr>
          <w:rFonts w:ascii="Times New Roman" w:hAnsi="Times New Roman"/>
          <w:sz w:val="20"/>
          <w:u w:val="single"/>
        </w:rPr>
        <w:t> Section 2.2(a)</w:t>
      </w:r>
      <w:r>
        <w:rPr>
          <w:rFonts w:ascii="Times New Roman" w:hAnsi="Times New Roman"/>
          <w:sz w:val="20"/>
        </w:rPr>
        <w:t xml:space="preserve"> hereof, without exceeding the Maximum Number of Securities;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the shares of Class A Common Stock held by persons or entities that Pubco is obligated to register in a Registration pursuant to separate written contractual arrangements with such persons, which collectively can be sold without exceeding the Maximum Number of Securities; and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clause (ii)</w:t>
      </w:r>
      <w:r>
        <w:rPr>
          <w:rFonts w:ascii="Times New Roman" w:hAnsi="Times New Roman"/>
          <w:sz w:val="20"/>
        </w:rPr>
        <w:t xml:space="preserve">, or </w:t>
      </w:r>
      <w:r>
        <w:rPr>
          <w:rFonts w:ascii="Times New Roman" w:hAnsi="Times New Roman"/>
          <w:sz w:val="20"/>
          <w:u w:val="single"/>
        </w:rPr>
        <w:t>clause (iii)</w:t>
      </w:r>
      <w:r>
        <w:rPr>
          <w:rFonts w:ascii="Times New Roman" w:hAnsi="Times New Roman"/>
          <w:sz w:val="20"/>
        </w:rPr>
        <w:t xml:space="preserve">, shares of Class A Common Stock or other equity securities that Pubco desires to sell, which can be sold without exceeding the Maximum Number of Securities. </w:t>
      </w:r>
    </w:p>
    <w:p>
      <w:pPr>
        <w:pStyle w:val="TextBody"/>
        <w:spacing w:before="120" w:after="0"/>
        <w:jc w:val="left"/>
        <w:rPr>
          <w:rFonts w:ascii="Times New Roman" w:hAnsi="Times New Roman"/>
          <w:sz w:val="20"/>
        </w:rPr>
      </w:pPr>
      <w:r>
        <w:rPr>
          <w:rFonts w:ascii="Times New Roman" w:hAnsi="Times New Roman"/>
          <w:sz w:val="20"/>
        </w:rPr>
        <w:t xml:space="preserve">(c) A Demanding Holder shall have the right to withdraw all or any portion of its Registrable Securities included in an Underwritten Offering pursuant to this </w:t>
      </w:r>
      <w:r>
        <w:rPr>
          <w:rFonts w:ascii="Times New Roman" w:hAnsi="Times New Roman"/>
          <w:sz w:val="20"/>
          <w:u w:val="single"/>
        </w:rPr>
        <w:t>Section 2.2</w:t>
      </w:r>
      <w:r>
        <w:rPr>
          <w:rFonts w:ascii="Times New Roman" w:hAnsi="Times New Roman"/>
          <w:sz w:val="20"/>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w:t>
      </w:r>
      <w:r>
        <w:rPr>
          <w:rFonts w:ascii="Times New Roman" w:hAnsi="Times New Roman"/>
          <w:sz w:val="20"/>
          <w:u w:val="single"/>
        </w:rPr>
        <w:t> Section 2.2</w:t>
      </w:r>
      <w:r>
        <w:rPr>
          <w:rFonts w:ascii="Times New Roman" w:hAnsi="Times New Roman"/>
          <w:sz w:val="20"/>
        </w:rPr>
        <w:t xml:space="preserve">, unless (x) such Demanding Holder reimburses the Company for all Registration Expenses with respect to such Underwritten Offering (or, if there is more than one Demanding Holder, a </w:t>
      </w:r>
      <w:r>
        <w:rPr>
          <w:rFonts w:ascii="Times New Roman" w:hAnsi="Times New Roman"/>
          <w:i/>
          <w:sz w:val="20"/>
        </w:rPr>
        <w:t>pro rata</w:t>
      </w:r>
      <w:r>
        <w:rPr>
          <w:rFonts w:ascii="Times New Roman" w:hAnsi="Times New Roman"/>
          <w:sz w:val="20"/>
        </w:rPr>
        <w:t xml:space="preserve"> portion of such Registration Expenses based on the respective number of Registrable Securities that each Demanding Holder has requested be included in such Underwritten Offering) or (y) such withdrawal is the result of a Suspension Notice as contemplated by </w:t>
      </w:r>
      <w:r>
        <w:rPr>
          <w:rFonts w:ascii="Times New Roman" w:hAnsi="Times New Roman"/>
          <w:sz w:val="20"/>
          <w:u w:val="single"/>
        </w:rPr>
        <w:t>Section 3.4(d)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(d) Under no circumstances shall Pubco be obligated to effect more three (3) Registrations pursuant to a request by a Demanding Holder under </w:t>
      </w:r>
      <w:r>
        <w:rPr>
          <w:rFonts w:ascii="Times New Roman" w:hAnsi="Times New Roman"/>
          <w:sz w:val="20"/>
          <w:u w:val="single"/>
        </w:rPr>
        <w:t>Section 2.2</w:t>
      </w:r>
      <w:r>
        <w:rPr>
          <w:rFonts w:ascii="Times New Roman" w:hAnsi="Times New Roman"/>
          <w:sz w:val="20"/>
        </w:rPr>
        <w:t xml:space="preserve"> hereof (each a </w:t>
      </w:r>
      <w:r>
        <w:rPr>
          <w:rFonts w:ascii="Times New Roman" w:hAnsi="Times New Roman"/>
          <w:sz w:val="20"/>
          <w:u w:val="single"/>
        </w:rPr>
        <w:t>Demand Registration</w:t>
      </w:r>
      <w:r>
        <w:rPr>
          <w:rFonts w:ascii="Times New Roman" w:hAnsi="Times New Roman"/>
          <w:sz w:val="20"/>
        </w:rPr>
        <w:t xml:space="preserve">), with respect to any or all Registrable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sz w:val="20"/>
          <w:u w:val="single"/>
        </w:rPr>
        <w:t>Piggyback 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hAnsi="Times New Roman"/>
          <w:sz w:val="20"/>
          <w:u w:val="single"/>
        </w:rPr>
        <w:t>Section 2.2</w:t>
      </w:r>
      <w:r>
        <w:rPr>
          <w:rFonts w:ascii="Times New Roman" w:hAnsi="Times New Roman"/>
          <w:sz w:val="20"/>
        </w:rPr>
        <w:t xml:space="preserve"> hereof)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(in the case of an overnight or bought offering, such requests must be made by the Stockholders within three Business Days after the delivery of any such notice by Pubco) (such Registration a </w:t>
      </w:r>
      <w:r>
        <w:rPr>
          <w:rFonts w:ascii="Times New Roman" w:hAnsi="Times New Roman"/>
          <w:sz w:val="20"/>
          <w:u w:val="single"/>
        </w:rPr>
        <w:t>Piggyback Registration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hAnsi="Times New Roman"/>
          <w:sz w:val="20"/>
          <w:u w:val="single"/>
        </w:rPr>
        <w:t>Section 2.3(b)</w:t>
      </w:r>
      <w:r>
        <w:rPr>
          <w:rFonts w:ascii="Times New Roman" w:hAnsi="Times New Roman"/>
          <w:sz w:val="20"/>
        </w:rPr>
        <w:t xml:space="preserve">. Subject to </w:t>
      </w:r>
      <w:r>
        <w:rPr>
          <w:rFonts w:ascii="Times New Roman" w:hAnsi="Times New Roman"/>
          <w:sz w:val="20"/>
          <w:u w:val="single"/>
        </w:rPr>
        <w:t>Section 2.3(b)</w:t>
      </w:r>
      <w:r>
        <w:rPr>
          <w:rFonts w:ascii="Times New Roman" w:hAnsi="Times New Roman"/>
          <w:sz w:val="20"/>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hAnsi="Times New Roman"/>
          <w:sz w:val="20"/>
          <w:u w:val="single"/>
        </w:rPr>
        <w:t>Section 2.3</w:t>
      </w:r>
      <w:r>
        <w:rPr>
          <w:rFonts w:ascii="Times New Roman" w:hAnsi="Times New Roman"/>
          <w:sz w:val="20"/>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hAnsi="Times New Roman"/>
          <w:sz w:val="20"/>
          <w:u w:val="single"/>
        </w:rPr>
        <w:t>Section 2.3</w:t>
      </w:r>
      <w:r>
        <w:rPr>
          <w:rFonts w:ascii="Times New Roman" w:hAnsi="Times New Roman"/>
          <w:sz w:val="20"/>
        </w:rPr>
        <w:t xml:space="preserve"> shall enter into an underwriting agreement in customary form with the Underwriter(s) selected for such Underwritten Offering by Pubco;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hAnsi="Times New Roman"/>
          <w:sz w:val="20"/>
          <w:u w:val="single"/>
        </w:rPr>
        <w:t>Article IV</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 (ii) the Registrable Securities as to which registration has been requested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and (iii) the shares of Class A Common Stock, if any, as to which Registration has been requested pursuant to separate written contractual piggy-back registration rights of other stockholders of Pubco, exceeds the Maximum Number of Securities, then: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 If the Registration is undertaken for Pubcos account, Pubco shall include in any such Registration (A) </w:t>
      </w:r>
      <w:r>
        <w:rPr>
          <w:rFonts w:ascii="Times New Roman" w:hAnsi="Times New Roman"/>
          <w:i/>
          <w:sz w:val="20"/>
        </w:rPr>
        <w:t>first</w:t>
      </w:r>
      <w:r>
        <w:rPr>
          <w:rFonts w:ascii="Times New Roman" w:hAnsi="Times New Roman"/>
          <w:sz w:val="20"/>
        </w:rPr>
        <w:t>, shares of Class A Common Stock or other equity securities that Pubco desires to sell, which can be sold without exceeding the Maximum Number of Securities; (B)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Stockholders exercising their rights to register their Registrable Securities pursuant to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hereof which can be sold without exceeding the Maximum Number of Securities, allocated </w:t>
      </w:r>
      <w:r>
        <w:rPr>
          <w:rFonts w:ascii="Times New Roman" w:hAnsi="Times New Roman"/>
          <w:i/>
          <w:sz w:val="20"/>
        </w:rPr>
        <w:t>pro rata</w:t>
      </w:r>
      <w:r>
        <w:rPr>
          <w:rFonts w:ascii="Times New Roman" w:hAnsi="Times New Roman"/>
          <w:sz w:val="20"/>
        </w:rPr>
        <w:t xml:space="preserve"> based on the respective number of Registrable Securities that each such Stockholder has requested be included in such Registration; and (C)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shares of Class A Common Stock, if any, as to which Registration has been requested pursuant to written contractual piggy-back registration rights of other stockholders of Pubco, which can be sold without exceeding the Maximum Number of Securities; </w:t>
      </w:r>
    </w:p>
    <w:p>
      <w:pPr>
        <w:pStyle w:val="TextBody"/>
        <w:spacing w:before="120" w:after="0"/>
        <w:jc w:val="left"/>
        <w:rPr>
          <w:rFonts w:ascii="Times New Roman" w:hAnsi="Times New Roman"/>
          <w:sz w:val="20"/>
        </w:rPr>
      </w:pPr>
      <w:r>
        <w:rPr>
          <w:rFonts w:ascii="Times New Roman" w:hAnsi="Times New Roman"/>
          <w:sz w:val="20"/>
        </w:rPr>
        <w:t>(ii) If the Registration is pursuant to a request by persons or entities other than the Stockholders, then Pubco shall include in any such Registration (A) </w:t>
      </w:r>
      <w:r>
        <w:rPr>
          <w:rFonts w:ascii="Times New Roman" w:hAnsi="Times New Roman"/>
          <w:i/>
          <w:sz w:val="20"/>
        </w:rPr>
        <w:t>first</w:t>
      </w:r>
      <w:r>
        <w:rPr>
          <w:rFonts w:ascii="Times New Roman" w:hAnsi="Times New Roman"/>
          <w:sz w:val="20"/>
        </w:rPr>
        <w:t>, shares of Class A Common Stock or other equity securities, if any, of such requesting persons or entities, other than the Stockholders of Registrable Securities, which can be sold without exceeding the Maximum Number of Securities; (B)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Stockholders exercising their rights to register their Registrable Securities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hereof which can be sold without exceeding the Maximum Number of Securities, allocated </w:t>
      </w:r>
      <w:r>
        <w:rPr>
          <w:rFonts w:ascii="Times New Roman" w:hAnsi="Times New Roman"/>
          <w:i/>
          <w:sz w:val="20"/>
        </w:rPr>
        <w:t>pro rata</w:t>
      </w:r>
      <w:r>
        <w:rPr>
          <w:rFonts w:ascii="Times New Roman" w:hAnsi="Times New Roman"/>
          <w:sz w:val="20"/>
        </w:rPr>
        <w:t xml:space="preserve"> based on the respective number of Registrable Securities that each such Stockholder has requested be included in such Registration; (C)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shares of Class A Common Stock or other equity securities that Pubco desires to sell, which can be sold without exceeding the Maximum Number of Securities; and (D) </w:t>
      </w:r>
      <w:r>
        <w:rPr>
          <w:rFonts w:ascii="Times New Roman" w:hAnsi="Times New Roman"/>
          <w:i/>
          <w:sz w:val="20"/>
        </w:rPr>
        <w:t>fourth</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 </w:t>
      </w:r>
    </w:p>
    <w:p>
      <w:pPr>
        <w:pStyle w:val="TextBody"/>
        <w:spacing w:before="120" w:after="0"/>
        <w:jc w:val="left"/>
        <w:rPr>
          <w:rFonts w:ascii="Times New Roman" w:hAnsi="Times New Roman"/>
          <w:sz w:val="20"/>
        </w:rPr>
      </w:pPr>
      <w:r>
        <w:rPr>
          <w:rFonts w:ascii="Times New Roman" w:hAnsi="Times New Roman"/>
          <w:sz w:val="20"/>
        </w:rPr>
        <w:t xml:space="preserve">(c) Any Stockholder that indicated an intention to sell Registrable Securities under this Section 2.3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hAnsi="Times New Roman"/>
          <w:sz w:val="20"/>
          <w:u w:val="single"/>
        </w:rPr>
        <w:t>Section 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(d) For purposes of clarity, any Registration effected pursuant to </w:t>
      </w:r>
      <w:r>
        <w:rPr>
          <w:rFonts w:ascii="Times New Roman" w:hAnsi="Times New Roman"/>
          <w:sz w:val="20"/>
          <w:u w:val="single"/>
        </w:rPr>
        <w:t>Section 2.3</w:t>
      </w:r>
      <w:r>
        <w:rPr>
          <w:rFonts w:ascii="Times New Roman" w:hAnsi="Times New Roman"/>
          <w:sz w:val="20"/>
        </w:rPr>
        <w:t xml:space="preserve"> hereof shall not be counted as a Registration effected under </w:t>
      </w:r>
      <w:r>
        <w:rPr>
          <w:rFonts w:ascii="Times New Roman" w:hAnsi="Times New Roman"/>
          <w:sz w:val="20"/>
          <w:u w:val="single"/>
        </w:rPr>
        <w:t>Section 2.2</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sz w:val="20"/>
          <w:u w:val="single"/>
        </w:rPr>
        <w:t>Registrations on Form S-3</w:t>
      </w:r>
      <w:r>
        <w:rPr>
          <w:rFonts w:ascii="Times New Roman" w:hAnsi="Times New Roman"/>
          <w:sz w:val="20"/>
        </w:rPr>
        <w:t>. The holders of Registrable Securities may at any time, and from time to time, request in writing 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hAnsi="Times New Roman"/>
          <w:sz w:val="20"/>
          <w:u w:val="single"/>
        </w:rPr>
        <w:t>Form S-3</w:t>
      </w:r>
      <w:r>
        <w:rPr>
          <w:rFonts w:ascii="Times New Roman" w:hAnsi="Times New Roman"/>
          <w:sz w:val="20"/>
        </w:rPr>
        <w:t xml:space="preserve">); provided, however, that Pubco shall not be obligated to effect such request through an Underwritten Offering. Within five (5)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ten (10) days after the receipt by the Stockholder of the notice from Pubco. As soon as practicable thereafter, but not more than twenty (20) days after Pubcos initial receipt of such written request for a Registration on Form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provided, however, that Pubco shall not be obligated to effect any such Registration pursuant to </w:t>
      </w:r>
      <w:r>
        <w:rPr>
          <w:rFonts w:ascii="Times New Roman" w:hAnsi="Times New Roman"/>
          <w:sz w:val="20"/>
          <w:u w:val="single"/>
        </w:rPr>
        <w:t>Section 2.3</w:t>
      </w:r>
      <w:r>
        <w:rPr>
          <w:rFonts w:ascii="Times New Roman" w:hAnsi="Times New Roman"/>
          <w:sz w:val="20"/>
        </w:rPr>
        <w:t xml:space="preserve"> hereof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$15,000,000.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sz w:val="20"/>
          <w:u w:val="single"/>
        </w:rPr>
        <w:t>Market Stand-off</w:t>
      </w:r>
      <w:r>
        <w:rPr>
          <w:rFonts w:ascii="Times New Roman" w:hAnsi="Times New Roman"/>
          <w:sz w:val="20"/>
        </w:rPr>
        <w:t xml:space="preserve">. In connection with any Underwritten Offering of Class A Common Stock of Pubco, if requested by the Underwriters managing the offering, each Stockholder that is an executive officer or director of Pubco or the beneficial owner of more than one percent (1%)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 ninety (90)-day period (or such shorter time agreed to by the managing Underwriters) beginning on the date of pricing of such offering, except as expressly permitted by such lock-up agreement or in the event the managing Underwriters otherwise agree by written consent.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sz w:val="20"/>
          <w:u w:val="single"/>
        </w:rPr>
        <w:t>Block Trades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Notwithstanding any other provision of this </w:t>
      </w:r>
      <w:r>
        <w:rPr>
          <w:rFonts w:ascii="Times New Roman" w:hAnsi="Times New Roman"/>
          <w:sz w:val="20"/>
          <w:u w:val="single"/>
        </w:rPr>
        <w:t>Section 2.6</w:t>
      </w:r>
      <w:r>
        <w:rPr>
          <w:rFonts w:ascii="Times New Roman" w:hAnsi="Times New Roman"/>
          <w:sz w:val="20"/>
        </w:rPr>
        <w:t>, but subject to </w:t>
      </w:r>
      <w:r>
        <w:rPr>
          <w:rFonts w:ascii="Times New Roman" w:hAnsi="Times New Roman"/>
          <w:sz w:val="20"/>
          <w:u w:val="single"/>
        </w:rPr>
        <w:t>Section 3.4</w:t>
      </w:r>
      <w:r>
        <w:rPr>
          <w:rFonts w:ascii="Times New Roman" w:hAnsi="Times New Roman"/>
          <w:sz w:val="20"/>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Times New Roman" w:hAnsi="Times New Roman"/>
          <w:sz w:val="20"/>
          <w:u w:val="single"/>
        </w:rPr>
        <w:t>Block Trade</w:t>
      </w:r>
      <w:r>
        <w:rPr>
          <w:rFonts w:ascii="Times New Roman" w:hAnsi="Times New Roman"/>
          <w:sz w:val="20"/>
        </w:rPr>
        <w:t>), with a total offering price reasonably expected to exceed, in the aggregate, either (x) $20,000,000 or (y) all remaining Registrable Securities held by the Demanding Holder, then such Demanding Holder only needs to notify Pubco of the Block Trade at least five (5) business days prior to the day such offering is to commence and Pubco shall as expeditiously as possible use its commercially reasonable efforts to facilitate such Block Trade; </w:t>
      </w:r>
      <w:r>
        <w:rPr>
          <w:rFonts w:ascii="Times New Roman" w:hAnsi="Times New Roman"/>
          <w:sz w:val="20"/>
          <w:u w:val="single"/>
        </w:rPr>
        <w:t>provided</w:t>
      </w:r>
      <w:r>
        <w:rPr>
          <w:rFonts w:ascii="Times New Roman" w:hAnsi="Times New Roman"/>
          <w:sz w:val="20"/>
        </w:rPr>
        <w:t xml:space="preserve"> that the Demanding Holders representing a majority of the Registrable Securities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 </w:t>
      </w:r>
    </w:p>
    <w:p>
      <w:pPr>
        <w:pStyle w:val="TextBody"/>
        <w:spacing w:before="120" w:after="0"/>
        <w:jc w:val="left"/>
        <w:rPr>
          <w:rFonts w:ascii="Times New Roman" w:hAnsi="Times New Roman"/>
          <w:sz w:val="20"/>
        </w:rPr>
      </w:pPr>
      <w:r>
        <w:rPr>
          <w:rFonts w:ascii="Times New Roman" w:hAnsi="Times New Roman"/>
          <w:sz w:val="20"/>
        </w:rPr>
        <w:t xml:space="preserve">(b) 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 </w:t>
      </w:r>
    </w:p>
    <w:p>
      <w:pPr>
        <w:pStyle w:val="TextBody"/>
        <w:spacing w:before="120" w:after="0"/>
        <w:jc w:val="left"/>
        <w:rPr>
          <w:rFonts w:ascii="Times New Roman" w:hAnsi="Times New Roman"/>
          <w:sz w:val="20"/>
        </w:rPr>
      </w:pPr>
      <w:r>
        <w:rPr>
          <w:rFonts w:ascii="Times New Roman" w:hAnsi="Times New Roman"/>
          <w:sz w:val="20"/>
        </w:rPr>
        <w:t xml:space="preserve">(c) Notwithstanding anything to the contrary in this Agreement, </w:t>
      </w:r>
      <w:r>
        <w:rPr>
          <w:rFonts w:ascii="Times New Roman" w:hAnsi="Times New Roman"/>
          <w:sz w:val="20"/>
          <w:u w:val="single"/>
        </w:rPr>
        <w:t>Section 2.3</w:t>
      </w:r>
      <w:r>
        <w:rPr>
          <w:rFonts w:ascii="Times New Roman" w:hAnsi="Times New Roman"/>
          <w:sz w:val="20"/>
        </w:rPr>
        <w:t xml:space="preserve"> shall not apply to a Block Trade initiated by a Demanding Holder pursuant to this Agreement. </w:t>
      </w:r>
    </w:p>
    <w:p>
      <w:pPr>
        <w:pStyle w:val="TextBody"/>
        <w:spacing w:before="120" w:after="0"/>
        <w:jc w:val="left"/>
        <w:rPr>
          <w:rFonts w:ascii="Times New Roman" w:hAnsi="Times New Roman"/>
          <w:sz w:val="20"/>
        </w:rPr>
      </w:pPr>
      <w:r>
        <w:rPr>
          <w:rFonts w:ascii="Times New Roman" w:hAnsi="Times New Roman"/>
          <w:sz w:val="20"/>
        </w:rPr>
        <w:t xml:space="preserve">(d) The Demanding Holder in a Block Trade shall have the right to select the Underwriters for such Block Trade (which shall consist of one or more reputable nationally recognized investment banks).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u w:val="single"/>
        </w:rPr>
        <w:t>COMPANY PROCEDURES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sz w:val="20"/>
          <w:u w:val="single"/>
        </w:rPr>
        <w:t>General Procedures</w:t>
      </w:r>
      <w:r>
        <w:rPr>
          <w:rFonts w:ascii="Times New Roman" w:hAnsi="Times New Roman"/>
          <w:sz w:val="20"/>
        </w:rPr>
        <w:t xml:space="preserve">. Pubco shall use its reasonable best efforts to effect the Registration of Registrable Securities in accordance with the intended plan of distribution thereof, and pursuant thereto Pubco shall, as expeditiously as practicable: </w:t>
      </w:r>
    </w:p>
    <w:p>
      <w:pPr>
        <w:pStyle w:val="TextBody"/>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2.1</w:t>
      </w:r>
      <w:r>
        <w:rPr>
          <w:rFonts w:ascii="Times New Roman" w:hAnsi="Times New Roman"/>
          <w:sz w:val="20"/>
        </w:rPr>
        <w:t xml:space="preserve">,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 </w:t>
      </w:r>
    </w:p>
    <w:p>
      <w:pPr>
        <w:pStyle w:val="TextBody"/>
        <w:spacing w:before="120" w:after="0"/>
        <w:jc w:val="left"/>
        <w:rPr>
          <w:rFonts w:ascii="Times New Roman" w:hAnsi="Times New Roman"/>
          <w:sz w:val="20"/>
        </w:rPr>
      </w:pPr>
      <w:r>
        <w:rPr>
          <w:rFonts w:ascii="Times New Roman" w:hAnsi="Times New Roman"/>
          <w:sz w:val="20"/>
        </w:rPr>
        <w:t xml:space="preserve">(b) 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 </w:t>
      </w:r>
    </w:p>
    <w:p>
      <w:pPr>
        <w:pStyle w:val="TextBody"/>
        <w:spacing w:before="120" w:after="0"/>
        <w:jc w:val="left"/>
        <w:rPr>
          <w:rFonts w:ascii="Times New Roman" w:hAnsi="Times New Roman"/>
          <w:sz w:val="20"/>
        </w:rPr>
      </w:pPr>
      <w:r>
        <w:rPr>
          <w:rFonts w:ascii="Times New Roman" w:hAnsi="Times New Roman"/>
          <w:sz w:val="20"/>
        </w:rPr>
        <w:t xml:space="preserve">(c) 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 </w:t>
      </w:r>
    </w:p>
    <w:p>
      <w:pPr>
        <w:pStyle w:val="TextBody"/>
        <w:spacing w:before="120" w:after="0"/>
        <w:jc w:val="left"/>
        <w:rPr>
          <w:rFonts w:ascii="Times New Roman" w:hAnsi="Times New Roman"/>
          <w:sz w:val="20"/>
        </w:rPr>
      </w:pPr>
      <w:r>
        <w:rPr>
          <w:rFonts w:ascii="Times New Roman" w:hAnsi="Times New Roman"/>
          <w:sz w:val="20"/>
        </w:rPr>
        <w:t xml:space="preserve">(d)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 </w:t>
      </w:r>
    </w:p>
    <w:p>
      <w:pPr>
        <w:pStyle w:val="TextBody"/>
        <w:spacing w:before="120" w:after="0"/>
        <w:jc w:val="left"/>
        <w:rPr>
          <w:rFonts w:ascii="Times New Roman" w:hAnsi="Times New Roman"/>
          <w:sz w:val="20"/>
        </w:rPr>
      </w:pPr>
      <w:r>
        <w:rPr>
          <w:rFonts w:ascii="Times New Roman" w:hAnsi="Times New Roman"/>
          <w:sz w:val="20"/>
        </w:rPr>
        <w:t xml:space="preserve">(e) use its commercially reasonable efforts to cause all such Registrable Securities to be listed on each securities exchange or automated quotation system on which similar securities issued by Pubco are then listed; </w:t>
      </w:r>
    </w:p>
    <w:p>
      <w:pPr>
        <w:pStyle w:val="TextBody"/>
        <w:spacing w:before="120" w:after="0"/>
        <w:jc w:val="left"/>
        <w:rPr>
          <w:rFonts w:ascii="Times New Roman" w:hAnsi="Times New Roman"/>
          <w:sz w:val="20"/>
        </w:rPr>
      </w:pPr>
      <w:r>
        <w:rPr>
          <w:rFonts w:ascii="Times New Roman" w:hAnsi="Times New Roman"/>
          <w:sz w:val="20"/>
        </w:rPr>
        <w:t xml:space="preserve">(f) provide a transfer agent and registrar for all such Registrable Securities no later than the effective date of such Registration Statement; </w:t>
      </w:r>
    </w:p>
    <w:p>
      <w:pPr>
        <w:pStyle w:val="TextBody"/>
        <w:spacing w:before="120" w:after="0"/>
        <w:jc w:val="left"/>
        <w:rPr>
          <w:rFonts w:ascii="Times New Roman" w:hAnsi="Times New Roman"/>
          <w:sz w:val="20"/>
        </w:rPr>
      </w:pPr>
      <w:r>
        <w:rPr>
          <w:rFonts w:ascii="Times New Roman" w:hAnsi="Times New Roman"/>
          <w:sz w:val="20"/>
        </w:rPr>
        <w:t xml:space="preserve">(g)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w:t>
      </w:r>
    </w:p>
    <w:p>
      <w:pPr>
        <w:pStyle w:val="TextBody"/>
        <w:spacing w:before="120" w:after="0"/>
        <w:jc w:val="left"/>
        <w:rPr>
          <w:rFonts w:ascii="Times New Roman" w:hAnsi="Times New Roman"/>
          <w:sz w:val="20"/>
        </w:rPr>
      </w:pPr>
      <w:r>
        <w:rPr>
          <w:rFonts w:ascii="Times New Roman" w:hAnsi="Times New Roman"/>
          <w:sz w:val="20"/>
        </w:rPr>
        <w:t xml:space="preserve">(i) 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hAnsi="Times New Roman"/>
          <w:sz w:val="20"/>
          <w:u w:val="single"/>
        </w:rPr>
        <w:t>Section 3.4</w:t>
      </w:r>
      <w:r>
        <w:rPr>
          <w:rFonts w:ascii="Times New Roman" w:hAnsi="Times New Roman"/>
          <w:sz w:val="20"/>
        </w:rPr>
        <w:t xml:space="preserve"> hereof; </w:t>
      </w:r>
    </w:p>
    <w:p>
      <w:pPr>
        <w:pStyle w:val="TextBody"/>
        <w:spacing w:before="120" w:after="0"/>
        <w:jc w:val="left"/>
        <w:rPr>
          <w:rFonts w:ascii="Times New Roman" w:hAnsi="Times New Roman"/>
          <w:sz w:val="20"/>
        </w:rPr>
      </w:pPr>
      <w:r>
        <w:rPr>
          <w:rFonts w:ascii="Times New Roman" w:hAnsi="Times New Roman"/>
          <w:sz w:val="20"/>
        </w:rPr>
        <w:t xml:space="preserve">(j) 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 </w:t>
      </w:r>
    </w:p>
    <w:p>
      <w:pPr>
        <w:pStyle w:val="TextBody"/>
        <w:spacing w:before="120" w:after="0"/>
        <w:jc w:val="left"/>
        <w:rPr>
          <w:rFonts w:ascii="Times New Roman" w:hAnsi="Times New Roman"/>
          <w:sz w:val="20"/>
        </w:rPr>
      </w:pPr>
      <w:r>
        <w:rPr>
          <w:rFonts w:ascii="Times New Roman" w:hAnsi="Times New Roman"/>
          <w:sz w:val="20"/>
        </w:rPr>
        <w:t xml:space="preserve">(k) obtain a cold comfort letter from Pubcos independent registered public accountants in the event of an Underwritten Offering, in customary form and covering such matters of the type customarily covered by cold comfort letters as the managing Underwriter may reasonably request; </w:t>
      </w:r>
    </w:p>
    <w:p>
      <w:pPr>
        <w:pStyle w:val="TextBody"/>
        <w:spacing w:before="120" w:after="0"/>
        <w:jc w:val="left"/>
        <w:rPr>
          <w:rFonts w:ascii="Times New Roman" w:hAnsi="Times New Roman"/>
          <w:sz w:val="20"/>
        </w:rPr>
      </w:pPr>
      <w:r>
        <w:rPr>
          <w:rFonts w:ascii="Times New Roman" w:hAnsi="Times New Roman"/>
          <w:sz w:val="20"/>
        </w:rPr>
        <w:t xml:space="preserve">(l) on the date the Registrable Securities are delivered for sale pursuant to such Registration, obtain an opinion,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 </w:t>
      </w:r>
    </w:p>
    <w:p>
      <w:pPr>
        <w:pStyle w:val="TextBody"/>
        <w:spacing w:before="120" w:after="0"/>
        <w:jc w:val="left"/>
        <w:rPr>
          <w:rFonts w:ascii="Times New Roman" w:hAnsi="Times New Roman"/>
          <w:sz w:val="20"/>
        </w:rPr>
      </w:pPr>
      <w:r>
        <w:rPr>
          <w:rFonts w:ascii="Times New Roman" w:hAnsi="Times New Roman"/>
          <w:sz w:val="20"/>
        </w:rPr>
        <w:t xml:space="preserve">(m) in the event of any Underwritten Offering, enter into and perform its obligations under an underwriting agreement, on terms agreed to by Pubco with the managing Underwriter of such offering; </w:t>
      </w:r>
    </w:p>
    <w:p>
      <w:pPr>
        <w:pStyle w:val="TextBody"/>
        <w:spacing w:before="120" w:after="0"/>
        <w:jc w:val="left"/>
        <w:rPr>
          <w:rFonts w:ascii="Times New Roman" w:hAnsi="Times New Roman"/>
          <w:sz w:val="20"/>
        </w:rPr>
      </w:pPr>
      <w:r>
        <w:rPr>
          <w:rFonts w:ascii="Times New Roman" w:hAnsi="Times New Roman"/>
          <w:sz w:val="20"/>
        </w:rPr>
        <w:t xml:space="preserve">(n) make available to its security holders, as soon as reasonably practicable, an earnings statement (which need not be audited) covering the period of at least twelve (12)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 </w:t>
      </w:r>
    </w:p>
    <w:p>
      <w:pPr>
        <w:pStyle w:val="TextBody"/>
        <w:spacing w:before="120" w:after="0"/>
        <w:jc w:val="left"/>
        <w:rPr>
          <w:rFonts w:ascii="Times New Roman" w:hAnsi="Times New Roman"/>
          <w:sz w:val="20"/>
        </w:rPr>
      </w:pPr>
      <w:r>
        <w:rPr>
          <w:rFonts w:ascii="Times New Roman" w:hAnsi="Times New Roman"/>
          <w:sz w:val="20"/>
        </w:rPr>
        <w:t xml:space="preserve">(o) if the Registration involves an Underwritten Offering, use its reasonable efforts to make available senior executives of Pubco to participate in customary road show presentations that may be reasonably requested by the Underwriter in such Underwritten Offering; and </w:t>
      </w:r>
    </w:p>
    <w:p>
      <w:pPr>
        <w:pStyle w:val="TextBody"/>
        <w:spacing w:before="120" w:after="0"/>
        <w:jc w:val="left"/>
        <w:rPr>
          <w:rFonts w:ascii="Times New Roman" w:hAnsi="Times New Roman"/>
          <w:sz w:val="20"/>
        </w:rPr>
      </w:pPr>
      <w:r>
        <w:rPr>
          <w:rFonts w:ascii="Times New Roman" w:hAnsi="Times New Roman"/>
          <w:sz w:val="20"/>
        </w:rPr>
        <w:t xml:space="preserve">(p) otherwise, in good faith, take such customary actions reasonably necessary to effect the registration of such Registrable Securities contemplated 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sz w:val="20"/>
          <w:u w:val="single"/>
        </w:rPr>
        <w:t>Registration Expenses</w:t>
      </w:r>
      <w:r>
        <w:rPr>
          <w:rFonts w:ascii="Times New Roman" w:hAnsi="Times New Roman"/>
          <w:sz w:val="20"/>
        </w:rPr>
        <w:t xml:space="preserve">. The Registration Expenses of all Registrations shall be borne by Pubco. Stockholders selling Registrable Securities shall bear all incremental selling expenses relating to the sale of such Registrable Securities, such as Underwriters commissions and discounts and brokerage fees.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sz w:val="20"/>
          <w:u w:val="single"/>
        </w:rPr>
        <w:t>Requirements for Participation in Underwritten Offerings</w:t>
      </w:r>
      <w:r>
        <w:rPr>
          <w:rFonts w:ascii="Times New Roman" w:hAnsi="Times New Roman"/>
          <w:sz w:val="20"/>
        </w:rPr>
        <w:t xml:space="preserve">. No person may participate in any Underwritten Offering for equity 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sz w:val="20"/>
          <w:u w:val="single"/>
        </w:rPr>
        <w:t>Suspension of Sales; Blackout Period; Adverse Disclosure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 </w:t>
      </w:r>
    </w:p>
    <w:p>
      <w:pPr>
        <w:pStyle w:val="TextBody"/>
        <w:spacing w:before="120" w:after="0"/>
        <w:jc w:val="left"/>
        <w:rPr>
          <w:rFonts w:ascii="Times New Roman" w:hAnsi="Times New Roman"/>
          <w:sz w:val="20"/>
        </w:rPr>
      </w:pPr>
      <w:r>
        <w:rPr>
          <w:rFonts w:ascii="Times New Roman" w:hAnsi="Times New Roman"/>
          <w:sz w:val="20"/>
        </w:rPr>
        <w:t>(b) Notwithstanding anything to the contrary contained in this Agreement, Pubco shall be entitled, by providing written notice (a </w:t>
      </w:r>
      <w:r>
        <w:rPr>
          <w:rFonts w:ascii="Times New Roman" w:hAnsi="Times New Roman"/>
          <w:sz w:val="20"/>
          <w:u w:val="single"/>
        </w:rPr>
        <w:t>Suspension Notice</w:t>
      </w:r>
      <w:r>
        <w:rPr>
          <w:rFonts w:ascii="Times New Roman" w:hAnsi="Times New Roman"/>
          <w:sz w:val="20"/>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ninety (90) days in the aggregate in any twelve (12)-month period (a </w:t>
      </w:r>
      <w:r>
        <w:rPr>
          <w:rFonts w:ascii="Times New Roman" w:hAnsi="Times New Roman"/>
          <w:sz w:val="20"/>
          <w:u w:val="single"/>
        </w:rPr>
        <w:t>Suspension Period</w:t>
      </w:r>
      <w:r>
        <w:rPr>
          <w:rFonts w:ascii="Times New Roman" w:hAnsi="Times New Roman"/>
          <w:sz w:val="20"/>
        </w:rPr>
        <w:t xml:space="preserve">)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 </w:t>
      </w:r>
    </w:p>
    <w:p>
      <w:pPr>
        <w:pStyle w:val="TextBody"/>
        <w:spacing w:before="120" w:after="0"/>
        <w:jc w:val="left"/>
        <w:rPr>
          <w:rFonts w:ascii="Times New Roman" w:hAnsi="Times New Roman"/>
          <w:sz w:val="20"/>
        </w:rPr>
      </w:pPr>
      <w:r>
        <w:rPr>
          <w:rFonts w:ascii="Times New Roman" w:hAnsi="Times New Roman"/>
          <w:sz w:val="20"/>
        </w:rPr>
        <w:t xml:space="preserve">(c) The Company agrees to promptly notify in writing the Stockholder, to the extent it still holds Registrable Securities, of the termination of a Suspension Period. After the expiration of any Suspension Period in the case of an effective Registration Statement, and without the need for any further request from the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(d) If Pubco notifies the Demanding Holders of a Suspension Period with respect to an Underwritten Offering requested pursuant to </w:t>
      </w:r>
      <w:r>
        <w:rPr>
          <w:rFonts w:ascii="Times New Roman" w:hAnsi="Times New Roman"/>
          <w:sz w:val="20"/>
          <w:u w:val="single"/>
        </w:rPr>
        <w:t>Section 2.2</w:t>
      </w:r>
      <w:r>
        <w:rPr>
          <w:rFonts w:ascii="Times New Roman" w:hAnsi="Times New Roman"/>
          <w:sz w:val="20"/>
        </w:rPr>
        <w:t xml:space="preserve">, (x) the Demanding Holders may by notice to Pubco withdraw such request without such request counting as a demand under </w:t>
      </w:r>
      <w:r>
        <w:rPr>
          <w:rFonts w:ascii="Times New Roman" w:hAnsi="Times New Roman"/>
          <w:sz w:val="20"/>
          <w:u w:val="single"/>
        </w:rPr>
        <w:t>Section 2.2(d)</w:t>
      </w:r>
      <w:r>
        <w:rPr>
          <w:rFonts w:ascii="Times New Roman" w:hAnsi="Times New Roman"/>
          <w:sz w:val="20"/>
        </w:rPr>
        <w:t xml:space="preserve"> and without being obligated to reimburse Pubco for any Registration Expenses in connection therewith. </w:t>
      </w:r>
    </w:p>
    <w:p>
      <w:pPr>
        <w:pStyle w:val="TextBody"/>
        <w:spacing w:before="120" w:after="0"/>
        <w:jc w:val="left"/>
        <w:rPr>
          <w:rFonts w:ascii="Times New Roman" w:hAnsi="Times New Roman"/>
          <w:sz w:val="20"/>
        </w:rPr>
      </w:pPr>
      <w:r>
        <w:rPr>
          <w:rFonts w:ascii="Times New Roman" w:hAnsi="Times New Roman"/>
          <w:sz w:val="20"/>
        </w:rPr>
        <w:t xml:space="preserve">(e) 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 (i) 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hAnsi="Times New Roman"/>
          <w:sz w:val="20"/>
          <w:u w:val="single"/>
        </w:rPr>
        <w:t>Section 3.4(b)</w:t>
      </w:r>
      <w:r>
        <w:rPr>
          <w:rFonts w:ascii="Times New Roman" w:hAnsi="Times New Roman"/>
          <w:sz w:val="20"/>
        </w:rPr>
        <w:t xml:space="preserve"> or be subject to </w:t>
      </w:r>
      <w:r>
        <w:rPr>
          <w:rFonts w:ascii="Times New Roman" w:hAnsi="Times New Roman"/>
          <w:sz w:val="20"/>
          <w:u w:val="single"/>
        </w:rPr>
        <w:t>Section 3.4(d)</w:t>
      </w:r>
      <w:r>
        <w:rPr>
          <w:rFonts w:ascii="Times New Roman" w:hAnsi="Times New Roman"/>
          <w:sz w:val="20"/>
        </w:rPr>
        <w:t xml:space="preserve">; and (ii) if, in the good faith determination of Pubco, it is not feasible for Pubco to proceed with the registration or offering because (x) audited financial statements of Pubco or (y) 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hAnsi="Times New Roman"/>
          <w:sz w:val="20"/>
          <w:u w:val="single"/>
        </w:rPr>
        <w:t>Section 3.4(b)</w:t>
      </w:r>
      <w:r>
        <w:rPr>
          <w:rFonts w:ascii="Times New Roman" w:hAnsi="Times New Roman"/>
          <w:sz w:val="20"/>
        </w:rPr>
        <w:t xml:space="preserve"> or be subject to </w:t>
      </w:r>
      <w:r>
        <w:rPr>
          <w:rFonts w:ascii="Times New Roman" w:hAnsi="Times New Roman"/>
          <w:sz w:val="20"/>
          <w:u w:val="single"/>
        </w:rPr>
        <w:t>Section 3.4(d)</w:t>
      </w:r>
      <w:r>
        <w:rPr>
          <w:rFonts w:ascii="Times New Roman" w:hAnsi="Times New Roman"/>
          <w:sz w:val="20"/>
        </w:rPr>
        <w:t xml:space="preserve">; provided that, with respect to clause (y), Pubco shall use its reasonable best efforts to prepare or obtain the relevant acquired company or pro forma financial statements as quickly as reasonably practicable.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3.5 </w:t>
      </w:r>
      <w:r>
        <w:rPr>
          <w:rFonts w:ascii="Times New Roman" w:hAnsi="Times New Roman"/>
          <w:sz w:val="20"/>
          <w:u w:val="single"/>
        </w:rPr>
        <w:t>Reporting Obligations</w:t>
      </w:r>
      <w:r>
        <w:rPr>
          <w:rFonts w:ascii="Times New Roman" w:hAnsi="Times New Roman"/>
          <w:sz w:val="20"/>
        </w:rPr>
        <w:t xml:space="preserve">. As long as any Stockholder shall own Registrable Securities, Pubco, at all times while it shall be a reporting company under the Exchange Act, covenants to use commercially reasonably efforts to: </w:t>
      </w:r>
    </w:p>
    <w:p>
      <w:pPr>
        <w:pStyle w:val="TextBody"/>
        <w:spacing w:before="120" w:after="0"/>
        <w:jc w:val="left"/>
        <w:rPr>
          <w:rFonts w:ascii="Times New Roman" w:hAnsi="Times New Roman"/>
          <w:sz w:val="20"/>
        </w:rPr>
      </w:pPr>
      <w:r>
        <w:rPr>
          <w:rFonts w:ascii="Times New Roman" w:hAnsi="Times New Roman"/>
          <w:sz w:val="20"/>
        </w:rPr>
        <w:t xml:space="preserve">(a) make and keep public information regarding Pubco available, as those terms are understood and defined in Rule 144, at all times from and after the Closing Date until there are no Registrable Securities outstanding; </w:t>
      </w:r>
    </w:p>
    <w:p>
      <w:pPr>
        <w:pStyle w:val="TextBody"/>
        <w:spacing w:before="120" w:after="0"/>
        <w:jc w:val="left"/>
        <w:rPr>
          <w:rFonts w:ascii="Times New Roman" w:hAnsi="Times New Roman"/>
          <w:sz w:val="20"/>
        </w:rPr>
      </w:pPr>
      <w:r>
        <w:rPr>
          <w:rFonts w:ascii="Times New Roman" w:hAnsi="Times New Roman"/>
          <w:sz w:val="20"/>
        </w:rPr>
        <w:t xml:space="preserve">(b) 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 </w:t>
      </w:r>
    </w:p>
    <w:p>
      <w:pPr>
        <w:pStyle w:val="TextBody"/>
        <w:spacing w:before="120" w:after="0"/>
        <w:jc w:val="left"/>
        <w:rPr>
          <w:rFonts w:ascii="Times New Roman" w:hAnsi="Times New Roman"/>
          <w:sz w:val="20"/>
        </w:rPr>
      </w:pPr>
      <w:r>
        <w:rPr>
          <w:rFonts w:ascii="Times New Roman" w:hAnsi="Times New Roman"/>
          <w:sz w:val="20"/>
        </w:rPr>
        <w:t xml:space="preserve">(c) 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the reasonable request of any Stockholder, Pubco shall deliver to such Stockholder a written certification of a duly authorized officer as to whether it has complied with such requirements.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3.6 </w:t>
      </w:r>
      <w:r>
        <w:rPr>
          <w:rFonts w:ascii="Times New Roman" w:hAnsi="Times New Roman"/>
          <w:sz w:val="20"/>
          <w:u w:val="single"/>
        </w:rPr>
        <w:t>Removal of Legend</w:t>
      </w:r>
      <w:r>
        <w:rPr>
          <w:rFonts w:ascii="Times New Roman" w:hAnsi="Times New Roman"/>
          <w:sz w:val="20"/>
        </w:rPr>
        <w:t xml:space="preserve">. In connection with a sale of Registrable Securities by a Stockholder in reliance on Rule 144, the 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u w:val="single"/>
        </w:rPr>
        <w:t>INDEMNIFICATION AND CONTRIBUTION</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sz w:val="20"/>
          <w:u w:val="single"/>
        </w:rPr>
        <w:t>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Pubco agrees to indemnify, to the extent permitted by law, each Stockholder, its officers and directors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 </w:t>
      </w:r>
    </w:p>
    <w:p>
      <w:pPr>
        <w:pStyle w:val="TextBody"/>
        <w:spacing w:before="120" w:after="0"/>
        <w:jc w:val="left"/>
        <w:rPr>
          <w:rFonts w:ascii="Times New Roman" w:hAnsi="Times New Roman"/>
          <w:sz w:val="20"/>
        </w:rPr>
      </w:pPr>
      <w:r>
        <w:rPr>
          <w:rFonts w:ascii="Times New Roman" w:hAnsi="Times New Roman"/>
          <w:sz w:val="20"/>
        </w:rPr>
        <w:t xml:space="preserve">(c)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w:t>
      </w:r>
    </w:p>
    <w:p>
      <w:pPr>
        <w:pStyle w:val="TextBody"/>
        <w:spacing w:before="120" w:after="0"/>
        <w:jc w:val="left"/>
        <w:rPr>
          <w:rFonts w:ascii="Times New Roman" w:hAnsi="Times New Roman"/>
          <w:sz w:val="20"/>
        </w:rPr>
      </w:pPr>
      <w:r>
        <w:rPr>
          <w:rFonts w:ascii="Times New Roman" w:hAnsi="Times New Roman"/>
          <w:sz w:val="20"/>
        </w:rPr>
        <w:t xml:space="preserve">(d)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 </w:t>
      </w:r>
    </w:p>
    <w:p>
      <w:pPr>
        <w:pStyle w:val="TextBody"/>
        <w:spacing w:before="120" w:after="0"/>
        <w:jc w:val="left"/>
        <w:rPr>
          <w:rFonts w:ascii="Times New Roman" w:hAnsi="Times New Roman"/>
          <w:sz w:val="20"/>
        </w:rPr>
      </w:pPr>
      <w:r>
        <w:rPr>
          <w:rFonts w:ascii="Times New Roman" w:hAnsi="Times New Roman"/>
          <w:sz w:val="20"/>
        </w:rPr>
        <w:t xml:space="preserve">(e) If the indemnification provided under this </w:t>
      </w:r>
      <w:r>
        <w:rPr>
          <w:rFonts w:ascii="Times New Roman" w:hAnsi="Times New Roman"/>
          <w:sz w:val="20"/>
          <w:u w:val="single"/>
        </w:rPr>
        <w:t>Section 4.1</w:t>
      </w:r>
      <w:r>
        <w:rPr>
          <w:rFonts w:ascii="Times New Roman" w:hAnsi="Times New Roman"/>
          <w:sz w:val="20"/>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liability of any Stockholder under this </w:t>
      </w:r>
      <w:r>
        <w:rPr>
          <w:rFonts w:ascii="Times New Roman" w:hAnsi="Times New Roman"/>
          <w:sz w:val="20"/>
          <w:u w:val="single"/>
        </w:rPr>
        <w:t>Section 4.1(e)</w:t>
      </w:r>
      <w:r>
        <w:rPr>
          <w:rFonts w:ascii="Times New Roman" w:hAnsi="Times New Roman"/>
          <w:sz w:val="20"/>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4.1(b)</w:t>
      </w:r>
      <w:r>
        <w:rPr>
          <w:rFonts w:ascii="Times New Roman" w:hAnsi="Times New Roman"/>
          <w:sz w:val="20"/>
        </w:rPr>
        <w:t xml:space="preserve"> and </w:t>
      </w:r>
      <w:r>
        <w:rPr>
          <w:rFonts w:ascii="Times New Roman" w:hAnsi="Times New Roman"/>
          <w:sz w:val="20"/>
          <w:u w:val="single"/>
        </w:rPr>
        <w:t>Section 4.1(c)</w:t>
      </w:r>
      <w:r>
        <w:rPr>
          <w:rFonts w:ascii="Times New Roman" w:hAnsi="Times New Roman"/>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Section 4.1(e)</w:t>
      </w:r>
      <w:r>
        <w:rPr>
          <w:rFonts w:ascii="Times New Roman" w:hAnsi="Times New Roman"/>
          <w:sz w:val="20"/>
        </w:rPr>
        <w:t xml:space="preserve"> were determined by </w:t>
      </w:r>
      <w:r>
        <w:rPr>
          <w:rFonts w:ascii="Times New Roman" w:hAnsi="Times New Roman"/>
          <w:i/>
          <w:sz w:val="20"/>
        </w:rPr>
        <w:t>pro rata</w:t>
      </w:r>
      <w:r>
        <w:rPr>
          <w:rFonts w:ascii="Times New Roman" w:hAnsi="Times New Roman"/>
          <w:sz w:val="20"/>
        </w:rPr>
        <w:t xml:space="preserve"> allocation or by any other method of allocation, which does not take account of the equitable considerations referred to in this </w:t>
      </w:r>
      <w:r>
        <w:rPr>
          <w:rFonts w:ascii="Times New Roman" w:hAnsi="Times New Roman"/>
          <w:sz w:val="20"/>
          <w:u w:val="single"/>
        </w:rPr>
        <w:t>Section 4.1(e)</w:t>
      </w:r>
      <w:r>
        <w:rPr>
          <w:rFonts w:ascii="Times New Roman" w:hAnsi="Times New Roman"/>
          <w:sz w:val="20"/>
        </w:rPr>
        <w:t xml:space="preserve">. No person guilty of fraudulent misrepresentation (within the meaning of Section 11(f) of the Securities Act) shall be entitled to contribution pursuant to this </w:t>
      </w:r>
      <w:r>
        <w:rPr>
          <w:rFonts w:ascii="Times New Roman" w:hAnsi="Times New Roman"/>
          <w:sz w:val="20"/>
          <w:u w:val="single"/>
        </w:rPr>
        <w:t>Section 4.1(e)</w:t>
      </w:r>
      <w:r>
        <w:rPr>
          <w:rFonts w:ascii="Times New Roman" w:hAnsi="Times New Roman"/>
          <w:sz w:val="20"/>
        </w:rPr>
        <w:t xml:space="preserve"> from any person who was not guilty of such fraudulent misrepresentation. </w:t>
      </w:r>
    </w:p>
    <w:p>
      <w:pPr>
        <w:pStyle w:val="TextBody"/>
        <w:spacing w:before="120" w:after="0"/>
        <w:jc w:val="left"/>
        <w:rPr>
          <w:rFonts w:ascii="Times New Roman" w:hAnsi="Times New Roman"/>
          <w:sz w:val="20"/>
        </w:rPr>
      </w:pPr>
      <w:r>
        <w:rPr>
          <w:rFonts w:ascii="Times New Roman" w:hAnsi="Times New Roman"/>
          <w:sz w:val="20"/>
        </w:rPr>
        <w:t xml:space="preserve">(f) The rights and obligations under this Article IV with respect to a Stockholder shall survive any disposition of such Stockholders Registrable Securities.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sz w:val="20"/>
          <w:u w:val="single"/>
        </w:rPr>
        <w:t>Lock-up</w:t>
      </w:r>
      <w:r>
        <w:rPr>
          <w:rFonts w:ascii="Times New Roman" w:hAnsi="Times New Roman"/>
          <w:sz w:val="20"/>
        </w:rPr>
        <w:t xml:space="preserve">. Each Stockholder agrees that it, he or she shall not Transfer any Registrable Securities until the expiration of the applicable Lock-Up Period, except as otherwise provided in the Stockholders Agreement. </w:t>
      </w:r>
    </w:p>
    <w:p>
      <w:pPr>
        <w:pStyle w:val="TextBody"/>
        <w:spacing w:before="48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sz w:val="20"/>
          <w:u w:val="single"/>
        </w:rPr>
        <w:t>Notices</w:t>
      </w:r>
      <w:r>
        <w:rPr>
          <w:rFonts w:ascii="Times New Roman" w:hAnsi="Times New Roman"/>
          <w:sz w:val="20"/>
        </w:rPr>
        <w:t>. To be valid for purposes hereof, any notice, request, demand, waiver, consent, approval or other communication (any of the foregoing, a </w:t>
      </w:r>
      <w:r>
        <w:rPr>
          <w:rFonts w:ascii="Times New Roman" w:hAnsi="Times New Roman"/>
          <w:sz w:val="20"/>
          <w:u w:val="single"/>
        </w:rPr>
        <w:t>Notice</w:t>
      </w:r>
      <w:r>
        <w:rPr>
          <w:rFonts w:ascii="Times New Roman" w:hAnsi="Times New Roman"/>
          <w:sz w:val="20"/>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provided, that, unless affirmatively confirmed by the recipient as received, notice is also sent to such party under another method permitted in this </w:t>
      </w:r>
      <w:r>
        <w:rPr>
          <w:rFonts w:ascii="Times New Roman" w:hAnsi="Times New Roman"/>
          <w:sz w:val="20"/>
          <w:u w:val="single"/>
        </w:rPr>
        <w:t>Section 6.1</w:t>
      </w:r>
      <w:r>
        <w:rPr>
          <w:rFonts w:ascii="Times New Roman" w:hAnsi="Times New Roman"/>
          <w:sz w:val="20"/>
        </w:rPr>
        <w:t xml:space="preserve"> within two Business Days thereafter) if sent during normal business hours of the recipient, and on the next Business Day if sent after normal business hours of the recipient or (d) one Business Day following deposit with a nationally recognized overnight courier service for next day delivery, charges prepaid, and, in each case, addressed to the intended recipient as set forth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u w:val="single"/>
              </w:rPr>
              <w:t>Notices to Pubco</w:t>
            </w:r>
            <w:r>
              <w:rPr>
                <w:rFonts w:ascii="Times New Roman" w:hAnsi="Times New Roman"/>
                <w:sz w:val="20"/>
              </w:rPr>
              <w:t>:</w:t>
            </w:r>
          </w:p>
          <w:p>
            <w:pPr>
              <w:pStyle w:val="TableContents"/>
              <w:spacing w:before="0" w:after="0"/>
              <w:rPr>
                <w:rFonts w:ascii="Times New Roman" w:hAnsi="Times New Roman"/>
                <w:sz w:val="20"/>
              </w:rPr>
            </w:pPr>
            <w:r>
              <w:rPr>
                <w:rFonts w:ascii="Times New Roman" w:hAnsi="Times New Roman"/>
                <w:sz w:val="20"/>
              </w:rPr>
              <w:t>Bakkt Holdings, Inc.</w:t>
            </w:r>
          </w:p>
          <w:p>
            <w:pPr>
              <w:pStyle w:val="TableContents"/>
              <w:spacing w:before="0" w:after="0"/>
              <w:rPr>
                <w:rFonts w:ascii="Times New Roman" w:hAnsi="Times New Roman"/>
                <w:sz w:val="20"/>
              </w:rPr>
            </w:pPr>
            <w:r>
              <w:rPr>
                <w:rFonts w:ascii="Times New Roman" w:hAnsi="Times New Roman"/>
                <w:sz w:val="20"/>
              </w:rPr>
              <w:t>5900 Windward Parkway, Suite 450</w:t>
            </w:r>
          </w:p>
          <w:p>
            <w:pPr>
              <w:pStyle w:val="TableContents"/>
              <w:spacing w:before="0" w:after="0"/>
              <w:rPr>
                <w:rFonts w:ascii="Times New Roman" w:hAnsi="Times New Roman"/>
                <w:sz w:val="20"/>
              </w:rPr>
            </w:pPr>
            <w:r>
              <w:rPr>
                <w:rFonts w:ascii="Times New Roman" w:hAnsi="Times New Roman"/>
                <w:sz w:val="20"/>
              </w:rPr>
              <w:t>Alpharetta, GA 30005</w:t>
            </w:r>
          </w:p>
          <w:p>
            <w:pPr>
              <w:pStyle w:val="TableContents"/>
              <w:spacing w:before="0" w:after="0"/>
              <w:rPr>
                <w:rFonts w:ascii="Times New Roman" w:hAnsi="Times New Roman"/>
                <w:sz w:val="20"/>
              </w:rPr>
            </w:pPr>
            <w:r>
              <w:rPr>
                <w:rFonts w:ascii="Times New Roman" w:hAnsi="Times New Roman"/>
                <w:sz w:val="20"/>
              </w:rPr>
              <w:t>Attn: General Counsel</w:t>
            </w:r>
          </w:p>
          <w:p>
            <w:pPr>
              <w:pStyle w:val="TableContents"/>
              <w:spacing w:before="0" w:after="20"/>
              <w:rPr>
                <w:rFonts w:ascii="Times New Roman" w:hAnsi="Times New Roman"/>
                <w:sz w:val="20"/>
              </w:rPr>
            </w:pPr>
            <w:r>
              <w:rPr>
                <w:rFonts w:ascii="Times New Roman" w:hAnsi="Times New Roman"/>
                <w:sz w:val="20"/>
              </w:rPr>
              <w:t>Email: marc.dannunzio@bakkt.com</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u w:val="single"/>
              </w:rPr>
              <w:t>with copies to (which shall not constitute notice)</w:t>
            </w:r>
            <w:r>
              <w:rPr>
                <w:rFonts w:ascii="Times New Roman" w:hAnsi="Times New Roman"/>
                <w:sz w:val="20"/>
              </w:rPr>
              <w:t>:</w:t>
            </w:r>
          </w:p>
          <w:p>
            <w:pPr>
              <w:pStyle w:val="TableContents"/>
              <w:spacing w:before="0" w:after="0"/>
              <w:rPr>
                <w:rFonts w:ascii="Times New Roman" w:hAnsi="Times New Roman"/>
                <w:sz w:val="20"/>
              </w:rPr>
            </w:pPr>
            <w:r>
              <w:rPr>
                <w:rFonts w:ascii="Times New Roman" w:hAnsi="Times New Roman"/>
                <w:sz w:val="20"/>
              </w:rPr>
              <w:t>Shearman &amp; Sterling LLP</w:t>
            </w:r>
          </w:p>
          <w:p>
            <w:pPr>
              <w:pStyle w:val="TableContents"/>
              <w:spacing w:before="0" w:after="0"/>
              <w:rPr>
                <w:rFonts w:ascii="Times New Roman" w:hAnsi="Times New Roman"/>
                <w:sz w:val="20"/>
              </w:rPr>
            </w:pPr>
            <w:r>
              <w:rPr>
                <w:rFonts w:ascii="Times New Roman" w:hAnsi="Times New Roman"/>
                <w:sz w:val="20"/>
              </w:rPr>
              <w:t>300 W. 6th Street, 22nd Floor</w:t>
            </w:r>
          </w:p>
          <w:p>
            <w:pPr>
              <w:pStyle w:val="TableContents"/>
              <w:spacing w:before="0" w:after="0"/>
              <w:rPr>
                <w:rFonts w:ascii="Times New Roman" w:hAnsi="Times New Roman"/>
                <w:sz w:val="20"/>
              </w:rPr>
            </w:pPr>
            <w:r>
              <w:rPr>
                <w:rFonts w:ascii="Times New Roman" w:hAnsi="Times New Roman"/>
                <w:sz w:val="20"/>
              </w:rPr>
              <w:t>Austin, Texas 78701</w:t>
            </w:r>
          </w:p>
          <w:p>
            <w:pPr>
              <w:pStyle w:val="TableContents"/>
              <w:spacing w:before="0" w:after="0"/>
              <w:rPr>
                <w:rFonts w:ascii="Times New Roman" w:hAnsi="Times New Roman"/>
                <w:sz w:val="20"/>
              </w:rPr>
            </w:pPr>
            <w:r>
              <w:rPr>
                <w:rFonts w:ascii="Times New Roman" w:hAnsi="Times New Roman"/>
                <w:sz w:val="20"/>
              </w:rPr>
              <w:t>Attention: J. Matthew Lyons</w:t>
            </w:r>
          </w:p>
          <w:p>
            <w:pPr>
              <w:pStyle w:val="TableContents"/>
              <w:spacing w:before="0" w:after="20"/>
              <w:rPr>
                <w:rFonts w:ascii="Times New Roman" w:hAnsi="Times New Roman"/>
                <w:sz w:val="20"/>
              </w:rPr>
            </w:pPr>
            <w:r>
              <w:rPr>
                <w:rFonts w:ascii="Times New Roman" w:hAnsi="Times New Roman"/>
                <w:sz w:val="20"/>
              </w:rPr>
              <w:t>Email: matt.lyons@shearman.com</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Notices to the Sponsor or VIH Independent Directors</w:t>
            </w:r>
          </w:p>
          <w:p>
            <w:pPr>
              <w:pStyle w:val="TableContents"/>
              <w:spacing w:before="0" w:after="0"/>
              <w:rPr>
                <w:rFonts w:ascii="Times New Roman" w:hAnsi="Times New Roman"/>
                <w:sz w:val="20"/>
              </w:rPr>
            </w:pPr>
            <w:r>
              <w:rPr>
                <w:rFonts w:ascii="Times New Roman" w:hAnsi="Times New Roman"/>
                <w:sz w:val="20"/>
              </w:rPr>
              <w:t>c/o Victory Park Capital Advisors, LLC</w:t>
            </w:r>
          </w:p>
          <w:p>
            <w:pPr>
              <w:pStyle w:val="TableContents"/>
              <w:spacing w:before="0" w:after="0"/>
              <w:rPr>
                <w:rFonts w:ascii="Times New Roman" w:hAnsi="Times New Roman"/>
                <w:sz w:val="20"/>
              </w:rPr>
            </w:pPr>
            <w:r>
              <w:rPr>
                <w:rFonts w:ascii="Times New Roman" w:hAnsi="Times New Roman"/>
                <w:sz w:val="20"/>
              </w:rPr>
              <w:t>150 North Riverside Plaza, Suite 5200</w:t>
            </w:r>
          </w:p>
          <w:p>
            <w:pPr>
              <w:pStyle w:val="TableContents"/>
              <w:spacing w:before="0" w:after="0"/>
              <w:rPr>
                <w:rFonts w:ascii="Times New Roman" w:hAnsi="Times New Roman"/>
                <w:sz w:val="20"/>
              </w:rPr>
            </w:pPr>
            <w:r>
              <w:rPr>
                <w:rFonts w:ascii="Times New Roman" w:hAnsi="Times New Roman"/>
                <w:sz w:val="20"/>
              </w:rPr>
              <w:t>Chicago, Illinois 60606</w:t>
            </w:r>
          </w:p>
          <w:p>
            <w:pPr>
              <w:pStyle w:val="TableContents"/>
              <w:spacing w:before="0" w:after="0"/>
              <w:rPr>
                <w:rFonts w:ascii="Times New Roman" w:hAnsi="Times New Roman"/>
                <w:sz w:val="20"/>
              </w:rPr>
            </w:pPr>
            <w:r>
              <w:rPr>
                <w:rFonts w:ascii="Times New Roman" w:hAnsi="Times New Roman"/>
                <w:sz w:val="20"/>
              </w:rPr>
              <w:t>Attn: Scott R. Zemnick</w:t>
            </w:r>
          </w:p>
          <w:p>
            <w:pPr>
              <w:pStyle w:val="TableContents"/>
              <w:spacing w:before="0" w:after="20"/>
              <w:rPr>
                <w:rFonts w:ascii="Times New Roman" w:hAnsi="Times New Roman"/>
                <w:sz w:val="20"/>
              </w:rPr>
            </w:pPr>
            <w:r>
              <w:rPr>
                <w:rFonts w:ascii="Times New Roman" w:hAnsi="Times New Roman"/>
                <w:sz w:val="20"/>
              </w:rPr>
              <w:t>Email: szemnick@vpcadvisors.com</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w:t>
            </w:r>
          </w:p>
          <w:p>
            <w:pPr>
              <w:pStyle w:val="TableContents"/>
              <w:spacing w:before="0" w:after="0"/>
              <w:rPr>
                <w:rFonts w:ascii="Times New Roman" w:hAnsi="Times New Roman"/>
                <w:sz w:val="20"/>
              </w:rPr>
            </w:pPr>
            <w:r>
              <w:rPr>
                <w:rFonts w:ascii="Times New Roman" w:hAnsi="Times New Roman"/>
                <w:sz w:val="20"/>
              </w:rPr>
              <w:t>White &amp; Case LLP</w:t>
            </w:r>
          </w:p>
          <w:p>
            <w:pPr>
              <w:pStyle w:val="TableContents"/>
              <w:spacing w:before="0" w:after="0"/>
              <w:rPr>
                <w:rFonts w:ascii="Times New Roman" w:hAnsi="Times New Roman"/>
                <w:sz w:val="20"/>
              </w:rPr>
            </w:pPr>
            <w:r>
              <w:rPr>
                <w:rFonts w:ascii="Times New Roman" w:hAnsi="Times New Roman"/>
                <w:sz w:val="20"/>
              </w:rPr>
              <w:t>111 South Wacker Drive, Suite 5100</w:t>
            </w:r>
          </w:p>
          <w:p>
            <w:pPr>
              <w:pStyle w:val="TableContents"/>
              <w:spacing w:before="0" w:after="0"/>
              <w:rPr>
                <w:rFonts w:ascii="Times New Roman" w:hAnsi="Times New Roman"/>
                <w:sz w:val="20"/>
              </w:rPr>
            </w:pPr>
            <w:r>
              <w:rPr>
                <w:rFonts w:ascii="Times New Roman" w:hAnsi="Times New Roman"/>
                <w:sz w:val="20"/>
              </w:rPr>
              <w:t>Chicago, IL 60606-4302</w:t>
            </w:r>
          </w:p>
          <w:p>
            <w:pPr>
              <w:pStyle w:val="TableContents"/>
              <w:spacing w:before="0" w:after="0"/>
              <w:rPr>
                <w:rFonts w:ascii="Times New Roman" w:hAnsi="Times New Roman"/>
                <w:sz w:val="20"/>
              </w:rPr>
            </w:pPr>
            <w:r>
              <w:rPr>
                <w:rFonts w:ascii="Times New Roman" w:hAnsi="Times New Roman"/>
                <w:sz w:val="20"/>
              </w:rPr>
              <w:t>Attention:    Raymond Bogenrief</w:t>
            </w:r>
          </w:p>
          <w:p>
            <w:pPr>
              <w:pStyle w:val="TableContents"/>
              <w:spacing w:before="0" w:after="0"/>
              <w:rPr/>
            </w:pPr>
            <w:r>
              <w:rPr/>
              <w:t>                    </w:t>
            </w:r>
            <w:r>
              <w:rPr>
                <w:rFonts w:ascii="Times New Roman" w:hAnsi="Times New Roman"/>
                <w:sz w:val="20"/>
              </w:rPr>
              <w:t>Elliott Smith</w:t>
            </w:r>
          </w:p>
          <w:p>
            <w:pPr>
              <w:pStyle w:val="TableContents"/>
              <w:spacing w:before="0" w:after="0"/>
              <w:rPr>
                <w:rFonts w:ascii="Times New Roman" w:hAnsi="Times New Roman"/>
                <w:sz w:val="20"/>
              </w:rPr>
            </w:pPr>
            <w:r>
              <w:rPr>
                <w:rFonts w:ascii="Times New Roman" w:hAnsi="Times New Roman"/>
                <w:sz w:val="20"/>
              </w:rPr>
              <w:t>E-mail:        raymond.bogenrief@whitecase.com</w:t>
            </w:r>
          </w:p>
          <w:p>
            <w:pPr>
              <w:pStyle w:val="TableContents"/>
              <w:spacing w:before="0" w:after="20"/>
              <w:rPr/>
            </w:pPr>
            <w:r>
              <w:rPr/>
              <w:t xml:space="preserve">                     </w:t>
            </w:r>
            <w:r>
              <w:rPr>
                <w:rFonts w:ascii="Times New Roman" w:hAnsi="Times New Roman"/>
                <w:sz w:val="20"/>
              </w:rPr>
              <w:t>elliott.smith@whitecase.com</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sz w:val="20"/>
          <w:u w:val="single"/>
        </w:rPr>
        <w:t>Assignment; No Third-Party Beneficiaries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This Agreement and the rights, duties and obligations of Pubco hereunder may not be assigned or delegated by Pubco in whole or in part. </w:t>
      </w:r>
    </w:p>
    <w:p>
      <w:pPr>
        <w:pStyle w:val="TextBody"/>
        <w:spacing w:before="120" w:after="0"/>
        <w:jc w:val="left"/>
        <w:rPr>
          <w:rFonts w:ascii="Times New Roman" w:hAnsi="Times New Roman"/>
          <w:sz w:val="20"/>
        </w:rPr>
      </w:pPr>
      <w:r>
        <w:rPr>
          <w:rFonts w:ascii="Times New Roman" w:hAnsi="Times New Roman"/>
          <w:sz w:val="20"/>
        </w:rPr>
        <w:t xml:space="preserve">(b) This Agreement and the rights, duties and obligations of any Stockholder hereunder may be freely assigned or delegated by such Stockholder in conjunction with and to the extent of any transfer of Registrable Securities by any such Stockholder, subject to compliance with the Lock-Up Periods and </w:t>
      </w:r>
      <w:r>
        <w:rPr>
          <w:rFonts w:ascii="Times New Roman" w:hAnsi="Times New Roman"/>
          <w:sz w:val="20"/>
          <w:u w:val="single"/>
        </w:rPr>
        <w:t>Section 6.2(e)</w:t>
      </w:r>
      <w:r>
        <w:rPr>
          <w:rFonts w:ascii="Times New Roman" w:hAnsi="Times New Roman"/>
          <w:sz w:val="20"/>
        </w:rPr>
        <w:t xml:space="preserve"> below. </w:t>
      </w:r>
    </w:p>
    <w:p>
      <w:pPr>
        <w:pStyle w:val="TextBody"/>
        <w:spacing w:before="120" w:after="0"/>
        <w:jc w:val="left"/>
        <w:rPr>
          <w:rFonts w:ascii="Times New Roman" w:hAnsi="Times New Roman"/>
          <w:sz w:val="20"/>
        </w:rPr>
      </w:pPr>
      <w:r>
        <w:rPr>
          <w:rFonts w:ascii="Times New Roman" w:hAnsi="Times New Roman"/>
          <w:sz w:val="20"/>
        </w:rPr>
        <w:t xml:space="preserve">(c) This Agreement and the provisions hereof shall be binding upon and shall inure to the benefit of each of the parties and its successors and the permitted assigns of the Stockholders. </w:t>
      </w:r>
    </w:p>
    <w:p>
      <w:pPr>
        <w:pStyle w:val="TextBody"/>
        <w:spacing w:before="120" w:after="0"/>
        <w:jc w:val="left"/>
        <w:rPr>
          <w:rFonts w:ascii="Times New Roman" w:hAnsi="Times New Roman"/>
          <w:sz w:val="20"/>
        </w:rPr>
      </w:pPr>
      <w:r>
        <w:rPr>
          <w:rFonts w:ascii="Times New Roman" w:hAnsi="Times New Roman"/>
          <w:sz w:val="20"/>
        </w:rPr>
        <w:t xml:space="preserve">(d) Nothing expressed or implied in this Agreement is intended or shall be construed to confer upon or give any person, other than the parties hereto, any right or remedies under or by reason of this Agreement. </w:t>
      </w:r>
    </w:p>
    <w:p>
      <w:pPr>
        <w:pStyle w:val="TextBody"/>
        <w:spacing w:before="120" w:after="0"/>
        <w:jc w:val="left"/>
        <w:rPr>
          <w:rFonts w:ascii="Times New Roman" w:hAnsi="Times New Roman"/>
          <w:sz w:val="20"/>
        </w:rPr>
      </w:pPr>
      <w:r>
        <w:rPr>
          <w:rFonts w:ascii="Times New Roman" w:hAnsi="Times New Roman"/>
          <w:sz w:val="20"/>
        </w:rPr>
        <w:t xml:space="preserve">(e) No assignment by any party hereto of such partys rights, duties and obligations hereunder shall be binding upon or obligate Pubco unless and until Pubco shall have received (i) written notice of such assignment as provided in </w:t>
      </w:r>
      <w:r>
        <w:rPr>
          <w:rFonts w:ascii="Times New Roman" w:hAnsi="Times New Roman"/>
          <w:sz w:val="20"/>
          <w:u w:val="single"/>
        </w:rPr>
        <w:t>Section 6.1</w:t>
      </w:r>
      <w:r>
        <w:rPr>
          <w:rFonts w:ascii="Times New Roman" w:hAnsi="Times New Roman"/>
          <w:sz w:val="20"/>
        </w:rPr>
        <w:t xml:space="preserve"> and (ii) the written agreement of the assignee, in the form attached hereto as </w:t>
      </w:r>
      <w:r>
        <w:rPr>
          <w:rFonts w:ascii="Times New Roman" w:hAnsi="Times New Roman"/>
          <w:sz w:val="20"/>
          <w:u w:val="single"/>
        </w:rPr>
        <w:t>Exhibit A</w:t>
      </w:r>
      <w:r>
        <w:rPr>
          <w:rFonts w:ascii="Times New Roman" w:hAnsi="Times New Roman"/>
          <w:sz w:val="20"/>
        </w:rPr>
        <w:t xml:space="preserve">, to be bound by the terms and provisions of this Agreement. Any transfer or assignment made other than as provided in this </w:t>
      </w:r>
      <w:r>
        <w:rPr>
          <w:rFonts w:ascii="Times New Roman" w:hAnsi="Times New Roman"/>
          <w:sz w:val="20"/>
          <w:u w:val="single"/>
        </w:rPr>
        <w:t>Section 6.2</w:t>
      </w:r>
      <w:r>
        <w:rPr>
          <w:rFonts w:ascii="Times New Roman" w:hAnsi="Times New Roman"/>
          <w:sz w:val="20"/>
        </w:rPr>
        <w:t xml:space="preserve"> shall be null and void.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6.3 </w:t>
      </w:r>
      <w:r>
        <w:rPr>
          <w:rFonts w:ascii="Times New Roman" w:hAnsi="Times New Roman"/>
          <w:sz w:val="20"/>
          <w:u w:val="single"/>
        </w:rPr>
        <w:t>Counterparts</w:t>
      </w:r>
      <w:r>
        <w:rPr>
          <w:rFonts w:ascii="Times New Roman" w:hAnsi="Times New Roman"/>
          <w:sz w:val="20"/>
        </w:rPr>
        <w:t xml:space="preserve">. This Agreement and agreements, certificates, instruments and documents entered into in connection herewith, 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6.4 </w:t>
      </w:r>
      <w:r>
        <w:rPr>
          <w:rFonts w:ascii="Times New Roman" w:hAnsi="Times New Roman"/>
          <w:sz w:val="20"/>
          <w:u w:val="single"/>
        </w:rPr>
        <w:t>Governing Law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p>
    <w:p>
      <w:pPr>
        <w:pStyle w:val="TextBody"/>
        <w:spacing w:before="120" w:after="0"/>
        <w:jc w:val="left"/>
        <w:rPr>
          <w:rFonts w:ascii="Times New Roman" w:hAnsi="Times New Roman"/>
          <w:sz w:val="20"/>
        </w:rPr>
      </w:pPr>
      <w:r>
        <w:rPr>
          <w:rFonts w:ascii="Times New Roman" w:hAnsi="Times New Roman"/>
          <w:sz w:val="20"/>
        </w:rPr>
        <w:t xml:space="preserve">(b) 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 </w:t>
      </w:r>
    </w:p>
    <w:p>
      <w:pPr>
        <w:pStyle w:val="TextBody"/>
        <w:spacing w:before="120" w:after="0"/>
        <w:jc w:val="left"/>
        <w:rPr>
          <w:rFonts w:ascii="Times New Roman" w:hAnsi="Times New Roman"/>
          <w:sz w:val="20"/>
        </w:rPr>
      </w:pPr>
      <w:r>
        <w:rPr>
          <w:rFonts w:ascii="Times New Roman" w:hAnsi="Times New Roman"/>
          <w:sz w:val="20"/>
        </w:rPr>
        <w:t xml:space="preserve">(c) 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6.5 </w:t>
      </w:r>
      <w:r>
        <w:rPr>
          <w:rFonts w:ascii="Times New Roman" w:hAnsi="Times New Roman"/>
          <w:sz w:val="20"/>
          <w:u w:val="single"/>
        </w:rPr>
        <w:t>Specific Performance</w:t>
      </w:r>
      <w:r>
        <w:rPr>
          <w:rFonts w:ascii="Times New Roman" w:hAnsi="Times New Roman"/>
          <w:sz w:val="20"/>
        </w:rPr>
        <w:t xml:space="preserve">. Each party hereto agrees that irreparable damage for which monetary damages, even if available, would not be an adequate remedy, would occur in the event that any party hereto does not perform its obligations under the provisions of this Agreement in accordance with its specified terms or otherwise breach such provisions. Each party hereto 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hAnsi="Times New Roman"/>
          <w:sz w:val="20"/>
          <w:u w:val="single"/>
        </w:rPr>
        <w:t>Section 6.5</w:t>
      </w:r>
      <w:r>
        <w:rPr>
          <w:rFonts w:ascii="Times New Roman" w:hAnsi="Times New Roman"/>
          <w:sz w:val="20"/>
        </w:rPr>
        <w:t xml:space="preserve"> shall not be required to provide any bond or other security in connection with any such injunction.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6.6 </w:t>
      </w:r>
      <w:r>
        <w:rPr>
          <w:rFonts w:ascii="Times New Roman" w:hAnsi="Times New Roman"/>
          <w:sz w:val="20"/>
          <w:u w:val="single"/>
        </w:rPr>
        <w:t>Severability</w:t>
      </w:r>
      <w:r>
        <w:rPr>
          <w:rFonts w:ascii="Times New Roman" w:hAnsi="Times New Roman"/>
          <w:sz w:val="20"/>
        </w:rPr>
        <w:t xml:space="preserve">. If any portion or provision hereof is to any extent declared illegal or unenforceable by a court of competent 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6.7 </w:t>
      </w:r>
      <w:r>
        <w:rPr>
          <w:rFonts w:ascii="Times New Roman" w:hAnsi="Times New Roman"/>
          <w:sz w:val="20"/>
          <w:u w:val="single"/>
        </w:rPr>
        <w:t>Interpretation</w:t>
      </w:r>
      <w:r>
        <w:rPr>
          <w:rFonts w:ascii="Times New Roman" w:hAnsi="Times New Roman"/>
          <w:sz w:val="20"/>
        </w:rPr>
        <w:t xml:space="preserve">. The headings and captions used in this Agreement have been inserted for convenience of reference only and do not modify, define or limit any of the terms or provisions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6.8 </w:t>
      </w:r>
      <w:r>
        <w:rPr>
          <w:rFonts w:ascii="Times New Roman" w:hAnsi="Times New Roman"/>
          <w:sz w:val="20"/>
          <w:u w:val="single"/>
        </w:rPr>
        <w:t>Entire Agreement</w:t>
      </w:r>
      <w:r>
        <w:rPr>
          <w:rFonts w:ascii="Times New Roman" w:hAnsi="Times New Roman"/>
          <w:sz w:val="20"/>
        </w:rPr>
        <w:t xml:space="preserve">. The Sponsor, the VIH Independent Directors and Pubco agree that the Original RRA is hereby terminated. This Agreement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6.9 </w:t>
      </w:r>
      <w:r>
        <w:rPr>
          <w:rFonts w:ascii="Times New Roman" w:hAnsi="Times New Roman"/>
          <w:sz w:val="20"/>
          <w:u w:val="single"/>
        </w:rPr>
        <w:t>Amendments and Modifications</w:t>
      </w:r>
      <w:r>
        <w:rPr>
          <w:rFonts w:ascii="Times New Roman" w:hAnsi="Times New Roman"/>
          <w:sz w:val="20"/>
        </w:rPr>
        <w:t xml:space="preserve">. Upon the written consent of Pubco and the Stockholders holding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6.10 </w:t>
      </w:r>
      <w:r>
        <w:rPr>
          <w:rFonts w:ascii="Times New Roman" w:hAnsi="Times New Roman"/>
          <w:sz w:val="20"/>
          <w:u w:val="single"/>
        </w:rPr>
        <w:t>Other Registration Rights</w:t>
      </w:r>
      <w:r>
        <w:rPr>
          <w:rFonts w:ascii="Times New Roman" w:hAnsi="Times New Roman"/>
          <w:sz w:val="20"/>
        </w:rPr>
        <w:t xml:space="preserve">. Pubco represents and warrants that, except with respect to registration rights granted pursuant to subscription agreements entered into in connection with the Transactions,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6.11 </w:t>
      </w:r>
      <w:r>
        <w:rPr>
          <w:rFonts w:ascii="Times New Roman" w:hAnsi="Times New Roman"/>
          <w:sz w:val="20"/>
          <w:u w:val="single"/>
        </w:rPr>
        <w:t>Term</w:t>
      </w:r>
      <w:r>
        <w:rPr>
          <w:rFonts w:ascii="Times New Roman" w:hAnsi="Times New Roman"/>
          <w:sz w:val="20"/>
        </w:rPr>
        <w:t xml:space="preserve">. This Agreement shall terminate upon the date as of which no Stockholders (or permitted assignees under </w:t>
      </w:r>
      <w:r>
        <w:rPr>
          <w:rFonts w:ascii="Times New Roman" w:hAnsi="Times New Roman"/>
          <w:sz w:val="20"/>
          <w:u w:val="single"/>
        </w:rPr>
        <w:t>Section 6.2</w:t>
      </w:r>
      <w:r>
        <w:rPr>
          <w:rFonts w:ascii="Times New Roman" w:hAnsi="Times New Roman"/>
          <w:sz w:val="20"/>
        </w:rPr>
        <w:t xml:space="preserve">) hold any Registrable Securities. The provisions of </w:t>
      </w:r>
      <w:r>
        <w:rPr>
          <w:rFonts w:ascii="Times New Roman" w:hAnsi="Times New Roman"/>
          <w:sz w:val="20"/>
          <w:u w:val="single"/>
        </w:rPr>
        <w:t>Section 3.5</w:t>
      </w:r>
      <w:r>
        <w:rPr>
          <w:rFonts w:ascii="Times New Roman" w:hAnsi="Times New Roman"/>
          <w:sz w:val="20"/>
        </w:rPr>
        <w:t xml:space="preserve"> and </w:t>
      </w:r>
      <w:r>
        <w:rPr>
          <w:rFonts w:ascii="Times New Roman" w:hAnsi="Times New Roman"/>
          <w:sz w:val="20"/>
          <w:u w:val="single"/>
        </w:rPr>
        <w:t>Article IV</w:t>
      </w:r>
      <w:r>
        <w:rPr>
          <w:rFonts w:ascii="Times New Roman" w:hAnsi="Times New Roman"/>
          <w:sz w:val="20"/>
        </w:rPr>
        <w:t xml:space="preserve"> shall survive any termination.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6.12 </w:t>
      </w:r>
      <w:r>
        <w:rPr>
          <w:rFonts w:ascii="Times New Roman" w:hAnsi="Times New Roman"/>
          <w:sz w:val="20"/>
          <w:u w:val="single"/>
        </w:rPr>
        <w:t>Limitation on Subsequent Registration Rights</w:t>
      </w:r>
      <w:r>
        <w:rPr>
          <w:rFonts w:ascii="Times New Roman" w:hAnsi="Times New Roman"/>
          <w:sz w:val="20"/>
        </w:rPr>
        <w:t xml:space="preserve">. From and after the date of this Agreement, Pubco shall not, without the prior written consent of ICE, for so long as it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hereof, unless such rights are subordinate to those of the Stockholders.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6.13 </w:t>
      </w:r>
      <w:r>
        <w:rPr>
          <w:rFonts w:ascii="Times New Roman" w:hAnsi="Times New Roman"/>
          <w:sz w:val="20"/>
          <w:u w:val="single"/>
        </w:rPr>
        <w:t>No Recourse</w:t>
      </w:r>
      <w:r>
        <w:rPr>
          <w:rFonts w:ascii="Times New Roman" w:hAnsi="Times New Roman"/>
          <w:sz w:val="20"/>
        </w:rPr>
        <w:t xml:space="preserve">. Notwithstanding any provision of this Agreement to the contrary, this Agreement may only be enforced 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hAnsi="Times New Roman"/>
          <w:sz w:val="20"/>
          <w:u w:val="single"/>
        </w:rPr>
        <w:t>Section 6.5</w:t>
      </w:r>
      <w:r>
        <w:rPr>
          <w:rFonts w:ascii="Times New Roman" w:hAnsi="Times New Roman"/>
          <w:sz w:val="20"/>
        </w:rPr>
        <w:t xml:space="preserve">,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6.14 </w:t>
      </w:r>
      <w:r>
        <w:rPr>
          <w:rFonts w:ascii="Times New Roman" w:hAnsi="Times New Roman"/>
          <w:sz w:val="20"/>
          <w:u w:val="single"/>
        </w:rPr>
        <w:t>Further Assurances</w:t>
      </w:r>
      <w:r>
        <w:rPr>
          <w:rFonts w:ascii="Times New Roman" w:hAnsi="Times New Roman"/>
          <w:sz w:val="20"/>
        </w:rPr>
        <w:t xml:space="preserve">. In connection with this Agreement and the transactions contemplated hereby, upon the written request by Pubco, each Stockholder shall execute and deliver any additional documents and instruments and perform any additional acts that may be reasonably necessary to effectuate and perform the provisions of this Agreement and the transactions contemplated hereby. </w:t>
      </w:r>
    </w:p>
    <w:p>
      <w:pPr>
        <w:pStyle w:val="TextBody"/>
        <w:spacing w:before="240" w:after="0"/>
        <w:jc w:val="center"/>
        <w:rPr>
          <w:rFonts w:ascii="Times New Roman" w:hAnsi="Times New Roman"/>
          <w:sz w:val="20"/>
        </w:rPr>
      </w:pPr>
      <w:r>
        <w:rPr>
          <w:rFonts w:ascii="Times New Roman" w:hAnsi="Times New Roman"/>
          <w:sz w:val="20"/>
        </w:rPr>
        <w:t xml:space="preserve">* *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executed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34"/>
        <w:gridCol w:w="60"/>
        <w:gridCol w:w="3388"/>
      </w:tblGrid>
      <w:tr>
        <w:trPr/>
        <w:tc>
          <w:tcPr>
            <w:tcW w:w="6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COMPANY: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BAKKT HOLDINGS, INC.</w:t>
            </w:r>
          </w:p>
        </w:tc>
      </w:tr>
      <w:tr>
        <w:trPr>
          <w:trHeight w:val="240" w:hRule="atLeast"/>
        </w:trPr>
        <w:tc>
          <w:tcPr>
            <w:tcW w:w="634" w:type="dxa"/>
            <w:tcBorders/>
            <w:shd w:fill="auto" w:val="clear"/>
            <w:vAlign w:val="center"/>
          </w:tcPr>
          <w:p>
            <w:pPr>
              <w:pStyle w:val="TableContents"/>
              <w:spacing w:before="0" w:after="283"/>
              <w:rPr>
                <w:sz w:val="4"/>
                <w:szCs w:val="4"/>
              </w:rPr>
            </w:pPr>
            <w:r>
              <w:rPr>
                <w:sz w:val="4"/>
                <w:szCs w:val="4"/>
              </w:rPr>
            </w:r>
          </w:p>
        </w:tc>
        <w:tc>
          <w:tcPr>
            <w:tcW w:w="3448" w:type="dxa"/>
            <w:gridSpan w:val="2"/>
            <w:tcBorders/>
            <w:shd w:fill="auto" w:val="clear"/>
            <w:vAlign w:val="center"/>
          </w:tcPr>
          <w:p>
            <w:pPr>
              <w:pStyle w:val="TableContents"/>
              <w:spacing w:before="0" w:after="283"/>
              <w:rPr>
                <w:sz w:val="4"/>
                <w:szCs w:val="4"/>
              </w:rPr>
            </w:pPr>
            <w:r>
              <w:rPr>
                <w:sz w:val="4"/>
                <w:szCs w:val="4"/>
              </w:rPr>
            </w:r>
          </w:p>
        </w:tc>
      </w:tr>
      <w:tr>
        <w:trPr/>
        <w:tc>
          <w:tcPr>
            <w:tcW w:w="63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pBdr>
                <w:bottom w:val="single" w:sz="2" w:space="1" w:color="000000"/>
              </w:pBdr>
              <w:spacing w:before="0" w:after="20"/>
              <w:rPr/>
            </w:pPr>
            <w:r>
              <w:rPr/>
              <w:t>                                                                   </w:t>
            </w:r>
          </w:p>
        </w:tc>
      </w:tr>
      <w:tr>
        <w:trPr/>
        <w:tc>
          <w:tcPr>
            <w:tcW w:w="63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spacing w:before="0" w:after="283"/>
              <w:rPr/>
            </w:pPr>
            <w:r>
              <w:rPr/>
              <w:t>    </w:t>
            </w:r>
          </w:p>
        </w:tc>
      </w:tr>
      <w:tr>
        <w:trPr/>
        <w:tc>
          <w:tcPr>
            <w:tcW w:w="63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spacing w:before="0" w:after="283"/>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HOLDERS: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VPC IMPACT ACQUISITION HOLDINGS SPONSOR, LLC</w:t>
            </w:r>
          </w:p>
        </w:tc>
      </w:tr>
      <w:tr>
        <w:trPr>
          <w:trHeight w:val="240" w:hRule="atLeast"/>
        </w:trPr>
        <w:tc>
          <w:tcPr>
            <w:tcW w:w="634" w:type="dxa"/>
            <w:tcBorders/>
            <w:shd w:fill="auto" w:val="clear"/>
            <w:vAlign w:val="center"/>
          </w:tcPr>
          <w:p>
            <w:pPr>
              <w:pStyle w:val="TableContents"/>
              <w:spacing w:before="0" w:after="283"/>
              <w:rPr>
                <w:sz w:val="4"/>
                <w:szCs w:val="4"/>
              </w:rPr>
            </w:pPr>
            <w:r>
              <w:rPr>
                <w:sz w:val="4"/>
                <w:szCs w:val="4"/>
              </w:rPr>
            </w:r>
          </w:p>
        </w:tc>
        <w:tc>
          <w:tcPr>
            <w:tcW w:w="3448" w:type="dxa"/>
            <w:gridSpan w:val="2"/>
            <w:tcBorders/>
            <w:shd w:fill="auto" w:val="clear"/>
            <w:vAlign w:val="center"/>
          </w:tcPr>
          <w:p>
            <w:pPr>
              <w:pStyle w:val="TableContents"/>
              <w:spacing w:before="0" w:after="283"/>
              <w:rPr>
                <w:sz w:val="4"/>
                <w:szCs w:val="4"/>
              </w:rPr>
            </w:pPr>
            <w:r>
              <w:rPr>
                <w:sz w:val="4"/>
                <w:szCs w:val="4"/>
              </w:rPr>
            </w:r>
          </w:p>
        </w:tc>
      </w:tr>
      <w:tr>
        <w:trPr/>
        <w:tc>
          <w:tcPr>
            <w:tcW w:w="63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pBdr>
                <w:bottom w:val="single" w:sz="2" w:space="1" w:color="000000"/>
              </w:pBdr>
              <w:spacing w:before="0" w:after="20"/>
              <w:rPr/>
            </w:pPr>
            <w:r>
              <w:rPr/>
              <w:t>     </w:t>
            </w:r>
          </w:p>
        </w:tc>
      </w:tr>
      <w:tr>
        <w:trPr/>
        <w:tc>
          <w:tcPr>
            <w:tcW w:w="63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spacing w:before="0" w:after="283"/>
              <w:rPr/>
            </w:pPr>
            <w:r>
              <w:rPr/>
              <w:t>Victory Park Management, LLC</w:t>
            </w:r>
          </w:p>
        </w:tc>
      </w:tr>
      <w:tr>
        <w:trPr/>
        <w:tc>
          <w:tcPr>
            <w:tcW w:w="63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spacing w:before="0" w:after="283"/>
              <w:rPr/>
            </w:pPr>
            <w:r>
              <w:rPr/>
              <w:t>Manager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VIH INDEPENDENT DIRECTORS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w:t>
            </w:r>
          </w:p>
        </w:tc>
      </w:tr>
      <w:tr>
        <w:trPr/>
        <w:tc>
          <w:tcPr>
            <w:tcW w:w="4082" w:type="dxa"/>
            <w:gridSpan w:val="3"/>
            <w:tcBorders/>
            <w:shd w:fill="auto" w:val="clear"/>
          </w:tcPr>
          <w:p>
            <w:pPr>
              <w:pStyle w:val="TableContents"/>
              <w:spacing w:before="0" w:after="283"/>
              <w:rPr/>
            </w:pPr>
            <w:r>
              <w:rPr/>
              <w:t>Adrienne Harris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w:t>
            </w:r>
          </w:p>
        </w:tc>
      </w:tr>
      <w:tr>
        <w:trPr/>
        <w:tc>
          <w:tcPr>
            <w:tcW w:w="4082" w:type="dxa"/>
            <w:gridSpan w:val="3"/>
            <w:tcBorders/>
            <w:shd w:fill="auto" w:val="clear"/>
          </w:tcPr>
          <w:p>
            <w:pPr>
              <w:pStyle w:val="TableContents"/>
              <w:spacing w:before="0" w:after="283"/>
              <w:rPr/>
            </w:pPr>
            <w:r>
              <w:rPr/>
              <w:t>Kai Schmitz</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w:t>
            </w:r>
          </w:p>
        </w:tc>
      </w:tr>
      <w:tr>
        <w:trPr/>
        <w:tc>
          <w:tcPr>
            <w:tcW w:w="4082" w:type="dxa"/>
            <w:gridSpan w:val="3"/>
            <w:tcBorders/>
            <w:shd w:fill="auto" w:val="clear"/>
          </w:tcPr>
          <w:p>
            <w:pPr>
              <w:pStyle w:val="TableContents"/>
              <w:spacing w:before="0" w:after="283"/>
              <w:rPr/>
            </w:pPr>
            <w:r>
              <w:rPr/>
              <w:t>Kurt Summers</w:t>
            </w:r>
          </w:p>
        </w:tc>
      </w:tr>
    </w:tbl>
    <w:p>
      <w:pPr>
        <w:pStyle w:val="TextBody"/>
        <w:spacing w:before="520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2000" w:type="pct"/>
        <w:jc w:val="right"/>
        <w:tblInd w:w="0" w:type="dxa"/>
        <w:tblCellMar>
          <w:top w:w="0" w:type="dxa"/>
          <w:left w:w="0" w:type="dxa"/>
          <w:bottom w:w="0" w:type="dxa"/>
          <w:right w:w="0" w:type="dxa"/>
        </w:tblCellMar>
      </w:tblPr>
      <w:tblGrid>
        <w:gridCol w:w="634"/>
        <w:gridCol w:w="60"/>
        <w:gridCol w:w="3388"/>
      </w:tblGrid>
      <w:tr>
        <w:trPr/>
        <w:tc>
          <w:tcPr>
            <w:tcW w:w="6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[BAKKT EQUITY HOLDER]</w:t>
            </w:r>
          </w:p>
        </w:tc>
      </w:tr>
      <w:tr>
        <w:trPr>
          <w:trHeight w:val="240" w:hRule="atLeast"/>
        </w:trPr>
        <w:tc>
          <w:tcPr>
            <w:tcW w:w="634" w:type="dxa"/>
            <w:tcBorders/>
            <w:shd w:fill="auto" w:val="clear"/>
            <w:vAlign w:val="center"/>
          </w:tcPr>
          <w:p>
            <w:pPr>
              <w:pStyle w:val="TableContents"/>
              <w:spacing w:before="0" w:after="283"/>
              <w:rPr>
                <w:sz w:val="4"/>
                <w:szCs w:val="4"/>
              </w:rPr>
            </w:pPr>
            <w:r>
              <w:rPr>
                <w:sz w:val="4"/>
                <w:szCs w:val="4"/>
              </w:rPr>
            </w:r>
          </w:p>
        </w:tc>
        <w:tc>
          <w:tcPr>
            <w:tcW w:w="3448" w:type="dxa"/>
            <w:gridSpan w:val="2"/>
            <w:tcBorders/>
            <w:shd w:fill="auto" w:val="clear"/>
            <w:vAlign w:val="center"/>
          </w:tcPr>
          <w:p>
            <w:pPr>
              <w:pStyle w:val="TableContents"/>
              <w:spacing w:before="0" w:after="283"/>
              <w:rPr>
                <w:sz w:val="4"/>
                <w:szCs w:val="4"/>
              </w:rPr>
            </w:pPr>
            <w:r>
              <w:rPr>
                <w:sz w:val="4"/>
                <w:szCs w:val="4"/>
              </w:rPr>
            </w:r>
          </w:p>
        </w:tc>
      </w:tr>
      <w:tr>
        <w:trPr/>
        <w:tc>
          <w:tcPr>
            <w:tcW w:w="63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pBdr>
                <w:bottom w:val="single" w:sz="2" w:space="1" w:color="000000"/>
              </w:pBdr>
              <w:spacing w:before="0" w:after="20"/>
              <w:rPr/>
            </w:pPr>
            <w:r>
              <w:rPr/>
              <w:t>                                                                       </w:t>
            </w:r>
          </w:p>
        </w:tc>
      </w:tr>
      <w:tr>
        <w:trPr/>
        <w:tc>
          <w:tcPr>
            <w:tcW w:w="63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spacing w:before="0" w:after="283"/>
              <w:rPr>
                <w:sz w:val="4"/>
                <w:szCs w:val="4"/>
              </w:rPr>
            </w:pPr>
            <w:r>
              <w:rPr>
                <w:sz w:val="4"/>
                <w:szCs w:val="4"/>
              </w:rPr>
            </w:r>
          </w:p>
        </w:tc>
      </w:tr>
      <w:tr>
        <w:trPr/>
        <w:tc>
          <w:tcPr>
            <w:tcW w:w="63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88" w:type="dxa"/>
            <w:tcBorders/>
            <w:shd w:fill="auto" w:val="clear"/>
          </w:tcPr>
          <w:p>
            <w:pPr>
              <w:pStyle w:val="TableContents"/>
              <w:spacing w:before="0" w:after="283"/>
              <w:rPr>
                <w:sz w:val="4"/>
                <w:szCs w:val="4"/>
              </w:rPr>
            </w:pPr>
            <w:r>
              <w:rPr>
                <w:sz w:val="4"/>
                <w:szCs w:val="4"/>
              </w:rPr>
            </w:r>
          </w:p>
        </w:tc>
      </w:tr>
    </w:tbl>
    <w:p>
      <w:pPr>
        <w:pStyle w:val="TextBody"/>
        <w:spacing w:before="1000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240" w:after="0"/>
        <w:jc w:val="center"/>
        <w:rPr>
          <w:rFonts w:ascii="Times New Roman" w:hAnsi="Times New Roman"/>
          <w:sz w:val="20"/>
        </w:rPr>
      </w:pPr>
      <w:r>
        <w:rPr>
          <w:rFonts w:ascii="Times New Roman" w:hAnsi="Times New Roman"/>
          <w:b/>
          <w:sz w:val="20"/>
        </w:rPr>
        <w:t>TABLE OF BAKKT EQUITY HOLDERS AND NUMBER OF SHARES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[TO BE INCLUDED PRIOR TO CLOSING] </w:t>
      </w:r>
    </w:p>
    <w:p>
      <w:pPr>
        <w:pStyle w:val="TextBody"/>
        <w:spacing w:before="12000" w:after="0"/>
        <w:jc w:val="center"/>
        <w:rPr>
          <w:rFonts w:ascii="Times New Roman" w:hAnsi="Times New Roman"/>
          <w:i/>
          <w:sz w:val="20"/>
        </w:rPr>
      </w:pPr>
      <w:r>
        <w:rPr>
          <w:rFonts w:ascii="Times New Roman" w:hAnsi="Times New Roman"/>
          <w:i/>
          <w:sz w:val="20"/>
        </w:rPr>
        <w:t xml:space="preserve">Schedule I to Registration Rights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JOINDER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Joinder </w:t>
      </w:r>
    </w:p>
    <w:p>
      <w:pPr>
        <w:pStyle w:val="TextBody"/>
        <w:spacing w:before="240" w:after="0"/>
        <w:jc w:val="left"/>
        <w:rPr>
          <w:rFonts w:ascii="Times New Roman" w:hAnsi="Times New Roman"/>
          <w:sz w:val="20"/>
        </w:rPr>
      </w:pPr>
      <w:r>
        <w:rPr>
          <w:rFonts w:ascii="Times New Roman" w:hAnsi="Times New Roman"/>
          <w:sz w:val="20"/>
        </w:rPr>
        <w:t>The undersigned is executing and delivering this Joinder pursuant to the Registration Rights Agreement, dated as of __________________ (as the same may hereafter be amended, the </w:t>
      </w:r>
      <w:r>
        <w:rPr>
          <w:rFonts w:ascii="Times New Roman" w:hAnsi="Times New Roman"/>
          <w:sz w:val="20"/>
          <w:u w:val="single"/>
        </w:rPr>
        <w:t>Registration Rights Agreement</w:t>
      </w:r>
      <w:r>
        <w:rPr>
          <w:rFonts w:ascii="Times New Roman" w:hAnsi="Times New Roman"/>
          <w:sz w:val="20"/>
        </w:rPr>
        <w:t>), among Bakkt Holdings, Inc., a Delaware corporation (the </w:t>
      </w:r>
      <w:r>
        <w:rPr>
          <w:rFonts w:ascii="Times New Roman" w:hAnsi="Times New Roman"/>
          <w:sz w:val="20"/>
          <w:u w:val="single"/>
        </w:rPr>
        <w:t>Company</w:t>
      </w:r>
      <w:r>
        <w:rPr>
          <w:rFonts w:ascii="Times New Roman" w:hAnsi="Times New Roman"/>
          <w:sz w:val="20"/>
        </w:rPr>
        <w:t xml:space="preserve">), and the other person named as parties therein. </w:t>
      </w:r>
    </w:p>
    <w:p>
      <w:pPr>
        <w:pStyle w:val="TextBody"/>
        <w:spacing w:before="240" w:after="0"/>
        <w:jc w:val="left"/>
        <w:rPr>
          <w:rFonts w:ascii="Times New Roman" w:hAnsi="Times New Roman"/>
          <w:sz w:val="20"/>
        </w:rPr>
      </w:pPr>
      <w:r>
        <w:rPr>
          <w:rFonts w:ascii="Times New Roman" w:hAnsi="Times New Roman"/>
          <w:sz w:val="20"/>
        </w:rPr>
        <w:t xml:space="preserve">By executing and delivering this Joinder to the Company,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 </w:t>
      </w:r>
    </w:p>
    <w:p>
      <w:pPr>
        <w:pStyle w:val="TextBody"/>
        <w:spacing w:before="240" w:after="0"/>
        <w:jc w:val="left"/>
        <w:rPr>
          <w:rFonts w:ascii="Times New Roman" w:hAnsi="Times New Roman"/>
          <w:sz w:val="20"/>
        </w:rPr>
      </w:pPr>
      <w:r>
        <w:rPr>
          <w:rFonts w:ascii="Times New Roman" w:hAnsi="Times New Roman"/>
          <w:sz w:val="20"/>
        </w:rPr>
        <w:t xml:space="preserve">Accordingly, the undersigned has executed and delivered this Joinder as of the ___ day of ____________, ____.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865"/>
        <w:gridCol w:w="60"/>
        <w:gridCol w:w="3157"/>
      </w:tblGrid>
      <w:tr>
        <w:trPr/>
        <w:tc>
          <w:tcPr>
            <w:tcW w:w="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Signature of Stockholder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Print Name of Stockholder</w:t>
            </w:r>
          </w:p>
        </w:tc>
      </w:tr>
      <w:tr>
        <w:trPr>
          <w:trHeight w:val="240" w:hRule="atLeast"/>
        </w:trPr>
        <w:tc>
          <w:tcPr>
            <w:tcW w:w="865" w:type="dxa"/>
            <w:tcBorders/>
            <w:shd w:fill="auto" w:val="clear"/>
            <w:vAlign w:val="center"/>
          </w:tcPr>
          <w:p>
            <w:pPr>
              <w:pStyle w:val="TableContents"/>
              <w:spacing w:before="0" w:after="283"/>
              <w:rPr>
                <w:sz w:val="4"/>
                <w:szCs w:val="4"/>
              </w:rPr>
            </w:pPr>
            <w:r>
              <w:rPr>
                <w:sz w:val="4"/>
                <w:szCs w:val="4"/>
              </w:rPr>
            </w:r>
          </w:p>
        </w:tc>
        <w:tc>
          <w:tcPr>
            <w:tcW w:w="3217"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vAlign w:val="bottom"/>
          </w:tcPr>
          <w:p>
            <w:pPr>
              <w:pStyle w:val="TableContents"/>
              <w:spacing w:before="0" w:after="283"/>
              <w:rPr/>
            </w:pPr>
            <w:r>
              <w:rPr/>
              <w:t>Address:</w:t>
            </w:r>
          </w:p>
        </w:tc>
        <w:tc>
          <w:tcPr>
            <w:tcW w:w="60" w:type="dxa"/>
            <w:tcBorders/>
            <w:shd w:fill="auto" w:val="clear"/>
            <w:vAlign w:val="bottom"/>
          </w:tcPr>
          <w:p>
            <w:pPr>
              <w:pStyle w:val="TableContents"/>
              <w:spacing w:before="0" w:after="283"/>
              <w:rPr/>
            </w:pPr>
            <w:r>
              <w:rPr/>
              <w:t> </w:t>
            </w:r>
          </w:p>
        </w:tc>
        <w:tc>
          <w:tcPr>
            <w:tcW w:w="3157" w:type="dxa"/>
            <w:tcBorders/>
            <w:shd w:fill="auto" w:val="clear"/>
            <w:vAlign w:val="bottom"/>
          </w:tcPr>
          <w:p>
            <w:pPr>
              <w:pStyle w:val="TableContents"/>
              <w:pBdr>
                <w:bottom w:val="single" w:sz="2" w:space="1" w:color="000000"/>
              </w:pBdr>
              <w:spacing w:before="0" w:after="20"/>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3217"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57" w:type="dxa"/>
            <w:tcBorders/>
            <w:shd w:fill="auto" w:val="clear"/>
            <w:vAlign w:val="bottom"/>
          </w:tcPr>
          <w:p>
            <w:pPr>
              <w:pStyle w:val="TableContents"/>
              <w:pBdr>
                <w:bottom w:val="single" w:sz="2" w:space="1" w:color="000000"/>
              </w:pBdr>
              <w:spacing w:before="0" w:after="20"/>
              <w:rPr/>
            </w:pPr>
            <w:r>
              <w:rPr/>
              <w:t> </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529"/>
        <w:gridCol w:w="60"/>
        <w:gridCol w:w="3493"/>
      </w:tblGrid>
      <w:tr>
        <w:trPr/>
        <w:tc>
          <w:tcPr>
            <w:tcW w:w="5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Agreed and Accepted as of:</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______________________.</w:t>
            </w:r>
          </w:p>
        </w:tc>
      </w:tr>
      <w:tr>
        <w:trPr/>
        <w:tc>
          <w:tcPr>
            <w:tcW w:w="4082" w:type="dxa"/>
            <w:gridSpan w:val="3"/>
            <w:tcBorders/>
            <w:shd w:fill="auto" w:val="clear"/>
          </w:tcPr>
          <w:p>
            <w:pPr>
              <w:pStyle w:val="TableContents"/>
              <w:spacing w:before="0" w:after="283"/>
              <w:rPr/>
            </w:pPr>
            <w:r>
              <w:rPr/>
              <w:t>BAKKT HOLDINGS, INC.</w:t>
            </w:r>
          </w:p>
        </w:tc>
      </w:tr>
      <w:tr>
        <w:trPr/>
        <w:tc>
          <w:tcPr>
            <w:tcW w:w="529"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493" w:type="dxa"/>
            <w:tcBorders/>
            <w:shd w:fill="auto" w:val="clear"/>
          </w:tcPr>
          <w:p>
            <w:pPr>
              <w:pStyle w:val="TableContents"/>
              <w:pBdr>
                <w:bottom w:val="single" w:sz="2" w:space="1" w:color="000000"/>
              </w:pBdr>
              <w:spacing w:before="0" w:after="20"/>
              <w:rPr/>
            </w:pPr>
            <w:r>
              <w:rPr/>
              <w:t>                                                                   </w:t>
            </w:r>
          </w:p>
        </w:tc>
      </w:tr>
      <w:tr>
        <w:trPr/>
        <w:tc>
          <w:tcPr>
            <w:tcW w:w="529"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493" w:type="dxa"/>
            <w:tcBorders/>
            <w:shd w:fill="auto" w:val="clear"/>
          </w:tcPr>
          <w:p>
            <w:pPr>
              <w:pStyle w:val="TableContents"/>
              <w:pBdr>
                <w:bottom w:val="single" w:sz="2" w:space="1" w:color="000000"/>
              </w:pBdr>
              <w:spacing w:before="0" w:after="20"/>
              <w:rPr/>
            </w:pPr>
            <w:r>
              <w:rPr/>
              <w:t> </w:t>
            </w:r>
          </w:p>
        </w:tc>
      </w:tr>
    </w:tbl>
    <w:p>
      <w:pPr>
        <w:pStyle w:val="TextBody"/>
        <w:spacing w:before="6000" w:after="0"/>
        <w:jc w:val="center"/>
        <w:rPr>
          <w:rFonts w:ascii="Times New Roman" w:hAnsi="Times New Roman"/>
          <w:i/>
          <w:sz w:val="20"/>
        </w:rPr>
      </w:pPr>
      <w:r>
        <w:rPr>
          <w:rFonts w:ascii="Times New Roman" w:hAnsi="Times New Roman"/>
          <w:i/>
          <w:sz w:val="20"/>
        </w:rPr>
        <w:t xml:space="preserve">Exhibit A to Registration Rights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46" w:name="toc108105_49"/>
      <w:bookmarkStart w:id="147" w:name="anf"/>
      <w:bookmarkEnd w:id="146"/>
      <w:bookmarkEnd w:id="147"/>
      <w:r>
        <w:rPr>
          <w:rFonts w:ascii="Times New Roman" w:hAnsi="Times New Roman"/>
          <w:b/>
          <w:sz w:val="20"/>
        </w:rPr>
        <w:t xml:space="preserve">Annex F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STOCKHOLDERS AGREEMENT </w:t>
      </w:r>
    </w:p>
    <w:p>
      <w:pPr>
        <w:pStyle w:val="TextBody"/>
        <w:spacing w:before="240" w:after="0"/>
        <w:jc w:val="center"/>
        <w:rPr>
          <w:rFonts w:ascii="Times New Roman" w:hAnsi="Times New Roman"/>
          <w:b/>
          <w:sz w:val="20"/>
        </w:rPr>
      </w:pPr>
      <w:r>
        <w:rPr>
          <w:rFonts w:ascii="Times New Roman" w:hAnsi="Times New Roman"/>
          <w:b/>
          <w:sz w:val="20"/>
        </w:rPr>
        <w:t xml:space="preserve">STOCKHOLDERS AGREEMENT </w:t>
      </w:r>
    </w:p>
    <w:p>
      <w:pPr>
        <w:pStyle w:val="TextBody"/>
        <w:spacing w:before="240" w:after="0"/>
        <w:jc w:val="center"/>
        <w:rPr>
          <w:rFonts w:ascii="Times New Roman" w:hAnsi="Times New Roman"/>
          <w:b/>
          <w:sz w:val="20"/>
        </w:rPr>
      </w:pPr>
      <w:r>
        <w:rPr>
          <w:rFonts w:ascii="Times New Roman" w:hAnsi="Times New Roman"/>
          <w:b/>
          <w:sz w:val="20"/>
        </w:rPr>
        <w:t xml:space="preserve">OF </w:t>
      </w:r>
    </w:p>
    <w:p>
      <w:pPr>
        <w:pStyle w:val="TextBody"/>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spacing w:before="240" w:after="0"/>
        <w:jc w:val="center"/>
        <w:rPr>
          <w:rFonts w:ascii="Times New Roman" w:hAnsi="Times New Roman"/>
          <w:b/>
          <w:sz w:val="20"/>
        </w:rPr>
      </w:pPr>
      <w:r>
        <w:rPr>
          <w:rFonts w:ascii="Times New Roman" w:hAnsi="Times New Roman"/>
          <w:b/>
          <w:sz w:val="20"/>
        </w:rPr>
        <w:t xml:space="preserve">DATED AS OF [],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22"/>
        <w:gridCol w:w="114"/>
        <w:gridCol w:w="7942"/>
        <w:gridCol w:w="140"/>
        <w:gridCol w:w="60"/>
        <w:gridCol w:w="463"/>
        <w:gridCol w:w="64"/>
      </w:tblGrid>
      <w:tr>
        <w:trPr/>
        <w:tc>
          <w:tcPr>
            <w:tcW w:w="142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794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23" w:type="dxa"/>
            <w:gridSpan w:val="2"/>
            <w:tcBorders/>
            <w:shd w:fill="auto" w:val="clear"/>
            <w:vAlign w:val="bottom"/>
          </w:tcPr>
          <w:p>
            <w:pPr>
              <w:pStyle w:val="TableContents"/>
              <w:spacing w:before="0" w:after="283"/>
              <w:jc w:val="right"/>
              <w:rPr>
                <w:b/>
              </w:rPr>
            </w:pPr>
            <w:r>
              <w:rPr>
                <w:b/>
              </w:rPr>
              <w:t>Page</w:t>
            </w:r>
          </w:p>
        </w:tc>
        <w:tc>
          <w:tcPr>
            <w:tcW w:w="64" w:type="dxa"/>
            <w:tcBorders/>
            <w:shd w:fill="auto" w:val="clear"/>
            <w:vAlign w:val="bottom"/>
          </w:tcPr>
          <w:p>
            <w:pPr>
              <w:pStyle w:val="TableContents"/>
              <w:spacing w:before="0" w:after="283"/>
              <w:rPr/>
            </w:pPr>
            <w:r>
              <w:rPr/>
              <w:t> </w:t>
            </w:r>
          </w:p>
        </w:tc>
      </w:tr>
      <w:tr>
        <w:trPr/>
        <w:tc>
          <w:tcPr>
            <w:tcW w:w="9478"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 INTRODUCTORY MATTERS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F-2</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Defined Terms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F-2</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Construction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F-7</w:t>
            </w:r>
          </w:p>
        </w:tc>
        <w:tc>
          <w:tcPr>
            <w:tcW w:w="64" w:type="dxa"/>
            <w:tcBorders/>
            <w:shd w:fill="auto" w:val="clear"/>
            <w:vAlign w:val="bottom"/>
          </w:tcPr>
          <w:p>
            <w:pPr>
              <w:pStyle w:val="TableContents"/>
              <w:spacing w:before="0" w:after="283"/>
              <w:rPr/>
            </w:pPr>
            <w:r>
              <w:rPr/>
              <w:t> </w:t>
            </w:r>
          </w:p>
        </w:tc>
      </w:tr>
      <w:tr>
        <w:trPr>
          <w:trHeight w:val="120" w:hRule="atLeast"/>
        </w:trPr>
        <w:tc>
          <w:tcPr>
            <w:tcW w:w="9478" w:type="dxa"/>
            <w:gridSpan w:val="3"/>
            <w:tcBorders/>
            <w:shd w:fill="auto" w:val="clear"/>
            <w:vAlign w:val="center"/>
          </w:tcPr>
          <w:p>
            <w:pPr>
              <w:pStyle w:val="TableContents"/>
              <w:spacing w:before="0" w:after="283"/>
              <w:rPr>
                <w:sz w:val="4"/>
                <w:szCs w:val="4"/>
              </w:rPr>
            </w:pPr>
            <w:r>
              <w:rPr>
                <w:sz w:val="4"/>
                <w:szCs w:val="4"/>
              </w:rPr>
            </w:r>
          </w:p>
        </w:tc>
        <w:tc>
          <w:tcPr>
            <w:tcW w:w="727" w:type="dxa"/>
            <w:gridSpan w:val="4"/>
            <w:tcBorders/>
            <w:shd w:fill="auto" w:val="clear"/>
            <w:vAlign w:val="center"/>
          </w:tcPr>
          <w:p>
            <w:pPr>
              <w:pStyle w:val="TableContents"/>
              <w:spacing w:before="0" w:after="283"/>
              <w:rPr>
                <w:sz w:val="4"/>
                <w:szCs w:val="4"/>
              </w:rPr>
            </w:pPr>
            <w:r>
              <w:rPr>
                <w:sz w:val="4"/>
                <w:szCs w:val="4"/>
              </w:rPr>
            </w:r>
          </w:p>
        </w:tc>
      </w:tr>
      <w:tr>
        <w:trPr/>
        <w:tc>
          <w:tcPr>
            <w:tcW w:w="9478"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 CORPORATE GOVERNANCE MATTERS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F-7</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2.01</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Election of Directors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F-7</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2.02</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Committees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F-8</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2.03</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Independent Directors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F-8</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2.04</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Compensation; Reimbursement of Expenses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F-8</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2.05</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Indemnification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F-8</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2.06</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D&amp;O Insurance</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F-9</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2.07</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Information Sharing</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F-9</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2.08</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Confidentiality</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F-9</w:t>
            </w:r>
          </w:p>
        </w:tc>
        <w:tc>
          <w:tcPr>
            <w:tcW w:w="64" w:type="dxa"/>
            <w:tcBorders/>
            <w:shd w:fill="auto" w:val="clear"/>
            <w:vAlign w:val="bottom"/>
          </w:tcPr>
          <w:p>
            <w:pPr>
              <w:pStyle w:val="TableContents"/>
              <w:spacing w:before="0" w:after="283"/>
              <w:rPr/>
            </w:pPr>
            <w:r>
              <w:rPr/>
              <w:t> </w:t>
            </w:r>
          </w:p>
        </w:tc>
      </w:tr>
      <w:tr>
        <w:trPr>
          <w:trHeight w:val="120" w:hRule="atLeast"/>
        </w:trPr>
        <w:tc>
          <w:tcPr>
            <w:tcW w:w="9478" w:type="dxa"/>
            <w:gridSpan w:val="3"/>
            <w:tcBorders/>
            <w:shd w:fill="auto" w:val="clear"/>
            <w:vAlign w:val="center"/>
          </w:tcPr>
          <w:p>
            <w:pPr>
              <w:pStyle w:val="TableContents"/>
              <w:spacing w:before="0" w:after="283"/>
              <w:rPr>
                <w:sz w:val="4"/>
                <w:szCs w:val="4"/>
              </w:rPr>
            </w:pPr>
            <w:r>
              <w:rPr>
                <w:sz w:val="4"/>
                <w:szCs w:val="4"/>
              </w:rPr>
            </w:r>
          </w:p>
        </w:tc>
        <w:tc>
          <w:tcPr>
            <w:tcW w:w="727" w:type="dxa"/>
            <w:gridSpan w:val="4"/>
            <w:tcBorders/>
            <w:shd w:fill="auto" w:val="clear"/>
            <w:vAlign w:val="center"/>
          </w:tcPr>
          <w:p>
            <w:pPr>
              <w:pStyle w:val="TableContents"/>
              <w:spacing w:before="0" w:after="283"/>
              <w:rPr>
                <w:sz w:val="4"/>
                <w:szCs w:val="4"/>
              </w:rPr>
            </w:pPr>
            <w:r>
              <w:rPr>
                <w:sz w:val="4"/>
                <w:szCs w:val="4"/>
              </w:rPr>
            </w:r>
          </w:p>
        </w:tc>
      </w:tr>
      <w:tr>
        <w:trPr/>
        <w:tc>
          <w:tcPr>
            <w:tcW w:w="9478"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III RESTRICTIONS ON TRANSFER</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F-10</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3.01</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General Restrictions on Transfer</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F-10</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3.02</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Permitted Transfers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F-10</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3.03</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Miscellaneous Provisions Relating to Transfers.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F-11</w:t>
            </w:r>
          </w:p>
        </w:tc>
        <w:tc>
          <w:tcPr>
            <w:tcW w:w="64" w:type="dxa"/>
            <w:tcBorders/>
            <w:shd w:fill="auto" w:val="clear"/>
            <w:vAlign w:val="bottom"/>
          </w:tcPr>
          <w:p>
            <w:pPr>
              <w:pStyle w:val="TableContents"/>
              <w:spacing w:before="0" w:after="283"/>
              <w:rPr/>
            </w:pPr>
            <w:r>
              <w:rPr/>
              <w:t> </w:t>
            </w:r>
          </w:p>
        </w:tc>
      </w:tr>
      <w:tr>
        <w:trPr>
          <w:trHeight w:val="120" w:hRule="atLeast"/>
        </w:trPr>
        <w:tc>
          <w:tcPr>
            <w:tcW w:w="9478" w:type="dxa"/>
            <w:gridSpan w:val="3"/>
            <w:tcBorders/>
            <w:shd w:fill="auto" w:val="clear"/>
            <w:vAlign w:val="center"/>
          </w:tcPr>
          <w:p>
            <w:pPr>
              <w:pStyle w:val="TableContents"/>
              <w:spacing w:before="0" w:after="283"/>
              <w:rPr>
                <w:sz w:val="4"/>
                <w:szCs w:val="4"/>
              </w:rPr>
            </w:pPr>
            <w:r>
              <w:rPr>
                <w:sz w:val="4"/>
                <w:szCs w:val="4"/>
              </w:rPr>
            </w:r>
          </w:p>
        </w:tc>
        <w:tc>
          <w:tcPr>
            <w:tcW w:w="727" w:type="dxa"/>
            <w:gridSpan w:val="4"/>
            <w:tcBorders/>
            <w:shd w:fill="auto" w:val="clear"/>
            <w:vAlign w:val="center"/>
          </w:tcPr>
          <w:p>
            <w:pPr>
              <w:pStyle w:val="TableContents"/>
              <w:spacing w:before="0" w:after="283"/>
              <w:rPr>
                <w:sz w:val="4"/>
                <w:szCs w:val="4"/>
              </w:rPr>
            </w:pPr>
            <w:r>
              <w:rPr>
                <w:sz w:val="4"/>
                <w:szCs w:val="4"/>
              </w:rPr>
            </w:r>
          </w:p>
        </w:tc>
      </w:tr>
      <w:tr>
        <w:trPr/>
        <w:tc>
          <w:tcPr>
            <w:tcW w:w="9478"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IV GENERAL PROVISIONS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F-11</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4.01</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Termination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F-11</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4.02</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Notices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F-11</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4.03</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Amendment; Waiver</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F-12</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4.04</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Further Assurances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F-13</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4.05</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Assignment</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F-13</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4.06</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Third-Party Beneficiaries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F-13</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4.07</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Governing Law</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F-13</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4.08</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Jurisdiction; WAIVER OF JURY TRIAL</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F-13</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4.09</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Specific Performance</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F-13</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4.10</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Entire Agreement</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F-14</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4.11</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Severability</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F-14</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4.12</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Table of Contents, Headings and Captions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F-14</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4.13</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Counterparts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F-14</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4.14</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Subsequent Acquisition of Securities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F-14</w:t>
            </w:r>
          </w:p>
        </w:tc>
        <w:tc>
          <w:tcPr>
            <w:tcW w:w="64" w:type="dxa"/>
            <w:tcBorders/>
            <w:shd w:fill="auto" w:val="clear"/>
            <w:vAlign w:val="bottom"/>
          </w:tcPr>
          <w:p>
            <w:pPr>
              <w:pStyle w:val="TableContents"/>
              <w:spacing w:before="0" w:after="283"/>
              <w:rPr/>
            </w:pPr>
            <w:r>
              <w:rPr/>
              <w:t> </w:t>
            </w:r>
          </w:p>
        </w:tc>
      </w:tr>
      <w:tr>
        <w:trPr/>
        <w:tc>
          <w:tcPr>
            <w:tcW w:w="1422" w:type="dxa"/>
            <w:tcBorders/>
            <w:shd w:fill="auto" w:val="clear"/>
          </w:tcPr>
          <w:p>
            <w:pPr>
              <w:pStyle w:val="TableContents"/>
              <w:spacing w:before="0" w:after="0"/>
              <w:rPr>
                <w:rFonts w:ascii="Times New Roman" w:hAnsi="Times New Roman"/>
                <w:sz w:val="20"/>
              </w:rPr>
            </w:pPr>
            <w:r>
              <w:rPr>
                <w:rFonts w:ascii="Times New Roman" w:hAnsi="Times New Roman"/>
                <w:sz w:val="20"/>
              </w:rPr>
              <w:t>Section 4.15</w:t>
            </w:r>
          </w:p>
        </w:tc>
        <w:tc>
          <w:tcPr>
            <w:tcW w:w="114" w:type="dxa"/>
            <w:tcBorders/>
            <w:shd w:fill="auto" w:val="clear"/>
            <w:vAlign w:val="bottom"/>
          </w:tcPr>
          <w:p>
            <w:pPr>
              <w:pStyle w:val="TableContents"/>
              <w:spacing w:before="0" w:after="283"/>
              <w:rPr/>
            </w:pPr>
            <w:r>
              <w:rPr/>
              <w:t> </w:t>
            </w:r>
          </w:p>
        </w:tc>
        <w:tc>
          <w:tcPr>
            <w:tcW w:w="7942" w:type="dxa"/>
            <w:tcBorders/>
            <w:shd w:fill="auto" w:val="clear"/>
            <w:vAlign w:val="bottom"/>
          </w:tcPr>
          <w:p>
            <w:pPr>
              <w:pStyle w:val="TableContents"/>
              <w:spacing w:before="0" w:after="283"/>
              <w:rPr/>
            </w:pPr>
            <w:r>
              <w:rPr/>
              <w:t>No Recourse</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pPr>
            <w:r>
              <w:rPr/>
              <w:t>F-14</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bookmarkStart w:id="148" w:name="toc108105_491"/>
      <w:bookmarkEnd w:id="148"/>
      <w:r>
        <w:rPr>
          <w:rFonts w:ascii="Times New Roman" w:hAnsi="Times New Roman"/>
          <w:b/>
          <w:sz w:val="20"/>
          <w:u w:val="single"/>
        </w:rPr>
        <w:t xml:space="preserve">STOCKHOLDERS AGREEMENT </w:t>
      </w:r>
    </w:p>
    <w:p>
      <w:pPr>
        <w:pStyle w:val="TextBody"/>
        <w:spacing w:before="240" w:after="0"/>
        <w:jc w:val="left"/>
        <w:rPr>
          <w:rFonts w:ascii="Times New Roman" w:hAnsi="Times New Roman"/>
          <w:sz w:val="20"/>
        </w:rPr>
      </w:pPr>
      <w:r>
        <w:rPr>
          <w:rFonts w:ascii="Times New Roman" w:hAnsi="Times New Roman"/>
          <w:sz w:val="20"/>
        </w:rPr>
        <w:t>This Stockholders Agreement is entered into as of [], 2021, by and among (i) Bakkt Holdings, Inc., a Delaware corporation (</w:t>
      </w:r>
      <w:r>
        <w:rPr>
          <w:rFonts w:ascii="Times New Roman" w:hAnsi="Times New Roman"/>
          <w:sz w:val="20"/>
          <w:u w:val="single"/>
        </w:rPr>
        <w:t>Pubco</w:t>
      </w:r>
      <w:r>
        <w:rPr>
          <w:rFonts w:ascii="Times New Roman" w:hAnsi="Times New Roman"/>
          <w:sz w:val="20"/>
        </w:rPr>
        <w:t xml:space="preserve">), (ii) each of the parties listed on </w:t>
      </w:r>
      <w:r>
        <w:rPr>
          <w:rFonts w:ascii="Times New Roman" w:hAnsi="Times New Roman"/>
          <w:sz w:val="20"/>
          <w:u w:val="single"/>
        </w:rPr>
        <w:t>Schedule 1</w:t>
      </w:r>
      <w:r>
        <w:rPr>
          <w:rFonts w:ascii="Times New Roman" w:hAnsi="Times New Roman"/>
          <w:sz w:val="20"/>
        </w:rPr>
        <w:t xml:space="preserve"> hereto (each, a </w:t>
      </w:r>
      <w:r>
        <w:rPr>
          <w:rFonts w:ascii="Times New Roman" w:hAnsi="Times New Roman"/>
          <w:sz w:val="20"/>
          <w:u w:val="single"/>
        </w:rPr>
        <w:t>Bakkt Equity Holder</w:t>
      </w:r>
      <w:r>
        <w:rPr>
          <w:rFonts w:ascii="Times New Roman" w:hAnsi="Times New Roman"/>
          <w:sz w:val="20"/>
        </w:rPr>
        <w:t> and, collectively, the </w:t>
      </w:r>
      <w:r>
        <w:rPr>
          <w:rFonts w:ascii="Times New Roman" w:hAnsi="Times New Roman"/>
          <w:sz w:val="20"/>
          <w:u w:val="single"/>
        </w:rPr>
        <w:t>Bakkt Equity Holders</w:t>
      </w:r>
      <w:r>
        <w:rPr>
          <w:rFonts w:ascii="Times New Roman" w:hAnsi="Times New Roman"/>
          <w:sz w:val="20"/>
        </w:rPr>
        <w:t>) and (iii) VPC Impact Acquisition Holdings Sponsor, LLC, a Delaware limited liability company (the </w:t>
      </w:r>
      <w:r>
        <w:rPr>
          <w:rFonts w:ascii="Times New Roman" w:hAnsi="Times New Roman"/>
          <w:sz w:val="20"/>
          <w:u w:val="single"/>
        </w:rPr>
        <w:t>Sponsor</w:t>
      </w:r>
      <w:r>
        <w:rPr>
          <w:rFonts w:ascii="Times New Roman" w:hAnsi="Times New Roman"/>
          <w:sz w:val="20"/>
        </w:rPr>
        <w:t> and, together with the Bakkt Equity Holders, the </w:t>
      </w:r>
      <w:r>
        <w:rPr>
          <w:rFonts w:ascii="Times New Roman" w:hAnsi="Times New Roman"/>
          <w:sz w:val="20"/>
          <w:u w:val="single"/>
        </w:rPr>
        <w:t>Stockholders</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WHEREAS, Pubco, Pylon Merger Company LLC, a Delaware limited liability company and wholly owned Subsidiary of Pubco (</w:t>
      </w:r>
      <w:r>
        <w:rPr>
          <w:rFonts w:ascii="Times New Roman" w:hAnsi="Times New Roman"/>
          <w:sz w:val="20"/>
          <w:u w:val="single"/>
        </w:rPr>
        <w:t>Merger Sub</w:t>
      </w:r>
      <w:r>
        <w:rPr>
          <w:rFonts w:ascii="Times New Roman" w:hAnsi="Times New Roman"/>
          <w:sz w:val="20"/>
        </w:rPr>
        <w:t>), and Bakkt Holdings, LLC, a Delaware limited liability company (</w:t>
      </w:r>
      <w:r>
        <w:rPr>
          <w:rFonts w:ascii="Times New Roman" w:hAnsi="Times New Roman"/>
          <w:sz w:val="20"/>
          <w:u w:val="single"/>
        </w:rPr>
        <w:t>Bakkt Opco</w:t>
      </w:r>
      <w:r>
        <w:rPr>
          <w:rFonts w:ascii="Times New Roman" w:hAnsi="Times New Roman"/>
          <w:sz w:val="20"/>
        </w:rPr>
        <w:t>), entered into that certain Agreement and Plan of Merger, dated as of January 11, 2021 (the </w:t>
      </w:r>
      <w:r>
        <w:rPr>
          <w:rFonts w:ascii="Times New Roman" w:hAnsi="Times New Roman"/>
          <w:sz w:val="20"/>
          <w:u w:val="single"/>
        </w:rPr>
        <w:t>Merger Agreement</w:t>
      </w:r>
      <w:r>
        <w:rPr>
          <w:rFonts w:ascii="Times New Roman" w:hAnsi="Times New Roman"/>
          <w:sz w:val="20"/>
        </w:rPr>
        <w:t>), pursuant to which Merger Sub merged with and into Bakkt Opco (the </w:t>
      </w:r>
      <w:r>
        <w:rPr>
          <w:rFonts w:ascii="Times New Roman" w:hAnsi="Times New Roman"/>
          <w:sz w:val="20"/>
          <w:u w:val="single"/>
        </w:rPr>
        <w:t>Merger</w:t>
      </w:r>
      <w:r>
        <w:rPr>
          <w:rFonts w:ascii="Times New Roman" w:hAnsi="Times New Roman"/>
          <w:sz w:val="20"/>
        </w:rPr>
        <w:t xml:space="preserve">), with Bakkt Opco being the surviving limited liability company of the Merger; </w:t>
      </w:r>
    </w:p>
    <w:p>
      <w:pPr>
        <w:pStyle w:val="TextBody"/>
        <w:spacing w:before="240" w:after="0"/>
        <w:jc w:val="left"/>
        <w:rPr>
          <w:rFonts w:ascii="Times New Roman" w:hAnsi="Times New Roman"/>
          <w:sz w:val="20"/>
        </w:rPr>
      </w:pPr>
      <w:r>
        <w:rPr>
          <w:rFonts w:ascii="Times New Roman" w:hAnsi="Times New Roman"/>
          <w:sz w:val="20"/>
        </w:rPr>
        <w:t>WHEREAS, (i) prior to the consummation of the transactions contemplated by the Merger Agreement (the </w:t>
      </w:r>
      <w:r>
        <w:rPr>
          <w:rFonts w:ascii="Times New Roman" w:hAnsi="Times New Roman"/>
          <w:sz w:val="20"/>
          <w:u w:val="single"/>
        </w:rPr>
        <w:t>Transactions</w:t>
      </w:r>
      <w:r>
        <w:rPr>
          <w:rFonts w:ascii="Times New Roman" w:hAnsi="Times New Roman"/>
          <w:sz w:val="20"/>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Times New Roman" w:hAnsi="Times New Roman"/>
          <w:sz w:val="20"/>
          <w:u w:val="single"/>
        </w:rPr>
        <w:t>Domestication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Times New Roman" w:hAnsi="Times New Roman"/>
          <w:sz w:val="20"/>
          <w:u w:val="single"/>
        </w:rPr>
        <w:t>Pubco Common Stock Conversion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 </w:t>
      </w:r>
    </w:p>
    <w:p>
      <w:pPr>
        <w:pStyle w:val="TextBody"/>
        <w:spacing w:before="240" w:after="0"/>
        <w:jc w:val="left"/>
        <w:rPr>
          <w:rFonts w:ascii="Times New Roman" w:hAnsi="Times New Roman"/>
          <w:sz w:val="20"/>
        </w:rPr>
      </w:pPr>
      <w:r>
        <w:rPr>
          <w:rFonts w:ascii="Times New Roman" w:hAnsi="Times New Roman"/>
          <w:sz w:val="20"/>
        </w:rPr>
        <w:t xml:space="preserve">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 </w:t>
      </w:r>
    </w:p>
    <w:p>
      <w:pPr>
        <w:pStyle w:val="TextBody"/>
        <w:spacing w:before="240" w:after="0"/>
        <w:jc w:val="left"/>
        <w:rPr>
          <w:rFonts w:ascii="Times New Roman" w:hAnsi="Times New Roman"/>
          <w:sz w:val="20"/>
        </w:rPr>
      </w:pPr>
      <w:r>
        <w:rPr>
          <w:rFonts w:ascii="Times New Roman" w:hAnsi="Times New Roman"/>
          <w:sz w:val="20"/>
        </w:rPr>
        <w:t xml:space="preserve">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premises set forth above and of the mutual representations, warranties, covenants and agreements herein contained, and for other good and valuable consideration,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receipt and sufficiency of which are hereby acknowledged, Pubco and the Stockholders, intending to be legally bound,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INTRODUCTORY MATTERS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b/>
          <w:sz w:val="20"/>
          <w:u w:val="single"/>
        </w:rPr>
        <w:t>Defined Terms</w:t>
      </w:r>
      <w:r>
        <w:rPr>
          <w:rFonts w:ascii="Times New Roman" w:hAnsi="Times New Roman"/>
          <w:sz w:val="20"/>
        </w:rPr>
        <w:t xml:space="preserve">. In this Agreement, the following terms have the following meanings: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 specified Person means a Person that directly, or indirectly through one or more intermediaries, Controls, or is Controlled by, or is under common Control with, such specified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means this Stockholders Agreement, as the same may be amended, supplemented, restated or otherwise modified from time to time in accordance with the terms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Holders</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Holders Lock-Up Period</w:t>
      </w:r>
      <w:r>
        <w:rPr>
          <w:rFonts w:ascii="Times New Roman" w:hAnsi="Times New Roman"/>
          <w:sz w:val="20"/>
        </w:rPr>
        <w:t xml:space="preserve"> has the meaning set forth in </w:t>
      </w:r>
      <w:r>
        <w:rPr>
          <w:rFonts w:ascii="Times New Roman" w:hAnsi="Times New Roman"/>
          <w:sz w:val="20"/>
          <w:u w:val="single"/>
        </w:rPr>
        <w:t>Section 3.01(a)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Equity Holders Lock-Up Shares</w:t>
      </w:r>
      <w:r>
        <w:rPr>
          <w:rFonts w:ascii="Times New Roman" w:hAnsi="Times New Roman"/>
          <w:sz w:val="20"/>
        </w:rPr>
        <w:t xml:space="preserve">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 Common Units</w:t>
      </w:r>
      <w:r>
        <w:rPr>
          <w:rFonts w:ascii="Times New Roman" w:hAnsi="Times New Roman"/>
          <w:sz w:val="20"/>
        </w:rPr>
        <w:t xml:space="preserve"> means the common units of Bakkt Opco, which provide the holder thereof with, and subject such holder to, such rights, privileges, restrictions and obligations as are set forth in the Bakkt Opco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 Director</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Bakkt Opco LLC Agreement</w:t>
      </w:r>
      <w:r>
        <w:rPr>
          <w:rFonts w:ascii="Times New Roman" w:hAnsi="Times New Roman"/>
          <w:sz w:val="20"/>
        </w:rPr>
        <w:t xml:space="preserve"> means the Third Amended and Restated LLC Agreement of Bakkt Opco, dated as of [], 2021, by and among Bakkt Opco, Pubco and the Bakkt Equity Holders, as the same may be amended, supplemented, restated or otherwise modified from time to time in accordance with the terms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w:t>
      </w:r>
      <w:r>
        <w:rPr>
          <w:rFonts w:ascii="Times New Roman" w:hAnsi="Times New Roman"/>
          <w:sz w:val="20"/>
        </w:rPr>
        <w:t> has the meaning set forth in Rule 13d-3 promulgated under the Exchange Act. The terms </w:t>
      </w:r>
      <w:r>
        <w:rPr>
          <w:rFonts w:ascii="Times New Roman" w:hAnsi="Times New Roman"/>
          <w:sz w:val="20"/>
          <w:u w:val="single"/>
        </w:rPr>
        <w:t>Beneficially Own</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shall have correlative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Saturday, Sunday, federal or New York State holiday or other day on which commercial banks in New York City are authorized or required by law to be closed for business; </w:t>
      </w:r>
      <w:r>
        <w:rPr>
          <w:rFonts w:ascii="Times New Roman" w:hAnsi="Times New Roman"/>
          <w:sz w:val="20"/>
          <w:u w:val="single"/>
        </w:rPr>
        <w:t>provided</w:t>
      </w:r>
      <w:r>
        <w:rPr>
          <w:rFonts w:ascii="Times New Roman" w:hAnsi="Times New Roman"/>
          <w:sz w:val="20"/>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By-Laws</w:t>
      </w:r>
      <w:r>
        <w:rPr>
          <w:rFonts w:ascii="Times New Roman" w:hAnsi="Times New Roman"/>
          <w:sz w:val="20"/>
        </w:rPr>
        <w:t xml:space="preserve"> means the by-laws of Pubco, adopted on or substantially around the date of this Agreement, as the same may be amended or restated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 of Incorporation</w:t>
      </w:r>
      <w:r>
        <w:rPr>
          <w:rFonts w:ascii="Times New Roman" w:hAnsi="Times New Roman"/>
          <w:sz w:val="20"/>
        </w:rPr>
        <w:t xml:space="preserve"> means the certificate of incorporation of Pubco, filed with the Secretary of State of the State of Delaware on or prior to the date of this Agreement, as the same may be amended or restated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I Director</w:t>
      </w:r>
      <w:r>
        <w:rPr>
          <w:rFonts w:ascii="Times New Roman" w:hAnsi="Times New Roman"/>
          <w:sz w:val="20"/>
        </w:rPr>
        <w:t xml:space="preserve"> has the meaning set forth in the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II Director</w:t>
      </w:r>
      <w:r>
        <w:rPr>
          <w:rFonts w:ascii="Times New Roman" w:hAnsi="Times New Roman"/>
          <w:sz w:val="20"/>
        </w:rPr>
        <w:t xml:space="preserve"> has the meaning set forth in the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III Director</w:t>
      </w:r>
      <w:r>
        <w:rPr>
          <w:rFonts w:ascii="Times New Roman" w:hAnsi="Times New Roman"/>
          <w:sz w:val="20"/>
        </w:rPr>
        <w:t xml:space="preserve"> has the meaning set forth in the Certificate of Incorporation.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Common Stock</w:t>
      </w:r>
      <w:r>
        <w:rPr>
          <w:rFonts w:ascii="Times New Roman" w:hAnsi="Times New Roman"/>
          <w:sz w:val="20"/>
        </w:rPr>
        <w:t xml:space="preserve"> means the Class A common stock, par value $0.0001 per share, of Pubco, including (a) any shares of such Class A common stock issuable upon the exercise of any warrant, option, convertible security or other right to acquire shares of such Class A common stock and (b) 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V Common Stock</w:t>
      </w:r>
      <w:r>
        <w:rPr>
          <w:rFonts w:ascii="Times New Roman" w:hAnsi="Times New Roman"/>
          <w:sz w:val="20"/>
        </w:rPr>
        <w:t xml:space="preserve"> means the Class V common stock, par value $0.0001 per share, of Pubco, including (a) any shares of such Class V common stock issuable upon the exercise of any warrant, option, convertible security or other right to acquire shares of such Class V common stock and (b) any Equity Securities issued in respect of such Class V common stock, or in substitution therefor, in connection with any stock split, dividend or combination, or any reclassification, recapitalization, merger, consolidation or similar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w:t>
      </w:r>
      <w:r>
        <w:rPr>
          <w:rFonts w:ascii="Times New Roman" w:hAnsi="Times New Roman"/>
          <w:sz w:val="20"/>
        </w:rPr>
        <w:t xml:space="preserve"> has the meaning given to such term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has the meaning given to such term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Confidential Information</w:t>
      </w:r>
      <w:r>
        <w:rPr>
          <w:rFonts w:ascii="Times New Roman" w:hAnsi="Times New Roman"/>
          <w:sz w:val="20"/>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Confidential Information does not include information: </w:t>
      </w:r>
    </w:p>
    <w:p>
      <w:pPr>
        <w:pStyle w:val="TextBody"/>
        <w:spacing w:before="120" w:after="0"/>
        <w:jc w:val="left"/>
        <w:rPr>
          <w:rFonts w:ascii="Times New Roman" w:hAnsi="Times New Roman"/>
          <w:sz w:val="20"/>
        </w:rPr>
      </w:pPr>
      <w:r>
        <w:rPr>
          <w:rFonts w:ascii="Times New Roman" w:hAnsi="Times New Roman"/>
          <w:sz w:val="20"/>
        </w:rPr>
        <w:t xml:space="preserve">(a) that is or has become publicly available other than as a result of a disclosure by such Stockholder or any of its Designated Representatives in violation of this Agreement; </w:t>
      </w:r>
    </w:p>
    <w:p>
      <w:pPr>
        <w:pStyle w:val="TextBody"/>
        <w:spacing w:before="120" w:after="0"/>
        <w:jc w:val="left"/>
        <w:rPr>
          <w:rFonts w:ascii="Times New Roman" w:hAnsi="Times New Roman"/>
          <w:sz w:val="20"/>
        </w:rPr>
      </w:pPr>
      <w:r>
        <w:rPr>
          <w:rFonts w:ascii="Times New Roman" w:hAnsi="Times New Roman"/>
          <w:sz w:val="20"/>
        </w:rPr>
        <w:t xml:space="preserve">(b) 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 </w:t>
      </w:r>
    </w:p>
    <w:p>
      <w:pPr>
        <w:pStyle w:val="TextBody"/>
        <w:spacing w:before="120" w:after="0"/>
        <w:jc w:val="left"/>
        <w:rPr>
          <w:rFonts w:ascii="Times New Roman" w:hAnsi="Times New Roman"/>
          <w:sz w:val="20"/>
        </w:rPr>
      </w:pPr>
      <w:r>
        <w:rPr>
          <w:rFonts w:ascii="Times New Roman" w:hAnsi="Times New Roman"/>
          <w:sz w:val="20"/>
        </w:rPr>
        <w:t xml:space="preserve">(c) that is received by such Stockholder or any of its Designated Representatives from a source other than Pubco or its Designated Representatives; </w:t>
      </w:r>
      <w:r>
        <w:rPr>
          <w:rFonts w:ascii="Times New Roman" w:hAnsi="Times New Roman"/>
          <w:sz w:val="20"/>
          <w:u w:val="single"/>
        </w:rPr>
        <w:t>provided</w:t>
      </w:r>
      <w:r>
        <w:rPr>
          <w:rFonts w:ascii="Times New Roman" w:hAnsi="Times New Roman"/>
          <w:sz w:val="20"/>
        </w:rPr>
        <w:t xml:space="preserve">, that the source of such information was not actually known by such Stockholder or Designated Representative to be bound by a confidentiality agreement with, or other contractual obligation of confidentiality to, Pubco or any of its Affiliates;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 that was independently developed or acquired by such Stockholder or any of its Designated Representatives or on its or their behalf, in any case, without the violation of the terms of this Agreement or the use of or reference to any Confidential Information; or </w:t>
      </w:r>
    </w:p>
    <w:p>
      <w:pPr>
        <w:pStyle w:val="TextBody"/>
        <w:spacing w:before="120" w:after="0"/>
        <w:jc w:val="left"/>
        <w:rPr>
          <w:rFonts w:ascii="Times New Roman" w:hAnsi="Times New Roman"/>
          <w:sz w:val="20"/>
        </w:rPr>
      </w:pPr>
      <w:r>
        <w:rPr>
          <w:rFonts w:ascii="Times New Roman" w:hAnsi="Times New Roman"/>
          <w:sz w:val="20"/>
        </w:rPr>
        <w:t xml:space="preserve">(e) that such Stockholder or any of its Designated Representatives is required or requested, in the good faith determination of such Stockholder or such Designated Representative, to disclose by applicable Law; </w:t>
      </w:r>
      <w:r>
        <w:rPr>
          <w:rFonts w:ascii="Times New Roman" w:hAnsi="Times New Roman"/>
          <w:sz w:val="20"/>
          <w:u w:val="single"/>
        </w:rPr>
        <w:t>provided</w:t>
      </w:r>
      <w:r>
        <w:rPr>
          <w:rFonts w:ascii="Times New Roman" w:hAnsi="Times New Roman"/>
          <w:sz w:val="20"/>
        </w:rPr>
        <w:t xml:space="preserve"> that such Stockholder or such Designated Representative, (i) 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(including its correlative meanings,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possession, directly or indirectly, of the power to direct or cause the direction of the management and policies of a Person (whether through ownership of securities or partnership or other ownership interests, by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Controlled Entity</w:t>
      </w:r>
      <w:r>
        <w:rPr>
          <w:rFonts w:ascii="Times New Roman" w:hAnsi="Times New Roman"/>
          <w:sz w:val="20"/>
        </w:rPr>
        <w:t xml:space="preserve">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Representatives</w:t>
      </w:r>
      <w:r>
        <w:rPr>
          <w:rFonts w:ascii="Times New Roman" w:hAnsi="Times New Roman"/>
          <w:sz w:val="20"/>
        </w:rPr>
        <w:t xml:space="preserve">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Director</w:t>
      </w:r>
      <w:r>
        <w:rPr>
          <w:rFonts w:ascii="Times New Roman" w:hAnsi="Times New Roman"/>
          <w:sz w:val="20"/>
        </w:rPr>
        <w:t xml:space="preserve"> means any member of the Board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Domestication</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Securities</w:t>
      </w:r>
      <w:r>
        <w:rPr>
          <w:rFonts w:ascii="Times New Roman" w:hAnsi="Times New Roman"/>
          <w:sz w:val="20"/>
        </w:rPr>
        <w:t xml:space="preserve">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as they may be amended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Agreement</w:t>
      </w:r>
      <w:r>
        <w:rPr>
          <w:rFonts w:ascii="Times New Roman" w:hAnsi="Times New Roman"/>
          <w:sz w:val="20"/>
        </w:rPr>
        <w:t xml:space="preserve"> means the Exchange Agreement, dated as of [], 2021, by and among Pubco, Bakkt Opco and the other parties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ICE</w:t>
      </w:r>
      <w:r>
        <w:rPr>
          <w:rFonts w:ascii="Times New Roman" w:hAnsi="Times New Roman"/>
          <w:sz w:val="20"/>
        </w:rPr>
        <w:t xml:space="preserve"> means Intercontinental Exchange Holdings, Inc., a Delaware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Immediate Family Members</w:t>
      </w:r>
      <w:r>
        <w:rPr>
          <w:rFonts w:ascii="Times New Roman" w:hAnsi="Times New Roman"/>
          <w:sz w:val="20"/>
        </w:rPr>
        <w:t xml:space="preserve">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Board</w:t>
      </w:r>
      <w:r>
        <w:rPr>
          <w:rFonts w:ascii="Times New Roman" w:hAnsi="Times New Roman"/>
          <w:sz w:val="20"/>
        </w:rPr>
        <w:t xml:space="preserve"> means the Board of Directors of Pubco immediately following the consummation of the Transactions.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Insider Letter</w:t>
      </w:r>
      <w:r>
        <w:rPr>
          <w:rFonts w:ascii="Times New Roman" w:hAnsi="Times New Roman"/>
          <w:sz w:val="20"/>
        </w:rPr>
        <w:t xml:space="preserve"> means that certain letter agreement, dated as of September 22, 2020, by and among Pubco, the Sponsor and the other signatories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Lock-Up Periods</w:t>
      </w:r>
      <w:r>
        <w:rPr>
          <w:rFonts w:ascii="Times New Roman" w:hAnsi="Times New Roman"/>
          <w:sz w:val="20"/>
        </w:rPr>
        <w:t xml:space="preserve"> means the Bakkt Equity Holders Lock-Up Period, the Private Placement Lock-Up Period and the Sponsor Lock-Up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Lock-Up Shares</w:t>
      </w:r>
      <w:r>
        <w:rPr>
          <w:rFonts w:ascii="Times New Roman" w:hAnsi="Times New Roman"/>
          <w:sz w:val="20"/>
        </w:rPr>
        <w:t xml:space="preserve"> means the Bakkt Equity Holders Lock-Up Shares, the Private Placement Lock-Up Shares and the Sponsor Lock-Up Shares.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Necessary Action</w:t>
      </w:r>
      <w:r>
        <w:rPr>
          <w:rFonts w:ascii="Times New Roman" w:hAnsi="Times New Roman"/>
          <w:sz w:val="20"/>
        </w:rPr>
        <w:t xml:space="preserve">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 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Non-Recourse Party</w:t>
      </w:r>
      <w:r>
        <w:rPr>
          <w:rFonts w:ascii="Times New Roman" w:hAnsi="Times New Roman"/>
          <w:sz w:val="20"/>
        </w:rPr>
        <w:t xml:space="preserve"> has the meaning set forth in </w:t>
      </w:r>
      <w:r>
        <w:rPr>
          <w:rFonts w:ascii="Times New Roman" w:hAnsi="Times New Roman"/>
          <w:sz w:val="20"/>
          <w:u w:val="single"/>
        </w:rPr>
        <w:t>Section 4.15</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NYSE</w:t>
      </w:r>
      <w:r>
        <w:rPr>
          <w:rFonts w:ascii="Times New Roman" w:hAnsi="Times New Roman"/>
          <w:sz w:val="20"/>
        </w:rPr>
        <w:t xml:space="preserve"> the New York Stock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 (e) the trust agreement and any documents that govern the formation of a trust; (f) any charter or similar document adopted or filed in connection with the creation, formation, or organization of a Person; and (g) any amendment to any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Transferee</w:t>
      </w:r>
      <w:r>
        <w:rPr>
          <w:rFonts w:ascii="Times New Roman" w:hAnsi="Times New Roman"/>
          <w:sz w:val="20"/>
        </w:rPr>
        <w:t xml:space="preserve"> means, with respect to a Stockholder: (a) any Sponsor Member, (b) any Immediate Family Member of such Stockholder, (c) any Affiliate of such Stockholder, (d) any Affiliate of any Sponsor Member or any Immediate Family Member of such Stockholder, or (e) any Controlled Entity of such Stockholder.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Lock-Up Period</w:t>
      </w:r>
      <w:r>
        <w:rPr>
          <w:rFonts w:ascii="Times New Roman" w:hAnsi="Times New Roman"/>
          <w:sz w:val="20"/>
        </w:rPr>
        <w:t xml:space="preserve"> means the Private Placement Warrants Lock-up Period (as defined in the Insider Letter as of the date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Lock-Up Shares</w:t>
      </w:r>
      <w:r>
        <w:rPr>
          <w:rFonts w:ascii="Times New Roman" w:hAnsi="Times New Roman"/>
          <w:sz w:val="20"/>
        </w:rPr>
        <w:t xml:space="preserve"> means the Sponsor Warrants and any shares of Class A Common Stock resulting from the exercise of any Sponsor Warrant.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Pubco</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Pubco Common Stock Conversion</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Stockholder</w:t>
      </w:r>
      <w:r>
        <w:rPr>
          <w:rFonts w:ascii="Times New Roman" w:hAnsi="Times New Roman"/>
          <w:sz w:val="20"/>
        </w:rPr>
        <w:t xml:space="preserve">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as they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Director</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Lock-Up Period</w:t>
      </w:r>
      <w:r>
        <w:rPr>
          <w:rFonts w:ascii="Times New Roman" w:hAnsi="Times New Roman"/>
          <w:sz w:val="20"/>
        </w:rPr>
        <w:t xml:space="preserve"> means the Founder Shares Lock-up Period (as defined in the Insider Letter as of the date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Lock-Up Shares</w:t>
      </w:r>
      <w:r>
        <w:rPr>
          <w:rFonts w:ascii="Times New Roman" w:hAnsi="Times New Roman"/>
          <w:sz w:val="20"/>
        </w:rPr>
        <w:t xml:space="preserve"> means the Equity Securities of Pubco, including shares of Class A Common Stock, Beneficially Owned or otherwise held, directly or indirectly, by the Sponsor; </w:t>
      </w:r>
      <w:r>
        <w:rPr>
          <w:rFonts w:ascii="Times New Roman" w:hAnsi="Times New Roman"/>
          <w:sz w:val="20"/>
          <w:u w:val="single"/>
        </w:rPr>
        <w:t>provided</w:t>
      </w:r>
      <w:r>
        <w:rPr>
          <w:rFonts w:ascii="Times New Roman" w:hAnsi="Times New Roman"/>
          <w:sz w:val="20"/>
        </w:rPr>
        <w:t xml:space="preserve"> that, notwithstanding anything herein to the contrary, in no event shall the Private Placement Lock-Up Shares be deemed or considered Sponsor Lock-Up Shares for purposes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Member</w:t>
      </w:r>
      <w:r>
        <w:rPr>
          <w:rFonts w:ascii="Times New Roman" w:hAnsi="Times New Roman"/>
          <w:sz w:val="20"/>
        </w:rPr>
        <w:t xml:space="preserve"> means any direct or indirect equityholder of Sponsor as of the date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 Warrants</w:t>
      </w:r>
      <w:r>
        <w:rPr>
          <w:rFonts w:ascii="Times New Roman" w:hAnsi="Times New Roman"/>
          <w:sz w:val="20"/>
        </w:rPr>
        <w:t xml:space="preserve"> means the warrants to purchase 6,147,440 shares of Class A Common Stock issued to the Sponsor pursuant to that certain Private Placement Warrants Purchase Agreement, dated September 20, 2020, by and among the Sponsor and Pubco, for a purchase price of $1.00 per warrant.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Third-Party Purchaser</w:t>
      </w:r>
      <w:r>
        <w:rPr>
          <w:rFonts w:ascii="Times New Roman" w:hAnsi="Times New Roman"/>
          <w:sz w:val="20"/>
        </w:rPr>
        <w:t xml:space="preserve"> means any Person who, immediately prior to the contemplated transaction, does not Beneficially Own or directly or indirectly have the right to acquire any outstanding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Times New Roman" w:hAnsi="Times New Roman"/>
          <w:sz w:val="20"/>
          <w:u w:val="single"/>
        </w:rPr>
        <w:t>Transferee</w:t>
      </w:r>
      <w:r>
        <w:rPr>
          <w:rFonts w:ascii="Times New Roman" w:hAnsi="Times New Roman"/>
          <w:sz w:val="20"/>
        </w:rPr>
        <w:t>, </w:t>
      </w:r>
      <w:r>
        <w:rPr>
          <w:rFonts w:ascii="Times New Roman" w:hAnsi="Times New Roman"/>
          <w:sz w:val="20"/>
          <w:u w:val="single"/>
        </w:rPr>
        <w:t>Transferor</w:t>
      </w:r>
      <w:r>
        <w:rPr>
          <w:rFonts w:ascii="Times New Roman" w:hAnsi="Times New Roman"/>
          <w:sz w:val="20"/>
        </w:rPr>
        <w:t>, </w:t>
      </w:r>
      <w:r>
        <w:rPr>
          <w:rFonts w:ascii="Times New Roman" w:hAnsi="Times New Roman"/>
          <w:sz w:val="20"/>
          <w:u w:val="single"/>
        </w:rPr>
        <w:t>Transferred</w:t>
      </w:r>
      <w:r>
        <w:rPr>
          <w:rFonts w:ascii="Times New Roman" w:hAnsi="Times New Roman"/>
          <w:sz w:val="20"/>
        </w:rPr>
        <w:t xml:space="preserve"> and other forms of the word Transfer shall have correlative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Unaffiliated Directors</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 </w:t>
      </w:r>
      <w:r>
        <w:rPr>
          <w:rFonts w:ascii="Times New Roman" w:hAnsi="Times New Roman"/>
          <w:b/>
          <w:sz w:val="20"/>
          <w:u w:val="single"/>
        </w:rPr>
        <w:t>Construction</w:t>
      </w:r>
      <w:r>
        <w:rPr>
          <w:rFonts w:ascii="Times New Roman" w:hAnsi="Times New Roman"/>
          <w:sz w:val="20"/>
        </w:rPr>
        <w:t>. The language used in this Agreement will be deemed to be the language chosen by the parties to express their mutual intent, and no rule of strict construction will be applied against any party. When used in this Agreement, unless the context otherwise requires: (a) </w:t>
      </w:r>
      <w:r>
        <w:rPr>
          <w:rFonts w:ascii="Times New Roman" w:hAnsi="Times New Roman"/>
          <w:sz w:val="20"/>
          <w:u w:val="single"/>
        </w:rPr>
        <w:t>or</w:t>
      </w:r>
      <w:r>
        <w:rPr>
          <w:rFonts w:ascii="Times New Roman" w:hAnsi="Times New Roman"/>
          <w:sz w:val="20"/>
        </w:rPr>
        <w:t> is disjunctive but not exclusive, (b) terms defined in the singular have a comparable meaning when used in the plural, and vice versa, (c) the words </w:t>
      </w:r>
      <w:r>
        <w:rPr>
          <w:rFonts w:ascii="Times New Roman" w:hAnsi="Times New Roman"/>
          <w:sz w:val="20"/>
          <w:u w:val="single"/>
        </w:rPr>
        <w:t>hereof</w:t>
      </w:r>
      <w:r>
        <w:rPr>
          <w:rFonts w:ascii="Times New Roman" w:hAnsi="Times New Roman"/>
          <w:sz w:val="20"/>
        </w:rPr>
        <w:t>, </w:t>
      </w:r>
      <w:r>
        <w:rPr>
          <w:rFonts w:ascii="Times New Roman" w:hAnsi="Times New Roman"/>
          <w:sz w:val="20"/>
          <w:u w:val="single"/>
        </w:rPr>
        <w:t>herein</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xml:space="preserve">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CORPORATE GOVERNANCE MATTERS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2.01 </w:t>
      </w:r>
      <w:r>
        <w:rPr>
          <w:rFonts w:ascii="Times New Roman" w:hAnsi="Times New Roman"/>
          <w:b/>
          <w:sz w:val="20"/>
          <w:u w:val="single"/>
        </w:rPr>
        <w:t>Election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Pubco and each Stockholder shall take all Necessary Action to cause the Initial Board to be comprised of five to nine (5 to 9) Directors, (i) one (1) of whom has been designated by the Sponsor (the </w:t>
      </w:r>
      <w:r>
        <w:rPr>
          <w:rFonts w:ascii="Times New Roman" w:hAnsi="Times New Roman"/>
          <w:sz w:val="20"/>
          <w:u w:val="single"/>
        </w:rPr>
        <w:t>Sponsor Director</w:t>
      </w:r>
      <w:r>
        <w:rPr>
          <w:rFonts w:ascii="Times New Roman" w:hAnsi="Times New Roman"/>
          <w:sz w:val="20"/>
        </w:rPr>
        <w:t xml:space="preserve">), who shall initially be Gordon Watson, (ii) one (1) of whom has been designated by Bakkt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Opco (the </w:t>
      </w:r>
      <w:r>
        <w:rPr>
          <w:rFonts w:ascii="Times New Roman" w:hAnsi="Times New Roman"/>
          <w:sz w:val="20"/>
          <w:u w:val="single"/>
        </w:rPr>
        <w:t>Bakkt Opco Director</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and (iii) the remaining of whom have been jointly designated by the Sponsor and Bakkt Opco and a majority of whom qualify as independent directors under NYSE listing rules (the </w:t>
      </w:r>
      <w:r>
        <w:rPr>
          <w:rFonts w:ascii="Times New Roman" w:hAnsi="Times New Roman"/>
          <w:sz w:val="20"/>
          <w:u w:val="single"/>
        </w:rPr>
        <w:t>Unaffiliated Directors</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 [][]] and []</w:t>
      </w:r>
      <w:r>
        <w:rPr>
          <w:rFonts w:ascii="Times New Roman" w:hAnsi="Times New Roman"/>
          <w:sz w:val="20"/>
        </w:rPr>
        <w:t xml:space="preserve">. Pubco and each Stockholder shall take all Necessary Action to cause the foregoing Directors to be divided into three (3) classes of Directors, with each class serving for staggered three (3)-year terms as follows: </w:t>
      </w:r>
    </w:p>
    <w:p>
      <w:pPr>
        <w:pStyle w:val="TextBody"/>
        <w:spacing w:before="120" w:after="0"/>
        <w:jc w:val="left"/>
        <w:rPr>
          <w:rFonts w:ascii="Times New Roman" w:hAnsi="Times New Roman"/>
          <w:sz w:val="20"/>
        </w:rPr>
      </w:pPr>
      <w:r>
        <w:rPr>
          <w:rFonts w:ascii="Times New Roman" w:hAnsi="Times New Roman"/>
          <w:sz w:val="20"/>
        </w:rPr>
        <w:t xml:space="preserve">(i) the Class I Directors shall include </w:t>
      </w:r>
      <w:r>
        <w:rPr>
          <w:rFonts w:ascii="Times New Roman" w:hAnsi="Times New Roman"/>
          <w:b/>
          <w:sz w:val="20"/>
        </w:rPr>
        <w:t>[one/two/three]</w:t>
      </w:r>
      <w:r>
        <w:rPr>
          <w:rFonts w:ascii="Times New Roman" w:hAnsi="Times New Roman"/>
          <w:sz w:val="20"/>
        </w:rPr>
        <w:t xml:space="preserve"> (</w:t>
      </w:r>
      <w:r>
        <w:rPr>
          <w:rFonts w:ascii="Times New Roman" w:hAnsi="Times New Roman"/>
          <w:b/>
          <w:sz w:val="20"/>
        </w:rPr>
        <w:t>[1/2/3]</w:t>
      </w:r>
      <w:r>
        <w:rPr>
          <w:rFonts w:ascii="Times New Roman" w:hAnsi="Times New Roman"/>
          <w:sz w:val="20"/>
        </w:rPr>
        <w:t>) Unaffiliated Director</w:t>
      </w:r>
      <w:r>
        <w:rPr>
          <w:rFonts w:ascii="Times New Roman" w:hAnsi="Times New Roman"/>
          <w:b/>
          <w:sz w:val="20"/>
        </w:rPr>
        <w:t>[s]</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(ii) the Class II Directors shall include [</w:t>
      </w:r>
      <w:r>
        <w:rPr>
          <w:rFonts w:ascii="Times New Roman" w:hAnsi="Times New Roman"/>
          <w:b/>
          <w:sz w:val="20"/>
        </w:rPr>
        <w:t>one (1)</w:t>
      </w:r>
      <w:r>
        <w:rPr>
          <w:rFonts w:ascii="Times New Roman" w:hAnsi="Times New Roman"/>
          <w:sz w:val="20"/>
        </w:rPr>
        <w:t xml:space="preserve"> Unaffiliated Director,] the Sponsor Director and the Bakkt Opco Director; and </w:t>
      </w:r>
    </w:p>
    <w:p>
      <w:pPr>
        <w:pStyle w:val="TextBody"/>
        <w:spacing w:before="120" w:after="0"/>
        <w:jc w:val="left"/>
        <w:rPr>
          <w:rFonts w:ascii="Times New Roman" w:hAnsi="Times New Roman"/>
          <w:sz w:val="20"/>
        </w:rPr>
      </w:pPr>
      <w:r>
        <w:rPr>
          <w:rFonts w:ascii="Times New Roman" w:hAnsi="Times New Roman"/>
          <w:sz w:val="20"/>
        </w:rPr>
        <w:t xml:space="preserve">(iii) the Class III Directors shall include </w:t>
      </w:r>
      <w:r>
        <w:rPr>
          <w:rFonts w:ascii="Times New Roman" w:hAnsi="Times New Roman"/>
          <w:b/>
          <w:sz w:val="20"/>
        </w:rPr>
        <w:t>[one/two/three]</w:t>
      </w:r>
      <w:r>
        <w:rPr>
          <w:rFonts w:ascii="Times New Roman" w:hAnsi="Times New Roman"/>
          <w:sz w:val="20"/>
        </w:rPr>
        <w:t xml:space="preserve"> (</w:t>
      </w:r>
      <w:r>
        <w:rPr>
          <w:rFonts w:ascii="Times New Roman" w:hAnsi="Times New Roman"/>
          <w:b/>
          <w:sz w:val="20"/>
        </w:rPr>
        <w:t>[1/2/3]</w:t>
      </w:r>
      <w:r>
        <w:rPr>
          <w:rFonts w:ascii="Times New Roman" w:hAnsi="Times New Roman"/>
          <w:sz w:val="20"/>
        </w:rPr>
        <w:t>) Unaffiliated Director</w:t>
      </w:r>
      <w:r>
        <w:rPr>
          <w:rFonts w:ascii="Times New Roman" w:hAnsi="Times New Roman"/>
          <w:b/>
          <w:sz w:val="20"/>
        </w:rPr>
        <w:t>[s]</w:t>
      </w:r>
      <w:r>
        <w:rPr>
          <w:rFonts w:ascii="Times New Roman" w:hAnsi="Times New Roman"/>
          <w:sz w:val="20"/>
        </w:rPr>
        <w:t xml:space="preserve">, who shall initially be </w:t>
      </w: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initial term of the Class I Directors shall expire at the first (1st) annual meeting of stockholders of Pubco following the Closing Date at which Directors are elected. The initial term of the Class II Directors shall expire at the second (2nd) annual meeting of stockholders of Pubco following the Closing Date at which Directors are elected. The initial term of the Class III Directors shall expire at the third (3rd) annual meeting of stockholders of Pubco following the Closing Date at which Directors are elected. </w:t>
      </w:r>
    </w:p>
    <w:p>
      <w:pPr>
        <w:pStyle w:val="TextBody"/>
        <w:spacing w:before="120" w:after="0"/>
        <w:jc w:val="left"/>
        <w:rPr>
          <w:rFonts w:ascii="Times New Roman" w:hAnsi="Times New Roman"/>
          <w:sz w:val="20"/>
        </w:rPr>
      </w:pPr>
      <w:r>
        <w:rPr>
          <w:rFonts w:ascii="Times New Roman" w:hAnsi="Times New Roman"/>
          <w:sz w:val="20"/>
        </w:rPr>
        <w:t xml:space="preserve">(b) 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 </w:t>
      </w:r>
    </w:p>
    <w:p>
      <w:pPr>
        <w:pStyle w:val="TextBody"/>
        <w:spacing w:before="120" w:after="0"/>
        <w:jc w:val="left"/>
        <w:rPr>
          <w:rFonts w:ascii="Times New Roman" w:hAnsi="Times New Roman"/>
          <w:sz w:val="20"/>
        </w:rPr>
      </w:pPr>
      <w:r>
        <w:rPr>
          <w:rFonts w:ascii="Times New Roman" w:hAnsi="Times New Roman"/>
          <w:sz w:val="20"/>
        </w:rPr>
        <w:t xml:space="preserve">(c) Prior to the second (2nd)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2.02 </w:t>
      </w:r>
      <w:r>
        <w:rPr>
          <w:rFonts w:ascii="Times New Roman" w:hAnsi="Times New Roman"/>
          <w:b/>
          <w:sz w:val="20"/>
          <w:u w:val="single"/>
        </w:rPr>
        <w:t>Committees</w:t>
      </w:r>
      <w:r>
        <w:rPr>
          <w:rFonts w:ascii="Times New Roman" w:hAnsi="Times New Roman"/>
          <w:sz w:val="20"/>
        </w:rPr>
        <w:t xml:space="preserve">. In accordance with the Organizational Documents of Pubco, (i) the Board shall establish and maintain committees of 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2.03 </w:t>
      </w:r>
      <w:r>
        <w:rPr>
          <w:rFonts w:ascii="Times New Roman" w:hAnsi="Times New Roman"/>
          <w:b/>
          <w:sz w:val="20"/>
          <w:u w:val="single"/>
        </w:rPr>
        <w:t>Independent Directors</w:t>
      </w:r>
      <w:r>
        <w:rPr>
          <w:rFonts w:ascii="Times New Roman" w:hAnsi="Times New Roman"/>
          <w:sz w:val="20"/>
        </w:rPr>
        <w:t xml:space="preserve">. Pubco has determined that the Initial Board referenced in </w:t>
      </w:r>
      <w:r>
        <w:rPr>
          <w:rFonts w:ascii="Times New Roman" w:hAnsi="Times New Roman"/>
          <w:sz w:val="20"/>
          <w:u w:val="single"/>
        </w:rPr>
        <w:t>Section 2.01(a)</w:t>
      </w:r>
      <w:r>
        <w:rPr>
          <w:rFonts w:ascii="Times New Roman" w:hAnsi="Times New Roman"/>
          <w:sz w:val="20"/>
        </w:rPr>
        <w:t xml:space="preserve"> includes the requisite number of 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2.04 </w:t>
      </w:r>
      <w:r>
        <w:rPr>
          <w:rFonts w:ascii="Times New Roman" w:hAnsi="Times New Roman"/>
          <w:b/>
          <w:sz w:val="20"/>
          <w:u w:val="single"/>
        </w:rPr>
        <w:t>Compensation; Reimbursement of Expenses</w:t>
      </w:r>
      <w:r>
        <w:rPr>
          <w:rFonts w:ascii="Times New Roman" w:hAnsi="Times New Roman"/>
          <w:sz w:val="20"/>
        </w:rPr>
        <w:t xml:space="preserve">. Except to the extent the Sponsor, in respect of the Sponsor Director, or ICE, in 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2.05 </w:t>
      </w:r>
      <w:r>
        <w:rPr>
          <w:rFonts w:ascii="Times New Roman" w:hAnsi="Times New Roman"/>
          <w:b/>
          <w:sz w:val="20"/>
          <w:u w:val="single"/>
        </w:rPr>
        <w:t>Indemnification</w:t>
      </w:r>
      <w:r>
        <w:rPr>
          <w:rFonts w:ascii="Times New Roman" w:hAnsi="Times New Roman"/>
          <w:sz w:val="20"/>
        </w:rPr>
        <w:t xml:space="preserve">. Pubco shall enter into an indemnification agreement with each of the Sponsor Director and the Bakkt Opco Director, each on substantially the same terms entered into with, and based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2.06 </w:t>
      </w:r>
      <w:r>
        <w:rPr>
          <w:rFonts w:ascii="Times New Roman" w:hAnsi="Times New Roman"/>
          <w:b/>
          <w:sz w:val="20"/>
          <w:u w:val="single"/>
        </w:rPr>
        <w:t>D&amp;O Insurance</w:t>
      </w:r>
      <w:r>
        <w:rPr>
          <w:rFonts w:ascii="Times New Roman" w:hAnsi="Times New Roman"/>
          <w:sz w:val="20"/>
        </w:rPr>
        <w:t xml:space="preserve">. Pubco shall (i) purchase directors and officers liability insurance in an amount determined by the Board to be reasonable and customary and (ii) for so long as the Sponsor Director or the Bakkt Opco Director serves as a Director, maintain such directors and officers liability insurance coverage with respect to such Director.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2.07 </w:t>
      </w:r>
      <w:r>
        <w:rPr>
          <w:rFonts w:ascii="Times New Roman" w:hAnsi="Times New Roman"/>
          <w:b/>
          <w:sz w:val="20"/>
          <w:u w:val="single"/>
        </w:rPr>
        <w:t>Information Sharing</w:t>
      </w:r>
      <w:r>
        <w:rPr>
          <w:rFonts w:ascii="Times New Roman" w:hAnsi="Times New Roman"/>
          <w:sz w:val="20"/>
        </w:rPr>
        <w:t xml:space="preserve">. To the extent permitted by applicable Law, each party hereto acknowledges and agrees that the Sponsor 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Times New Roman" w:hAnsi="Times New Roman"/>
          <w:sz w:val="20"/>
          <w:u w:val="single"/>
        </w:rPr>
        <w:t>Section 2.08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2.08 </w:t>
      </w:r>
      <w:r>
        <w:rPr>
          <w:rFonts w:ascii="Times New Roman" w:hAnsi="Times New Roman"/>
          <w:b/>
          <w:sz w:val="20"/>
          <w:u w:val="single"/>
        </w:rPr>
        <w:t>Confidentiality</w:t>
      </w:r>
      <w:r>
        <w:rPr>
          <w:rFonts w:ascii="Times New Roman" w:hAnsi="Times New Roman"/>
          <w:sz w:val="20"/>
        </w:rPr>
        <w:t xml:space="preserve">. Each of the Sponsor and ICE agrees (severally, and not jointly) that it will, and will direct its Designated Representatives to, keep confidential and not disclose any Confidential Information to any other Person (other than Pubco and its Designated Representatives);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each Designated Representative shall be under an obligation of confidentiality to Pubco or the Sponsor or ICE (as applicable) with respect to such Confidential Information and (ii) each of the Sponsor and ICE agrees (severally, and not jointly) to be responsible for any breaches of this </w:t>
      </w:r>
      <w:r>
        <w:rPr>
          <w:rFonts w:ascii="Times New Roman" w:hAnsi="Times New Roman"/>
          <w:sz w:val="20"/>
          <w:u w:val="single"/>
        </w:rPr>
        <w:t>Section 2.08</w:t>
      </w:r>
      <w:r>
        <w:rPr>
          <w:rFonts w:ascii="Times New Roman" w:hAnsi="Times New Roman"/>
          <w:sz w:val="20"/>
        </w:rPr>
        <w:t xml:space="preserve"> by their respective Designated Representatives. Notwithstanding the foregoing, (i) no Person shall be deemed a Designated Representative of the Sponsor or ICE (and as a result subject to any of the obligations under this </w:t>
      </w:r>
      <w:r>
        <w:rPr>
          <w:rFonts w:ascii="Times New Roman" w:hAnsi="Times New Roman"/>
          <w:sz w:val="20"/>
          <w:u w:val="single"/>
        </w:rPr>
        <w:t>Section 2.08</w:t>
      </w:r>
      <w:r>
        <w:rPr>
          <w:rFonts w:ascii="Times New Roman" w:hAnsi="Times New Roman"/>
          <w:sz w:val="20"/>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Times New Roman" w:hAnsi="Times New Roman"/>
          <w:sz w:val="20"/>
          <w:u w:val="single"/>
        </w:rPr>
        <w:t>Section 2.08</w:t>
      </w:r>
      <w:r>
        <w:rPr>
          <w:rFonts w:ascii="Times New Roman" w:hAnsi="Times New Roman"/>
          <w:sz w:val="20"/>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Times New Roman" w:hAnsi="Times New Roman"/>
          <w:sz w:val="20"/>
          <w:u w:val="single"/>
        </w:rPr>
        <w:t>provided</w:t>
      </w:r>
      <w:r>
        <w:rPr>
          <w:rFonts w:ascii="Times New Roman" w:hAnsi="Times New Roman"/>
          <w:sz w:val="20"/>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RESTRICTIONS ON TRANSFER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b/>
          <w:sz w:val="20"/>
          <w:u w:val="single"/>
        </w:rPr>
        <w:t>General Restrictions on Transfer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permitted by </w:t>
      </w:r>
      <w:r>
        <w:rPr>
          <w:rFonts w:ascii="Times New Roman" w:hAnsi="Times New Roman"/>
          <w:sz w:val="20"/>
          <w:u w:val="single"/>
        </w:rPr>
        <w:t>Section 3.02</w:t>
      </w:r>
      <w:r>
        <w:rPr>
          <w:rFonts w:ascii="Times New Roman" w:hAnsi="Times New Roman"/>
          <w:sz w:val="20"/>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Times New Roman" w:hAnsi="Times New Roman"/>
          <w:sz w:val="20"/>
          <w:u w:val="single"/>
        </w:rPr>
        <w:t>Bakkt Equity Holders Lock-Up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Except as permitted by </w:t>
      </w:r>
      <w:r>
        <w:rPr>
          <w:rFonts w:ascii="Times New Roman" w:hAnsi="Times New Roman"/>
          <w:sz w:val="20"/>
          <w:u w:val="single"/>
        </w:rPr>
        <w:t>Section 3.02</w:t>
      </w:r>
      <w:r>
        <w:rPr>
          <w:rFonts w:ascii="Times New Roman" w:hAnsi="Times New Roman"/>
          <w:sz w:val="20"/>
        </w:rPr>
        <w:t xml:space="preserve">, the Sponsor shall not Transfer, or make a public announcement of any intention to Transfer, any Private Placement Lock-Up Shares during the Private Placement Lock-Up Period. </w:t>
      </w:r>
    </w:p>
    <w:p>
      <w:pPr>
        <w:pStyle w:val="TextBody"/>
        <w:spacing w:before="120" w:after="0"/>
        <w:jc w:val="left"/>
        <w:rPr>
          <w:rFonts w:ascii="Times New Roman" w:hAnsi="Times New Roman"/>
          <w:sz w:val="20"/>
        </w:rPr>
      </w:pPr>
      <w:r>
        <w:rPr>
          <w:rFonts w:ascii="Times New Roman" w:hAnsi="Times New Roman"/>
          <w:sz w:val="20"/>
        </w:rPr>
        <w:t xml:space="preserve">(c) Except as permitted by </w:t>
      </w:r>
      <w:r>
        <w:rPr>
          <w:rFonts w:ascii="Times New Roman" w:hAnsi="Times New Roman"/>
          <w:sz w:val="20"/>
          <w:u w:val="single"/>
        </w:rPr>
        <w:t>Section 3.02</w:t>
      </w:r>
      <w:r>
        <w:rPr>
          <w:rFonts w:ascii="Times New Roman" w:hAnsi="Times New Roman"/>
          <w:sz w:val="20"/>
        </w:rPr>
        <w:t xml:space="preserve">, the Sponsor shall not Transfer, or make a public announcement of any intention to Transfer, any Sponsor Lock-Up Shares during the Sponsor Lock-Up Period.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b/>
          <w:sz w:val="20"/>
          <w:u w:val="single"/>
        </w:rPr>
        <w:t>Permitted Transfers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No prohibition in </w:t>
      </w:r>
      <w:r>
        <w:rPr>
          <w:rFonts w:ascii="Times New Roman" w:hAnsi="Times New Roman"/>
          <w:sz w:val="20"/>
          <w:u w:val="single"/>
        </w:rPr>
        <w:t>Section 3.01</w:t>
      </w:r>
      <w:r>
        <w:rPr>
          <w:rFonts w:ascii="Times New Roman" w:hAnsi="Times New Roman"/>
          <w:sz w:val="20"/>
        </w:rPr>
        <w:t xml:space="preserve"> shall apply to: (i) Transfers permitted by </w:t>
      </w:r>
      <w:r>
        <w:rPr>
          <w:rFonts w:ascii="Times New Roman" w:hAnsi="Times New Roman"/>
          <w:sz w:val="20"/>
          <w:u w:val="single"/>
        </w:rPr>
        <w:t>Section 3.02(b)</w:t>
      </w:r>
      <w:r>
        <w:rPr>
          <w:rFonts w:ascii="Times New Roman" w:hAnsi="Times New Roman"/>
          <w:sz w:val="20"/>
        </w:rPr>
        <w:t xml:space="preserve"> (except as otherwise provided in </w:t>
      </w:r>
      <w:r>
        <w:rPr>
          <w:rFonts w:ascii="Times New Roman" w:hAnsi="Times New Roman"/>
          <w:sz w:val="20"/>
          <w:u w:val="single"/>
        </w:rPr>
        <w:t>Section 3.02(c)</w:t>
      </w:r>
      <w:r>
        <w:rPr>
          <w:rFonts w:ascii="Times New Roman" w:hAnsi="Times New Roman"/>
          <w:sz w:val="20"/>
        </w:rPr>
        <w:t xml:space="preserve">);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Lock-Up Period. </w:t>
      </w:r>
    </w:p>
    <w:p>
      <w:pPr>
        <w:pStyle w:val="TextBody"/>
        <w:spacing w:before="120" w:after="0"/>
        <w:jc w:val="left"/>
        <w:rPr>
          <w:rFonts w:ascii="Times New Roman" w:hAnsi="Times New Roman"/>
          <w:sz w:val="20"/>
        </w:rPr>
      </w:pPr>
      <w:r>
        <w:rPr>
          <w:rFonts w:ascii="Times New Roman" w:hAnsi="Times New Roman"/>
          <w:sz w:val="20"/>
        </w:rPr>
        <w:t xml:space="preserve">(b) Notwithstanding anything to the contrary contained in this Agreement (including </w:t>
      </w:r>
      <w:r>
        <w:rPr>
          <w:rFonts w:ascii="Times New Roman" w:hAnsi="Times New Roman"/>
          <w:sz w:val="20"/>
          <w:u w:val="single"/>
        </w:rPr>
        <w:t>Section 3.01</w:t>
      </w:r>
      <w:r>
        <w:rPr>
          <w:rFonts w:ascii="Times New Roman" w:hAnsi="Times New Roman"/>
          <w:sz w:val="20"/>
        </w:rPr>
        <w:t xml:space="preserve">), subject to </w:t>
      </w:r>
      <w:r>
        <w:rPr>
          <w:rFonts w:ascii="Times New Roman" w:hAnsi="Times New Roman"/>
          <w:sz w:val="20"/>
          <w:u w:val="single"/>
        </w:rPr>
        <w:t>Section 3.02(c)</w:t>
      </w:r>
      <w:r>
        <w:rPr>
          <w:rFonts w:ascii="Times New Roman" w:hAnsi="Times New Roman"/>
          <w:sz w:val="20"/>
        </w:rPr>
        <w:t xml:space="preserve">, during the Lock-Up Period applicable to such Person, each Bakkt Equity Holder and the Sponsor may Transfer, without the consent of any other party hereto, any of such Persons Lock-Up Shares: </w:t>
      </w:r>
    </w:p>
    <w:p>
      <w:pPr>
        <w:pStyle w:val="TextBody"/>
        <w:spacing w:before="120" w:after="0"/>
        <w:jc w:val="left"/>
        <w:rPr>
          <w:rFonts w:ascii="Times New Roman" w:hAnsi="Times New Roman"/>
          <w:sz w:val="20"/>
        </w:rPr>
      </w:pPr>
      <w:r>
        <w:rPr>
          <w:rFonts w:ascii="Times New Roman" w:hAnsi="Times New Roman"/>
          <w:sz w:val="20"/>
        </w:rPr>
        <w:t xml:space="preserve">(i) to any of such Persons Permitted Transferees; </w:t>
      </w:r>
      <w:r>
        <w:rPr>
          <w:rFonts w:ascii="Times New Roman" w:hAnsi="Times New Roman"/>
          <w:sz w:val="20"/>
          <w:u w:val="single"/>
        </w:rPr>
        <w:t>provided</w:t>
      </w:r>
      <w:r>
        <w:rPr>
          <w:rFonts w:ascii="Times New Roman" w:hAnsi="Times New Roman"/>
          <w:sz w:val="20"/>
        </w:rPr>
        <w:t xml:space="preserve"> that, in respect of Transfers to an Immediate Family Member or an Affiliate of such Person (other than pursuant to </w:t>
      </w:r>
      <w:r>
        <w:rPr>
          <w:rFonts w:ascii="Times New Roman" w:hAnsi="Times New Roman"/>
          <w:sz w:val="20"/>
          <w:u w:val="single"/>
        </w:rPr>
        <w:t>Section 3.02(b)(iii)</w:t>
      </w:r>
      <w:r>
        <w:rPr>
          <w:rFonts w:ascii="Times New Roman" w:hAnsi="Times New Roman"/>
          <w:sz w:val="20"/>
        </w:rPr>
        <w:t xml:space="preserve">),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 </w:t>
      </w:r>
    </w:p>
    <w:p>
      <w:pPr>
        <w:pStyle w:val="TextBody"/>
        <w:spacing w:before="120" w:after="0"/>
        <w:jc w:val="left"/>
        <w:rPr>
          <w:rFonts w:ascii="Times New Roman" w:hAnsi="Times New Roman"/>
          <w:sz w:val="20"/>
        </w:rPr>
      </w:pPr>
      <w:r>
        <w:rPr>
          <w:rFonts w:ascii="Times New Roman" w:hAnsi="Times New Roman"/>
          <w:sz w:val="20"/>
        </w:rPr>
        <w:t xml:space="preserve">(ii) 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 </w:t>
      </w:r>
    </w:p>
    <w:p>
      <w:pPr>
        <w:pStyle w:val="TextBody"/>
        <w:spacing w:before="120" w:after="0"/>
        <w:jc w:val="left"/>
        <w:rPr>
          <w:rFonts w:ascii="Times New Roman" w:hAnsi="Times New Roman"/>
          <w:sz w:val="20"/>
        </w:rPr>
      </w:pPr>
      <w:r>
        <w:rPr>
          <w:rFonts w:ascii="Times New Roman" w:hAnsi="Times New Roman"/>
          <w:sz w:val="20"/>
        </w:rPr>
        <w:t xml:space="preserve">(iii) in the case of a Stockholder that is a natural person, upon death of such Stockholder by will or other instrument taking effect at the death of such Stockholder or by applicable Laws of descent and distribution to such Stockholders Immediate Family Members. </w:t>
      </w:r>
    </w:p>
    <w:p>
      <w:pPr>
        <w:pStyle w:val="TextBody"/>
        <w:spacing w:before="120" w:after="0"/>
        <w:jc w:val="left"/>
        <w:rPr>
          <w:rFonts w:ascii="Times New Roman" w:hAnsi="Times New Roman"/>
          <w:sz w:val="20"/>
        </w:rPr>
      </w:pPr>
      <w:r>
        <w:rPr>
          <w:rFonts w:ascii="Times New Roman" w:hAnsi="Times New Roman"/>
          <w:sz w:val="20"/>
        </w:rPr>
        <w:t xml:space="preserve">(c) In respect of any Transfers permitted by </w:t>
      </w:r>
      <w:r>
        <w:rPr>
          <w:rFonts w:ascii="Times New Roman" w:hAnsi="Times New Roman"/>
          <w:sz w:val="20"/>
          <w:u w:val="single"/>
        </w:rPr>
        <w:t>Section 3.02(b)(i)</w:t>
      </w:r>
      <w:r>
        <w:rPr>
          <w:rFonts w:ascii="Times New Roman" w:hAnsi="Times New Roman"/>
          <w:sz w:val="20"/>
        </w:rPr>
        <w:t xml:space="preserve"> or </w:t>
      </w:r>
      <w:r>
        <w:rPr>
          <w:rFonts w:ascii="Times New Roman" w:hAnsi="Times New Roman"/>
          <w:sz w:val="20"/>
          <w:u w:val="single"/>
        </w:rPr>
        <w:t>Section 3.02(b)(iii)</w:t>
      </w:r>
      <w:r>
        <w:rPr>
          <w:rFonts w:ascii="Times New Roman" w:hAnsi="Times New Roman"/>
          <w:sz w:val="20"/>
        </w:rPr>
        <w:t xml:space="preserve">, (i) the applicable Transferee shall be required, at the time of and as a condition to such Transfer, to become a party to this Agreement by executing and delivering to Pubco a joinder in the form attached to this Agreement as </w:t>
      </w:r>
      <w:r>
        <w:rPr>
          <w:rFonts w:ascii="Times New Roman" w:hAnsi="Times New Roman"/>
          <w:sz w:val="20"/>
          <w:u w:val="single"/>
        </w:rPr>
        <w:t>Exhibit A</w:t>
      </w:r>
      <w:r>
        <w:rPr>
          <w:rFonts w:ascii="Times New Roman" w:hAnsi="Times New Roman"/>
          <w:sz w:val="20"/>
        </w:rPr>
        <w:t xml:space="preserve">, whereupon such Transferee will be treated as a party hereto (with the same rights and obligations as the Transferor (including, for the avoidance of doubt, the restrictions in </w:t>
      </w:r>
      <w:r>
        <w:rPr>
          <w:rFonts w:ascii="Times New Roman" w:hAnsi="Times New Roman"/>
          <w:sz w:val="20"/>
          <w:u w:val="single"/>
        </w:rPr>
        <w:t>Section 3.01</w:t>
      </w:r>
      <w:r>
        <w:rPr>
          <w:rFonts w:ascii="Times New Roman" w:hAnsi="Times New Roman"/>
          <w:sz w:val="20"/>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Times New Roman" w:hAnsi="Times New Roman"/>
          <w:sz w:val="20"/>
          <w:u w:val="single"/>
        </w:rPr>
        <w:t>Section 3.02(b)(i)</w:t>
      </w:r>
      <w:r>
        <w:rPr>
          <w:rFonts w:ascii="Times New Roman" w:hAnsi="Times New Roman"/>
          <w:sz w:val="20"/>
        </w:rPr>
        <w:t xml:space="preserve"> or </w:t>
      </w:r>
      <w:r>
        <w:rPr>
          <w:rFonts w:ascii="Times New Roman" w:hAnsi="Times New Roman"/>
          <w:sz w:val="20"/>
          <w:u w:val="single"/>
        </w:rPr>
        <w:t>Section 3.02(b)(iii)</w:t>
      </w:r>
      <w:r>
        <w:rPr>
          <w:rFonts w:ascii="Times New Roman" w:hAnsi="Times New Roman"/>
          <w:sz w:val="20"/>
        </w:rPr>
        <w:t xml:space="preserve">, the restrictions and obligations contained in this </w:t>
      </w:r>
      <w:r>
        <w:rPr>
          <w:rFonts w:ascii="Times New Roman" w:hAnsi="Times New Roman"/>
          <w:sz w:val="20"/>
          <w:u w:val="single"/>
        </w:rPr>
        <w:t>Article III</w:t>
      </w:r>
      <w:r>
        <w:rPr>
          <w:rFonts w:ascii="Times New Roman" w:hAnsi="Times New Roman"/>
          <w:sz w:val="20"/>
        </w:rPr>
        <w:t xml:space="preserve"> shall continue to apply to such Lock-Up Shares for the Lock-Up Period applicable to the initial Transferor.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3.03 </w:t>
      </w:r>
      <w:r>
        <w:rPr>
          <w:rFonts w:ascii="Times New Roman" w:hAnsi="Times New Roman"/>
          <w:b/>
          <w:sz w:val="20"/>
          <w:u w:val="single"/>
        </w:rPr>
        <w:t>Miscellaneous Provisions Relating to Transfers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 </w:t>
      </w:r>
    </w:p>
    <w:p>
      <w:pPr>
        <w:pStyle w:val="TextBody"/>
        <w:spacing w:before="120" w:after="0"/>
        <w:jc w:val="left"/>
        <w:rPr>
          <w:rFonts w:ascii="Times New Roman" w:hAnsi="Times New Roman"/>
          <w:sz w:val="20"/>
        </w:rPr>
      </w:pPr>
      <w:r>
        <w:rPr>
          <w:rFonts w:ascii="Times New Roman" w:hAnsi="Times New Roman"/>
          <w:sz w:val="20"/>
        </w:rPr>
        <w:t xml:space="preserve">(b) 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 </w:t>
      </w:r>
    </w:p>
    <w:p>
      <w:pPr>
        <w:pStyle w:val="TextBody"/>
        <w:spacing w:before="120" w:after="0"/>
        <w:jc w:val="left"/>
        <w:rPr>
          <w:rFonts w:ascii="Times New Roman" w:hAnsi="Times New Roman"/>
          <w:sz w:val="20"/>
        </w:rPr>
      </w:pPr>
      <w:r>
        <w:rPr>
          <w:rFonts w:ascii="Times New Roman" w:hAnsi="Times New Roman"/>
          <w:sz w:val="20"/>
        </w:rPr>
        <w:t xml:space="preserve">(c) 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GENERAL PROVISIONS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4.01 </w:t>
      </w:r>
      <w:r>
        <w:rPr>
          <w:rFonts w:ascii="Times New Roman" w:hAnsi="Times New Roman"/>
          <w:b/>
          <w:sz w:val="20"/>
          <w:u w:val="single"/>
        </w:rPr>
        <w:t>Termination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4.01(b)</w:t>
      </w:r>
      <w:r>
        <w:rPr>
          <w:rFonts w:ascii="Times New Roman" w:hAnsi="Times New Roman"/>
          <w:sz w:val="20"/>
        </w:rPr>
        <w:t xml:space="preserve">,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 (y) immediately following the second (2nd) annual meeting of stockholders of Pubco following the Closing Date at which Directors are elected. </w:t>
      </w:r>
    </w:p>
    <w:p>
      <w:pPr>
        <w:pStyle w:val="TextBody"/>
        <w:spacing w:before="120" w:after="0"/>
        <w:jc w:val="left"/>
        <w:rPr>
          <w:rFonts w:ascii="Times New Roman" w:hAnsi="Times New Roman"/>
          <w:sz w:val="20"/>
        </w:rPr>
      </w:pPr>
      <w:r>
        <w:rPr>
          <w:rFonts w:ascii="Times New Roman" w:hAnsi="Times New Roman"/>
          <w:sz w:val="20"/>
        </w:rPr>
        <w:t xml:space="preserve">(b) The termination of this Agreement, whether in respect of any particular Stockholder and/or all parties hereto, shall not affect: (i) 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2.05</w:t>
      </w:r>
      <w:r>
        <w:rPr>
          <w:rFonts w:ascii="Times New Roman" w:hAnsi="Times New Roman"/>
          <w:sz w:val="20"/>
        </w:rPr>
        <w:t xml:space="preserve">, </w:t>
      </w:r>
      <w:r>
        <w:rPr>
          <w:rFonts w:ascii="Times New Roman" w:hAnsi="Times New Roman"/>
          <w:sz w:val="20"/>
          <w:u w:val="single"/>
        </w:rPr>
        <w:t>Section 2.06</w:t>
      </w:r>
      <w:r>
        <w:rPr>
          <w:rFonts w:ascii="Times New Roman" w:hAnsi="Times New Roman"/>
          <w:sz w:val="20"/>
        </w:rPr>
        <w:t xml:space="preserve"> and this </w:t>
      </w:r>
      <w:r>
        <w:rPr>
          <w:rFonts w:ascii="Times New Roman" w:hAnsi="Times New Roman"/>
          <w:sz w:val="20"/>
          <w:u w:val="single"/>
        </w:rPr>
        <w:t>Article IV</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 </w:t>
      </w:r>
      <w:r>
        <w:rPr>
          <w:rFonts w:ascii="Times New Roman" w:hAnsi="Times New Roman"/>
          <w:b/>
          <w:sz w:val="20"/>
          <w:u w:val="single"/>
        </w:rPr>
        <w:t>Notices</w:t>
      </w:r>
      <w:r>
        <w:rPr>
          <w:rFonts w:ascii="Times New Roman" w:hAnsi="Times New Roman"/>
          <w:sz w:val="20"/>
        </w:rPr>
        <w:t>. Any notice, designation, request, request for consent or consent provided for in this Agreement shall be in writing and shall 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Times New Roman" w:hAnsi="Times New Roman"/>
          <w:sz w:val="20"/>
          <w:u w:val="single"/>
        </w:rPr>
        <w:t>Section 4.02</w:t>
      </w:r>
      <w:r>
        <w:rPr>
          <w:rFonts w:ascii="Times New Roman" w:hAnsi="Times New Roman"/>
          <w:sz w:val="20"/>
        </w:rPr>
        <w:t xml:space="preserve">, notices, designations, requests, requests for consent or consents shall be sent to the addresses indicated below: </w:t>
      </w:r>
    </w:p>
    <w:p>
      <w:pPr>
        <w:pStyle w:val="TextBody"/>
        <w:spacing w:before="0" w:after="0"/>
        <w:jc w:val="left"/>
        <w:rPr/>
      </w:pPr>
      <w:r>
        <w:rPr/>
        <w:t> </w:t>
      </w:r>
    </w:p>
    <w:tbl>
      <w:tblPr>
        <w:tblW w:w="4600" w:type="pct"/>
        <w:jc w:val="right"/>
        <w:tblInd w:w="0" w:type="dxa"/>
        <w:tblCellMar>
          <w:top w:w="0" w:type="dxa"/>
          <w:left w:w="0" w:type="dxa"/>
          <w:bottom w:w="0" w:type="dxa"/>
          <w:right w:w="0" w:type="dxa"/>
        </w:tblCellMar>
      </w:tblPr>
      <w:tblGrid>
        <w:gridCol w:w="1365"/>
        <w:gridCol w:w="262"/>
        <w:gridCol w:w="7761"/>
      </w:tblGrid>
      <w:tr>
        <w:trPr/>
        <w:tc>
          <w:tcPr>
            <w:tcW w:w="136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7761" w:type="dxa"/>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u w:val="single"/>
              </w:rPr>
            </w:pPr>
            <w:r>
              <w:rPr>
                <w:u w:val="single"/>
              </w:rPr>
              <w:t>if to Pubco, to:</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pPr>
            <w:r>
              <w:rPr/>
              <w:t>Bakkt Holdings, Inc.</w:t>
            </w:r>
          </w:p>
        </w:tc>
      </w:tr>
      <w:tr>
        <w:trPr/>
        <w:tc>
          <w:tcPr>
            <w:tcW w:w="9388" w:type="dxa"/>
            <w:gridSpan w:val="3"/>
            <w:tcBorders/>
            <w:shd w:fill="auto" w:val="clear"/>
          </w:tcPr>
          <w:p>
            <w:pPr>
              <w:pStyle w:val="TableContents"/>
              <w:spacing w:before="0" w:after="283"/>
              <w:rPr/>
            </w:pPr>
            <w:r>
              <w:rPr/>
              <w:t>5900 Windward Parkway, Suite 450</w:t>
            </w:r>
          </w:p>
        </w:tc>
      </w:tr>
      <w:tr>
        <w:trPr/>
        <w:tc>
          <w:tcPr>
            <w:tcW w:w="9388" w:type="dxa"/>
            <w:gridSpan w:val="3"/>
            <w:tcBorders/>
            <w:shd w:fill="auto" w:val="clear"/>
          </w:tcPr>
          <w:p>
            <w:pPr>
              <w:pStyle w:val="TableContents"/>
              <w:spacing w:before="0" w:after="283"/>
              <w:rPr/>
            </w:pPr>
            <w:r>
              <w:rPr/>
              <w:t>Alpharetta, GA 30005</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600" w:type="pct"/>
        <w:jc w:val="right"/>
        <w:tblInd w:w="0" w:type="dxa"/>
        <w:tblCellMar>
          <w:top w:w="0" w:type="dxa"/>
          <w:left w:w="0" w:type="dxa"/>
          <w:bottom w:w="0" w:type="dxa"/>
          <w:right w:w="0" w:type="dxa"/>
        </w:tblCellMar>
      </w:tblPr>
      <w:tblGrid>
        <w:gridCol w:w="1220"/>
        <w:gridCol w:w="188"/>
        <w:gridCol w:w="7980"/>
      </w:tblGrid>
      <w:tr>
        <w:trPr/>
        <w:tc>
          <w:tcPr>
            <w:tcW w:w="12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7980" w:type="dxa"/>
            <w:tcBorders/>
            <w:shd w:fill="auto" w:val="clear"/>
            <w:vAlign w:val="center"/>
          </w:tcPr>
          <w:p>
            <w:pPr>
              <w:pStyle w:val="TableContents"/>
              <w:spacing w:before="0" w:after="283"/>
              <w:rPr>
                <w:sz w:val="4"/>
                <w:szCs w:val="4"/>
              </w:rPr>
            </w:pPr>
            <w:r>
              <w:rPr>
                <w:sz w:val="4"/>
                <w:szCs w:val="4"/>
              </w:rPr>
            </w:r>
          </w:p>
        </w:tc>
      </w:tr>
      <w:tr>
        <w:trPr/>
        <w:tc>
          <w:tcPr>
            <w:tcW w:w="1220" w:type="dxa"/>
            <w:tcBorders/>
            <w:shd w:fill="auto" w:val="clear"/>
          </w:tcPr>
          <w:p>
            <w:pPr>
              <w:pStyle w:val="TableContents"/>
              <w:spacing w:before="0" w:after="283"/>
              <w:rPr/>
            </w:pPr>
            <w:r>
              <w:rPr/>
              <w:t>Attention:</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General Counsel</w:t>
            </w:r>
          </w:p>
        </w:tc>
      </w:tr>
      <w:tr>
        <w:trPr/>
        <w:tc>
          <w:tcPr>
            <w:tcW w:w="1220" w:type="dxa"/>
            <w:tcBorders/>
            <w:shd w:fill="auto" w:val="clear"/>
          </w:tcPr>
          <w:p>
            <w:pPr>
              <w:pStyle w:val="TableContents"/>
              <w:spacing w:before="0" w:after="283"/>
              <w:rPr/>
            </w:pPr>
            <w:r>
              <w:rPr/>
              <w:t>E-mail:</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marc.dannuzio@bakkt.com</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u w:val="single"/>
              </w:rPr>
            </w:pPr>
            <w:r>
              <w:rPr>
                <w:u w:val="single"/>
              </w:rPr>
              <w:t>with a copy (which shall not constitute notice) to:</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pPr>
            <w:r>
              <w:rPr/>
              <w:t>Shearman &amp; Sterling LLP</w:t>
            </w:r>
          </w:p>
        </w:tc>
      </w:tr>
      <w:tr>
        <w:trPr/>
        <w:tc>
          <w:tcPr>
            <w:tcW w:w="9388" w:type="dxa"/>
            <w:gridSpan w:val="3"/>
            <w:tcBorders/>
            <w:shd w:fill="auto" w:val="clear"/>
          </w:tcPr>
          <w:p>
            <w:pPr>
              <w:pStyle w:val="TableContents"/>
              <w:spacing w:before="0" w:after="283"/>
              <w:rPr/>
            </w:pPr>
            <w:r>
              <w:rPr/>
              <w:t>300 West 6th Street, 22nd Floor</w:t>
            </w:r>
          </w:p>
        </w:tc>
      </w:tr>
      <w:tr>
        <w:trPr/>
        <w:tc>
          <w:tcPr>
            <w:tcW w:w="9388" w:type="dxa"/>
            <w:gridSpan w:val="3"/>
            <w:tcBorders/>
            <w:shd w:fill="auto" w:val="clear"/>
          </w:tcPr>
          <w:p>
            <w:pPr>
              <w:pStyle w:val="TableContents"/>
              <w:spacing w:before="0" w:after="283"/>
              <w:rPr/>
            </w:pPr>
            <w:r>
              <w:rPr/>
              <w:t>Austin, Texas 78701</w:t>
            </w:r>
          </w:p>
        </w:tc>
      </w:tr>
      <w:tr>
        <w:trPr/>
        <w:tc>
          <w:tcPr>
            <w:tcW w:w="1220" w:type="dxa"/>
            <w:tcBorders/>
            <w:shd w:fill="auto" w:val="clear"/>
          </w:tcPr>
          <w:p>
            <w:pPr>
              <w:pStyle w:val="TableContents"/>
              <w:spacing w:before="0" w:after="283"/>
              <w:rPr/>
            </w:pPr>
            <w:r>
              <w:rPr/>
              <w:t>Attention:</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J. Matthew Lyons</w:t>
            </w:r>
          </w:p>
        </w:tc>
      </w:tr>
      <w:tr>
        <w:trPr/>
        <w:tc>
          <w:tcPr>
            <w:tcW w:w="1220" w:type="dxa"/>
            <w:tcBorders/>
            <w:shd w:fill="auto" w:val="clear"/>
          </w:tcPr>
          <w:p>
            <w:pPr>
              <w:pStyle w:val="TableContents"/>
              <w:spacing w:before="0" w:after="283"/>
              <w:rPr/>
            </w:pPr>
            <w:r>
              <w:rPr/>
              <w:t>E-mail:</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Matt.Lyons@Shearman.com</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u w:val="single"/>
              </w:rPr>
            </w:pPr>
            <w:r>
              <w:rPr>
                <w:u w:val="single"/>
              </w:rPr>
              <w:t>if to the Sponsor, to:</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pPr>
            <w:r>
              <w:rPr/>
              <w:t>Victory Park Management, LLC</w:t>
            </w:r>
          </w:p>
        </w:tc>
      </w:tr>
      <w:tr>
        <w:trPr/>
        <w:tc>
          <w:tcPr>
            <w:tcW w:w="9388" w:type="dxa"/>
            <w:gridSpan w:val="3"/>
            <w:tcBorders/>
            <w:shd w:fill="auto" w:val="clear"/>
          </w:tcPr>
          <w:p>
            <w:pPr>
              <w:pStyle w:val="TableContents"/>
              <w:spacing w:before="0" w:after="283"/>
              <w:rPr/>
            </w:pPr>
            <w:r>
              <w:rPr/>
              <w:t>c/o VPC Impact Acquisition Holdings Sponsor, LLC</w:t>
            </w:r>
          </w:p>
        </w:tc>
      </w:tr>
      <w:tr>
        <w:trPr/>
        <w:tc>
          <w:tcPr>
            <w:tcW w:w="9388" w:type="dxa"/>
            <w:gridSpan w:val="3"/>
            <w:tcBorders/>
            <w:shd w:fill="auto" w:val="clear"/>
          </w:tcPr>
          <w:p>
            <w:pPr>
              <w:pStyle w:val="TableContents"/>
              <w:spacing w:before="0" w:after="283"/>
              <w:rPr/>
            </w:pPr>
            <w:r>
              <w:rPr/>
              <w:t>150 North Riverside Plaza, Suite 5200</w:t>
            </w:r>
          </w:p>
        </w:tc>
      </w:tr>
      <w:tr>
        <w:trPr/>
        <w:tc>
          <w:tcPr>
            <w:tcW w:w="9388" w:type="dxa"/>
            <w:gridSpan w:val="3"/>
            <w:tcBorders/>
            <w:shd w:fill="auto" w:val="clear"/>
          </w:tcPr>
          <w:p>
            <w:pPr>
              <w:pStyle w:val="TableContents"/>
              <w:spacing w:before="0" w:after="283"/>
              <w:rPr/>
            </w:pPr>
            <w:r>
              <w:rPr/>
              <w:t>Chicago, Illinois 60606</w:t>
            </w:r>
          </w:p>
        </w:tc>
      </w:tr>
      <w:tr>
        <w:trPr/>
        <w:tc>
          <w:tcPr>
            <w:tcW w:w="1220" w:type="dxa"/>
            <w:tcBorders/>
            <w:shd w:fill="auto" w:val="clear"/>
          </w:tcPr>
          <w:p>
            <w:pPr>
              <w:pStyle w:val="TableContents"/>
              <w:spacing w:before="0" w:after="283"/>
              <w:rPr/>
            </w:pPr>
            <w:r>
              <w:rPr/>
              <w:t>Attention:</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Scott Zemnick</w:t>
            </w:r>
          </w:p>
        </w:tc>
      </w:tr>
      <w:tr>
        <w:trPr/>
        <w:tc>
          <w:tcPr>
            <w:tcW w:w="1220" w:type="dxa"/>
            <w:tcBorders/>
            <w:shd w:fill="auto" w:val="clear"/>
          </w:tcPr>
          <w:p>
            <w:pPr>
              <w:pStyle w:val="TableContents"/>
              <w:spacing w:before="0" w:after="283"/>
              <w:rPr/>
            </w:pPr>
            <w:r>
              <w:rPr/>
              <w:t>Facsimile:</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(312) 701-0794</w:t>
            </w:r>
          </w:p>
        </w:tc>
      </w:tr>
      <w:tr>
        <w:trPr/>
        <w:tc>
          <w:tcPr>
            <w:tcW w:w="1220" w:type="dxa"/>
            <w:tcBorders/>
            <w:shd w:fill="auto" w:val="clear"/>
          </w:tcPr>
          <w:p>
            <w:pPr>
              <w:pStyle w:val="TableContents"/>
              <w:spacing w:before="0" w:after="283"/>
              <w:rPr/>
            </w:pPr>
            <w:r>
              <w:rPr/>
              <w:t>E-mail:</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szemnick@vpcadvisors.com</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u w:val="single"/>
              </w:rPr>
            </w:pPr>
            <w:r>
              <w:rPr>
                <w:u w:val="single"/>
              </w:rPr>
              <w:t>with a copy (which shall not constitute notice) to:</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283"/>
              <w:rPr/>
            </w:pPr>
            <w:r>
              <w:rPr/>
              <w:t>White &amp; Case LLP</w:t>
            </w:r>
          </w:p>
        </w:tc>
      </w:tr>
      <w:tr>
        <w:trPr/>
        <w:tc>
          <w:tcPr>
            <w:tcW w:w="9388" w:type="dxa"/>
            <w:gridSpan w:val="3"/>
            <w:tcBorders/>
            <w:shd w:fill="auto" w:val="clear"/>
          </w:tcPr>
          <w:p>
            <w:pPr>
              <w:pStyle w:val="TableContents"/>
              <w:spacing w:before="0" w:after="283"/>
              <w:rPr/>
            </w:pPr>
            <w:r>
              <w:rPr/>
              <w:t>111 South Wacker Drive, Suite 5100</w:t>
            </w:r>
          </w:p>
        </w:tc>
      </w:tr>
      <w:tr>
        <w:trPr/>
        <w:tc>
          <w:tcPr>
            <w:tcW w:w="9388" w:type="dxa"/>
            <w:gridSpan w:val="3"/>
            <w:tcBorders/>
            <w:shd w:fill="auto" w:val="clear"/>
          </w:tcPr>
          <w:p>
            <w:pPr>
              <w:pStyle w:val="TableContents"/>
              <w:spacing w:before="0" w:after="283"/>
              <w:rPr/>
            </w:pPr>
            <w:r>
              <w:rPr/>
              <w:t>Chicago, Illinois 60606</w:t>
            </w:r>
          </w:p>
        </w:tc>
      </w:tr>
      <w:tr>
        <w:trPr/>
        <w:tc>
          <w:tcPr>
            <w:tcW w:w="1220" w:type="dxa"/>
            <w:tcBorders/>
            <w:shd w:fill="auto" w:val="clear"/>
          </w:tcPr>
          <w:p>
            <w:pPr>
              <w:pStyle w:val="TableContents"/>
              <w:spacing w:before="0" w:after="283"/>
              <w:rPr/>
            </w:pPr>
            <w:r>
              <w:rPr/>
              <w:t>Attention:</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Raymond Bogenrief</w:t>
            </w:r>
          </w:p>
        </w:tc>
      </w:tr>
      <w:tr>
        <w:trPr/>
        <w:tc>
          <w:tcPr>
            <w:tcW w:w="1220" w:type="dxa"/>
            <w:tcBorders/>
            <w:shd w:fill="auto" w:val="clear"/>
          </w:tcPr>
          <w:p>
            <w:pPr>
              <w:pStyle w:val="TableContents"/>
              <w:spacing w:before="0" w:after="283"/>
              <w:rPr/>
            </w:pPr>
            <w:r>
              <w:rPr/>
              <w:t>Facsimile:</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(312) 881-5450</w:t>
            </w:r>
          </w:p>
        </w:tc>
      </w:tr>
      <w:tr>
        <w:trPr/>
        <w:tc>
          <w:tcPr>
            <w:tcW w:w="1220" w:type="dxa"/>
            <w:tcBorders/>
            <w:shd w:fill="auto" w:val="clear"/>
          </w:tcPr>
          <w:p>
            <w:pPr>
              <w:pStyle w:val="TableContents"/>
              <w:spacing w:before="0" w:after="283"/>
              <w:rPr/>
            </w:pPr>
            <w:r>
              <w:rPr/>
              <w:t>E-mail:</w:t>
            </w:r>
          </w:p>
        </w:tc>
        <w:tc>
          <w:tcPr>
            <w:tcW w:w="188" w:type="dxa"/>
            <w:tcBorders/>
            <w:shd w:fill="auto" w:val="clear"/>
            <w:vAlign w:val="bottom"/>
          </w:tcPr>
          <w:p>
            <w:pPr>
              <w:pStyle w:val="TableContents"/>
              <w:spacing w:before="0" w:after="283"/>
              <w:rPr/>
            </w:pPr>
            <w:r>
              <w:rPr/>
              <w:t>  </w:t>
            </w:r>
          </w:p>
        </w:tc>
        <w:tc>
          <w:tcPr>
            <w:tcW w:w="7980" w:type="dxa"/>
            <w:tcBorders/>
            <w:shd w:fill="auto" w:val="clear"/>
          </w:tcPr>
          <w:p>
            <w:pPr>
              <w:pStyle w:val="TableContents"/>
              <w:spacing w:before="0" w:after="283"/>
              <w:rPr/>
            </w:pPr>
            <w:r>
              <w:rPr/>
              <w:t>Raymond.Bogenrief@whitecase.com</w:t>
            </w:r>
          </w:p>
        </w:tc>
      </w:tr>
      <w:tr>
        <w:trPr>
          <w:trHeight w:val="120" w:hRule="atLeast"/>
        </w:trPr>
        <w:tc>
          <w:tcPr>
            <w:tcW w:w="9388" w:type="dxa"/>
            <w:gridSpan w:val="3"/>
            <w:tcBorders/>
            <w:shd w:fill="auto" w:val="clear"/>
            <w:vAlign w:val="center"/>
          </w:tcPr>
          <w:p>
            <w:pPr>
              <w:pStyle w:val="TableContents"/>
              <w:spacing w:before="0" w:after="283"/>
              <w:rPr>
                <w:sz w:val="4"/>
                <w:szCs w:val="4"/>
              </w:rPr>
            </w:pPr>
            <w:r>
              <w:rPr>
                <w:sz w:val="4"/>
                <w:szCs w:val="4"/>
              </w:rPr>
            </w:r>
          </w:p>
        </w:tc>
      </w:tr>
      <w:tr>
        <w:trPr/>
        <w:tc>
          <w:tcPr>
            <w:tcW w:w="9388"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if to any Bakkt Equity Holder, to:</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address of such Bakkt Equity Holder set forth on its signature page hereto.</w:t>
            </w:r>
          </w:p>
        </w:tc>
      </w:tr>
    </w:tbl>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4.03 </w:t>
      </w:r>
      <w:r>
        <w:rPr>
          <w:rFonts w:ascii="Times New Roman" w:hAnsi="Times New Roman"/>
          <w:b/>
          <w:sz w:val="20"/>
          <w:u w:val="single"/>
        </w:rPr>
        <w:t>Amendment; Waiver</w:t>
      </w:r>
      <w:r>
        <w:rPr>
          <w:rFonts w:ascii="Times New Roman" w:hAnsi="Times New Roman"/>
          <w:sz w:val="20"/>
        </w:rPr>
        <w:t xml:space="preserve">. This Agreement may be amended, supplemented or otherwise modified only by a written instrument executed by (a) Pubco and each Qualified Stockholder at the time of such amendment, supplement or modification;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Times New Roman" w:hAnsi="Times New Roman"/>
          <w:sz w:val="20"/>
          <w:u w:val="single"/>
        </w:rPr>
        <w:t>provided</w:t>
      </w:r>
      <w:r>
        <w:rPr>
          <w:rFonts w:ascii="Times New Roman" w:hAnsi="Times New Roman"/>
          <w:sz w:val="20"/>
        </w:rPr>
        <w:t xml:space="preserve"> that, notwithstanding the foregoing, no waiver of any provision or default under, nor any consent to any exception to, the terms and provisions of </w:t>
      </w:r>
      <w:r>
        <w:rPr>
          <w:rFonts w:ascii="Times New Roman" w:hAnsi="Times New Roman"/>
          <w:sz w:val="20"/>
          <w:u w:val="single"/>
        </w:rPr>
        <w:t>Article III</w:t>
      </w:r>
      <w:r>
        <w:rPr>
          <w:rFonts w:ascii="Times New Roman" w:hAnsi="Times New Roman"/>
          <w:sz w:val="20"/>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the party asserted to have granted such waiver or consent.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4.04 </w:t>
      </w:r>
      <w:r>
        <w:rPr>
          <w:rFonts w:ascii="Times New Roman" w:hAnsi="Times New Roman"/>
          <w:b/>
          <w:sz w:val="20"/>
          <w:u w:val="single"/>
        </w:rPr>
        <w:t>Further Assurances</w:t>
      </w:r>
      <w:r>
        <w:rPr>
          <w:rFonts w:ascii="Times New Roman" w:hAnsi="Times New Roman"/>
          <w:sz w:val="20"/>
        </w:rPr>
        <w:t xml:space="preserve">. Each party to this Agreement shall cooperate and take such action as may be reasonably requested by another party to this Agreement in order to carry out the provisions and purposes of this Agreement and the transactions contemplated 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4.05 </w:t>
      </w:r>
      <w:r>
        <w:rPr>
          <w:rFonts w:ascii="Times New Roman" w:hAnsi="Times New Roman"/>
          <w:b/>
          <w:sz w:val="20"/>
          <w:u w:val="single"/>
        </w:rPr>
        <w:t>Assignment</w:t>
      </w:r>
      <w:r>
        <w:rPr>
          <w:rFonts w:ascii="Times New Roman" w:hAnsi="Times New Roman"/>
          <w:sz w:val="20"/>
        </w:rPr>
        <w:t xml:space="preserve">. No party may assign this Agreement nor any right or obligation of such party, in whole or in part, without the express prior written consent of (a) Pubco and (b) each Qualified Stockholder at the time of such amendment, supplement or modification, and any attempted assignment in violation of this </w:t>
      </w:r>
      <w:r>
        <w:rPr>
          <w:rFonts w:ascii="Times New Roman" w:hAnsi="Times New Roman"/>
          <w:sz w:val="20"/>
          <w:u w:val="single"/>
        </w:rPr>
        <w:t>Section 4.05</w:t>
      </w:r>
      <w:r>
        <w:rPr>
          <w:rFonts w:ascii="Times New Roman" w:hAnsi="Times New Roman"/>
          <w:sz w:val="20"/>
        </w:rPr>
        <w:t xml:space="preserve"> shall be null and void and of no effect; </w:t>
      </w:r>
      <w:r>
        <w:rPr>
          <w:rFonts w:ascii="Times New Roman" w:hAnsi="Times New Roman"/>
          <w:sz w:val="20"/>
          <w:u w:val="single"/>
        </w:rPr>
        <w:t>provided</w:t>
      </w:r>
      <w:r>
        <w:rPr>
          <w:rFonts w:ascii="Times New Roman" w:hAnsi="Times New Roman"/>
          <w:sz w:val="20"/>
        </w:rPr>
        <w:t xml:space="preserve"> that, in connection with a Transfer pursuant to and permitted by </w:t>
      </w:r>
      <w:r>
        <w:rPr>
          <w:rFonts w:ascii="Times New Roman" w:hAnsi="Times New Roman"/>
          <w:sz w:val="20"/>
          <w:u w:val="single"/>
        </w:rPr>
        <w:t>Article III</w:t>
      </w:r>
      <w:r>
        <w:rPr>
          <w:rFonts w:ascii="Times New Roman" w:hAnsi="Times New Roman"/>
          <w:sz w:val="20"/>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Times New Roman" w:hAnsi="Times New Roman"/>
          <w:sz w:val="20"/>
          <w:u w:val="single"/>
        </w:rPr>
        <w:t>Article III</w:t>
      </w:r>
      <w:r>
        <w:rPr>
          <w:rFonts w:ascii="Times New Roman" w:hAnsi="Times New Roman"/>
          <w:sz w:val="20"/>
        </w:rPr>
        <w:t xml:space="preserve">, in each case, without the prior consent of any other party, or (y) to any other Person in compliance with, and to the extent not expressly prohibited by </w:t>
      </w:r>
      <w:r>
        <w:rPr>
          <w:rFonts w:ascii="Times New Roman" w:hAnsi="Times New Roman"/>
          <w:sz w:val="20"/>
          <w:u w:val="single"/>
        </w:rPr>
        <w:t>Article III</w:t>
      </w:r>
      <w:r>
        <w:rPr>
          <w:rFonts w:ascii="Times New Roman" w:hAnsi="Times New Roman"/>
          <w:sz w:val="20"/>
        </w:rPr>
        <w:t xml:space="preserve">,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4.06 </w:t>
      </w:r>
      <w:r>
        <w:rPr>
          <w:rFonts w:ascii="Times New Roman" w:hAnsi="Times New Roman"/>
          <w:b/>
          <w:sz w:val="20"/>
          <w:u w:val="single"/>
        </w:rPr>
        <w:t>Third-Party Beneficiaries</w:t>
      </w:r>
      <w:r>
        <w:rPr>
          <w:rFonts w:ascii="Times New Roman" w:hAnsi="Times New Roman"/>
          <w:sz w:val="20"/>
        </w:rPr>
        <w:t xml:space="preserve">. Nothing in this Agreement, express or implied, is intended to confer upon any Person, other than the parties hereto and their respective permitted successors, assigns, heirs and representatives (including, Permitted Transferees), any rights or remedies under this Agreement or otherwise create any third-party beneficiary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4.07 </w:t>
      </w:r>
      <w:r>
        <w:rPr>
          <w:rFonts w:ascii="Times New Roman" w:hAnsi="Times New Roman"/>
          <w:b/>
          <w:sz w:val="20"/>
          <w:u w:val="single"/>
        </w:rPr>
        <w:t>Governing Law</w:t>
      </w:r>
      <w:r>
        <w:rPr>
          <w:rFonts w:ascii="Times New Roman" w:hAnsi="Times New Roman"/>
          <w:sz w:val="20"/>
        </w:rPr>
        <w:t xml:space="preserve">. THIS AGREEMENT AND ITS ENFORCEMENT AND ANY CONTROVERSY ARISING OUT OF OR 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4.08 </w:t>
      </w:r>
      <w:r>
        <w:rPr>
          <w:rFonts w:ascii="Times New Roman" w:hAnsi="Times New Roman"/>
          <w:b/>
          <w:sz w:val="20"/>
          <w:u w:val="single"/>
        </w:rPr>
        <w:t>Jurisdiction; WAIVER OF JURY TRIAL</w:t>
      </w:r>
      <w:r>
        <w:rPr>
          <w:rFonts w:ascii="Times New Roman" w:hAnsi="Times New Roman"/>
          <w:sz w:val="20"/>
        </w:rPr>
        <w:t xml:space="preserve">. Each party hereto hereby (i) agrees that any action directly or indirectly arising out of, 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4.08</w:t>
      </w:r>
      <w:r>
        <w:rPr>
          <w:rFonts w:ascii="Times New Roman" w:hAnsi="Times New Roman"/>
          <w:sz w:val="20"/>
        </w:rPr>
        <w:t xml:space="preserve">, (A) irrevocably and unconditionally consents and submits to the exclusive jurisdiction of the courts identified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4.08</w:t>
      </w:r>
      <w:r>
        <w:rPr>
          <w:rFonts w:ascii="Times New Roman" w:hAnsi="Times New Roman"/>
          <w:sz w:val="20"/>
        </w:rPr>
        <w:t xml:space="preserve">, (B) irrevocably and unconditionally waives any objection to the laying of venue in any of the courts identified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4.08</w:t>
      </w:r>
      <w:r>
        <w:rPr>
          <w:rFonts w:ascii="Times New Roman" w:hAnsi="Times New Roman"/>
          <w:sz w:val="20"/>
        </w:rPr>
        <w:t xml:space="preserve">, (C) irrevocably and unconditionally waives and agrees not to plead or claim that any of the courts identified in such </w:t>
      </w:r>
      <w:r>
        <w:rPr>
          <w:rFonts w:ascii="Times New Roman" w:hAnsi="Times New Roman"/>
          <w:sz w:val="20"/>
          <w:u w:val="single"/>
        </w:rPr>
        <w:t>clause (i)</w:t>
      </w:r>
      <w:r>
        <w:rPr>
          <w:rFonts w:ascii="Times New Roman" w:hAnsi="Times New Roman"/>
          <w:sz w:val="20"/>
        </w:rPr>
        <w:t xml:space="preserve">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 </w:t>
      </w:r>
      <w:r>
        <w:rPr>
          <w:rFonts w:ascii="Times New Roman" w:hAnsi="Times New Roman"/>
          <w:b/>
          <w:sz w:val="20"/>
          <w:u w:val="single"/>
        </w:rPr>
        <w:t>Specific Performance</w:t>
      </w:r>
      <w:r>
        <w:rPr>
          <w:rFonts w:ascii="Times New Roman" w:hAnsi="Times New Roman"/>
          <w:sz w:val="20"/>
        </w:rPr>
        <w:t xml:space="preserve">.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which they may be entitled at law or in equity, shall be entitled to specific performance of this Agreement without the posting of a bond.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4.10 </w:t>
      </w:r>
      <w:r>
        <w:rPr>
          <w:rFonts w:ascii="Times New Roman" w:hAnsi="Times New Roman"/>
          <w:b/>
          <w:sz w:val="20"/>
          <w:u w:val="single"/>
        </w:rPr>
        <w:t>Entire Agreement</w:t>
      </w:r>
      <w:r>
        <w:rPr>
          <w:rFonts w:ascii="Times New Roman" w:hAnsi="Times New Roman"/>
          <w:sz w:val="20"/>
        </w:rPr>
        <w:t xml:space="preserve">.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4.11 </w:t>
      </w:r>
      <w:r>
        <w:rPr>
          <w:rFonts w:ascii="Times New Roman" w:hAnsi="Times New Roman"/>
          <w:b/>
          <w:sz w:val="20"/>
          <w:u w:val="single"/>
        </w:rPr>
        <w:t>Severability</w:t>
      </w:r>
      <w:r>
        <w:rPr>
          <w:rFonts w:ascii="Times New Roman" w:hAnsi="Times New Roman"/>
          <w:sz w:val="20"/>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4.12 </w:t>
      </w:r>
      <w:r>
        <w:rPr>
          <w:rFonts w:ascii="Times New Roman" w:hAnsi="Times New Roman"/>
          <w:b/>
          <w:sz w:val="20"/>
          <w:u w:val="single"/>
        </w:rPr>
        <w:t>Table of Contents, Headings and Captions</w:t>
      </w:r>
      <w:r>
        <w:rPr>
          <w:rFonts w:ascii="Times New Roman" w:hAnsi="Times New Roman"/>
          <w:sz w:val="20"/>
        </w:rPr>
        <w:t xml:space="preserve">. The table of contents, headings, subheadings and captions contained in this Agreement are included for convenience of reference only, and in no way define, limit or describe the scope of this Agreement or the intent of any provision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4.13 </w:t>
      </w:r>
      <w:r>
        <w:rPr>
          <w:rFonts w:ascii="Times New Roman" w:hAnsi="Times New Roman"/>
          <w:b/>
          <w:sz w:val="20"/>
          <w:u w:val="single"/>
        </w:rPr>
        <w:t>Counterparts</w:t>
      </w:r>
      <w:r>
        <w:rPr>
          <w:rFonts w:ascii="Times New Roman" w:hAnsi="Times New Roman"/>
          <w:sz w:val="20"/>
        </w:rPr>
        <w:t xml:space="preserve">. This Agreement and any amendment hereto may be signed in any number of separate counterparts (including by facsimile, pdf or other electronic document transmission), each of which shall be deemed an original, but all of which taken together shall constitute one Agreement (or amendment, as applicable).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4.14 </w:t>
      </w:r>
      <w:r>
        <w:rPr>
          <w:rFonts w:ascii="Times New Roman" w:hAnsi="Times New Roman"/>
          <w:b/>
          <w:sz w:val="20"/>
          <w:u w:val="single"/>
        </w:rPr>
        <w:t>Subsequent Acquisition of Securities</w:t>
      </w:r>
      <w:r>
        <w:rPr>
          <w:rFonts w:ascii="Times New Roman" w:hAnsi="Times New Roman"/>
          <w:sz w:val="20"/>
        </w:rPr>
        <w:t xml:space="preserve">. Each Stockholder agrees that any Equity Securities of Pubco or Bakkt Opco which it shall 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4.15 </w:t>
      </w:r>
      <w:r>
        <w:rPr>
          <w:rFonts w:ascii="Times New Roman" w:hAnsi="Times New Roman"/>
          <w:b/>
          <w:sz w:val="20"/>
          <w:u w:val="single"/>
        </w:rPr>
        <w:t>No Recourse</w:t>
      </w:r>
      <w:r>
        <w:rPr>
          <w:rFonts w:ascii="Times New Roman" w:hAnsi="Times New Roman"/>
          <w:sz w:val="20"/>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on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175"/>
        <w:gridCol w:w="111"/>
        <w:gridCol w:w="2796"/>
      </w:tblGrid>
      <w:tr>
        <w:trPr/>
        <w:tc>
          <w:tcPr>
            <w:tcW w:w="117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PUBCO</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BAKKT HOLDINGS, INC.</w:t>
            </w:r>
          </w:p>
        </w:tc>
      </w:tr>
      <w:tr>
        <w:trPr>
          <w:trHeight w:val="240" w:hRule="atLeast"/>
        </w:trPr>
        <w:tc>
          <w:tcPr>
            <w:tcW w:w="1175" w:type="dxa"/>
            <w:tcBorders/>
            <w:shd w:fill="auto" w:val="clear"/>
            <w:vAlign w:val="center"/>
          </w:tcPr>
          <w:p>
            <w:pPr>
              <w:pStyle w:val="TableContents"/>
              <w:spacing w:before="0" w:after="283"/>
              <w:rPr>
                <w:sz w:val="4"/>
                <w:szCs w:val="4"/>
              </w:rPr>
            </w:pPr>
            <w:r>
              <w:rPr>
                <w:sz w:val="4"/>
                <w:szCs w:val="4"/>
              </w:rPr>
            </w:r>
          </w:p>
        </w:tc>
        <w:tc>
          <w:tcPr>
            <w:tcW w:w="2907"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tcPr>
          <w:p>
            <w:pPr>
              <w:pStyle w:val="TableContents"/>
              <w:spacing w:before="0" w:after="283"/>
              <w:rPr/>
            </w:pPr>
            <w:r>
              <w:rPr/>
              <w:t>By:</w:t>
            </w:r>
          </w:p>
        </w:tc>
        <w:tc>
          <w:tcPr>
            <w:tcW w:w="111" w:type="dxa"/>
            <w:tcBorders/>
            <w:shd w:fill="auto" w:val="clear"/>
            <w:vAlign w:val="bottom"/>
          </w:tcPr>
          <w:p>
            <w:pPr>
              <w:pStyle w:val="TableContents"/>
              <w:spacing w:before="0" w:after="283"/>
              <w:rPr/>
            </w:pPr>
            <w:r>
              <w:rPr/>
              <w:t> </w:t>
            </w:r>
          </w:p>
        </w:tc>
        <w:tc>
          <w:tcPr>
            <w:tcW w:w="2796" w:type="dxa"/>
            <w:tcBorders/>
            <w:shd w:fill="auto" w:val="clear"/>
          </w:tcPr>
          <w:p>
            <w:pPr>
              <w:pStyle w:val="TableContents"/>
              <w:pBdr>
                <w:bottom w:val="single" w:sz="2" w:space="1" w:color="000000"/>
              </w:pBdr>
              <w:spacing w:before="0" w:after="20"/>
              <w:rPr/>
            </w:pPr>
            <w:r>
              <w:rPr/>
              <w:t> </w:t>
            </w:r>
          </w:p>
        </w:tc>
      </w:tr>
      <w:tr>
        <w:trPr/>
        <w:tc>
          <w:tcPr>
            <w:tcW w:w="1175" w:type="dxa"/>
            <w:tcBorders/>
            <w:shd w:fill="auto" w:val="clear"/>
          </w:tcPr>
          <w:p>
            <w:pPr>
              <w:pStyle w:val="TableContents"/>
              <w:spacing w:before="0" w:after="283"/>
              <w:rPr/>
            </w:pPr>
            <w:r>
              <w:rPr/>
              <w:t>Name:</w:t>
            </w:r>
          </w:p>
        </w:tc>
        <w:tc>
          <w:tcPr>
            <w:tcW w:w="111" w:type="dxa"/>
            <w:tcBorders/>
            <w:shd w:fill="auto" w:val="clear"/>
            <w:vAlign w:val="bottom"/>
          </w:tcPr>
          <w:p>
            <w:pPr>
              <w:pStyle w:val="TableContents"/>
              <w:spacing w:before="0" w:after="283"/>
              <w:rPr/>
            </w:pPr>
            <w:r>
              <w:rPr/>
              <w:t> </w:t>
            </w:r>
          </w:p>
        </w:tc>
        <w:tc>
          <w:tcPr>
            <w:tcW w:w="2796" w:type="dxa"/>
            <w:tcBorders/>
            <w:shd w:fill="auto" w:val="clear"/>
          </w:tcPr>
          <w:p>
            <w:pPr>
              <w:pStyle w:val="TableContents"/>
              <w:spacing w:before="0" w:after="283"/>
              <w:rPr>
                <w:sz w:val="4"/>
                <w:szCs w:val="4"/>
              </w:rPr>
            </w:pPr>
            <w:r>
              <w:rPr>
                <w:sz w:val="4"/>
                <w:szCs w:val="4"/>
              </w:rPr>
            </w:r>
          </w:p>
        </w:tc>
      </w:tr>
      <w:tr>
        <w:trPr/>
        <w:tc>
          <w:tcPr>
            <w:tcW w:w="1175" w:type="dxa"/>
            <w:tcBorders/>
            <w:shd w:fill="auto" w:val="clear"/>
          </w:tcPr>
          <w:p>
            <w:pPr>
              <w:pStyle w:val="TableContents"/>
              <w:spacing w:before="0" w:after="283"/>
              <w:rPr/>
            </w:pPr>
            <w:r>
              <w:rPr/>
              <w:t>Title:</w:t>
            </w:r>
          </w:p>
        </w:tc>
        <w:tc>
          <w:tcPr>
            <w:tcW w:w="111" w:type="dxa"/>
            <w:tcBorders/>
            <w:shd w:fill="auto" w:val="clear"/>
            <w:vAlign w:val="bottom"/>
          </w:tcPr>
          <w:p>
            <w:pPr>
              <w:pStyle w:val="TableContents"/>
              <w:spacing w:before="0" w:after="283"/>
              <w:rPr/>
            </w:pPr>
            <w:r>
              <w:rPr/>
              <w:t> </w:t>
            </w:r>
          </w:p>
        </w:tc>
        <w:tc>
          <w:tcPr>
            <w:tcW w:w="2796" w:type="dxa"/>
            <w:tcBorders/>
            <w:shd w:fill="auto" w:val="clear"/>
          </w:tcPr>
          <w:p>
            <w:pPr>
              <w:pStyle w:val="TableContents"/>
              <w:spacing w:before="0" w:after="283"/>
              <w:rPr>
                <w:sz w:val="4"/>
                <w:szCs w:val="4"/>
              </w:rPr>
            </w:pPr>
            <w:r>
              <w:rPr>
                <w:sz w:val="4"/>
                <w:szCs w:val="4"/>
              </w:rPr>
            </w:r>
          </w:p>
        </w:tc>
      </w:tr>
    </w:tbl>
    <w:p>
      <w:pPr>
        <w:pStyle w:val="TextBody"/>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Stockholders Agreement</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on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984"/>
        <w:gridCol w:w="92"/>
        <w:gridCol w:w="3006"/>
      </w:tblGrid>
      <w:tr>
        <w:trPr/>
        <w:tc>
          <w:tcPr>
            <w:tcW w:w="98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u w:val="single"/>
              </w:rPr>
              <w:t>BAKKT EQUITY HOLDER</w:t>
            </w:r>
            <w:r>
              <w:rPr/>
              <w:t>:</w:t>
            </w:r>
          </w:p>
        </w:tc>
      </w:tr>
      <w:tr>
        <w:trPr>
          <w:trHeight w:val="240" w:hRule="atLeast"/>
        </w:trPr>
        <w:tc>
          <w:tcPr>
            <w:tcW w:w="984" w:type="dxa"/>
            <w:tcBorders/>
            <w:shd w:fill="auto" w:val="clear"/>
            <w:vAlign w:val="center"/>
          </w:tcPr>
          <w:p>
            <w:pPr>
              <w:pStyle w:val="TableContents"/>
              <w:spacing w:before="0" w:after="283"/>
              <w:rPr>
                <w:sz w:val="4"/>
                <w:szCs w:val="4"/>
              </w:rPr>
            </w:pPr>
            <w:r>
              <w:rPr>
                <w:sz w:val="4"/>
                <w:szCs w:val="4"/>
              </w:rPr>
            </w:r>
          </w:p>
        </w:tc>
        <w:tc>
          <w:tcPr>
            <w:tcW w:w="3098" w:type="dxa"/>
            <w:gridSpan w:val="2"/>
            <w:tcBorders/>
            <w:shd w:fill="auto" w:val="clear"/>
            <w:vAlign w:val="cente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rPr/>
            </w:pPr>
            <w:r>
              <w:rPr/>
              <w:t>[]</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r>
      <w:tr>
        <w:trPr>
          <w:trHeight w:val="240" w:hRule="atLeast"/>
        </w:trPr>
        <w:tc>
          <w:tcPr>
            <w:tcW w:w="984" w:type="dxa"/>
            <w:tcBorders/>
            <w:shd w:fill="auto" w:val="clear"/>
            <w:vAlign w:val="center"/>
          </w:tcPr>
          <w:p>
            <w:pPr>
              <w:pStyle w:val="TableContents"/>
              <w:spacing w:before="0" w:after="283"/>
              <w:rPr>
                <w:sz w:val="4"/>
                <w:szCs w:val="4"/>
              </w:rPr>
            </w:pPr>
            <w:r>
              <w:rPr>
                <w:sz w:val="4"/>
                <w:szCs w:val="4"/>
              </w:rPr>
            </w:r>
          </w:p>
        </w:tc>
        <w:tc>
          <w:tcPr>
            <w:tcW w:w="3098" w:type="dxa"/>
            <w:gridSpan w:val="2"/>
            <w:tcBorders/>
            <w:shd w:fill="auto" w:val="clear"/>
            <w:vAlign w:val="cente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rPr/>
            </w:pPr>
            <w:r>
              <w:rPr/>
              <w:t>By:</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pBdr>
                <w:bottom w:val="single" w:sz="2" w:space="1" w:color="000000"/>
              </w:pBdr>
              <w:spacing w:before="0" w:after="20"/>
              <w:rPr/>
            </w:pPr>
            <w:r>
              <w:rPr/>
              <w:t> </w:t>
            </w:r>
          </w:p>
        </w:tc>
      </w:tr>
      <w:tr>
        <w:trPr/>
        <w:tc>
          <w:tcPr>
            <w:tcW w:w="984" w:type="dxa"/>
            <w:tcBorders/>
            <w:shd w:fill="auto" w:val="clear"/>
          </w:tcPr>
          <w:p>
            <w:pPr>
              <w:pStyle w:val="TableContents"/>
              <w:spacing w:before="0" w:after="283"/>
              <w:rPr/>
            </w:pPr>
            <w:r>
              <w:rPr/>
              <w:t>Name:</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rPr/>
            </w:pPr>
            <w:r>
              <w:rPr/>
              <w:t>Title:</w:t>
            </w:r>
          </w:p>
        </w:tc>
        <w:tc>
          <w:tcPr>
            <w:tcW w:w="92"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63"/>
        <w:gridCol w:w="60"/>
        <w:gridCol w:w="2959"/>
      </w:tblGrid>
      <w:tr>
        <w:trPr/>
        <w:tc>
          <w:tcPr>
            <w:tcW w:w="10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5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u w:val="single"/>
              </w:rPr>
            </w:pPr>
            <w:r>
              <w:rPr>
                <w:u w:val="single"/>
              </w:rPr>
              <w:t>Address for Notices:</w:t>
            </w:r>
          </w:p>
        </w:tc>
      </w:tr>
      <w:tr>
        <w:trPr/>
        <w:tc>
          <w:tcPr>
            <w:tcW w:w="4082"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1063" w:type="dxa"/>
            <w:tcBorders/>
            <w:shd w:fill="auto" w:val="clear"/>
            <w:vAlign w:val="center"/>
          </w:tcPr>
          <w:p>
            <w:pPr>
              <w:pStyle w:val="TableContents"/>
              <w:spacing w:before="0" w:after="283"/>
              <w:rPr>
                <w:sz w:val="4"/>
                <w:szCs w:val="4"/>
              </w:rPr>
            </w:pPr>
            <w:r>
              <w:rPr>
                <w:sz w:val="4"/>
                <w:szCs w:val="4"/>
              </w:rPr>
            </w:r>
          </w:p>
        </w:tc>
        <w:tc>
          <w:tcPr>
            <w:tcW w:w="3019" w:type="dxa"/>
            <w:gridSpan w:val="2"/>
            <w:tcBorders/>
            <w:shd w:fill="auto" w:val="clear"/>
            <w:vAlign w:val="center"/>
          </w:tcPr>
          <w:p>
            <w:pPr>
              <w:pStyle w:val="TableContents"/>
              <w:spacing w:before="0" w:after="283"/>
              <w:rPr>
                <w:sz w:val="4"/>
                <w:szCs w:val="4"/>
              </w:rPr>
            </w:pPr>
            <w:r>
              <w:rPr>
                <w:sz w:val="4"/>
                <w:szCs w:val="4"/>
              </w:rPr>
            </w:r>
          </w:p>
        </w:tc>
      </w:tr>
      <w:tr>
        <w:trPr/>
        <w:tc>
          <w:tcPr>
            <w:tcW w:w="1063" w:type="dxa"/>
            <w:tcBorders/>
            <w:shd w:fill="auto" w:val="clear"/>
            <w:vAlign w:val="bottom"/>
          </w:tcPr>
          <w:p>
            <w:pPr>
              <w:pStyle w:val="TableContents"/>
              <w:spacing w:before="0" w:after="283"/>
              <w:rPr/>
            </w:pPr>
            <w:r>
              <w:rPr/>
              <w:t>Attention:</w:t>
            </w:r>
          </w:p>
        </w:tc>
        <w:tc>
          <w:tcPr>
            <w:tcW w:w="60" w:type="dxa"/>
            <w:tcBorders/>
            <w:shd w:fill="auto" w:val="clear"/>
            <w:vAlign w:val="bottom"/>
          </w:tcPr>
          <w:p>
            <w:pPr>
              <w:pStyle w:val="TableContents"/>
              <w:spacing w:before="0" w:after="283"/>
              <w:rPr/>
            </w:pPr>
            <w:r>
              <w:rPr/>
              <w:t> </w:t>
            </w:r>
          </w:p>
        </w:tc>
        <w:tc>
          <w:tcPr>
            <w:tcW w:w="2959" w:type="dxa"/>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1063" w:type="dxa"/>
            <w:tcBorders/>
            <w:shd w:fill="auto" w:val="clear"/>
            <w:vAlign w:val="center"/>
          </w:tcPr>
          <w:p>
            <w:pPr>
              <w:pStyle w:val="TableContents"/>
              <w:spacing w:before="0" w:after="283"/>
              <w:rPr>
                <w:sz w:val="4"/>
                <w:szCs w:val="4"/>
              </w:rPr>
            </w:pPr>
            <w:r>
              <w:rPr>
                <w:sz w:val="4"/>
                <w:szCs w:val="4"/>
              </w:rPr>
            </w:r>
          </w:p>
        </w:tc>
        <w:tc>
          <w:tcPr>
            <w:tcW w:w="3019" w:type="dxa"/>
            <w:gridSpan w:val="2"/>
            <w:tcBorders/>
            <w:shd w:fill="auto" w:val="clear"/>
            <w:vAlign w:val="center"/>
          </w:tcPr>
          <w:p>
            <w:pPr>
              <w:pStyle w:val="TableContents"/>
              <w:spacing w:before="0" w:after="283"/>
              <w:rPr>
                <w:sz w:val="4"/>
                <w:szCs w:val="4"/>
              </w:rPr>
            </w:pPr>
            <w:r>
              <w:rPr>
                <w:sz w:val="4"/>
                <w:szCs w:val="4"/>
              </w:rPr>
            </w:r>
          </w:p>
        </w:tc>
      </w:tr>
      <w:tr>
        <w:trPr/>
        <w:tc>
          <w:tcPr>
            <w:tcW w:w="1063" w:type="dxa"/>
            <w:tcBorders/>
            <w:shd w:fill="auto" w:val="clear"/>
            <w:vAlign w:val="bottom"/>
          </w:tcPr>
          <w:p>
            <w:pPr>
              <w:pStyle w:val="TableContents"/>
              <w:spacing w:before="0" w:after="283"/>
              <w:rPr/>
            </w:pPr>
            <w:r>
              <w:rPr/>
              <w:t>Facsimile:</w:t>
            </w:r>
          </w:p>
        </w:tc>
        <w:tc>
          <w:tcPr>
            <w:tcW w:w="60" w:type="dxa"/>
            <w:tcBorders/>
            <w:shd w:fill="auto" w:val="clear"/>
            <w:vAlign w:val="bottom"/>
          </w:tcPr>
          <w:p>
            <w:pPr>
              <w:pStyle w:val="TableContents"/>
              <w:spacing w:before="0" w:after="283"/>
              <w:rPr/>
            </w:pPr>
            <w:r>
              <w:rPr/>
              <w:t> </w:t>
            </w:r>
          </w:p>
        </w:tc>
        <w:tc>
          <w:tcPr>
            <w:tcW w:w="2959" w:type="dxa"/>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1063" w:type="dxa"/>
            <w:tcBorders/>
            <w:shd w:fill="auto" w:val="clear"/>
            <w:vAlign w:val="center"/>
          </w:tcPr>
          <w:p>
            <w:pPr>
              <w:pStyle w:val="TableContents"/>
              <w:spacing w:before="0" w:after="283"/>
              <w:rPr>
                <w:sz w:val="4"/>
                <w:szCs w:val="4"/>
              </w:rPr>
            </w:pPr>
            <w:r>
              <w:rPr>
                <w:sz w:val="4"/>
                <w:szCs w:val="4"/>
              </w:rPr>
            </w:r>
          </w:p>
        </w:tc>
        <w:tc>
          <w:tcPr>
            <w:tcW w:w="3019" w:type="dxa"/>
            <w:gridSpan w:val="2"/>
            <w:tcBorders/>
            <w:shd w:fill="auto" w:val="clear"/>
            <w:vAlign w:val="center"/>
          </w:tcPr>
          <w:p>
            <w:pPr>
              <w:pStyle w:val="TableContents"/>
              <w:spacing w:before="0" w:after="283"/>
              <w:rPr>
                <w:sz w:val="4"/>
                <w:szCs w:val="4"/>
              </w:rPr>
            </w:pPr>
            <w:r>
              <w:rPr>
                <w:sz w:val="4"/>
                <w:szCs w:val="4"/>
              </w:rPr>
            </w:r>
          </w:p>
        </w:tc>
      </w:tr>
      <w:tr>
        <w:trPr/>
        <w:tc>
          <w:tcPr>
            <w:tcW w:w="1063" w:type="dxa"/>
            <w:tcBorders/>
            <w:shd w:fill="auto" w:val="clear"/>
            <w:vAlign w:val="bottom"/>
          </w:tcPr>
          <w:p>
            <w:pPr>
              <w:pStyle w:val="TableContents"/>
              <w:spacing w:before="0" w:after="283"/>
              <w:rPr/>
            </w:pPr>
            <w:r>
              <w:rPr/>
              <w:t>E-mail:</w:t>
            </w:r>
          </w:p>
        </w:tc>
        <w:tc>
          <w:tcPr>
            <w:tcW w:w="60" w:type="dxa"/>
            <w:tcBorders/>
            <w:shd w:fill="auto" w:val="clear"/>
            <w:vAlign w:val="bottom"/>
          </w:tcPr>
          <w:p>
            <w:pPr>
              <w:pStyle w:val="TableContents"/>
              <w:spacing w:before="0" w:after="283"/>
              <w:rPr/>
            </w:pPr>
            <w:r>
              <w:rPr/>
              <w:t> </w:t>
            </w:r>
          </w:p>
        </w:tc>
        <w:tc>
          <w:tcPr>
            <w:tcW w:w="2959" w:type="dxa"/>
            <w:tcBorders/>
            <w:shd w:fill="auto" w:val="clear"/>
            <w:vAlign w:val="bottom"/>
          </w:tcPr>
          <w:p>
            <w:pPr>
              <w:pStyle w:val="TableContents"/>
              <w:pBdr>
                <w:bottom w:val="single" w:sz="2" w:space="1" w:color="000000"/>
              </w:pBdr>
              <w:spacing w:before="0" w:after="20"/>
              <w:rPr/>
            </w:pPr>
            <w:r>
              <w:rPr/>
              <w:t> </w:t>
            </w:r>
          </w:p>
        </w:tc>
      </w:tr>
    </w:tbl>
    <w:p>
      <w:pPr>
        <w:pStyle w:val="TextBody"/>
        <w:spacing w:before="8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Stockholders Agreement</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on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2"/>
        <w:gridCol w:w="60"/>
        <w:gridCol w:w="3360"/>
      </w:tblGrid>
      <w:tr>
        <w:trPr/>
        <w:tc>
          <w:tcPr>
            <w:tcW w:w="6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6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SPONSOR</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VPC IMPACT ACQUISITION HOLDINGS SPONSOR, LLC</w:t>
            </w:r>
          </w:p>
        </w:tc>
      </w:tr>
      <w:tr>
        <w:trPr>
          <w:trHeight w:val="240" w:hRule="atLeast"/>
        </w:trPr>
        <w:tc>
          <w:tcPr>
            <w:tcW w:w="662" w:type="dxa"/>
            <w:tcBorders/>
            <w:shd w:fill="auto" w:val="clear"/>
            <w:vAlign w:val="center"/>
          </w:tcPr>
          <w:p>
            <w:pPr>
              <w:pStyle w:val="TableContents"/>
              <w:spacing w:before="0" w:after="283"/>
              <w:rPr>
                <w:sz w:val="4"/>
                <w:szCs w:val="4"/>
              </w:rPr>
            </w:pPr>
            <w:r>
              <w:rPr>
                <w:sz w:val="4"/>
                <w:szCs w:val="4"/>
              </w:rPr>
            </w:r>
          </w:p>
        </w:tc>
        <w:tc>
          <w:tcPr>
            <w:tcW w:w="3420" w:type="dxa"/>
            <w:gridSpan w:val="2"/>
            <w:tcBorders/>
            <w:shd w:fill="auto" w:val="clear"/>
            <w:vAlign w:val="center"/>
          </w:tcPr>
          <w:p>
            <w:pPr>
              <w:pStyle w:val="TableContents"/>
              <w:spacing w:before="0" w:after="283"/>
              <w:rPr>
                <w:sz w:val="4"/>
                <w:szCs w:val="4"/>
              </w:rPr>
            </w:pPr>
            <w:r>
              <w:rPr>
                <w:sz w:val="4"/>
                <w:szCs w:val="4"/>
              </w:rPr>
            </w:r>
          </w:p>
        </w:tc>
      </w:tr>
      <w:tr>
        <w:trPr/>
        <w:tc>
          <w:tcPr>
            <w:tcW w:w="66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Victory Park Management, LLC</w:t>
            </w:r>
          </w:p>
        </w:tc>
      </w:tr>
      <w:tr>
        <w:trPr/>
        <w:tc>
          <w:tcPr>
            <w:tcW w:w="662"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Manager</w:t>
            </w:r>
          </w:p>
        </w:tc>
      </w:tr>
      <w:tr>
        <w:trPr>
          <w:trHeight w:val="240" w:hRule="atLeast"/>
        </w:trPr>
        <w:tc>
          <w:tcPr>
            <w:tcW w:w="662" w:type="dxa"/>
            <w:tcBorders/>
            <w:shd w:fill="auto" w:val="clear"/>
            <w:vAlign w:val="center"/>
          </w:tcPr>
          <w:p>
            <w:pPr>
              <w:pStyle w:val="TableContents"/>
              <w:spacing w:before="0" w:after="283"/>
              <w:rPr>
                <w:sz w:val="4"/>
                <w:szCs w:val="4"/>
              </w:rPr>
            </w:pPr>
            <w:r>
              <w:rPr>
                <w:sz w:val="4"/>
                <w:szCs w:val="4"/>
              </w:rPr>
            </w:r>
          </w:p>
        </w:tc>
        <w:tc>
          <w:tcPr>
            <w:tcW w:w="3420" w:type="dxa"/>
            <w:gridSpan w:val="2"/>
            <w:tcBorders/>
            <w:shd w:fill="auto" w:val="clear"/>
            <w:vAlign w:val="center"/>
          </w:tcPr>
          <w:p>
            <w:pPr>
              <w:pStyle w:val="TableContents"/>
              <w:spacing w:before="0" w:after="283"/>
              <w:rPr>
                <w:sz w:val="4"/>
                <w:szCs w:val="4"/>
              </w:rPr>
            </w:pPr>
            <w:r>
              <w:rPr>
                <w:sz w:val="4"/>
                <w:szCs w:val="4"/>
              </w:rPr>
            </w:r>
          </w:p>
        </w:tc>
      </w:tr>
      <w:tr>
        <w:trPr/>
        <w:tc>
          <w:tcPr>
            <w:tcW w:w="66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pBdr>
                <w:bottom w:val="single" w:sz="2" w:space="1" w:color="000000"/>
              </w:pBdr>
              <w:spacing w:before="0" w:after="20"/>
              <w:rPr/>
            </w:pPr>
            <w:r>
              <w:rPr/>
              <w:t> </w:t>
            </w:r>
          </w:p>
        </w:tc>
      </w:tr>
      <w:tr>
        <w:trPr/>
        <w:tc>
          <w:tcPr>
            <w:tcW w:w="662"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Scott Zemnick</w:t>
            </w:r>
          </w:p>
        </w:tc>
      </w:tr>
      <w:tr>
        <w:trPr/>
        <w:tc>
          <w:tcPr>
            <w:tcW w:w="662"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60" w:type="dxa"/>
            <w:tcBorders/>
            <w:shd w:fill="auto" w:val="clear"/>
          </w:tcPr>
          <w:p>
            <w:pPr>
              <w:pStyle w:val="TableContents"/>
              <w:spacing w:before="0" w:after="283"/>
              <w:rPr/>
            </w:pPr>
            <w:r>
              <w:rPr/>
              <w:t>Authorized Signatory</w:t>
            </w:r>
          </w:p>
        </w:tc>
      </w:tr>
    </w:tbl>
    <w:p>
      <w:pPr>
        <w:pStyle w:val="TextBody"/>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Stockholders Agreement</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spacing w:before="240" w:after="0"/>
        <w:jc w:val="center"/>
        <w:rPr>
          <w:rFonts w:ascii="Times New Roman" w:hAnsi="Times New Roman"/>
          <w:b/>
          <w:sz w:val="20"/>
        </w:rPr>
      </w:pPr>
      <w:r>
        <w:rPr>
          <w:rFonts w:ascii="Times New Roman" w:hAnsi="Times New Roman"/>
          <w:b/>
          <w:sz w:val="20"/>
        </w:rPr>
        <w:t xml:space="preserve">BAKKT EQUITY HOLDERS </w:t>
      </w:r>
    </w:p>
    <w:p>
      <w:pPr>
        <w:pStyle w:val="TextBody"/>
        <w:spacing w:before="240" w:after="0"/>
        <w:jc w:val="left"/>
        <w:rPr>
          <w:rFonts w:ascii="Times New Roman" w:hAnsi="Times New Roman"/>
          <w:b/>
          <w:sz w:val="20"/>
        </w:rPr>
      </w:pPr>
      <w:r>
        <w:rPr>
          <w:rFonts w:ascii="Times New Roman" w:hAnsi="Times New Roman"/>
          <w:b/>
          <w:sz w:val="20"/>
        </w:rPr>
        <w:t xml:space="preserve">[TO BE INCLUDED]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FORM OF JOINDER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JOINDER </w:t>
      </w:r>
    </w:p>
    <w:p>
      <w:pPr>
        <w:pStyle w:val="TextBody"/>
        <w:spacing w:before="240" w:after="0"/>
        <w:jc w:val="left"/>
        <w:rPr>
          <w:rFonts w:ascii="Times New Roman" w:hAnsi="Times New Roman"/>
          <w:sz w:val="20"/>
        </w:rPr>
      </w:pPr>
      <w:r>
        <w:rPr>
          <w:rFonts w:ascii="Times New Roman" w:hAnsi="Times New Roman"/>
          <w:sz w:val="20"/>
        </w:rPr>
        <w:t>This Joinder (this </w:t>
      </w:r>
      <w:r>
        <w:rPr>
          <w:rFonts w:ascii="Times New Roman" w:hAnsi="Times New Roman"/>
          <w:sz w:val="20"/>
          <w:u w:val="single"/>
        </w:rPr>
        <w:t>Joinder</w:t>
      </w:r>
      <w:r>
        <w:rPr>
          <w:rFonts w:ascii="Times New Roman" w:hAnsi="Times New Roman"/>
          <w:sz w:val="20"/>
        </w:rPr>
        <w:t xml:space="preserve">) to the Stockholders Agreement is made and entered into as of </w:t>
      </w:r>
      <w:r>
        <w:rPr>
          <w:rFonts w:ascii="Times New Roman" w:hAnsi="Times New Roman"/>
          <w:sz w:val="20"/>
          <w:u w:val="single"/>
        </w:rPr>
        <w:t>                                </w:t>
      </w:r>
      <w:r>
        <w:rPr>
          <w:rFonts w:ascii="Times New Roman" w:hAnsi="Times New Roman"/>
          <w:sz w:val="20"/>
        </w:rPr>
        <w:t xml:space="preserve">, is between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Transferor</w:t>
      </w:r>
      <w:r>
        <w:rPr>
          <w:rFonts w:ascii="Times New Roman" w:hAnsi="Times New Roman"/>
          <w:sz w:val="20"/>
        </w:rPr>
        <w:t xml:space="preserve">) and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Transferee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as of the date hereof, Transferee is acquiring</w:t>
      </w:r>
      <w:r>
        <w:rPr>
          <w:rFonts w:ascii="Times New Roman" w:hAnsi="Times New Roman"/>
          <w:sz w:val="20"/>
          <w:u w:val="single"/>
        </w:rPr>
        <w:t>                        </w:t>
      </w:r>
      <w:r>
        <w:rPr>
          <w:rFonts w:ascii="Times New Roman" w:hAnsi="Times New Roman"/>
          <w:sz w:val="20"/>
        </w:rPr>
        <w:t xml:space="preserve"> </w:t>
      </w:r>
      <w:r>
        <w:rPr>
          <w:rFonts w:ascii="Times New Roman" w:hAnsi="Times New Roman"/>
          <w:b/>
          <w:sz w:val="20"/>
        </w:rPr>
        <w:t>[shares of Class</w:t>
      </w:r>
      <w:r>
        <w:rPr>
          <w:rFonts w:ascii="Times New Roman" w:hAnsi="Times New Roman"/>
          <w:sz w:val="20"/>
        </w:rPr>
        <w:t> </w:t>
      </w:r>
      <w:r>
        <w:rPr>
          <w:rFonts w:ascii="Times New Roman" w:hAnsi="Times New Roman"/>
          <w:b/>
          <w:sz w:val="20"/>
        </w:rPr>
        <w:t>A Common Stock/shares of Class</w:t>
      </w:r>
      <w:r>
        <w:rPr>
          <w:rFonts w:ascii="Times New Roman" w:hAnsi="Times New Roman"/>
          <w:sz w:val="20"/>
        </w:rPr>
        <w:t> </w:t>
      </w:r>
      <w:r>
        <w:rPr>
          <w:rFonts w:ascii="Times New Roman" w:hAnsi="Times New Roman"/>
          <w:b/>
          <w:sz w:val="20"/>
        </w:rPr>
        <w:t>V Common Stock/Bakkt Opco Common Units]</w:t>
      </w:r>
      <w:r>
        <w:rPr>
          <w:rFonts w:ascii="Times New Roman" w:hAnsi="Times New Roman"/>
          <w:sz w:val="20"/>
        </w:rPr>
        <w:t xml:space="preserve"> (the </w:t>
      </w:r>
      <w:r>
        <w:rPr>
          <w:rFonts w:ascii="Times New Roman" w:hAnsi="Times New Roman"/>
          <w:sz w:val="20"/>
          <w:u w:val="single"/>
        </w:rPr>
        <w:t>Acquired Interests</w:t>
      </w:r>
      <w:r>
        <w:rPr>
          <w:rFonts w:ascii="Times New Roman" w:hAnsi="Times New Roman"/>
          <w:sz w:val="20"/>
        </w:rPr>
        <w:t xml:space="preserve">) from Transferor; </w:t>
      </w:r>
    </w:p>
    <w:p>
      <w:pPr>
        <w:pStyle w:val="TextBody"/>
        <w:spacing w:before="240" w:after="0"/>
        <w:jc w:val="left"/>
        <w:rPr>
          <w:rFonts w:ascii="Times New Roman" w:hAnsi="Times New Roman"/>
          <w:sz w:val="20"/>
        </w:rPr>
      </w:pPr>
      <w:r>
        <w:rPr>
          <w:rFonts w:ascii="Times New Roman" w:hAnsi="Times New Roman"/>
          <w:sz w:val="20"/>
        </w:rPr>
        <w:t>WHEREAS, Transferor is a party to that certain Stockholders Agreement, dated as of [], among Bakkt Holdings, Inc. and the other persons party thereto (the </w:t>
      </w:r>
      <w:r>
        <w:rPr>
          <w:rFonts w:ascii="Times New Roman" w:hAnsi="Times New Roman"/>
          <w:sz w:val="20"/>
          <w:u w:val="single"/>
        </w:rPr>
        <w:t>Stockholders Agreement</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covenants and agreements set forth herein, and intending to be legally bound hereby, the parties hereto agree as follows: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To the extent capitalized words used in this Joinder are not defined in this Joinder, such words shall have the respective meanings set forth in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Acquisition</w:t>
      </w:r>
      <w:r>
        <w:rPr>
          <w:rFonts w:ascii="Times New Roman" w:hAnsi="Times New Roman"/>
          <w:sz w:val="20"/>
        </w:rPr>
        <w:t xml:space="preserve">. The Transferor hereby Transfers to the Transferee all of the Acquired Interests.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Joinder</w:t>
      </w:r>
      <w:r>
        <w:rPr>
          <w:rFonts w:ascii="Times New Roman" w:hAnsi="Times New Roman"/>
          <w:sz w:val="20"/>
        </w:rPr>
        <w:t xml:space="preserve">. Transferee hereby acknowledges and agrees that (a) such Transferee has received and read the Stockholders Agreement, (b) such Transferee is acquiring the Acquired Interests in accordance with and subject to the terms and conditions of the Stockholders Agreement and (c) such Transferee will be treated as a party to the Stockholders Agreement (with the same rights and obligations as the Transferor) for all purposes of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w:t>
      </w:r>
      <w:r>
        <w:rPr>
          <w:rFonts w:ascii="Times New Roman" w:hAnsi="Times New Roman"/>
          <w:sz w:val="20"/>
        </w:rPr>
        <w:t xml:space="preserve">. Any notice, demand or other communication under the Stockholders Agreement to Transferee shall be given to Transferee at the address set forth on the signature page hereto in accordance with </w:t>
      </w:r>
      <w:r>
        <w:rPr>
          <w:rFonts w:ascii="Times New Roman" w:hAnsi="Times New Roman"/>
          <w:sz w:val="20"/>
          <w:u w:val="single"/>
        </w:rPr>
        <w:t>Section 4.02</w:t>
      </w:r>
      <w:r>
        <w:rPr>
          <w:rFonts w:ascii="Times New Roman" w:hAnsi="Times New Roman"/>
          <w:sz w:val="20"/>
        </w:rPr>
        <w:t xml:space="preserve"> of the Stockholders Agreement. </w:t>
      </w:r>
    </w:p>
    <w:p>
      <w:pPr>
        <w:pStyle w:val="TextBody"/>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Joinder shall be governed by and construed in accordance with the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Counterparts; Electronic Delivery</w:t>
      </w:r>
      <w:r>
        <w:rPr>
          <w:rFonts w:ascii="Times New Roman" w:hAnsi="Times New Roman"/>
          <w:sz w:val="20"/>
        </w:rPr>
        <w:t xml:space="preserve">.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this Joinder has been duly executed and delivered by the parties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499"/>
        <w:gridCol w:w="145"/>
        <w:gridCol w:w="2438"/>
      </w:tblGrid>
      <w:tr>
        <w:trPr/>
        <w:tc>
          <w:tcPr>
            <w:tcW w:w="14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u w:val="single"/>
              </w:rPr>
              <w:t>TRANSFEROR</w:t>
            </w:r>
            <w:r>
              <w:rPr/>
              <w:t>:</w:t>
            </w:r>
          </w:p>
        </w:tc>
      </w:tr>
      <w:tr>
        <w:trPr>
          <w:trHeight w:val="240" w:hRule="atLeast"/>
        </w:trPr>
        <w:tc>
          <w:tcPr>
            <w:tcW w:w="1499" w:type="dxa"/>
            <w:tcBorders/>
            <w:shd w:fill="auto" w:val="clear"/>
            <w:vAlign w:val="center"/>
          </w:tcPr>
          <w:p>
            <w:pPr>
              <w:pStyle w:val="TableContents"/>
              <w:spacing w:before="0" w:after="283"/>
              <w:rPr>
                <w:sz w:val="4"/>
                <w:szCs w:val="4"/>
              </w:rPr>
            </w:pPr>
            <w:r>
              <w:rPr>
                <w:sz w:val="4"/>
                <w:szCs w:val="4"/>
              </w:rPr>
            </w:r>
          </w:p>
        </w:tc>
        <w:tc>
          <w:tcPr>
            <w:tcW w:w="2583" w:type="dxa"/>
            <w:gridSpan w:val="2"/>
            <w:tcBorders/>
            <w:shd w:fill="auto" w:val="clear"/>
            <w:vAlign w:val="center"/>
          </w:tcPr>
          <w:p>
            <w:pPr>
              <w:pStyle w:val="TableContents"/>
              <w:spacing w:before="0" w:after="283"/>
              <w:rPr>
                <w:sz w:val="4"/>
                <w:szCs w:val="4"/>
              </w:rPr>
            </w:pPr>
            <w:r>
              <w:rPr>
                <w:sz w:val="4"/>
                <w:szCs w:val="4"/>
              </w:rPr>
            </w:r>
          </w:p>
        </w:tc>
      </w:tr>
      <w:tr>
        <w:trPr/>
        <w:tc>
          <w:tcPr>
            <w:tcW w:w="1499" w:type="dxa"/>
            <w:tcBorders/>
            <w:shd w:fill="auto" w:val="clear"/>
          </w:tcPr>
          <w:p>
            <w:pPr>
              <w:pStyle w:val="TableContents"/>
              <w:spacing w:before="0" w:after="283"/>
              <w:rPr/>
            </w:pPr>
            <w:r>
              <w:rPr/>
              <w:t>Print Name:</w:t>
            </w:r>
          </w:p>
        </w:tc>
        <w:tc>
          <w:tcPr>
            <w:tcW w:w="145" w:type="dxa"/>
            <w:tcBorders/>
            <w:shd w:fill="auto" w:val="clear"/>
            <w:vAlign w:val="bottom"/>
          </w:tcPr>
          <w:p>
            <w:pPr>
              <w:pStyle w:val="TableContents"/>
              <w:spacing w:before="0" w:after="283"/>
              <w:rPr/>
            </w:pPr>
            <w:r>
              <w:rPr/>
              <w:t> </w:t>
            </w:r>
          </w:p>
        </w:tc>
        <w:tc>
          <w:tcPr>
            <w:tcW w:w="2438" w:type="dxa"/>
            <w:tcBorders/>
            <w:shd w:fill="auto" w:val="clear"/>
          </w:tcPr>
          <w:p>
            <w:pPr>
              <w:pStyle w:val="TableContents"/>
              <w:pBdr>
                <w:bottom w:val="single" w:sz="2" w:space="1" w:color="000000"/>
              </w:pBdr>
              <w:spacing w:before="0" w:after="20"/>
              <w:rPr/>
            </w:pPr>
            <w:r>
              <w:rPr/>
              <w:t> </w:t>
            </w:r>
          </w:p>
        </w:tc>
      </w:tr>
      <w:tr>
        <w:trPr>
          <w:trHeight w:val="240" w:hRule="atLeast"/>
        </w:trPr>
        <w:tc>
          <w:tcPr>
            <w:tcW w:w="1499" w:type="dxa"/>
            <w:tcBorders/>
            <w:shd w:fill="auto" w:val="clear"/>
            <w:vAlign w:val="center"/>
          </w:tcPr>
          <w:p>
            <w:pPr>
              <w:pStyle w:val="TableContents"/>
              <w:spacing w:before="0" w:after="283"/>
              <w:rPr>
                <w:sz w:val="4"/>
                <w:szCs w:val="4"/>
              </w:rPr>
            </w:pPr>
            <w:r>
              <w:rPr>
                <w:sz w:val="4"/>
                <w:szCs w:val="4"/>
              </w:rPr>
            </w:r>
          </w:p>
        </w:tc>
        <w:tc>
          <w:tcPr>
            <w:tcW w:w="2583" w:type="dxa"/>
            <w:gridSpan w:val="2"/>
            <w:tcBorders/>
            <w:shd w:fill="auto" w:val="clear"/>
            <w:vAlign w:val="center"/>
          </w:tcPr>
          <w:p>
            <w:pPr>
              <w:pStyle w:val="TableContents"/>
              <w:spacing w:before="0" w:after="283"/>
              <w:rPr>
                <w:sz w:val="4"/>
                <w:szCs w:val="4"/>
              </w:rPr>
            </w:pPr>
            <w:r>
              <w:rPr>
                <w:sz w:val="4"/>
                <w:szCs w:val="4"/>
              </w:rPr>
            </w:r>
          </w:p>
        </w:tc>
      </w:tr>
      <w:tr>
        <w:trPr/>
        <w:tc>
          <w:tcPr>
            <w:tcW w:w="1499" w:type="dxa"/>
            <w:tcBorders/>
            <w:shd w:fill="auto" w:val="clear"/>
          </w:tcPr>
          <w:p>
            <w:pPr>
              <w:pStyle w:val="TableContents"/>
              <w:spacing w:before="0" w:after="283"/>
              <w:rPr/>
            </w:pPr>
            <w:r>
              <w:rPr/>
              <w:t>By:</w:t>
            </w:r>
          </w:p>
        </w:tc>
        <w:tc>
          <w:tcPr>
            <w:tcW w:w="145" w:type="dxa"/>
            <w:tcBorders/>
            <w:shd w:fill="auto" w:val="clear"/>
            <w:vAlign w:val="bottom"/>
          </w:tcPr>
          <w:p>
            <w:pPr>
              <w:pStyle w:val="TableContents"/>
              <w:spacing w:before="0" w:after="283"/>
              <w:rPr/>
            </w:pPr>
            <w:r>
              <w:rPr/>
              <w:t> </w:t>
            </w:r>
          </w:p>
        </w:tc>
        <w:tc>
          <w:tcPr>
            <w:tcW w:w="2438" w:type="dxa"/>
            <w:tcBorders/>
            <w:shd w:fill="auto" w:val="clear"/>
          </w:tcPr>
          <w:p>
            <w:pPr>
              <w:pStyle w:val="TableContents"/>
              <w:pBdr>
                <w:bottom w:val="single" w:sz="2" w:space="1" w:color="000000"/>
              </w:pBdr>
              <w:spacing w:before="0" w:after="20"/>
              <w:rPr/>
            </w:pPr>
            <w:r>
              <w:rPr/>
              <w:t> </w:t>
            </w:r>
          </w:p>
        </w:tc>
      </w:tr>
      <w:tr>
        <w:trPr>
          <w:trHeight w:val="240" w:hRule="atLeast"/>
        </w:trPr>
        <w:tc>
          <w:tcPr>
            <w:tcW w:w="1499" w:type="dxa"/>
            <w:tcBorders/>
            <w:shd w:fill="auto" w:val="clear"/>
            <w:vAlign w:val="center"/>
          </w:tcPr>
          <w:p>
            <w:pPr>
              <w:pStyle w:val="TableContents"/>
              <w:spacing w:before="0" w:after="283"/>
              <w:rPr>
                <w:sz w:val="4"/>
                <w:szCs w:val="4"/>
              </w:rPr>
            </w:pPr>
            <w:r>
              <w:rPr>
                <w:sz w:val="4"/>
                <w:szCs w:val="4"/>
              </w:rPr>
            </w:r>
          </w:p>
        </w:tc>
        <w:tc>
          <w:tcPr>
            <w:tcW w:w="2583" w:type="dxa"/>
            <w:gridSpan w:val="2"/>
            <w:tcBorders/>
            <w:shd w:fill="auto" w:val="clear"/>
            <w:vAlign w:val="center"/>
          </w:tcPr>
          <w:p>
            <w:pPr>
              <w:pStyle w:val="TableContents"/>
              <w:spacing w:before="0" w:after="283"/>
              <w:rPr>
                <w:sz w:val="4"/>
                <w:szCs w:val="4"/>
              </w:rPr>
            </w:pPr>
            <w:r>
              <w:rPr>
                <w:sz w:val="4"/>
                <w:szCs w:val="4"/>
              </w:rPr>
            </w:r>
          </w:p>
        </w:tc>
      </w:tr>
      <w:tr>
        <w:trPr/>
        <w:tc>
          <w:tcPr>
            <w:tcW w:w="1499" w:type="dxa"/>
            <w:tcBorders/>
            <w:shd w:fill="auto" w:val="clear"/>
          </w:tcPr>
          <w:p>
            <w:pPr>
              <w:pStyle w:val="TableContents"/>
              <w:spacing w:before="0" w:after="283"/>
              <w:rPr/>
            </w:pPr>
            <w:r>
              <w:rPr/>
              <w:t>Name:</w:t>
            </w:r>
          </w:p>
        </w:tc>
        <w:tc>
          <w:tcPr>
            <w:tcW w:w="145" w:type="dxa"/>
            <w:tcBorders/>
            <w:shd w:fill="auto" w:val="clear"/>
            <w:vAlign w:val="bottom"/>
          </w:tcPr>
          <w:p>
            <w:pPr>
              <w:pStyle w:val="TableContents"/>
              <w:spacing w:before="0" w:after="283"/>
              <w:rPr/>
            </w:pPr>
            <w:r>
              <w:rPr/>
              <w:t> </w:t>
            </w:r>
          </w:p>
        </w:tc>
        <w:tc>
          <w:tcPr>
            <w:tcW w:w="2438" w:type="dxa"/>
            <w:tcBorders/>
            <w:shd w:fill="auto" w:val="clear"/>
          </w:tcPr>
          <w:p>
            <w:pPr>
              <w:pStyle w:val="TableContents"/>
              <w:pBdr>
                <w:bottom w:val="single" w:sz="2" w:space="1" w:color="000000"/>
              </w:pBdr>
              <w:spacing w:before="0" w:after="20"/>
              <w:rPr/>
            </w:pPr>
            <w:r>
              <w:rPr/>
              <w:t> </w:t>
            </w:r>
          </w:p>
        </w:tc>
      </w:tr>
      <w:tr>
        <w:trPr>
          <w:trHeight w:val="240" w:hRule="atLeast"/>
        </w:trPr>
        <w:tc>
          <w:tcPr>
            <w:tcW w:w="1499" w:type="dxa"/>
            <w:tcBorders/>
            <w:shd w:fill="auto" w:val="clear"/>
            <w:vAlign w:val="center"/>
          </w:tcPr>
          <w:p>
            <w:pPr>
              <w:pStyle w:val="TableContents"/>
              <w:spacing w:before="0" w:after="283"/>
              <w:rPr>
                <w:sz w:val="4"/>
                <w:szCs w:val="4"/>
              </w:rPr>
            </w:pPr>
            <w:r>
              <w:rPr>
                <w:sz w:val="4"/>
                <w:szCs w:val="4"/>
              </w:rPr>
            </w:r>
          </w:p>
        </w:tc>
        <w:tc>
          <w:tcPr>
            <w:tcW w:w="2583" w:type="dxa"/>
            <w:gridSpan w:val="2"/>
            <w:tcBorders/>
            <w:shd w:fill="auto" w:val="clear"/>
            <w:vAlign w:val="center"/>
          </w:tcPr>
          <w:p>
            <w:pPr>
              <w:pStyle w:val="TableContents"/>
              <w:spacing w:before="0" w:after="283"/>
              <w:rPr>
                <w:sz w:val="4"/>
                <w:szCs w:val="4"/>
              </w:rPr>
            </w:pPr>
            <w:r>
              <w:rPr>
                <w:sz w:val="4"/>
                <w:szCs w:val="4"/>
              </w:rPr>
            </w:r>
          </w:p>
        </w:tc>
      </w:tr>
      <w:tr>
        <w:trPr/>
        <w:tc>
          <w:tcPr>
            <w:tcW w:w="1499" w:type="dxa"/>
            <w:tcBorders/>
            <w:shd w:fill="auto" w:val="clear"/>
          </w:tcPr>
          <w:p>
            <w:pPr>
              <w:pStyle w:val="TableContents"/>
              <w:spacing w:before="0" w:after="283"/>
              <w:rPr/>
            </w:pPr>
            <w:r>
              <w:rPr/>
              <w:t>Title:</w:t>
            </w:r>
          </w:p>
        </w:tc>
        <w:tc>
          <w:tcPr>
            <w:tcW w:w="145" w:type="dxa"/>
            <w:tcBorders/>
            <w:shd w:fill="auto" w:val="clear"/>
            <w:vAlign w:val="bottom"/>
          </w:tcPr>
          <w:p>
            <w:pPr>
              <w:pStyle w:val="TableContents"/>
              <w:spacing w:before="0" w:after="283"/>
              <w:rPr/>
            </w:pPr>
            <w:r>
              <w:rPr/>
              <w:t> </w:t>
            </w:r>
          </w:p>
        </w:tc>
        <w:tc>
          <w:tcPr>
            <w:tcW w:w="2438" w:type="dxa"/>
            <w:tcBorders/>
            <w:shd w:fill="auto" w:val="clear"/>
          </w:tcPr>
          <w:p>
            <w:pPr>
              <w:pStyle w:val="TableContents"/>
              <w:pBdr>
                <w:bottom w:val="single" w:sz="2" w:space="1" w:color="000000"/>
              </w:pBdr>
              <w:spacing w:before="0" w:after="20"/>
              <w:rPr/>
            </w:pPr>
            <w:r>
              <w:rPr/>
              <w:t> </w:t>
            </w:r>
          </w:p>
        </w:tc>
      </w:tr>
    </w:tbl>
    <w:p>
      <w:pPr>
        <w:pStyle w:val="TextBody"/>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Joinder</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this Joinder has been duly executed and delivered by the parties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603"/>
        <w:gridCol w:w="97"/>
        <w:gridCol w:w="2382"/>
      </w:tblGrid>
      <w:tr>
        <w:trPr/>
        <w:tc>
          <w:tcPr>
            <w:tcW w:w="1603"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TRANSFEREE</w:t>
            </w:r>
            <w:r>
              <w:rPr>
                <w:b/>
              </w:rPr>
              <w:t>:</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Print Name:</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By:</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Name:</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Title:</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u w:val="single"/>
              </w:rPr>
              <w:t>Address for Notices</w:t>
            </w:r>
            <w:r>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Attention:</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Facsimile:</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r>
        <w:trPr>
          <w:trHeight w:val="240" w:hRule="atLeast"/>
        </w:trPr>
        <w:tc>
          <w:tcPr>
            <w:tcW w:w="1603" w:type="dxa"/>
            <w:tcBorders/>
            <w:shd w:fill="auto" w:val="clear"/>
            <w:vAlign w:val="center"/>
          </w:tcPr>
          <w:p>
            <w:pPr>
              <w:pStyle w:val="TableContents"/>
              <w:spacing w:before="0" w:after="283"/>
              <w:rPr>
                <w:sz w:val="4"/>
                <w:szCs w:val="4"/>
              </w:rPr>
            </w:pPr>
            <w:r>
              <w:rPr>
                <w:sz w:val="4"/>
                <w:szCs w:val="4"/>
              </w:rPr>
            </w:r>
          </w:p>
        </w:tc>
        <w:tc>
          <w:tcPr>
            <w:tcW w:w="2479" w:type="dxa"/>
            <w:gridSpan w:val="2"/>
            <w:tcBorders/>
            <w:shd w:fill="auto" w:val="clear"/>
            <w:vAlign w:val="center"/>
          </w:tcPr>
          <w:p>
            <w:pPr>
              <w:pStyle w:val="TableContents"/>
              <w:spacing w:before="0" w:after="283"/>
              <w:rPr>
                <w:sz w:val="4"/>
                <w:szCs w:val="4"/>
              </w:rPr>
            </w:pPr>
            <w:r>
              <w:rPr>
                <w:sz w:val="4"/>
                <w:szCs w:val="4"/>
              </w:rPr>
            </w:r>
          </w:p>
        </w:tc>
      </w:tr>
      <w:tr>
        <w:trPr/>
        <w:tc>
          <w:tcPr>
            <w:tcW w:w="1603" w:type="dxa"/>
            <w:tcBorders/>
            <w:shd w:fill="auto" w:val="clear"/>
          </w:tcPr>
          <w:p>
            <w:pPr>
              <w:pStyle w:val="TableContents"/>
              <w:spacing w:before="0" w:after="283"/>
              <w:rPr/>
            </w:pPr>
            <w:r>
              <w:rPr/>
              <w:t>E-mail:</w:t>
            </w:r>
          </w:p>
        </w:tc>
        <w:tc>
          <w:tcPr>
            <w:tcW w:w="97" w:type="dxa"/>
            <w:tcBorders/>
            <w:shd w:fill="auto" w:val="clear"/>
            <w:vAlign w:val="bottom"/>
          </w:tcPr>
          <w:p>
            <w:pPr>
              <w:pStyle w:val="TableContents"/>
              <w:spacing w:before="0" w:after="283"/>
              <w:rPr/>
            </w:pPr>
            <w:r>
              <w:rPr/>
              <w:t> </w:t>
            </w:r>
          </w:p>
        </w:tc>
        <w:tc>
          <w:tcPr>
            <w:tcW w:w="2382" w:type="dxa"/>
            <w:tcBorders/>
            <w:shd w:fill="auto" w:val="clear"/>
          </w:tcPr>
          <w:p>
            <w:pPr>
              <w:pStyle w:val="TableContents"/>
              <w:pBdr>
                <w:bottom w:val="single" w:sz="2" w:space="1" w:color="000000"/>
              </w:pBdr>
              <w:spacing w:before="0" w:after="20"/>
              <w:rPr/>
            </w:pPr>
            <w:r>
              <w:rPr/>
              <w:t> </w:t>
            </w:r>
          </w:p>
        </w:tc>
      </w:tr>
    </w:tbl>
    <w:p>
      <w:pPr>
        <w:pStyle w:val="TextBody"/>
        <w:spacing w:before="6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Joinder</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49" w:name="toc108105_50"/>
      <w:bookmarkStart w:id="150" w:name="angcov"/>
      <w:bookmarkEnd w:id="149"/>
      <w:bookmarkEnd w:id="150"/>
      <w:r>
        <w:rPr>
          <w:rFonts w:ascii="Times New Roman" w:hAnsi="Times New Roman"/>
          <w:b/>
          <w:sz w:val="20"/>
        </w:rPr>
        <w:t xml:space="preserve">Annex G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TAX RECEIVABLE AGREEMENT </w:t>
      </w:r>
    </w:p>
    <w:p>
      <w:pPr>
        <w:pStyle w:val="TextBody"/>
        <w:spacing w:before="240" w:after="0"/>
        <w:jc w:val="center"/>
        <w:rPr>
          <w:rFonts w:ascii="Times New Roman" w:hAnsi="Times New Roman"/>
          <w:sz w:val="20"/>
        </w:rPr>
      </w:pPr>
      <w:r>
        <w:rPr>
          <w:rFonts w:ascii="Times New Roman" w:hAnsi="Times New Roman"/>
          <w:sz w:val="20"/>
        </w:rPr>
        <w:t xml:space="preserve">TAX RECEIVABLE AGREEMENT </w:t>
      </w:r>
    </w:p>
    <w:p>
      <w:pPr>
        <w:pStyle w:val="TextBody"/>
        <w:spacing w:before="240" w:after="0"/>
        <w:jc w:val="center"/>
        <w:rPr>
          <w:rFonts w:ascii="Times New Roman" w:hAnsi="Times New Roman"/>
          <w:sz w:val="20"/>
        </w:rPr>
      </w:pPr>
      <w:r>
        <w:rPr>
          <w:rFonts w:ascii="Times New Roman" w:hAnsi="Times New Roman"/>
          <w:sz w:val="20"/>
        </w:rPr>
        <w:t xml:space="preserve">among </w:t>
      </w:r>
    </w:p>
    <w:p>
      <w:pPr>
        <w:pStyle w:val="TextBody"/>
        <w:spacing w:before="240" w:after="0"/>
        <w:jc w:val="center"/>
        <w:rPr>
          <w:rFonts w:ascii="Times New Roman" w:hAnsi="Times New Roman"/>
          <w:sz w:val="22"/>
        </w:rPr>
      </w:pPr>
      <w:r>
        <w:rPr>
          <w:rFonts w:ascii="Times New Roman" w:hAnsi="Times New Roman"/>
          <w:sz w:val="22"/>
        </w:rPr>
        <w:t xml:space="preserve">BAKKT HOLDINGS, INC. </w:t>
      </w:r>
    </w:p>
    <w:p>
      <w:pPr>
        <w:pStyle w:val="TextBody"/>
        <w:spacing w:before="240" w:after="0"/>
        <w:jc w:val="center"/>
        <w:rPr>
          <w:rFonts w:ascii="Times New Roman" w:hAnsi="Times New Roman"/>
          <w:sz w:val="20"/>
        </w:rPr>
      </w:pPr>
      <w:r>
        <w:rPr>
          <w:rFonts w:ascii="Times New Roman" w:hAnsi="Times New Roman"/>
          <w:sz w:val="20"/>
        </w:rPr>
        <w:t xml:space="preserve">and </w:t>
      </w:r>
    </w:p>
    <w:p>
      <w:pPr>
        <w:pStyle w:val="TextBody"/>
        <w:spacing w:before="240" w:after="0"/>
        <w:jc w:val="center"/>
        <w:rPr>
          <w:rFonts w:ascii="Times New Roman" w:hAnsi="Times New Roman"/>
          <w:sz w:val="20"/>
        </w:rPr>
      </w:pPr>
      <w:r>
        <w:rPr>
          <w:rFonts w:ascii="Times New Roman" w:hAnsi="Times New Roman"/>
          <w:sz w:val="20"/>
        </w:rPr>
        <w:t xml:space="preserve">THE PERSONS NAMED HEREIN </w:t>
      </w:r>
    </w:p>
    <w:p>
      <w:pPr>
        <w:pStyle w:val="TextBody"/>
        <w:spacing w:before="240" w:after="0"/>
        <w:jc w:val="center"/>
        <w:rPr>
          <w:rFonts w:ascii="Times New Roman" w:hAnsi="Times New Roman"/>
          <w:sz w:val="20"/>
        </w:rPr>
      </w:pPr>
      <w:r>
        <w:rPr>
          <w:rFonts w:ascii="Times New Roman" w:hAnsi="Times New Roman"/>
          <w:sz w:val="20"/>
        </w:rPr>
        <w:t xml:space="preserve">Dated as of []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u w:val="single"/>
        </w:rPr>
        <w:t>TABLE OF CONTENTS</w:t>
      </w:r>
      <w:r>
        <w:rPr>
          <w:rFonts w:ascii="Times New Roman" w:hAnsi="Times New Roman"/>
          <w:b/>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62"/>
        <w:gridCol w:w="108"/>
        <w:gridCol w:w="7703"/>
        <w:gridCol w:w="123"/>
        <w:gridCol w:w="60"/>
        <w:gridCol w:w="486"/>
        <w:gridCol w:w="63"/>
      </w:tblGrid>
      <w:tr>
        <w:trPr/>
        <w:tc>
          <w:tcPr>
            <w:tcW w:w="166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770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546" w:type="dxa"/>
            <w:gridSpan w:val="2"/>
            <w:tcBorders/>
            <w:shd w:fill="auto" w:val="cle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 DEFINITIONS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1.1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Definitions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w:t>
            </w:r>
          </w:p>
        </w:tc>
        <w:tc>
          <w:tcPr>
            <w:tcW w:w="63" w:type="dxa"/>
            <w:tcBorders/>
            <w:shd w:fill="auto" w:val="clear"/>
            <w:vAlign w:val="bottom"/>
          </w:tcPr>
          <w:p>
            <w:pPr>
              <w:pStyle w:val="TableContents"/>
              <w:spacing w:before="0" w:after="283"/>
              <w:rPr/>
            </w:pPr>
            <w:r>
              <w:rPr/>
              <w:t> </w:t>
            </w:r>
          </w:p>
        </w:tc>
      </w:tr>
      <w:tr>
        <w:trPr>
          <w:trHeight w:val="120" w:hRule="atLeast"/>
        </w:trPr>
        <w:tc>
          <w:tcPr>
            <w:tcW w:w="9473" w:type="dxa"/>
            <w:gridSpan w:val="3"/>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 DETERMINATION OF CERTAIN REALIZED TAX BENEFIT</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G-8</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2.1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Basis Adjustment</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G-8</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2.2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Tax Benefit Schedule</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G-8</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2.3</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Procedures, Amendments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G-8</w:t>
            </w:r>
          </w:p>
        </w:tc>
        <w:tc>
          <w:tcPr>
            <w:tcW w:w="63" w:type="dxa"/>
            <w:tcBorders/>
            <w:shd w:fill="auto" w:val="clear"/>
            <w:vAlign w:val="bottom"/>
          </w:tcPr>
          <w:p>
            <w:pPr>
              <w:pStyle w:val="TableContents"/>
              <w:spacing w:before="0" w:after="283"/>
              <w:rPr/>
            </w:pPr>
            <w:r>
              <w:rPr/>
              <w:t> </w:t>
            </w:r>
          </w:p>
        </w:tc>
      </w:tr>
      <w:tr>
        <w:trPr>
          <w:trHeight w:val="120" w:hRule="atLeast"/>
        </w:trPr>
        <w:tc>
          <w:tcPr>
            <w:tcW w:w="9473" w:type="dxa"/>
            <w:gridSpan w:val="3"/>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III TAX BENEFIT PAYMENTS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G-9</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3.1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Payments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G-9</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3.2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No Duplicative Payments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G-10</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3.3</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i/>
              </w:rPr>
              <w:t>Pro Rata</w:t>
            </w:r>
            <w:r>
              <w:rPr/>
              <w:t xml:space="preserve"> Payments; Coordination of Benefits With Other Tax Receivable Agreements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G-10</w:t>
            </w:r>
          </w:p>
        </w:tc>
        <w:tc>
          <w:tcPr>
            <w:tcW w:w="63" w:type="dxa"/>
            <w:tcBorders/>
            <w:shd w:fill="auto" w:val="clear"/>
            <w:vAlign w:val="bottom"/>
          </w:tcPr>
          <w:p>
            <w:pPr>
              <w:pStyle w:val="TableContents"/>
              <w:spacing w:before="0" w:after="283"/>
              <w:rPr/>
            </w:pPr>
            <w:r>
              <w:rPr/>
              <w:t> </w:t>
            </w:r>
          </w:p>
        </w:tc>
      </w:tr>
      <w:tr>
        <w:trPr>
          <w:trHeight w:val="120" w:hRule="atLeast"/>
        </w:trPr>
        <w:tc>
          <w:tcPr>
            <w:tcW w:w="9473" w:type="dxa"/>
            <w:gridSpan w:val="3"/>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IV TERMINATION</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G-10</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4.1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Early Termination and Acceleration Event</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G-10</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4.2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Early Termination Notice</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G-12</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4.3</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Payment upon Early Termination</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G-12</w:t>
            </w:r>
          </w:p>
        </w:tc>
        <w:tc>
          <w:tcPr>
            <w:tcW w:w="63" w:type="dxa"/>
            <w:tcBorders/>
            <w:shd w:fill="auto" w:val="clear"/>
            <w:vAlign w:val="bottom"/>
          </w:tcPr>
          <w:p>
            <w:pPr>
              <w:pStyle w:val="TableContents"/>
              <w:spacing w:before="0" w:after="283"/>
              <w:rPr/>
            </w:pPr>
            <w:r>
              <w:rPr/>
              <w:t> </w:t>
            </w:r>
          </w:p>
        </w:tc>
      </w:tr>
      <w:tr>
        <w:trPr>
          <w:trHeight w:val="120" w:hRule="atLeast"/>
        </w:trPr>
        <w:tc>
          <w:tcPr>
            <w:tcW w:w="9473" w:type="dxa"/>
            <w:gridSpan w:val="3"/>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 SUBORDINATION AND LATE PAYMENTS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G-12</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5.1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Subordination</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G-12</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5.2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Late Payments by the Corporate Taxpayer</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rHeight w:val="120" w:hRule="atLeast"/>
        </w:trPr>
        <w:tc>
          <w:tcPr>
            <w:tcW w:w="9473" w:type="dxa"/>
            <w:gridSpan w:val="3"/>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 NO DISPUTES; CONSISTENCY; COOPERATION</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6.1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Participation in the Corporate Taxpayers and OpCos Tax Matters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6.2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Consistency</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6.3</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Cooperation</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rHeight w:val="120" w:hRule="atLeast"/>
        </w:trPr>
        <w:tc>
          <w:tcPr>
            <w:tcW w:w="9473" w:type="dxa"/>
            <w:gridSpan w:val="3"/>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947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 MISCELLANEOUS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rHeight w:val="120" w:hRule="atLeast"/>
        </w:trPr>
        <w:tc>
          <w:tcPr>
            <w:tcW w:w="1662" w:type="dxa"/>
            <w:tcBorders/>
            <w:shd w:fill="auto" w:val="clear"/>
            <w:vAlign w:val="center"/>
          </w:tcPr>
          <w:p>
            <w:pPr>
              <w:pStyle w:val="TableContents"/>
              <w:spacing w:before="0" w:after="283"/>
              <w:rPr>
                <w:sz w:val="4"/>
                <w:szCs w:val="4"/>
              </w:rPr>
            </w:pPr>
            <w:r>
              <w:rPr>
                <w:sz w:val="4"/>
                <w:szCs w:val="4"/>
              </w:rPr>
            </w:r>
          </w:p>
        </w:tc>
        <w:tc>
          <w:tcPr>
            <w:tcW w:w="7811" w:type="dxa"/>
            <w:gridSpan w:val="2"/>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Notices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G-13</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Counterparts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G-14</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7.3</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Entire Agreement; No Third Party Beneficiaries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G-14</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7.4</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Governing Law</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G-14</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7.5</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Severability</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G-14</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7.6</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Successors; Assignment; Amendments; Waivers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G-14</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7.7</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Titles and Subtitles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G-15</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7.8</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Resolution of Disputes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G-15</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7.9</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Reconciliation</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G-16</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7.10</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Withholding</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G-16</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7.11</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Admission of the Corporate Taxpayer into a Consolidated Group; Transfers of Corporate Assets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G-16</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7.12</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Confidentiality</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G-17</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7.13</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Change in Law</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G-17</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7.14</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LLC Agreement</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G-18</w:t>
            </w:r>
          </w:p>
        </w:tc>
        <w:tc>
          <w:tcPr>
            <w:tcW w:w="63" w:type="dxa"/>
            <w:tcBorders/>
            <w:shd w:fill="auto" w:val="clear"/>
            <w:vAlign w:val="bottom"/>
          </w:tcPr>
          <w:p>
            <w:pPr>
              <w:pStyle w:val="TableContents"/>
              <w:spacing w:before="0" w:after="283"/>
              <w:rPr/>
            </w:pPr>
            <w:r>
              <w:rPr/>
              <w:t> </w:t>
            </w:r>
          </w:p>
        </w:tc>
      </w:tr>
      <w:tr>
        <w:trPr/>
        <w:tc>
          <w:tcPr>
            <w:tcW w:w="1662" w:type="dxa"/>
            <w:tcBorders/>
            <w:shd w:fill="auto" w:val="clear"/>
          </w:tcPr>
          <w:p>
            <w:pPr>
              <w:pStyle w:val="TableContents"/>
              <w:spacing w:before="0" w:after="0"/>
              <w:rPr>
                <w:rFonts w:ascii="Times New Roman" w:hAnsi="Times New Roman"/>
                <w:sz w:val="20"/>
              </w:rPr>
            </w:pPr>
            <w:r>
              <w:rPr>
                <w:rFonts w:ascii="Times New Roman" w:hAnsi="Times New Roman"/>
                <w:sz w:val="20"/>
              </w:rPr>
              <w:t>Section 7.15</w:t>
            </w:r>
          </w:p>
        </w:tc>
        <w:tc>
          <w:tcPr>
            <w:tcW w:w="108" w:type="dxa"/>
            <w:tcBorders/>
            <w:shd w:fill="auto" w:val="clear"/>
            <w:vAlign w:val="bottom"/>
          </w:tcPr>
          <w:p>
            <w:pPr>
              <w:pStyle w:val="TableContents"/>
              <w:spacing w:before="0" w:after="283"/>
              <w:rPr/>
            </w:pPr>
            <w:r>
              <w:rPr/>
              <w:t> </w:t>
            </w:r>
          </w:p>
        </w:tc>
        <w:tc>
          <w:tcPr>
            <w:tcW w:w="7703" w:type="dxa"/>
            <w:tcBorders/>
            <w:shd w:fill="auto" w:val="clear"/>
            <w:vAlign w:val="bottom"/>
          </w:tcPr>
          <w:p>
            <w:pPr>
              <w:pStyle w:val="TableContents"/>
              <w:spacing w:before="0" w:after="283"/>
              <w:rPr/>
            </w:pPr>
            <w:r>
              <w:rPr/>
              <w:t>Independent Nature of TRA Parties Rights and Obligations</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G-18</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1" w:name="toc108105_501"/>
      <w:bookmarkEnd w:id="151"/>
      <w:r>
        <w:rPr>
          <w:rFonts w:ascii="Times New Roman" w:hAnsi="Times New Roman"/>
          <w:b/>
          <w:sz w:val="20"/>
        </w:rPr>
        <w:t xml:space="preserve">TAX RECEIVABLE AGREEMENT </w:t>
      </w:r>
    </w:p>
    <w:p>
      <w:pPr>
        <w:pStyle w:val="TextBody"/>
        <w:spacing w:before="240" w:after="0"/>
        <w:jc w:val="left"/>
        <w:rPr>
          <w:rFonts w:ascii="Times New Roman" w:hAnsi="Times New Roman"/>
          <w:sz w:val="20"/>
        </w:rPr>
      </w:pPr>
      <w:r>
        <w:rPr>
          <w:rFonts w:ascii="Times New Roman" w:hAnsi="Times New Roman"/>
          <w:sz w:val="20"/>
        </w:rPr>
        <w:t>This TAX RECEIVABLE AGREEMENT (this </w:t>
      </w:r>
      <w:r>
        <w:rPr>
          <w:rFonts w:ascii="Times New Roman" w:hAnsi="Times New Roman"/>
          <w:sz w:val="20"/>
          <w:u w:val="single"/>
        </w:rPr>
        <w:t>Agreement</w:t>
      </w:r>
      <w:r>
        <w:rPr>
          <w:rFonts w:ascii="Times New Roman" w:hAnsi="Times New Roman"/>
          <w:sz w:val="20"/>
        </w:rPr>
        <w:t>), dated as of [], 2021, is hereby entered into by and among Bakkt Holdings, Inc., a Delaware corporation (the </w:t>
      </w:r>
      <w:r>
        <w:rPr>
          <w:rFonts w:ascii="Times New Roman" w:hAnsi="Times New Roman"/>
          <w:sz w:val="20"/>
          <w:u w:val="single"/>
        </w:rPr>
        <w:t>Corporate Taxpayer</w:t>
      </w:r>
      <w:r>
        <w:rPr>
          <w:rFonts w:ascii="Times New Roman" w:hAnsi="Times New Roman"/>
          <w:sz w:val="20"/>
        </w:rPr>
        <w:t>), and each of the other persons from time to time party hereto (the </w:t>
      </w:r>
      <w:r>
        <w:rPr>
          <w:rFonts w:ascii="Times New Roman" w:hAnsi="Times New Roman"/>
          <w:sz w:val="20"/>
          <w:u w:val="single"/>
        </w:rPr>
        <w:t>TRA Parties</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WHEREAS, the TRA Parties directly or indirectly hold limited liability company units (the </w:t>
      </w:r>
      <w:r>
        <w:rPr>
          <w:rFonts w:ascii="Times New Roman" w:hAnsi="Times New Roman"/>
          <w:sz w:val="20"/>
          <w:u w:val="single"/>
        </w:rPr>
        <w:t>Common Units</w:t>
      </w:r>
      <w:r>
        <w:rPr>
          <w:rFonts w:ascii="Times New Roman" w:hAnsi="Times New Roman"/>
          <w:sz w:val="20"/>
        </w:rPr>
        <w:t>) in Bakkt Holdings, LLC, a Delaware limited liability company (</w:t>
      </w:r>
      <w:r>
        <w:rPr>
          <w:rFonts w:ascii="Times New Roman" w:hAnsi="Times New Roman"/>
          <w:sz w:val="20"/>
          <w:u w:val="single"/>
        </w:rPr>
        <w:t>OpCo</w:t>
      </w:r>
      <w:r>
        <w:rPr>
          <w:rFonts w:ascii="Times New Roman" w:hAnsi="Times New Roman"/>
          <w:sz w:val="20"/>
        </w:rPr>
        <w:t xml:space="preserve">), which is classified as a partnership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WHEREAS, the Corporate Taxpayer is the managing member of OpCo, and holds and will hold, directly and/or indirectly, Common Units; </w:t>
      </w:r>
    </w:p>
    <w:p>
      <w:pPr>
        <w:pStyle w:val="TextBody"/>
        <w:spacing w:before="240" w:after="0"/>
        <w:jc w:val="left"/>
        <w:rPr>
          <w:rFonts w:ascii="Times New Roman" w:hAnsi="Times New Roman"/>
          <w:sz w:val="20"/>
        </w:rPr>
      </w:pPr>
      <w:r>
        <w:rPr>
          <w:rFonts w:ascii="Times New Roman" w:hAnsi="Times New Roman"/>
          <w:sz w:val="20"/>
        </w:rPr>
        <w:t>WHEREAS, pursuant to the Merger Agreement, for U.S. federal and applicable state and local income tax purposes, the Corporate Taxpayer contributed the Available Cash to OpCo and paid or reimbursed OpCo for the Bakkt Transaction Expenses (as those terms are defined in the Merger Agreement) in exchange for certain Common Units of OpCo in a transaction described under Section 721 of the United States Internal Revenue Code of 1986, as amended (the </w:t>
      </w:r>
      <w:r>
        <w:rPr>
          <w:rFonts w:ascii="Times New Roman" w:hAnsi="Times New Roman"/>
          <w:sz w:val="20"/>
          <w:u w:val="single"/>
        </w:rPr>
        <w:t>Code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Common Units held by the TRA Parties immediately following the Merger may be exchanged for Class A common stock (the </w:t>
      </w:r>
      <w:r>
        <w:rPr>
          <w:rFonts w:ascii="Times New Roman" w:hAnsi="Times New Roman"/>
          <w:sz w:val="20"/>
          <w:u w:val="single"/>
        </w:rPr>
        <w:t>Class A Common Stock</w:t>
      </w:r>
      <w:r>
        <w:rPr>
          <w:rFonts w:ascii="Times New Roman" w:hAnsi="Times New Roman"/>
          <w:sz w:val="20"/>
        </w:rPr>
        <w:t xml:space="preserve">) of the Corporate Taxpayer, subject to the provisions of the LLC Agreement (as defined below) and the Exchange Agreement (as defined below), each dated on or about the date hereof, among the Corporate Taxpayer and the holders of Common Units from time to time party thereto, as amended from time to time; </w:t>
      </w:r>
    </w:p>
    <w:p>
      <w:pPr>
        <w:pStyle w:val="TextBody"/>
        <w:spacing w:before="240" w:after="0"/>
        <w:jc w:val="left"/>
        <w:rPr>
          <w:rFonts w:ascii="Times New Roman" w:hAnsi="Times New Roman"/>
          <w:sz w:val="20"/>
        </w:rPr>
      </w:pPr>
      <w:r>
        <w:rPr>
          <w:rFonts w:ascii="Times New Roman" w:hAnsi="Times New Roman"/>
          <w:sz w:val="20"/>
        </w:rPr>
        <w:t>WHEREAS, OpCo and each of its direct and indirect subsidiaries treated as a partnership for U.S. federal income tax purposes and will have in effect an election under Section 754 of the Code for each Taxable Year (as defined below) in which a taxable acquisition of Common Units by the Corporate Taxpayer from the TRA Parties (or any Permitted Transferees thereof) for Class A Common Stock or other consideration (each, an </w:t>
      </w:r>
      <w:r>
        <w:rPr>
          <w:rFonts w:ascii="Times New Roman" w:hAnsi="Times New Roman"/>
          <w:sz w:val="20"/>
          <w:u w:val="single"/>
        </w:rPr>
        <w:t>Exchange</w:t>
      </w:r>
      <w:r>
        <w:rPr>
          <w:rFonts w:ascii="Times New Roman" w:hAnsi="Times New Roman"/>
          <w:sz w:val="20"/>
        </w:rPr>
        <w:t xml:space="preserve">) occurs; </w:t>
      </w:r>
    </w:p>
    <w:p>
      <w:pPr>
        <w:pStyle w:val="TextBody"/>
        <w:spacing w:before="240" w:after="0"/>
        <w:jc w:val="left"/>
        <w:rPr>
          <w:rFonts w:ascii="Times New Roman" w:hAnsi="Times New Roman"/>
          <w:sz w:val="20"/>
        </w:rPr>
      </w:pPr>
      <w:r>
        <w:rPr>
          <w:rFonts w:ascii="Times New Roman" w:hAnsi="Times New Roman"/>
          <w:sz w:val="20"/>
        </w:rPr>
        <w:t xml:space="preserve">WHEREAS, the income, gain, loss, expense and other Tax (as defined below) items of the Corporate Taxpayer may be affected by the Basis Adjustments (as defined below) and the Imputed Interest (as defined below); </w:t>
      </w:r>
    </w:p>
    <w:p>
      <w:pPr>
        <w:pStyle w:val="TextBody"/>
        <w:spacing w:before="240" w:after="0"/>
        <w:jc w:val="left"/>
        <w:rPr>
          <w:rFonts w:ascii="Times New Roman" w:hAnsi="Times New Roman"/>
          <w:sz w:val="20"/>
        </w:rPr>
      </w:pPr>
      <w:r>
        <w:rPr>
          <w:rFonts w:ascii="Times New Roman" w:hAnsi="Times New Roman"/>
          <w:sz w:val="20"/>
        </w:rPr>
        <w:t xml:space="preserve">WHEREAS, the parties to this Agreement desire to make certain arrangements with respect to the effect of the Basis Adjustments and Imputed Interest on the liability for Taxes of the Corporate Taxpayer; </w:t>
      </w:r>
    </w:p>
    <w:p>
      <w:pPr>
        <w:pStyle w:val="TextBody"/>
        <w:spacing w:before="240" w:after="0"/>
        <w:jc w:val="left"/>
        <w:rPr>
          <w:rFonts w:ascii="Times New Roman" w:hAnsi="Times New Roman"/>
          <w:sz w:val="20"/>
        </w:rPr>
      </w:pPr>
      <w:r>
        <w:rPr>
          <w:rFonts w:ascii="Times New Roman" w:hAnsi="Times New Roman"/>
          <w:sz w:val="20"/>
        </w:rPr>
        <w:t xml:space="preserve">WHEREAS, Exchanges by the TRA Parties and payments in respect of Tax savings related to such Exchanges will result in Tax savings for the Corporate Taxpayer;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covenants and agreements set forth herein, and intending to be legally bound hereby, the parties hereto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240" w:after="0"/>
        <w:jc w:val="center"/>
        <w:rPr>
          <w:rFonts w:ascii="Times New Roman" w:hAnsi="Times New Roman"/>
          <w:b/>
          <w:sz w:val="20"/>
        </w:rPr>
      </w:pPr>
      <w:r>
        <w:rPr>
          <w:rFonts w:ascii="Times New Roman" w:hAnsi="Times New Roman"/>
          <w:b/>
          <w:sz w:val="20"/>
          <w:u w:val="single"/>
        </w:rPr>
        <w:t>DEFINITIONS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in this Agreement, the terms set forth in this Article I shall have the following meanings (such meanings to be equally applicable to both the singular and plural forms of the terms defined).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Agreed Rate</w:t>
      </w:r>
      <w:r>
        <w:rPr>
          <w:rFonts w:ascii="Times New Roman" w:hAnsi="Times New Roman"/>
          <w:sz w:val="20"/>
        </w:rPr>
        <w:t xml:space="preserve"> means LIBOR plus 100 basis points.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Assumed State and Local Tax Rate</w:t>
      </w:r>
      <w:r>
        <w:rPr>
          <w:rFonts w:ascii="Times New Roman" w:hAnsi="Times New Roman"/>
          <w:sz w:val="20"/>
        </w:rPr>
        <w:t xml:space="preserve"> means the tax rate equal to the sum of the products of (x) OpCos income tax apportionment rate(s) for each state and local jurisdiction in which OpCo files income or franchise tax returns for the relevant Taxable Year and (y) the highest corporate income and franchise tax rate(s) for each such state and local jurisdiction in which OpCo files income tax returns for each relevant Taxable Year; provided, that the Assumed State and Local Tax Rate calculated pursuant to the foregoing shall be reduced by the assumed federal benefit received by the Corporate Taxpayer with respect to state and local jurisdiction income taxes (with such benefit calculated as the product of (x) the Corporate Taxpayers marginal U.S. federal income tax rate for the relevant Taxable Year and (y) the Assumed State and Local Tax Rate (without regard to this proviso)).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Attributable</w:t>
      </w:r>
      <w:r>
        <w:rPr>
          <w:rFonts w:ascii="Times New Roman" w:hAnsi="Times New Roman"/>
          <w:sz w:val="20"/>
        </w:rPr>
        <w:t xml:space="preserve"> means the portion of any Basis Adjustment or Imputed Interest of the Corporate Taxpayer or OpCo and its Subsidiaries that is attributable to a TRA Party and shall be determined by reference to the Basis Adjustments and Imputed Interest under the following principles: any Basis Adjustments shall be determined separately with respect to each TRA Party and shall be Attributable to each TRA Party in an amount equal to the total Basis Adjustments relating to the Exchange of such TRA Partys Common Units (as defined in the LLC Agreement), and any deduction to the Corporate Taxpayer with respect to a Taxable Year in respect of Imputed Interest shall be Attributable to the Person that is required to include the Imputed Interest in income (without regard to whether such Person is actually subject to Tax thereon).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Code</w:t>
      </w:r>
      <w:r>
        <w:rPr>
          <w:rFonts w:ascii="Times New Roman" w:hAnsi="Times New Roman"/>
          <w:sz w:val="20"/>
        </w:rPr>
        <w:t xml:space="preserve"> means Chapter 11 of Title 11 of the United States Code, 11 U.S.C. § 101 et seq.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Basis Adjustment</w:t>
      </w:r>
      <w:r>
        <w:rPr>
          <w:rFonts w:ascii="Times New Roman" w:hAnsi="Times New Roman"/>
          <w:sz w:val="20"/>
        </w:rPr>
        <w:t xml:space="preserve">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 755 of the Code (in situations where, following an Exchange, OpCo remains in existence as an entity treated as a partnership for U.S. federal income tax purposes) and, in each case, comparable sections of state and local tax laws, as a result of an Exchange and the payments made pursuant to this Agreement. For the avoidance of doubt, the amount of any Basis Adjustment resulting from an Exchange of one or more Common Units shall be determined without regard to any Pre-Exchange Transfer of such Common Units and as if any such Pre-Exchange Transfer had not occurred. </w:t>
      </w:r>
    </w:p>
    <w:p>
      <w:pPr>
        <w:pStyle w:val="TextBody"/>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Beneficial Owner</w:t>
      </w:r>
      <w:r>
        <w:rPr>
          <w:rFonts w:ascii="Times New Roman" w:hAnsi="Times New Roman"/>
          <w:sz w:val="20"/>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Times New Roman" w:hAnsi="Times New Roman"/>
          <w:sz w:val="20"/>
          <w:u w:val="single"/>
        </w:rPr>
        <w:t>Beneficially Own</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shall have correlative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the Corporate Taxpayer.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Monday through Friday of each week, except that a legal holiday recognized as such by the government of the United States of America or the State of New York shall not be regarded as a Business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spacing w:before="120" w:after="0"/>
        <w:jc w:val="left"/>
        <w:rPr>
          <w:rFonts w:ascii="Times New Roman" w:hAnsi="Times New Roman"/>
          <w:sz w:val="20"/>
        </w:rPr>
      </w:pPr>
      <w:r>
        <w:rPr>
          <w:rFonts w:ascii="Times New Roman" w:hAnsi="Times New Roman"/>
          <w:sz w:val="20"/>
        </w:rPr>
        <w:t xml:space="preserve">(i) any Person or any group of Persons acting together which would constitute a group for purposes of Section 13(d) of the Exchange Act or any successor provisions thereto (excluding (a) a corporation or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G-2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entity owned, directly or indirectly, by the stockholders of the Corporate Taxpayer in substantially the same proportions as their ownership of stock of the Corporate Taxpayer or (b) a group of Persons in which one or more of the TRA Parties or Affiliates of TRA Parties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w:t>
      </w:r>
    </w:p>
    <w:p>
      <w:pPr>
        <w:pStyle w:val="TextBody"/>
        <w:spacing w:before="120" w:after="0"/>
        <w:jc w:val="left"/>
        <w:rPr>
          <w:rFonts w:ascii="Times New Roman" w:hAnsi="Times New Roman"/>
          <w:sz w:val="20"/>
        </w:rPr>
      </w:pPr>
      <w:r>
        <w:rPr>
          <w:rFonts w:ascii="Times New Roman" w:hAnsi="Times New Roman"/>
          <w:sz w:val="20"/>
        </w:rPr>
        <w:t xml:space="preserve">(ii) there is consummated a merger or consolidation of the Corporate Taxpayer with any other corporation or other entity, and, immediately after the consummation of such merger or consolidation,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 </w:t>
      </w:r>
    </w:p>
    <w:p>
      <w:pPr>
        <w:pStyle w:val="TextBody"/>
        <w:spacing w:before="120" w:after="0"/>
        <w:jc w:val="left"/>
        <w:rPr>
          <w:rFonts w:ascii="Times New Roman" w:hAnsi="Times New Roman"/>
          <w:sz w:val="20"/>
        </w:rPr>
      </w:pPr>
      <w:r>
        <w:rPr>
          <w:rFonts w:ascii="Times New Roman" w:hAnsi="Times New Roman"/>
          <w:sz w:val="20"/>
        </w:rPr>
        <w:t xml:space="preserve">(iii) 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 lease or other disposition.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date of the consummation of the transactions contemplated by the Merger Agreement. </w:t>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Taxpayer Return</w:t>
      </w:r>
      <w:r>
        <w:rPr>
          <w:rFonts w:ascii="Times New Roman" w:hAnsi="Times New Roman"/>
          <w:sz w:val="20"/>
        </w:rPr>
        <w:t xml:space="preserve"> means the federal and/or state and/or local Tax Return, as applicable, of the Corporate Taxpayer filed with respect to Taxes for any Taxable Year.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Cumulative Net Realized Tax Benefit</w:t>
      </w:r>
      <w:r>
        <w:rPr>
          <w:rFonts w:ascii="Times New Roman" w:hAnsi="Times New Roman"/>
          <w:sz w:val="20"/>
        </w:rPr>
        <w:t xml:space="preserve">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Rate</w:t>
      </w:r>
      <w:r>
        <w:rPr>
          <w:rFonts w:ascii="Times New Roman" w:hAnsi="Times New Roman"/>
          <w:sz w:val="20"/>
        </w:rPr>
        <w:t xml:space="preserve"> means LIBOR plus 500 basis points.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Determination</w:t>
      </w:r>
      <w:r>
        <w:rPr>
          <w:rFonts w:ascii="Times New Roman" w:hAnsi="Times New Roman"/>
          <w:sz w:val="20"/>
        </w:rPr>
        <w:t xml:space="preserve">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Termination Date</w:t>
      </w:r>
      <w:r>
        <w:rPr>
          <w:rFonts w:ascii="Times New Roman" w:hAnsi="Times New Roman"/>
          <w:sz w:val="20"/>
        </w:rPr>
        <w:t xml:space="preserve"> means the date of an Early Termination Notice for purposes of determining the Early Termination Payment.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G-3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Termination Rate</w:t>
      </w:r>
      <w:r>
        <w:rPr>
          <w:rFonts w:ascii="Times New Roman" w:hAnsi="Times New Roman"/>
          <w:sz w:val="20"/>
        </w:rPr>
        <w:t xml:space="preserve"> means the lesser of (i) 6.5% per annum, compounded annually, and (ii) LIBOR plus 100 basis points.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w:t>
      </w:r>
      <w:r>
        <w:rPr>
          <w:rFonts w:ascii="Times New Roman" w:hAnsi="Times New Roman"/>
          <w:sz w:val="20"/>
        </w:rPr>
        <w:t xml:space="preserve"> is defined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Agreement</w:t>
      </w:r>
      <w:r>
        <w:rPr>
          <w:rFonts w:ascii="Times New Roman" w:hAnsi="Times New Roman"/>
          <w:sz w:val="20"/>
        </w:rPr>
        <w:t xml:space="preserve"> means that certain Exchange Agreement dated as of or about the date hereof among OpCo, the Corporate Taxpayer, and the other Members of OpCo from time to time party thereto,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Date</w:t>
      </w:r>
      <w:r>
        <w:rPr>
          <w:rFonts w:ascii="Times New Roman" w:hAnsi="Times New Roman"/>
          <w:sz w:val="20"/>
        </w:rPr>
        <w:t xml:space="preserve"> means the date of any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Hypothetical Tax Liability</w:t>
      </w:r>
      <w:r>
        <w:rPr>
          <w:rFonts w:ascii="Times New Roman" w:hAnsi="Times New Roman"/>
          <w:sz w:val="20"/>
        </w:rPr>
        <w:t xml:space="preserve"> means, with respect to any Taxable Year, an amount, not less than zero, equal to the hypothetical liability for Taxes of (i) the Corporate Taxpayer and (ii) without duplication, OpCo, but only with respect to Taxes imposed on the taxable income of OpCo and allocable to the Corporate Taxpayer or to the other members of the consolidated group of which the Corporate Taxpayer is the parent, in each case using the same methods, elections, conventions and similar practices used on the relevant Corporate Taxpayer Return, but (a) using the Non-Stepped Up Tax Basis as reflected on the Exchange Basis Schedule including amendments thereto for the Taxable Year and (b) excluding any deduction attributable to Imputed Interest for the Taxable Year; provided, that for purposes of determining the Hypothetical Tax Liability, the combined tax rate for U.S. state and local Taxes shall be the Assumed State and Local Tax Rate. For the avoidance of doubt, Hypothetical Tax Liability shall be determined without taking into account the carryover or carryback of any Tax item (or portions thereof) that is attributable to the Basis Adjustment or Imputed Interest,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Imputed Interest</w:t>
      </w:r>
      <w:r>
        <w:rPr>
          <w:rFonts w:ascii="Times New Roman" w:hAnsi="Times New Roman"/>
          <w:sz w:val="20"/>
        </w:rPr>
        <w:t xml:space="preserve"> in respect of a TRA Party means any interest imputed under Section 1272, 1274 or 483 or other provision of the Code and any similar provision of state and local tax law with respect to the Corporate Taxpayers payment obligations in respect of such TRA Party under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Directors</w:t>
      </w:r>
      <w:r>
        <w:rPr>
          <w:rFonts w:ascii="Times New Roman" w:hAnsi="Times New Roman"/>
          <w:sz w:val="20"/>
        </w:rPr>
        <w:t xml:space="preserve"> means the members of the Board who are independent under the standards of the principal U.S. securities exchange on which the Class A Common Stock is traded or quoted.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LIBOR</w:t>
      </w:r>
      <w:r>
        <w:rPr>
          <w:rFonts w:ascii="Times New Roman" w:hAnsi="Times New Roman"/>
          <w:sz w:val="20"/>
        </w:rPr>
        <w:t xml:space="preserve">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provided, that at no time shall LIBOR be less than 0%. Notwithstanding the foregoing sentence: (i) if the Corporate Taxpayer reasonably determines, in good faith,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after consulting an investment bank of national standing in the United States and other reasonable sources, any relevant methodology for calculating such substitute or successor rate, including any adjustment factor it reasonably determines in good faith is needed to make such substitute or successor rate comparable to the relevant London interbank offered rate for U.S. dollar deposits, in a manner that is consistent with industry-accepted practices for such substitute or successor rate. In the event that a TRA Party disagrees with any determination by the Corporate Taxpayer set forth in this paragraph, and such disagreement is not resolved within thirty (30) days of submission by the TRA Party of notice of such disagreement to the Corporate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G-4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Taxpayer, such disagreement shall be deemed a Reconciliation Dispute, and shall be subject to the Reconciliation Procedures set forth in Section 7.9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LLC Agreement</w:t>
      </w:r>
      <w:r>
        <w:rPr>
          <w:rFonts w:ascii="Times New Roman" w:hAnsi="Times New Roman"/>
          <w:sz w:val="20"/>
        </w:rPr>
        <w:t xml:space="preserve"> means, with respect to OpCo, the Amended and Restated Limited Liability Company Agreement of OpCo, dated on or about the date hereof,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Market Value</w:t>
      </w:r>
      <w:r>
        <w:rPr>
          <w:rFonts w:ascii="Times New Roman" w:hAnsi="Times New Roman"/>
          <w:sz w:val="20"/>
        </w:rPr>
        <w:t xml:space="preserve">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Early Termination Date. If the shares of Class A Common Stock are not Publicly Traded, the Market Value of a share of Class A Common Stock means the amount that a holder of a share of Class A Common Stock would receive if each of the assets of the Corporate Taxpayer were to be sold for its fair market value on the Early Termination Date, the Corporate Taxpayer were to pay all of its outstanding liabilities, and the remaining proceeds were to be distributed to the holders of the Corporate Taxpayers equity. Such Market Value shall be determined by the Board acting in good faith and based upon a commercially reasonable estimate of the amount that would be realized by the Corporate Taxpayer if each asset of the Corporate Taxpayer (and each asset of each partnership, limited liability company, trust, joint venture or other entity in which the Corporate Taxpayer owns a direct or indirect interest) were sold to an unrelated purchaser in an arms length transaction where neither the purchaser nor the seller were under economic compulsion to enter into the transaction (without regard to any discount in value as a result of the Corporate Taxpayers minority interest in any property or any illiquidity of the Corporate Taxpayers interest in any property).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Non-Stepped Up Tax Basis</w:t>
      </w:r>
      <w:r>
        <w:rPr>
          <w:rFonts w:ascii="Times New Roman" w:hAnsi="Times New Roman"/>
          <w:sz w:val="20"/>
        </w:rPr>
        <w:t xml:space="preserve"> means, with respect to any Reference Asset at any time, the Tax basis that such asset would have had at such time if no Basis Adjustments had been made.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Agreement</w:t>
      </w:r>
      <w:r>
        <w:rPr>
          <w:rFonts w:ascii="Times New Roman" w:hAnsi="Times New Roman"/>
          <w:sz w:val="20"/>
        </w:rPr>
        <w:t xml:space="preserve"> means that certain Agreement and Plan of Merger, dated as of January 11, 2021, by and among the Corporate Taxpayer (formerly known as VPC Impact Acquisition Holdings), Pylon Merger Company LLC and OpCo.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Transferee</w:t>
      </w:r>
      <w:r>
        <w:rPr>
          <w:rFonts w:ascii="Times New Roman" w:hAnsi="Times New Roman"/>
          <w:sz w:val="20"/>
        </w:rPr>
        <w:t xml:space="preserve"> has the meaning set forth in the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corporation, firm, partnership, joint venture, limited liability company, estate, trust, business association, organization, governmental entity or other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Pre-Exchange Transfer</w:t>
      </w:r>
      <w:r>
        <w:rPr>
          <w:rFonts w:ascii="Times New Roman" w:hAnsi="Times New Roman"/>
          <w:sz w:val="20"/>
        </w:rPr>
        <w:t xml:space="preserve"> means any transfer (including upon the death of a Member) or distribution in respect of one or more Common Units (a) that occurs prior to an Exchange of such Common Units, and (b) to which Section 743(b) or 734(b) of the Code applies.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Publicly Traded</w:t>
      </w:r>
      <w:r>
        <w:rPr>
          <w:rFonts w:ascii="Times New Roman" w:hAnsi="Times New Roman"/>
          <w:sz w:val="20"/>
        </w:rPr>
        <w:t xml:space="preserve"> means listed or admitted to trading on the New York Stock Exchange or another national securities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Realized Tax Benefit</w:t>
      </w:r>
      <w:r>
        <w:rPr>
          <w:rFonts w:ascii="Times New Roman" w:hAnsi="Times New Roman"/>
          <w:sz w:val="20"/>
        </w:rPr>
        <w:t xml:space="preserve"> means, for a Taxable Year, the excess, if any, of the Hypothetical Tax Liability over the actual liability for Taxes of (a) the Corporate Taxpayer and (b) 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Benefit unless and until there has been a Determination.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G-5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Realized Tax Detriment</w:t>
      </w:r>
      <w:r>
        <w:rPr>
          <w:rFonts w:ascii="Times New Roman" w:hAnsi="Times New Roman"/>
          <w:sz w:val="20"/>
        </w:rPr>
        <w:t xml:space="preserve"> means, for a Taxable Year, the excess, if any, of the actual liability for Taxes of (a) the Corporate Taxpayer and (b) 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over the Hypothetical Tax Liability;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Asset</w:t>
      </w:r>
      <w:r>
        <w:rPr>
          <w:rFonts w:ascii="Times New Roman" w:hAnsi="Times New Roman"/>
          <w:sz w:val="20"/>
        </w:rPr>
        <w:t xml:space="preserve"> means an asset that is held by OpCo, or by any other entity of which OpCo owns a direct or indirect interest that is treated as a partnership or disregarded entity (but only if such indirect subsidiaries are held only through subsidiaries treated as partnerships or disregarded entities) for purposes of the applicable Tax, at the time of an Exchange. A Reference Asset also includes any asset the Tax basis of which is determined, in whole or in part, for purposes of the applicable Tax, by reference to the Tax basis of an asset described in the preceding sentence including, for U.S. federal income tax purposes, any asset that is substituted basis property under Section 7701(a)(42) of the Code with respect to a Reference Asset.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with respect to any Person, such Persons officers, directors, employees, equityholders, partners, members, Affiliates, accountants, attorneys, consultants, co-investors, investors, potential partners or purchasers or assignees, financing sources, bankers, advisors and other agents or representatives.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Schedule</w:t>
      </w:r>
      <w:r>
        <w:rPr>
          <w:rFonts w:ascii="Times New Roman" w:hAnsi="Times New Roman"/>
          <w:sz w:val="20"/>
        </w:rPr>
        <w:t xml:space="preserve"> means any of the following: (a) an Exchange Basis Schedule, (b) a Tax Benefit Schedule, or (c) the Early Termination Schedule.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Subsidiaries</w:t>
      </w:r>
      <w:r>
        <w:rPr>
          <w:rFonts w:ascii="Times New Roman" w:hAnsi="Times New Roman"/>
          <w:sz w:val="20"/>
        </w:rPr>
        <w:t xml:space="preserve">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declaration, report or similar statement required to be filed with respect to Taxes (including any attached schedules), including any information return, claim for refund, amended return and declaration of estimated Tax.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Taxable Year</w:t>
      </w:r>
      <w:r>
        <w:rPr>
          <w:rFonts w:ascii="Times New Roman" w:hAnsi="Times New Roman"/>
          <w:sz w:val="20"/>
        </w:rPr>
        <w:t xml:space="preserve">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taxes, assessments or similar charges that are based on or measured with respect to net income or profits, whether on an exclusive or alternative basis, and including franchise taxes that are based on or measured with respect to net income or profits, and any interest related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Authority</w:t>
      </w:r>
      <w:r>
        <w:rPr>
          <w:rFonts w:ascii="Times New Roman" w:hAnsi="Times New Roman"/>
          <w:sz w:val="20"/>
        </w:rPr>
        <w:t xml:space="preserve"> means any domestic, federal, national, state, county or municipal or other local government, any subdivision, agency, commission or authority thereof, or any quasi-governmental body exercising any taxing authority or any other authority exercising Tax regulatory authority.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 day on which the New York Stock Exchange or such other principal United States securities exchange on which the Class A Common Stock is listed or admitted to trading is open for the transaction of business (unless such trading shall have been suspended for the entire day).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G-6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has the meaning set forth in the LLC Agreement and the terms </w:t>
      </w:r>
      <w:r>
        <w:rPr>
          <w:rFonts w:ascii="Times New Roman" w:hAnsi="Times New Roman"/>
          <w:sz w:val="20"/>
          <w:u w:val="single"/>
        </w:rPr>
        <w:t>Transferee</w:t>
      </w:r>
      <w:r>
        <w:rPr>
          <w:rFonts w:ascii="Times New Roman" w:hAnsi="Times New Roman"/>
          <w:sz w:val="20"/>
        </w:rPr>
        <w:t>, </w:t>
      </w:r>
      <w:r>
        <w:rPr>
          <w:rFonts w:ascii="Times New Roman" w:hAnsi="Times New Roman"/>
          <w:sz w:val="20"/>
          <w:u w:val="single"/>
        </w:rPr>
        <w:t>Transferor</w:t>
      </w:r>
      <w:r>
        <w:rPr>
          <w:rFonts w:ascii="Times New Roman" w:hAnsi="Times New Roman"/>
          <w:sz w:val="20"/>
        </w:rPr>
        <w:t>, </w:t>
      </w:r>
      <w:r>
        <w:rPr>
          <w:rFonts w:ascii="Times New Roman" w:hAnsi="Times New Roman"/>
          <w:sz w:val="20"/>
          <w:u w:val="single"/>
        </w:rPr>
        <w:t>Transferred</w:t>
      </w:r>
      <w:r>
        <w:rPr>
          <w:rFonts w:ascii="Times New Roman" w:hAnsi="Times New Roman"/>
          <w:sz w:val="20"/>
        </w:rPr>
        <w:t>, and other forms of the word </w:t>
      </w:r>
      <w:r>
        <w:rPr>
          <w:rFonts w:ascii="Times New Roman" w:hAnsi="Times New Roman"/>
          <w:sz w:val="20"/>
          <w:u w:val="single"/>
        </w:rPr>
        <w:t>Transfer</w:t>
      </w:r>
      <w:r>
        <w:rPr>
          <w:rFonts w:ascii="Times New Roman" w:hAnsi="Times New Roman"/>
          <w:sz w:val="20"/>
        </w:rPr>
        <w:t xml:space="preserve"> shall have the correlative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Treasury Regulations</w:t>
      </w:r>
      <w:r>
        <w:rPr>
          <w:rFonts w:ascii="Times New Roman" w:hAnsi="Times New Roman"/>
          <w:sz w:val="20"/>
        </w:rPr>
        <w:t xml:space="preserve"> means the final, temporary and proposed regulations under the Code promulgated from time to time (including corresponding provisions and succeeding provisions) as in effect for the relevant taxable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Valuation Assumptions</w:t>
      </w:r>
      <w:r>
        <w:rPr>
          <w:rFonts w:ascii="Times New Roman" w:hAnsi="Times New Roman"/>
          <w:sz w:val="20"/>
        </w:rPr>
        <w:t xml:space="preserve"> means, as of an Early Termination Date, the assumptions that in each Taxable Year ending on or after such Early Termination Date, (a) the Corporate Taxpayer will have taxable income sufficient to fully utilize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 (b) any loss carryovers generated by deductions arising from Basis Adjustments or Imputed Interest that are available as of the date of such Early Termination Date will be used by the Corporate Taxpayer ratably in each Taxable Year from the Early Termination Date through the scheduled expiration date of such loss carryovers (or, if such loss carryovers will not expire, the fifteenth year after such Early Termination Date), (c) the U.S. federal and the Assumed State and Local Tax Rates that will be in effect for each such Taxable Year and apply to all taxable income of the Corporate Taxpayer will be those specified for each such Taxable Year by the Code and other law as in effect on the Early Termination Date, except to the extent any change to such Tax rates for such Taxable Year has already been enacted into law, (d) any non-amortizable Reference Assets will be disposed of on the earlier of (i) the fifteenth anniversary of the applicable Exchange and (ii) the Early Termination Date, but in no event earlier than the Early Termination Date, and (e) if, at the Early Termination Date, there are Common Units that have not been Exchanged, then each such Common Unit is deemed Exchanged for the Market Value of the Class A Common Stock that would be applicable if the Exchange occurred on the Early Termination Date.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777"/>
        <w:gridCol w:w="203"/>
        <w:gridCol w:w="1225"/>
      </w:tblGrid>
      <w:tr>
        <w:trPr/>
        <w:tc>
          <w:tcPr>
            <w:tcW w:w="87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8777"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Term</w:t>
            </w:r>
          </w:p>
        </w:tc>
        <w:tc>
          <w:tcPr>
            <w:tcW w:w="203" w:type="dxa"/>
            <w:tcBorders/>
            <w:shd w:fill="auto" w:val="clear"/>
            <w:vAlign w:val="bottom"/>
          </w:tcPr>
          <w:p>
            <w:pPr>
              <w:pStyle w:val="TableContents"/>
              <w:spacing w:before="0" w:after="283"/>
              <w:rPr/>
            </w:pPr>
            <w:r>
              <w:rPr/>
              <w:t>  </w:t>
            </w:r>
          </w:p>
        </w:tc>
        <w:tc>
          <w:tcPr>
            <w:tcW w:w="122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sz w:val="16"/>
              </w:rPr>
            </w:pPr>
            <w:r>
              <w:rPr>
                <w:rFonts w:ascii="Times New Roman" w:hAnsi="Times New Roman"/>
                <w:sz w:val="16"/>
              </w:rPr>
              <w:t>Section</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Acceleration Event</w:t>
            </w:r>
          </w:p>
          <w:p>
            <w:pPr>
              <w:pStyle w:val="TableContents"/>
              <w:spacing w:before="0" w:after="20"/>
              <w:rPr>
                <w:rFonts w:ascii="Times New Roman" w:hAnsi="Times New Roman"/>
                <w:sz w:val="20"/>
              </w:rPr>
            </w:pPr>
            <w:r>
              <w:rPr>
                <w:rFonts w:ascii="Times New Roman" w:hAnsi="Times New Roman"/>
                <w:sz w:val="20"/>
              </w:rPr>
              <w:t>Agreement</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4.1(b)</w:t>
            </w:r>
          </w:p>
          <w:p>
            <w:pPr>
              <w:pStyle w:val="TableContents"/>
              <w:spacing w:before="0" w:after="20"/>
              <w:rPr>
                <w:rFonts w:ascii="Times New Roman" w:hAnsi="Times New Roman"/>
                <w:sz w:val="20"/>
              </w:rPr>
            </w:pPr>
            <w:r>
              <w:rPr>
                <w:rFonts w:ascii="Times New Roman" w:hAnsi="Times New Roman"/>
                <w:sz w:val="20"/>
              </w:rPr>
              <w:t>Preamble</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Amended Schedule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2.3</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Recitals</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Code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Recitals</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Common Units</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Recitals</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Corporate Taxpayer</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Preamble</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Early Termination Effective Date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4.2</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Early Termination Notice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4.2</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Early Termination Payment</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4.2</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Early Termination Schedule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4.3(b)</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Exchange Basis Schedule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2.1</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Expert</w:t>
            </w:r>
          </w:p>
          <w:p>
            <w:pPr>
              <w:pStyle w:val="TableContents"/>
              <w:spacing w:before="0" w:after="20"/>
              <w:rPr>
                <w:rFonts w:ascii="Times New Roman" w:hAnsi="Times New Roman"/>
                <w:sz w:val="20"/>
              </w:rPr>
            </w:pPr>
            <w:r>
              <w:rPr>
                <w:rFonts w:ascii="Times New Roman" w:hAnsi="Times New Roman"/>
                <w:sz w:val="20"/>
              </w:rPr>
              <w:t>Interest Amount</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7.9</w:t>
            </w:r>
          </w:p>
          <w:p>
            <w:pPr>
              <w:pStyle w:val="TableContents"/>
              <w:spacing w:before="0" w:after="20"/>
              <w:rPr>
                <w:rFonts w:ascii="Times New Roman" w:hAnsi="Times New Roman"/>
                <w:sz w:val="20"/>
              </w:rPr>
            </w:pPr>
            <w:r>
              <w:rPr>
                <w:rFonts w:ascii="Times New Roman" w:hAnsi="Times New Roman"/>
                <w:sz w:val="20"/>
              </w:rPr>
              <w:t>Section 3.1(b)</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Material Objection Notice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4.2</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Net Tax Benefit</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3.1(b)</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Objection Notice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2.3(a)</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Other Tax Receivable Obligations</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3.3(c)</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Reconciliation Dispute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7.9</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Reconciliation Procedures</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2.3(a)</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Senior Obligations</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5.1</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Tax Benefit Payment</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3.1(b)</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Tax Benefit Schedule</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Section 2.2</w:t>
            </w:r>
          </w:p>
        </w:tc>
      </w:tr>
      <w:tr>
        <w:trPr/>
        <w:tc>
          <w:tcPr>
            <w:tcW w:w="87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TRA Party</w:t>
            </w:r>
          </w:p>
        </w:tc>
        <w:tc>
          <w:tcPr>
            <w:tcW w:w="20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Preamble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G-7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II </w:t>
      </w:r>
    </w:p>
    <w:p>
      <w:pPr>
        <w:pStyle w:val="TextBody"/>
        <w:spacing w:before="240" w:after="0"/>
        <w:jc w:val="center"/>
        <w:rPr>
          <w:rFonts w:ascii="Times New Roman" w:hAnsi="Times New Roman"/>
          <w:b/>
          <w:sz w:val="20"/>
        </w:rPr>
      </w:pPr>
      <w:r>
        <w:rPr>
          <w:rFonts w:ascii="Times New Roman" w:hAnsi="Times New Roman"/>
          <w:b/>
          <w:sz w:val="20"/>
          <w:u w:val="single"/>
        </w:rPr>
        <w:t>DETERMINATION OF CERTAIN REALIZED TAX BENEFIT</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Basis Adjustment</w:t>
      </w:r>
      <w:r>
        <w:rPr>
          <w:rFonts w:ascii="Times New Roman" w:hAnsi="Times New Roman"/>
          <w:sz w:val="20"/>
        </w:rPr>
        <w:t>. Within sixty (60) calendar days after the filing of the U.S. federal income tax return of OpCo for each Taxable Year in which an Exchange has been effected by any TRA Party, the Corporate Taxpayer shall deliver to each such TRA Party a schedule (the </w:t>
      </w:r>
      <w:r>
        <w:rPr>
          <w:rFonts w:ascii="Times New Roman" w:hAnsi="Times New Roman"/>
          <w:sz w:val="20"/>
          <w:u w:val="single"/>
        </w:rPr>
        <w:t>Exchange Basis Schedule</w:t>
      </w:r>
      <w:r>
        <w:rPr>
          <w:rFonts w:ascii="Times New Roman" w:hAnsi="Times New Roman"/>
          <w:sz w:val="20"/>
        </w:rPr>
        <w:t xml:space="preserve">) that shows, in reasonable detail necessary to perform the calculations required by this Agreement, (a) the Non-Stepped Up Tax Basis of the Reference Assets in respect of such TRA Party as of each applicable Exchange Date, (b) the Basis Adjustment with respect to the Reference Assets in respect of such TRA Party as a result of the Exchanges effected in such Taxable Year and all prior Taxable Years by such TRA Party, calculated in the aggregate, and (c) the period (or periods) over which the Reference Assets and (if different) each Basis Adjustment in respect of such TRA Party are amortizable and/or depreciable. Each Exchange Basis Schedule will become final as provided in Section 2.3(a) and may be amended as provided in Section 2.3(b) (subject to the procedures set forth in Section 2.3(b)). </w:t>
      </w:r>
    </w:p>
    <w:p>
      <w:pPr>
        <w:pStyle w:val="TextBody"/>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Tax Benefit Schedule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Benefit Schedule</w:t>
      </w:r>
      <w:r>
        <w:rPr>
          <w:rFonts w:ascii="Times New Roman" w:hAnsi="Times New Roman"/>
          <w:sz w:val="20"/>
        </w:rPr>
        <w:t>. Within sixty (60) calendar days after the filing of the U.S. federal income tax return of the Corporate Taxpayer for each Taxable Year in which there is a Realized Tax Benefit or Realized Tax Detriment in respect of any TRA Party, the Corporate Taxpayer shall provide to each such TRA Party a schedule showing, in reasonable detail, the calculation of the Tax Benefit Payment in respect of such TRA Party for such Taxable Year (a </w:t>
      </w:r>
      <w:r>
        <w:rPr>
          <w:rFonts w:ascii="Times New Roman" w:hAnsi="Times New Roman"/>
          <w:sz w:val="20"/>
          <w:u w:val="single"/>
        </w:rPr>
        <w:t>Tax Benefit Schedule</w:t>
      </w:r>
      <w:r>
        <w:rPr>
          <w:rFonts w:ascii="Times New Roman" w:hAnsi="Times New Roman"/>
          <w:sz w:val="20"/>
        </w:rPr>
        <w:t xml:space="preserve">). Each Tax Benefit Schedule will become final as provided in Section 2.3(a) and may be amended as provided in Section 2.3(b) (subject to the procedures set forth in Section 2.3(b)).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Applicable Principles</w:t>
      </w:r>
      <w:r>
        <w:rPr>
          <w:rFonts w:ascii="Times New Roman" w:hAnsi="Times New Roman"/>
          <w:sz w:val="20"/>
        </w:rPr>
        <w:t>. Subject to Section 3.3(a), the Realized Tax Benefit or Realized Tax Detriment for each Taxable Year is intended to measure the decrease or increase in the actual liability for Taxes of the Corporate Taxpayer for such Taxable Year attributable to the Basis Adjustments and Imputed Interest, determined using a with and without methodology. Carryovers or carrybacks of any Tax item attributable to the Basis Adjustments and Imputed Interest shall be considered to be subject to the rules of the Code and the 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or Imputed Interest (the </w:t>
      </w:r>
      <w:r>
        <w:rPr>
          <w:rFonts w:ascii="Times New Roman" w:hAnsi="Times New Roman"/>
          <w:b/>
          <w:sz w:val="20"/>
          <w:u w:val="single"/>
        </w:rPr>
        <w:t>TRA Portion</w:t>
      </w:r>
      <w:r>
        <w:rPr>
          <w:rFonts w:ascii="Times New Roman" w:hAnsi="Times New Roman"/>
          <w:sz w:val="20"/>
        </w:rPr>
        <w:t>) and another portion that is not (the </w:t>
      </w:r>
      <w:r>
        <w:rPr>
          <w:rFonts w:ascii="Times New Roman" w:hAnsi="Times New Roman"/>
          <w:b/>
          <w:sz w:val="20"/>
          <w:u w:val="single"/>
        </w:rPr>
        <w:t>Non-TRA Portion</w:t>
      </w:r>
      <w:r>
        <w:rPr>
          <w:rFonts w:ascii="Times New Roman" w:hAnsi="Times New Roman"/>
          <w:sz w:val="20"/>
        </w:rPr>
        <w:t xml:space="preserve">),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3.3(a)). The parties agree that (i) all Tax Benefit Payments attributable to the Basis Adjustments (other than amounts accounted for as Imputed Interest) will be treated as subsequent upward purchase price adjustments that have the effect of creating additional Basis Adjustments to Reference Assets for the Corporate Taxpayer in the year of payment, and (ii) as a result, such additional Basis Adjustments will be incorporated into the current year calculation and into future year calculations, as appropriate. </w:t>
      </w:r>
    </w:p>
    <w:p>
      <w:pPr>
        <w:pStyle w:val="TextBody"/>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Procedures, Amendments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w:t>
      </w:r>
      <w:r>
        <w:rPr>
          <w:rFonts w:ascii="Times New Roman" w:hAnsi="Times New Roman"/>
          <w:sz w:val="20"/>
        </w:rPr>
        <w:t xml:space="preserve">.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the preparation of the Schedule and (y) allow such TRA Party reasonable access, as determined by the Corporate Taxpayer or requested by such TRA Party, in connection with the review of such Schedule. Without limiting the generality of the preceding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G-8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sentence, the Corporate Taxpayer shall ensure that each Tax Benefit Schedule delivered to a TRA Party, together with any supporting schedules and work papers, provides a reasonably detailed presentation of the calculation of the actual liability of the Corporate Taxpayer for Taxes and the Hypothetical Tax Liability in respect of such TRA Party,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a TRA Party (i) within thirty (30) calendar days from such date provides the Corporate Taxpayer with notice of an objection to such Schedule (</w:t>
      </w:r>
      <w:r>
        <w:rPr>
          <w:rFonts w:ascii="Times New Roman" w:hAnsi="Times New Roman"/>
          <w:sz w:val="20"/>
          <w:u w:val="single"/>
        </w:rPr>
        <w:t>Objection Notice</w:t>
      </w:r>
      <w:r>
        <w:rPr>
          <w:rFonts w:ascii="Times New Roman" w:hAnsi="Times New Roman"/>
          <w:sz w:val="20"/>
        </w:rPr>
        <w:t>) or (ii) 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for any reason, are unable to successfully resolve the issues raised in the Objection Notice within thirty (30) calendar days after receipt by the Corporate Taxpayer of an Objection Notice, the Corporate Taxpayer and the TRA Party shall employ the reconciliation procedures as described in Section 7.9 (the </w:t>
      </w:r>
      <w:r>
        <w:rPr>
          <w:rFonts w:ascii="Times New Roman" w:hAnsi="Times New Roman"/>
          <w:sz w:val="20"/>
          <w:u w:val="single"/>
        </w:rPr>
        <w:t>Reconciliation Procedures</w:t>
      </w:r>
      <w:r>
        <w:rPr>
          <w:rFonts w:ascii="Times New Roman" w:hAnsi="Times New Roman"/>
          <w:sz w:val="20"/>
        </w:rPr>
        <w:t xml:space="preserve">) in which case such Schedule shall become binding ten (10) calendar days after the conclusion of the Reconciliation Procedures.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Amended Schedule</w:t>
      </w:r>
      <w:r>
        <w:rPr>
          <w:rFonts w:ascii="Times New Roman" w:hAnsi="Times New Roman"/>
          <w:sz w:val="20"/>
        </w:rPr>
        <w:t>. The applicable Schedule for any Taxable Year may be amended from time to time by the Corporate Taxpayer (i) in connection with a Determination affecting such Schedule, (ii) to correct inaccuracies in the Schedule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Exchange Basis Schedule to take into account payments made pursuant to this Agreement (any such Schedule, an </w:t>
      </w:r>
      <w:r>
        <w:rPr>
          <w:rFonts w:ascii="Times New Roman" w:hAnsi="Times New Roman"/>
          <w:sz w:val="20"/>
          <w:u w:val="single"/>
        </w:rPr>
        <w:t>Amended Schedule</w:t>
      </w:r>
      <w:r>
        <w:rPr>
          <w:rFonts w:ascii="Times New Roman" w:hAnsi="Times New Roman"/>
          <w:sz w:val="20"/>
        </w:rPr>
        <w:t xml:space="preserve">). The Corporate Taxpayer shall provide an Amended Schedule to each TRA Party when the Corporate Taxpayer delivers the Basis Schedule for the following Taxable Year. In the event a Schedule is amended after such Schedule becomes final pursuant to Section 2.3(a) or, if applicable, Section 7.9, (A) the Amended Schedule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for the Taxable Year in which the amendment actually occurs.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240" w:after="0"/>
        <w:jc w:val="center"/>
        <w:rPr>
          <w:rFonts w:ascii="Times New Roman" w:hAnsi="Times New Roman"/>
          <w:b/>
          <w:sz w:val="20"/>
        </w:rPr>
      </w:pPr>
      <w:r>
        <w:rPr>
          <w:rFonts w:ascii="Times New Roman" w:hAnsi="Times New Roman"/>
          <w:b/>
          <w:sz w:val="20"/>
          <w:u w:val="single"/>
        </w:rPr>
        <w:t>TAX BENEFIT PAYMENTS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Payments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w:t>
      </w:r>
      <w:r>
        <w:rPr>
          <w:rFonts w:ascii="Times New Roman" w:hAnsi="Times New Roman"/>
          <w:sz w:val="20"/>
        </w:rPr>
        <w:t xml:space="preserve">. Within five (5) Business Days after a Tax Benefit Schedule delivered to a TRA Party becomes final in accordance with Section 2.3(a), the Corporate Taxpayer shall pay such TRA Party for such Taxable Year the Tax Benefit Payment determined pursuant to Section 3.1(b). Each such Tax Benefit Payment shall be made by wire transfer of immediately available funds to the bank account or accounts previously designated by such TRA Party to the Corporate Taxpayer or as otherwise agreed by the Corporate Taxpayer and such TRA Party. For the avoidance of doubt, no Tax Benefit Payment shall be made in respect of estimated tax payments, including federal estimated income tax payments. </w:t>
      </w:r>
    </w:p>
    <w:p>
      <w:pPr>
        <w:pStyle w:val="TextBody"/>
        <w:spacing w:before="120" w:after="0"/>
        <w:jc w:val="left"/>
        <w:rPr>
          <w:rFonts w:ascii="Times New Roman" w:hAnsi="Times New Roman"/>
          <w:sz w:val="20"/>
        </w:rPr>
      </w:pPr>
      <w:r>
        <w:rPr>
          <w:rFonts w:ascii="Times New Roman" w:hAnsi="Times New Roman"/>
          <w:sz w:val="20"/>
        </w:rPr>
        <w:t>(b) A </w:t>
      </w:r>
      <w:r>
        <w:rPr>
          <w:rFonts w:ascii="Times New Roman" w:hAnsi="Times New Roman"/>
          <w:sz w:val="20"/>
          <w:u w:val="single"/>
        </w:rPr>
        <w:t>Tax Benefit Payment</w:t>
      </w:r>
      <w:r>
        <w:rPr>
          <w:rFonts w:ascii="Times New Roman" w:hAnsi="Times New Roman"/>
          <w:sz w:val="20"/>
        </w:rPr>
        <w:t xml:space="preserve">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G-9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be treated as interest but instead shall be treated as additional consideration for the acquisition of Common Units in Exchanges, unless otherwise required by law. Subject to Section 3.3(a), the </w:t>
      </w:r>
      <w:r>
        <w:rPr>
          <w:rFonts w:ascii="Times New Roman" w:hAnsi="Times New Roman"/>
          <w:sz w:val="20"/>
          <w:u w:val="single"/>
        </w:rPr>
        <w:t>Net Tax Benefit</w:t>
      </w:r>
      <w:r>
        <w:rPr>
          <w:rFonts w:ascii="Times New Roman" w:hAnsi="Times New Roman"/>
          <w:sz w:val="20"/>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Times New Roman" w:hAnsi="Times New Roman"/>
          <w:sz w:val="20"/>
          <w:u w:val="single"/>
        </w:rPr>
        <w:t>provided</w:t>
      </w:r>
      <w:r>
        <w:rPr>
          <w:rFonts w:ascii="Times New Roman" w:hAnsi="Times New Roman"/>
          <w:sz w:val="20"/>
        </w:rPr>
        <w:t xml:space="preserve"> that, for the avoidance of doubt, no such recipient shall be required to return any portion of any previously made Tax Benefit Payment. The </w:t>
      </w:r>
      <w:r>
        <w:rPr>
          <w:rFonts w:ascii="Times New Roman" w:hAnsi="Times New Roman"/>
          <w:sz w:val="20"/>
          <w:u w:val="single"/>
        </w:rPr>
        <w:t>Interest Amount</w:t>
      </w:r>
      <w:r>
        <w:rPr>
          <w:rFonts w:ascii="Times New Roman" w:hAnsi="Times New Roman"/>
          <w:sz w:val="20"/>
        </w:rPr>
        <w:t xml:space="preserve"> shall equal the interest on the Net Tax Benefit calculated at the Agreed Rate from the due date (without extensions) for filing the Corporate Taxpayer Return with respect to Taxes for such Taxable Year until the payment date under Section 3.1(a); </w:t>
      </w:r>
      <w:r>
        <w:rPr>
          <w:rFonts w:ascii="Times New Roman" w:hAnsi="Times New Roman"/>
          <w:sz w:val="20"/>
          <w:u w:val="single"/>
        </w:rPr>
        <w:t>provided</w:t>
      </w:r>
      <w:r>
        <w:rPr>
          <w:rFonts w:ascii="Times New Roman" w:hAnsi="Times New Roman"/>
          <w:sz w:val="20"/>
        </w:rPr>
        <w:t xml:space="preserve"> that such interest shall not accrue on the amount of any Net Tax Benefit after the date on which such amount is actually paid to the applicable TRA Party, regardless of whether such payment is made prior to the due date for such payment under </w:t>
      </w:r>
      <w:r>
        <w:rPr>
          <w:rFonts w:ascii="Times New Roman" w:hAnsi="Times New Roman"/>
          <w:sz w:val="20"/>
          <w:u w:val="single"/>
        </w:rPr>
        <w:t>Section 3.1(a)</w:t>
      </w:r>
      <w:r>
        <w:rPr>
          <w:rFonts w:ascii="Times New Roman" w:hAnsi="Times New Roman"/>
          <w:sz w:val="20"/>
        </w:rPr>
        <w:t xml:space="preserve">. The Net Tax Benefit and the Interest Amount shall be determined separately with respect to each Exchange, on a Common Unit by Common Unit basis by reference to the resulting Basis Adjustment to the Corporate Taxpayer. </w:t>
      </w:r>
    </w:p>
    <w:p>
      <w:pPr>
        <w:pStyle w:val="TextBody"/>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No Duplicative Payments</w:t>
      </w:r>
      <w:r>
        <w:rPr>
          <w:rFonts w:ascii="Times New Roman" w:hAnsi="Times New Roman"/>
          <w:sz w:val="20"/>
        </w:rPr>
        <w:t xml:space="preserve">. It is intended that the provisions of this Agreement will not result in duplicative payment of any amount (including interest) required under this Agreement. It is also intended that the provisions of this Agreement provide that eighty-five percent (85%) of the Cumulative Net Realized Tax Benefit with respect to each TRA Party will be paid to such TRA Party pursuant to this Agreement. The provisions of this Agreement shall be construed in the appropriate manner to ensure such intentions are realized. </w:t>
      </w:r>
    </w:p>
    <w:p>
      <w:pPr>
        <w:pStyle w:val="TextBody"/>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i/>
          <w:sz w:val="20"/>
          <w:u w:val="single"/>
        </w:rPr>
        <w:t>Pro Rata</w:t>
      </w:r>
      <w:r>
        <w:rPr>
          <w:rFonts w:ascii="Times New Roman" w:hAnsi="Times New Roman"/>
          <w:sz w:val="20"/>
          <w:u w:val="single"/>
        </w:rPr>
        <w:t xml:space="preserve"> Payments; Coordination of Benefits With Other Tax Receivable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Attributable to each such TRA Party if the Corporate Taxpayer had sufficient taxable income so that there were no such limitation. </w:t>
      </w:r>
    </w:p>
    <w:p>
      <w:pPr>
        <w:pStyle w:val="TextBody"/>
        <w:spacing w:before="120" w:after="0"/>
        <w:jc w:val="left"/>
        <w:rPr>
          <w:rFonts w:ascii="Times New Roman" w:hAnsi="Times New Roman"/>
          <w:sz w:val="20"/>
        </w:rPr>
      </w:pPr>
      <w:r>
        <w:rPr>
          <w:rFonts w:ascii="Times New Roman" w:hAnsi="Times New Roman"/>
          <w:sz w:val="20"/>
        </w:rPr>
        <w:t xml:space="preserve">(b) 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 </w:t>
      </w:r>
    </w:p>
    <w:p>
      <w:pPr>
        <w:pStyle w:val="TextBody"/>
        <w:spacing w:before="120" w:after="0"/>
        <w:jc w:val="left"/>
        <w:rPr>
          <w:rFonts w:ascii="Times New Roman" w:hAnsi="Times New Roman"/>
          <w:sz w:val="20"/>
        </w:rPr>
      </w:pPr>
      <w:r>
        <w:rPr>
          <w:rFonts w:ascii="Times New Roman" w:hAnsi="Times New Roman"/>
          <w:sz w:val="20"/>
        </w:rPr>
        <w:t>(c) 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Times New Roman" w:hAnsi="Times New Roman"/>
          <w:sz w:val="20"/>
          <w:u w:val="single"/>
        </w:rPr>
        <w:t>Other Tax Receivable Obligations</w:t>
      </w:r>
      <w:r>
        <w:rPr>
          <w:rFonts w:ascii="Times New Roman" w:hAnsi="Times New Roman"/>
          <w:sz w:val="20"/>
        </w:rPr>
        <w:t xml:space="preserve">). The effect of any other similar agreement shall not be taken into account in respect of any calculations made hereunder.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240" w:after="0"/>
        <w:jc w:val="center"/>
        <w:rPr>
          <w:rFonts w:ascii="Times New Roman" w:hAnsi="Times New Roman"/>
          <w:b/>
          <w:sz w:val="20"/>
        </w:rPr>
      </w:pPr>
      <w:r>
        <w:rPr>
          <w:rFonts w:ascii="Times New Roman" w:hAnsi="Times New Roman"/>
          <w:b/>
          <w:sz w:val="20"/>
          <w:u w:val="single"/>
        </w:rPr>
        <w:t>TERMINATION</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Early Termination and Acceleration Event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With the written approval of the majority of the Independent Directors, the Corporate Taxpayer may terminate this Agreement with respect to all amounts payable to the TRA Parties and with respect to all of the Common Units held by the TRA Parties at any time by paying to each TRA Party the Early Termination Payment in respect of such TRA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shall only terminate upon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G-10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receipt of the Early Termination Payment by all TRA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outstanding as of the date the Early Termination Notice is delivered and (ii) Tax Benefit Payment due for the Taxable Year ending with or including the date of the Early Termination Notice (except to the extent that the amount described in clause (ii) is included in the calculation of the Early Termination Payment); </w:t>
      </w:r>
      <w:r>
        <w:rPr>
          <w:rFonts w:ascii="Times New Roman" w:hAnsi="Times New Roman"/>
          <w:sz w:val="20"/>
          <w:u w:val="single"/>
        </w:rPr>
        <w:t>provided</w:t>
      </w:r>
      <w:r>
        <w:rPr>
          <w:rFonts w:ascii="Times New Roman" w:hAnsi="Times New Roman"/>
          <w:sz w:val="20"/>
        </w:rPr>
        <w:t xml:space="preserve"> that upon payment of all amounts, to the extent applicable and without duplication, described in this sentence, this Agreement shall terminate. If an Exchange occurs after the Corporate Taxpayer makes all of the required Early Termination Payments, the Corporate Taxpayer shall have no obligations under this Agreement with respect to such Exchange. </w:t>
      </w:r>
    </w:p>
    <w:p>
      <w:pPr>
        <w:pStyle w:val="TextBody"/>
        <w:spacing w:before="120" w:after="0"/>
        <w:jc w:val="left"/>
        <w:rPr>
          <w:rFonts w:ascii="Times New Roman" w:hAnsi="Times New Roman"/>
          <w:sz w:val="20"/>
        </w:rPr>
      </w:pPr>
      <w:r>
        <w:rPr>
          <w:rFonts w:ascii="Times New Roman" w:hAnsi="Times New Roman"/>
          <w:sz w:val="20"/>
        </w:rPr>
        <w:t>(b) In the event that the Corporate Taxpayer materially breaches any of its material obligations under this Agreement, whether as a result of failure to make any payment when due, failure to honor any other material obligation required hereunder to the extent not cured within thirty (30) calendar days following receipt by the Corporate Taxpayer of written notice of such failure from the relevant TRA Party or by operation of law as a result of the rejection of this Agreement in a case commenced under the Bankruptcy Code or otherwise, then all obligations hereunder shall be accelerated and such obligations shall be calculated as if an Early Termination Notice had been delivered on the date of such breach (an </w:t>
      </w:r>
      <w:r>
        <w:rPr>
          <w:rFonts w:ascii="Times New Roman" w:hAnsi="Times New Roman"/>
          <w:sz w:val="20"/>
          <w:u w:val="single"/>
        </w:rPr>
        <w:t>Acceleration Event</w:t>
      </w:r>
      <w:r>
        <w:rPr>
          <w:rFonts w:ascii="Times New Roman" w:hAnsi="Times New Roman"/>
          <w:sz w:val="20"/>
        </w:rPr>
        <w:t xml:space="preserve">), and shall include, but not be limited to, (i) the Early Termination Payments calculated as if an Early Termination Notice had been delivered on the date of such Acceleration Event, (ii) any Tax Benefit Payment in respect of a TRA Party agreed to by the Corporate Taxpayer and such TRA Party as due and payable but unpaid as of the date of such Acceleration Event, and (iii) any Tax Benefit Payment in respect of any TRA Party due for the Taxable Year ending with or including the date of such Acceleration Event; </w:t>
      </w:r>
      <w:r>
        <w:rPr>
          <w:rFonts w:ascii="Times New Roman" w:hAnsi="Times New Roman"/>
          <w:sz w:val="20"/>
          <w:u w:val="single"/>
        </w:rPr>
        <w:t>provided</w:t>
      </w:r>
      <w:r>
        <w:rPr>
          <w:rFonts w:ascii="Times New Roman" w:hAnsi="Times New Roman"/>
          <w:sz w:val="20"/>
        </w:rPr>
        <w:t xml:space="preserve">, that procedures similar to the procedures of Section 4.2 shall apply with respect to the determination of the amount payable by the Corporate Taxpayer pursuant to this sentence. Notwithstanding the foregoing, in the event that an Acceleration Event occurs, each TRA Party shall be entitled to elect to receive the amounts set forth in clauses (i), (ii) and (iii) above or to seek specific performance of the terms hereof. The parties agree that the failure to make any payment due pursuant to this Agreement within thirty (30) days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thirty (30) days of the date such payment is due. Notwithstanding anything in this Agreement to the contrary, it shall not be a material breach of a material obligation under this Agreement if the Corporate Taxpayer fails to make any Tax Benefit Payment within thirty (30) days of when due to the extent that the Corporate Taxpayer has insufficient funds to make such payment as a result of obligations imposed in connection with the Senior Obligations or under applicable law, and cannot obtain sufficient funds to make such payments by taking commercially reasonable actions; </w:t>
      </w:r>
      <w:r>
        <w:rPr>
          <w:rFonts w:ascii="Times New Roman" w:hAnsi="Times New Roman"/>
          <w:sz w:val="20"/>
          <w:u w:val="single"/>
        </w:rPr>
        <w:t>provided</w:t>
      </w:r>
      <w:r>
        <w:rPr>
          <w:rFonts w:ascii="Times New Roman" w:hAnsi="Times New Roman"/>
          <w:sz w:val="20"/>
        </w:rPr>
        <w:t xml:space="preserve"> that the interest provisions of Section 5.2 shall apply to such late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payment obligation shall nonetheless accrue for the benefit of the TRA Party and the Corporate Taxpayer shall make such payment at the first opportunity that it has sufficient funds and is otherwise able to make such payment. </w:t>
      </w:r>
    </w:p>
    <w:p>
      <w:pPr>
        <w:pStyle w:val="TextBody"/>
        <w:spacing w:before="240" w:after="0"/>
        <w:jc w:val="left"/>
        <w:rPr>
          <w:rFonts w:ascii="Times New Roman" w:hAnsi="Times New Roman"/>
          <w:sz w:val="20"/>
        </w:rPr>
      </w:pPr>
      <w:r>
        <w:rPr>
          <w:rFonts w:ascii="Times New Roman" w:hAnsi="Times New Roman"/>
          <w:sz w:val="20"/>
        </w:rPr>
        <w:t xml:space="preserve">(c) In the event of a Change of Control, all obligations hereunder shall be accelerated and such obligations shall be calculated as if an Early Termination Notice had been delivered on the closing date of the Change of Control and utilizing the Valuation Assumptions by substituting the phrase the closing date of a Change of Control in each place Early Termination Date appears. Such obligations shall include, but not be limited to, (1) the Early Termination Payment calculated as if an Early Termination Notice had been delivered on the closing date of the Change of Control, (2) any Tax Benefit Payment due and payable and that remains unpaid as of the closing date of the Change of Control, and (3) any Tax Benefit Payments due for the Taxable Year ending with or including the closing date of the Change of Control (except to the extent that the amount described in clause (3) is included in the calculation of the Early Termination Payment). For the avoidance of doubt, Sections 4.2 and 4.3 shall apply to a Change of Control, </w:t>
      </w:r>
      <w:r>
        <w:rPr>
          <w:rFonts w:ascii="Times New Roman" w:hAnsi="Times New Roman"/>
          <w:i/>
          <w:sz w:val="20"/>
        </w:rPr>
        <w:t>mutatis mutandis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G-11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Early Termination Notice</w:t>
      </w:r>
      <w:r>
        <w:rPr>
          <w:rFonts w:ascii="Times New Roman" w:hAnsi="Times New Roman"/>
          <w:sz w:val="20"/>
        </w:rPr>
        <w:t>. If the Corporate Taxpayer chooses to exercise its right of early termination under Section 4.1 above, the Corporate Taxpayer shall deliver to each TRA Party written notice (</w:t>
      </w:r>
      <w:r>
        <w:rPr>
          <w:rFonts w:ascii="Times New Roman" w:hAnsi="Times New Roman"/>
          <w:sz w:val="20"/>
          <w:u w:val="single"/>
        </w:rPr>
        <w:t>Early Termination Notice</w:t>
      </w:r>
      <w:r>
        <w:rPr>
          <w:rFonts w:ascii="Times New Roman" w:hAnsi="Times New Roman"/>
          <w:sz w:val="20"/>
        </w:rPr>
        <w:t>) and a schedule (the </w:t>
      </w:r>
      <w:r>
        <w:rPr>
          <w:rFonts w:ascii="Times New Roman" w:hAnsi="Times New Roman"/>
          <w:sz w:val="20"/>
          <w:u w:val="single"/>
        </w:rPr>
        <w:t>Early Termination Schedule</w:t>
      </w:r>
      <w:r>
        <w:rPr>
          <w:rFonts w:ascii="Times New Roman" w:hAnsi="Times New Roman"/>
          <w:sz w:val="20"/>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a TRA Party (a) provides the Corporate Taxpayer with notice of a material objection to such Schedule made in good faith (</w:t>
      </w:r>
      <w:r>
        <w:rPr>
          <w:rFonts w:ascii="Times New Roman" w:hAnsi="Times New Roman"/>
          <w:sz w:val="20"/>
          <w:u w:val="single"/>
        </w:rPr>
        <w:t>Material Objection Notice</w:t>
      </w:r>
      <w:r>
        <w:rPr>
          <w:rFonts w:ascii="Times New Roman" w:hAnsi="Times New Roman"/>
          <w:sz w:val="20"/>
        </w:rPr>
        <w:t>) or (b) provides a written waiver of such right of a Material Objection Notice, in which case such Schedule will become binding on the date the waiver is received by the Corporate Taxpayer (the </w:t>
      </w:r>
      <w:r>
        <w:rPr>
          <w:rFonts w:ascii="Times New Roman" w:hAnsi="Times New Roman"/>
          <w:sz w:val="20"/>
          <w:u w:val="single"/>
        </w:rPr>
        <w:t>Early Termination Effective Date</w:t>
      </w:r>
      <w:r>
        <w:rPr>
          <w:rFonts w:ascii="Times New Roman" w:hAnsi="Times New Roman"/>
          <w:sz w:val="20"/>
        </w:rPr>
        <w:t xml:space="preserve">). If the Corporate Taxpayer and such TRA Party, for any reason, are unable to successfully resolve the issues raised in such notice within thirty (30) calendar days after receipt by the Corporate Taxpayer of the Material Objection Notice, the Corporate Taxpayer and the TRA Party shall employ the Reconciliation Procedures in which case such Schedule shall become binding ten (10) calendar days after the conclusion of the Reconciliation Procedures. </w:t>
      </w:r>
    </w:p>
    <w:p>
      <w:pPr>
        <w:pStyle w:val="TextBody"/>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Payment upon Early Termination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Within five (5) Business Days after the date an Early Termination Schedule becomes binding pursuant to Section 4.2,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 or, in the absence of such designation or agreement, by check mailed to the last mailing address provided by such TRA Party to the Corporate Taxpayer. </w:t>
      </w:r>
    </w:p>
    <w:p>
      <w:pPr>
        <w:pStyle w:val="TextBody"/>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Early Termination Payment</w:t>
      </w:r>
      <w:r>
        <w:rPr>
          <w:rFonts w:ascii="Times New Roman" w:hAnsi="Times New Roman"/>
          <w:sz w:val="20"/>
        </w:rPr>
        <w:t xml:space="preserve">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(including extensions) under applicable law as of the Early Termination Date for filing of IRS Form 1120 (or any successor form)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Common Units as of the Early Termination Date.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center"/>
        <w:rPr>
          <w:rFonts w:ascii="Times New Roman" w:hAnsi="Times New Roman"/>
          <w:b/>
          <w:sz w:val="20"/>
        </w:rPr>
      </w:pPr>
      <w:r>
        <w:rPr>
          <w:rFonts w:ascii="Times New Roman" w:hAnsi="Times New Roman"/>
          <w:b/>
          <w:sz w:val="20"/>
          <w:u w:val="single"/>
        </w:rPr>
        <w:t>SUBORDINATION AND LATE PAYMENTS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Subordination</w:t>
      </w:r>
      <w:r>
        <w:rPr>
          <w:rFonts w:ascii="Times New Roman" w:hAnsi="Times New Roman"/>
          <w:sz w:val="20"/>
        </w:rPr>
        <w:t>. Notwithstanding any other provision of this Agreement to the contrary, any Tax Benefit Payment, Early Termination Payment or any other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hAnsi="Times New Roman"/>
          <w:sz w:val="20"/>
          <w:u w:val="single"/>
        </w:rPr>
        <w:t>Senior Obligations</w:t>
      </w:r>
      <w:r>
        <w:rPr>
          <w:rFonts w:ascii="Times New Roman" w:hAnsi="Times New Roman"/>
          <w:sz w:val="20"/>
        </w:rPr>
        <w:t xml:space="preserve">), shall rank senior in right of payment to any principal, interest or other amounts due and payable in respect of any Other Tax Receivable Obligation, and shall rank </w:t>
      </w:r>
      <w:r>
        <w:rPr>
          <w:rFonts w:ascii="Times New Roman" w:hAnsi="Times New Roman"/>
          <w:i/>
          <w:sz w:val="20"/>
        </w:rPr>
        <w:t xml:space="preserve">pari passu </w:t>
      </w:r>
      <w:r>
        <w:rPr>
          <w:rFonts w:ascii="Times New Roman" w:hAnsi="Times New Roman"/>
          <w:sz w:val="20"/>
        </w:rPr>
        <w:t xml:space="preserve">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G-12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Late Payments by the Corporate Taxpayer</w:t>
      </w:r>
      <w:r>
        <w:rPr>
          <w:rFonts w:ascii="Times New Roman" w:hAnsi="Times New Roman"/>
          <w:sz w:val="20"/>
        </w:rPr>
        <w:t xml:space="preserve">. The amount of all or any portion of any Tax Benefit Payment or Early Termination Payment not made to the TRA Parties when due under the terms of this Agreement shall be payable together with any interest thereon, computed at the Default Rate and commencing from the date on which such Tax Benefit Payment or Early Termination Payment was due and payable. </w:t>
      </w:r>
    </w:p>
    <w:p>
      <w:pPr>
        <w:pStyle w:val="TextBody"/>
        <w:spacing w:before="480" w:after="0"/>
        <w:jc w:val="center"/>
        <w:rPr>
          <w:rFonts w:ascii="Times New Roman" w:hAnsi="Times New Roman"/>
          <w:b/>
          <w:sz w:val="20"/>
        </w:rPr>
      </w:pPr>
      <w:r>
        <w:rPr>
          <w:rFonts w:ascii="Times New Roman" w:hAnsi="Times New Roman"/>
          <w:b/>
          <w:sz w:val="20"/>
        </w:rPr>
        <w:t xml:space="preserve">ARTICLE VI </w:t>
      </w:r>
    </w:p>
    <w:p>
      <w:pPr>
        <w:pStyle w:val="TextBody"/>
        <w:spacing w:before="240" w:after="0"/>
        <w:jc w:val="center"/>
        <w:rPr>
          <w:rFonts w:ascii="Times New Roman" w:hAnsi="Times New Roman"/>
          <w:b/>
          <w:sz w:val="20"/>
        </w:rPr>
      </w:pPr>
      <w:r>
        <w:rPr>
          <w:rFonts w:ascii="Times New Roman" w:hAnsi="Times New Roman"/>
          <w:b/>
          <w:sz w:val="20"/>
          <w:u w:val="single"/>
        </w:rPr>
        <w:t>NO DISPUTES; CONSISTENCY; COOPERATION</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Participation in the Corporate Taxpayers and OpCos Tax Matters</w:t>
      </w:r>
      <w:r>
        <w:rPr>
          <w:rFonts w:ascii="Times New Roman" w:hAnsi="Times New Roman"/>
          <w:sz w:val="20"/>
        </w:rPr>
        <w:t xml:space="preserve">. Except as otherwise provided herein, the Corporate Taxpayer shall have full responsibility for, and sole discretion over, all Tax matters concerning the Corporate Taxpayer and, to the extent not inconsistent with the LLC Agreement or the Merger Agreement, OpCo, including the preparation, filing or amending of any Tax Return and defending, contesting or settling any issue pertaining to Taxes. Notwithstanding the foregoing, the Corporate Taxpayer shall notify the relevant TRA Party of, and keep such TRA Party reasonably informed with respect to, the portion of any audit of the Corporate Taxpayer and OpCo by a Taxing Authority the outcome of which is reasonably expected to affect the rights and obligations of such TRA Party under this Agreement, and (x) shall provide to the relevant TRA Party reasonable opportunity to provide information and other input to the Corporate Taxpayer, OpCo and their respective advisors concerning the conduct of any such portion of such audit and (y) the TRA Party shall have the right to participate in and monitor at the applicable TRA Partys expense (but not to control) any such portion of any such audit;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Corporate Taxpayer and OpCo shall not (i) be required to take any action that is inconsistent with any provision of the LLC Agreement or (ii) settle or fail to contest any issue pertaining to Taxes that is reasonably expected to materially adversely affect any TRA Partys rights or obligations under this Agreement without the prior written consent of such TRA Party, such consent not to be unreasonably withheld, conditioned or delayed. </w:t>
      </w:r>
    </w:p>
    <w:p>
      <w:pPr>
        <w:pStyle w:val="TextBody"/>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Consistency</w:t>
      </w:r>
      <w:r>
        <w:rPr>
          <w:rFonts w:ascii="Times New Roman" w:hAnsi="Times New Roman"/>
          <w:sz w:val="20"/>
        </w:rPr>
        <w:t xml:space="preserve">. The Corporate Taxpayer and the TRA Parties agree to report and cause to be reported for all purposes, including U.S. federal, state and local Tax purposes and financial reporting purposes, all Tax-related items (including the Basis Adjustments and each Tax Benefit Payment) in a manner consistent with that specified by the Corporate Taxpayer in any Schedule required to be provided by or on behalf of the Corporate Taxpayer under this Agreement unless otherwise required by law. </w:t>
      </w:r>
    </w:p>
    <w:p>
      <w:pPr>
        <w:pStyle w:val="TextBody"/>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Cooperation</w:t>
      </w:r>
      <w:r>
        <w:rPr>
          <w:rFonts w:ascii="Times New Roman" w:hAnsi="Times New Roman"/>
          <w:sz w:val="20"/>
        </w:rPr>
        <w:t xml:space="preserve">.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 6.3.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240" w:after="0"/>
        <w:jc w:val="center"/>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Notices</w:t>
      </w:r>
      <w:r>
        <w:rPr>
          <w:rFonts w:ascii="Times New Roman" w:hAnsi="Times New Roman"/>
          <w:sz w:val="20"/>
        </w:rPr>
        <w:t xml:space="preserve">.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G-13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shall be delivered as set forth below, or pursuant to such other instructions as may be designated in writing by the party to receive such notice: </w:t>
      </w:r>
    </w:p>
    <w:p>
      <w:pPr>
        <w:pStyle w:val="TextBody"/>
        <w:spacing w:before="120" w:after="0"/>
        <w:jc w:val="left"/>
        <w:rPr>
          <w:rFonts w:ascii="Times New Roman" w:hAnsi="Times New Roman"/>
          <w:sz w:val="20"/>
        </w:rPr>
      </w:pPr>
      <w:r>
        <w:rPr>
          <w:rFonts w:ascii="Times New Roman" w:hAnsi="Times New Roman"/>
          <w:sz w:val="20"/>
        </w:rPr>
        <w:t xml:space="preserve">If to the Corporate Taxpayer, to: </w:t>
      </w:r>
    </w:p>
    <w:p>
      <w:pPr>
        <w:pStyle w:val="TextBody"/>
        <w:spacing w:before="120" w:after="0"/>
        <w:jc w:val="left"/>
        <w:rPr>
          <w:rFonts w:ascii="Times New Roman" w:hAnsi="Times New Roman"/>
          <w:sz w:val="20"/>
        </w:rPr>
      </w:pPr>
      <w:r>
        <w:rPr>
          <w:rFonts w:ascii="Times New Roman" w:hAnsi="Times New Roman"/>
          <w:sz w:val="20"/>
        </w:rPr>
        <w:t xml:space="preserve">Bakkt Holdings, LLC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marc.dannunzio@bakkt.com </w:t>
      </w:r>
    </w:p>
    <w:p>
      <w:pPr>
        <w:pStyle w:val="TextBody"/>
        <w:spacing w:before="120" w:after="0"/>
        <w:jc w:val="left"/>
        <w:rPr>
          <w:rFonts w:ascii="Times New Roman" w:hAnsi="Times New Roman"/>
          <w:sz w:val="20"/>
        </w:rPr>
      </w:pPr>
      <w:r>
        <w:rPr>
          <w:rFonts w:ascii="Times New Roman" w:hAnsi="Times New Roman"/>
          <w:sz w:val="20"/>
        </w:rPr>
        <w:t xml:space="preserve">With a required copy to (which shall not constitute notice): </w:t>
      </w:r>
    </w:p>
    <w:p>
      <w:pPr>
        <w:pStyle w:val="TextBody"/>
        <w:spacing w:before="120" w:after="0"/>
        <w:jc w:val="left"/>
        <w:rPr>
          <w:rFonts w:ascii="Times New Roman" w:hAnsi="Times New Roman"/>
          <w:sz w:val="20"/>
        </w:rPr>
      </w:pPr>
      <w:r>
        <w:rPr>
          <w:rFonts w:ascii="Times New Roman" w:hAnsi="Times New Roman"/>
          <w:sz w:val="20"/>
        </w:rPr>
        <w:t xml:space="preserve">Shearman &amp; Sterling LLP </w:t>
      </w:r>
    </w:p>
    <w:p>
      <w:pPr>
        <w:pStyle w:val="TextBody"/>
        <w:spacing w:before="0" w:after="0"/>
        <w:jc w:val="left"/>
        <w:rPr>
          <w:rFonts w:ascii="Times New Roman" w:hAnsi="Times New Roman"/>
          <w:sz w:val="20"/>
        </w:rPr>
      </w:pPr>
      <w:r>
        <w:rPr>
          <w:rFonts w:ascii="Times New Roman" w:hAnsi="Times New Roman"/>
          <w:sz w:val="20"/>
        </w:rPr>
        <w:t xml:space="preserve">300 W. 6th Street, 22nd Floor </w:t>
      </w:r>
    </w:p>
    <w:p>
      <w:pPr>
        <w:pStyle w:val="TextBody"/>
        <w:spacing w:before="0" w:after="0"/>
        <w:jc w:val="left"/>
        <w:rPr>
          <w:rFonts w:ascii="Times New Roman" w:hAnsi="Times New Roman"/>
          <w:sz w:val="20"/>
        </w:rPr>
      </w:pPr>
      <w:r>
        <w:rPr>
          <w:rFonts w:ascii="Times New Roman" w:hAnsi="Times New Roman"/>
          <w:sz w:val="20"/>
        </w:rPr>
        <w:t xml:space="preserve">Austin, Texas 78701 </w:t>
      </w:r>
    </w:p>
    <w:p>
      <w:pPr>
        <w:pStyle w:val="TextBody"/>
        <w:spacing w:before="0" w:after="0"/>
        <w:jc w:val="left"/>
        <w:rPr>
          <w:rFonts w:ascii="Times New Roman" w:hAnsi="Times New Roman"/>
          <w:sz w:val="20"/>
        </w:rPr>
      </w:pPr>
      <w:r>
        <w:rPr>
          <w:rFonts w:ascii="Times New Roman" w:hAnsi="Times New Roman"/>
          <w:sz w:val="20"/>
        </w:rPr>
        <w:t xml:space="preserve">Attention: J. Matthew Lyons </w:t>
      </w:r>
    </w:p>
    <w:p>
      <w:pPr>
        <w:pStyle w:val="TextBody"/>
        <w:spacing w:before="0" w:after="0"/>
        <w:jc w:val="left"/>
        <w:rPr>
          <w:rFonts w:ascii="Times New Roman" w:hAnsi="Times New Roman"/>
          <w:sz w:val="20"/>
        </w:rPr>
      </w:pPr>
      <w:r>
        <w:rPr>
          <w:rFonts w:ascii="Times New Roman" w:hAnsi="Times New Roman"/>
          <w:sz w:val="20"/>
        </w:rPr>
        <w:t xml:space="preserve">Email: matt.lyons@shearman.com </w:t>
      </w:r>
    </w:p>
    <w:p>
      <w:pPr>
        <w:pStyle w:val="TextBody"/>
        <w:spacing w:before="120" w:after="0"/>
        <w:jc w:val="left"/>
        <w:rPr>
          <w:rFonts w:ascii="Times New Roman" w:hAnsi="Times New Roman"/>
          <w:sz w:val="20"/>
        </w:rPr>
      </w:pPr>
      <w:r>
        <w:rPr>
          <w:rFonts w:ascii="Times New Roman" w:hAnsi="Times New Roman"/>
          <w:sz w:val="20"/>
        </w:rPr>
        <w:t xml:space="preserve">If to the TRA Parties, to: </w:t>
      </w:r>
    </w:p>
    <w:p>
      <w:pPr>
        <w:pStyle w:val="TextBody"/>
        <w:spacing w:before="120" w:after="0"/>
        <w:jc w:val="left"/>
        <w:rPr>
          <w:rFonts w:ascii="Times New Roman" w:hAnsi="Times New Roman"/>
          <w:sz w:val="20"/>
        </w:rPr>
      </w:pP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address, fax number and email address set forth in the records of OpCo. </w:t>
      </w:r>
    </w:p>
    <w:p>
      <w:pPr>
        <w:pStyle w:val="TextBody"/>
        <w:spacing w:before="240" w:after="0"/>
        <w:jc w:val="left"/>
        <w:rPr>
          <w:rFonts w:ascii="Times New Roman" w:hAnsi="Times New Roman"/>
          <w:sz w:val="20"/>
        </w:rPr>
      </w:pPr>
      <w:r>
        <w:rPr>
          <w:rFonts w:ascii="Times New Roman" w:hAnsi="Times New Roman"/>
          <w:sz w:val="20"/>
        </w:rPr>
        <w:t xml:space="preserve">Any party may change its address, fax number or email by giving the other party written notice of its new address, fax number or email in the manner set forth above. </w:t>
      </w:r>
    </w:p>
    <w:p>
      <w:pPr>
        <w:pStyle w:val="TextBody"/>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 </w:t>
      </w:r>
    </w:p>
    <w:p>
      <w:pPr>
        <w:pStyle w:val="TextBody"/>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Entire Agreement; No Third Party Beneficiaries</w:t>
      </w:r>
      <w:r>
        <w:rPr>
          <w:rFonts w:ascii="Times New Roman" w:hAnsi="Times New Roman"/>
          <w:sz w:val="20"/>
        </w:rPr>
        <w:t xml:space="preserve">.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 </w:t>
      </w:r>
    </w:p>
    <w:p>
      <w:pPr>
        <w:pStyle w:val="TextBody"/>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 of the State of Delaware, without regard to the conflicts of laws principles thereof that would mandate the application of the laws of another jurisdiction. </w:t>
      </w:r>
    </w:p>
    <w:p>
      <w:pPr>
        <w:pStyle w:val="TextBody"/>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t>
      </w:r>
    </w:p>
    <w:p>
      <w:pPr>
        <w:pStyle w:val="TextBody"/>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Successors; Assignment; Amendments; Waivers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To the extent that a TRA Party Transfers Common Units to any of such TRA Partys Permitted Transferees in accordance with the terms of the LLC Agreement and the Stockholders Agreement, such TRA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G-14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Party shall have the option to assign, without the approval of the Corporate Taxpayer, to the Transferee of such Common Units the TRA Partys rights and obligations under this Agreement with respect to such Common Units. As a condition to any such Transfer, each Transferee which is a Permitted Transferee shall execute and deliver a joinder to this Agreement, in the form attached hereto as Exhibit A, agreeing to become a TRA Party for all purposes of this Agreement, except as otherwise provided in such joinder. If a TRA Party Transfers Common Units in accordance with the terms of the LLC Agreement but does not assign to the Transferee of such Common Units its rights and obligations under this Agreement with respect to such Transferred Common Units, (i) such TRA Party shall remain a TRA Party under this Agreement for all purposes, including with respect to the receipt of Tax Benefit Payments to the extent payable hereunder (including any Tax Benefit Payments in respect of the Exchanges of such Transferred Common Units by such Transferee), and (ii) the Transferee of such Common Units shall not be a TRA Party. Any purported assignment in violation of the terms of this Section 7.6(a) shall be null and void. Notwithstanding the foregoing, once an Exchange has occurred, any and all payments that may become payable to a TRA Party pursuant to this Agreement with respect to such Exchange may be assigned to any Person or Persons, as long as any such Person has executed and delivered, or, in connection with such assignment, executes and delivers, a joinder to this Agreement, in form and substance reasonably satisfactory to the Corporate Taxpayer. </w:t>
      </w:r>
    </w:p>
    <w:p>
      <w:pPr>
        <w:pStyle w:val="TextBody"/>
        <w:spacing w:before="120" w:after="0"/>
        <w:jc w:val="left"/>
        <w:rPr>
          <w:rFonts w:ascii="Times New Roman" w:hAnsi="Times New Roman"/>
          <w:sz w:val="20"/>
        </w:rPr>
      </w:pPr>
      <w:r>
        <w:rPr>
          <w:rFonts w:ascii="Times New Roman" w:hAnsi="Times New Roman"/>
          <w:sz w:val="20"/>
        </w:rPr>
        <w:t xml:space="preserve">(b) No provision of this Agreement may be amended unless such amendment is approved in writing by the Corporate Taxpayer and no provision of this Agreement may be waived unless such waiver is in writing and signed by the party against whom the waiver is to be effective; </w:t>
      </w:r>
      <w:r>
        <w:rPr>
          <w:rFonts w:ascii="Times New Roman" w:hAnsi="Times New Roman"/>
          <w:sz w:val="20"/>
          <w:u w:val="single"/>
        </w:rPr>
        <w:t>provided</w:t>
      </w:r>
      <w:r>
        <w:rPr>
          <w:rFonts w:ascii="Times New Roman" w:hAnsi="Times New Roman"/>
          <w:sz w:val="20"/>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a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 </w:t>
      </w:r>
    </w:p>
    <w:p>
      <w:pPr>
        <w:pStyle w:val="TextBody"/>
        <w:spacing w:before="120" w:after="0"/>
        <w:jc w:val="left"/>
        <w:rPr>
          <w:rFonts w:ascii="Times New Roman" w:hAnsi="Times New Roman"/>
          <w:sz w:val="20"/>
        </w:rPr>
      </w:pPr>
      <w:r>
        <w:rPr>
          <w:rFonts w:ascii="Times New Roman" w:hAnsi="Times New Roman"/>
          <w:sz w:val="20"/>
        </w:rPr>
        <w:t xml:space="preserve">(c) 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w:t>
      </w:r>
    </w:p>
    <w:p>
      <w:pPr>
        <w:pStyle w:val="TextBody"/>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Titles and Subtitles</w:t>
      </w:r>
      <w:r>
        <w:rPr>
          <w:rFonts w:ascii="Times New Roman" w:hAnsi="Times New Roman"/>
          <w:sz w:val="20"/>
        </w:rPr>
        <w:t xml:space="preserve">. The titles of the sections and subsections of this Agreement are for convenience of reference only and are not to be considered in construing this Agreement. </w:t>
      </w:r>
    </w:p>
    <w:p>
      <w:pPr>
        <w:pStyle w:val="TextBody"/>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Resolution of Disputes</w:t>
      </w:r>
      <w:r>
        <w:rPr>
          <w:rFonts w:ascii="Times New Roman" w:hAnsi="Times New Roman"/>
          <w:sz w:val="20"/>
        </w:rPr>
        <w:t xml:space="preserve">. Except with respect to Reconciliation Disputes governed by Section 7.9,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G-15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notices in </w:t>
      </w:r>
      <w:r>
        <w:rPr>
          <w:rFonts w:ascii="Times New Roman" w:hAnsi="Times New Roman"/>
          <w:sz w:val="20"/>
          <w:u w:val="single"/>
        </w:rPr>
        <w:t>Section 7.1</w:t>
      </w:r>
      <w:r>
        <w:rPr>
          <w:rFonts w:ascii="Times New Roman" w:hAnsi="Times New Roman"/>
          <w:sz w:val="20"/>
        </w:rPr>
        <w:t xml:space="preserve">. Nothing in this </w:t>
      </w:r>
      <w:r>
        <w:rPr>
          <w:rFonts w:ascii="Times New Roman" w:hAnsi="Times New Roman"/>
          <w:sz w:val="20"/>
          <w:u w:val="single"/>
        </w:rPr>
        <w:t>Section 7.8</w:t>
      </w:r>
      <w:r>
        <w:rPr>
          <w:rFonts w:ascii="Times New Roman" w:hAnsi="Times New Roman"/>
          <w:sz w:val="20"/>
        </w:rPr>
        <w:t xml:space="preserve">, however, shall affect the right of any party to serve legal process in any other manner permitted by law. TO THE EXTENT PERMITTED BY APPLICABLE LAW, EACH PARTY HEREBY IRREVOCABLY AND UNCONDITIONALLY WAIVES ALL RIGHTS TO TRIAL BY JURY IN ANY ACTION OR PROCEEDING CONTEMPLATED HEREBY. </w:t>
      </w:r>
    </w:p>
    <w:p>
      <w:pPr>
        <w:pStyle w:val="TextBody"/>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Reconciliation</w:t>
      </w:r>
      <w:r>
        <w:rPr>
          <w:rFonts w:ascii="Times New Roman" w:hAnsi="Times New Roman"/>
          <w:sz w:val="20"/>
        </w:rPr>
        <w:t>. In the event that the Corporate Taxpayer and a TRA Party are unable to resolve a disagreement with respect to the matters governed by Sections 2.3 and 4.2 or described in the definition of LIBOR within the relevant period designated in this Agreement (</w:t>
      </w:r>
      <w:r>
        <w:rPr>
          <w:rFonts w:ascii="Times New Roman" w:hAnsi="Times New Roman"/>
          <w:sz w:val="20"/>
          <w:u w:val="single"/>
        </w:rPr>
        <w:t>Reconciliation Dispute</w:t>
      </w:r>
      <w:r>
        <w:rPr>
          <w:rFonts w:ascii="Times New Roman" w:hAnsi="Times New Roman"/>
          <w:sz w:val="20"/>
        </w:rPr>
        <w:t>), the Reconciliation Dispute shall be submitted for determination to a nationally recognized expert (the </w:t>
      </w:r>
      <w:r>
        <w:rPr>
          <w:rFonts w:ascii="Times New Roman" w:hAnsi="Times New Roman"/>
          <w:sz w:val="20"/>
          <w:u w:val="single"/>
        </w:rPr>
        <w:t>Expert</w:t>
      </w:r>
      <w:r>
        <w:rPr>
          <w:rFonts w:ascii="Times New Roman" w:hAnsi="Times New Roman"/>
          <w:sz w:val="20"/>
        </w:rPr>
        <w:t xml:space="preserve">) in the particular area of disagreement mutually acceptable to the Corporate Taxpayer and the relevant TRA Party. The Expert shall be a partner or principal in a nationally recognized accounting firm, and unless the Corporate Taxpayer and the TRA Party agree otherwise, the Expert shall not, and the firm that employs the Expert shall not, have any material relationship with the Corporate Taxpayer or the TRA Party or other actual or potential conflict of interest. If the Corporate Taxpayer and the TRA Party are unable to agree on an Expert within fifteen (15) calendar days of receipt by the 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(and, if applicable, selection by the International Chamber of Commerce Centre for Expertise) or amending any Tax Return shall be borne by the Corporate Taxpayer except as provided in the next sentence. The Corporate Taxpayer and the relevant TRA Party shall bear their own costs and expenses of such proceeding, unless the relevant TRA Party has a prevailing position that is more than 25% of the payment at issue, in which case the Corporate Taxpayer shall reimburse the relevant TRA Party for any reasonable out-of-pocket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 </w:t>
      </w:r>
    </w:p>
    <w:p>
      <w:pPr>
        <w:pStyle w:val="TextBody"/>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Withholding</w:t>
      </w:r>
      <w:r>
        <w:rPr>
          <w:rFonts w:ascii="Times New Roman" w:hAnsi="Times New Roman"/>
          <w:sz w:val="20"/>
        </w:rPr>
        <w:t xml:space="preserve">.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reasonably requested by the Corporate Taxpayer in connection with determining whether any such deductions and withholdings are required under the Code or any provision of state, local or foreign tax law. </w:t>
      </w:r>
    </w:p>
    <w:p>
      <w:pPr>
        <w:pStyle w:val="TextBody"/>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Admission of the Corporate Taxpayer into a Consolidated Group; Transfers of Corporate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If the Corporate Taxpayer is or becomes a member of an affiliated or consolidated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G-16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If any entity that is obligated to make a Tax Benefit Payment or Early Termination Payment hereunder transfers one or more assets to a corporation (or a Person classified as a corporation for U.S. federal income tax purposes) with which such entity does not file a consolidated tax return pursuant to Section 1501 of the Code, such entity, for purposes of calculating the amount of any Tax Benefit Payment or Early Termination Payment (e.g., calculating the gross income of the entity and determining the Realized Tax Benefit of such entity) due hereunder, shall be treated as having disposed of such asset in a fully taxable transaction on the date of such transfer. The consideration deemed to be received by such entity shall be equal to the gross fair market value of the transferred asset. For purposes of this Section 7.11(b), a transfer of a partnership interest shall be treated as a transfer of the transferring partners share of each of the assets and liabilities of that partnership allocated to such partner.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Section 7.11(b) did not occur then this Section 7.11(b) shall not apply with respect to such transfer. </w:t>
      </w:r>
    </w:p>
    <w:p>
      <w:pPr>
        <w:pStyle w:val="TextBody"/>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Confidentiality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(ii) the disclosure of information to the extent necessary for the TRA Party to assert its rights hereunder or defend itself in connection with any action or proceeding arising out of, or relating to, this Agreement, (iii) any information that was in the possession of, or becomes available to, the TRA Party from a source other than the Corporate Taxpayer, its Affiliates or its or their respective representatives (</w:t>
      </w:r>
      <w:r>
        <w:rPr>
          <w:rFonts w:ascii="Times New Roman" w:hAnsi="Times New Roman"/>
          <w:sz w:val="20"/>
          <w:u w:val="single"/>
        </w:rPr>
        <w:t>provided</w:t>
      </w:r>
      <w:r>
        <w:rPr>
          <w:rFonts w:ascii="Times New Roman" w:hAnsi="Times New Roman"/>
          <w:sz w:val="20"/>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 (x) disclose to any and all Persons the tax treatment and tax structure of the Corporate Taxpayer, OpCo and their Affiliates, and any of their transactions, and all materials of any kind (including any Schedules, opinions or other tax analyses) that are provided to the TRA Party relating to such tax treatment and tax structure, and (y) disclose any such confidential information to any Representative of such TRA Party so long as such Representative has a need to know such information for a valid business purpose and has been advised of the confidential nature of such information. </w:t>
      </w:r>
    </w:p>
    <w:p>
      <w:pPr>
        <w:pStyle w:val="TextBody"/>
        <w:spacing w:before="120" w:after="0"/>
        <w:jc w:val="left"/>
        <w:rPr>
          <w:rFonts w:ascii="Times New Roman" w:hAnsi="Times New Roman"/>
          <w:sz w:val="20"/>
        </w:rPr>
      </w:pPr>
      <w:r>
        <w:rPr>
          <w:rFonts w:ascii="Times New Roman" w:hAnsi="Times New Roman"/>
          <w:sz w:val="20"/>
        </w:rPr>
        <w:t xml:space="preserve">(b) 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 </w:t>
      </w:r>
    </w:p>
    <w:p>
      <w:pPr>
        <w:pStyle w:val="TextBody"/>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Change in Law</w:t>
      </w:r>
      <w:r>
        <w:rPr>
          <w:rFonts w:ascii="Times New Roman" w:hAnsi="Times New Roman"/>
          <w:sz w:val="20"/>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G-17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w:t>
      </w:r>
      <w:r>
        <w:rPr>
          <w:rFonts w:ascii="Times New Roman" w:hAnsi="Times New Roman"/>
          <w:sz w:val="20"/>
          <w:u w:val="single"/>
        </w:rPr>
        <w:t>provided</w:t>
      </w:r>
      <w:r>
        <w:rPr>
          <w:rFonts w:ascii="Times New Roman" w:hAnsi="Times New Roman"/>
          <w:sz w:val="20"/>
        </w:rPr>
        <w:t xml:space="preserve"> that such amendment shall not result in an increase in payments under this Agreement at any time as compared to the amounts and times of payments that would have been due in the absence of such amendment. </w:t>
      </w:r>
    </w:p>
    <w:p>
      <w:pPr>
        <w:pStyle w:val="TextBody"/>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LLC Agreement</w:t>
      </w:r>
      <w:r>
        <w:rPr>
          <w:rFonts w:ascii="Times New Roman" w:hAnsi="Times New Roman"/>
          <w:sz w:val="20"/>
        </w:rPr>
        <w:t xml:space="preserve">. This Agreement shall be treated as part of the partnership agreement of OpCo as described in Section 761(c) of the Code and Sections 1.704-1(b)(2)(ii)(h) and 1.761-1(c) of the Treasury Regulations. </w:t>
      </w:r>
    </w:p>
    <w:p>
      <w:pPr>
        <w:pStyle w:val="TextBody"/>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Independent Nature of TRA Parties Rights and Obligations</w:t>
      </w:r>
      <w:r>
        <w:rPr>
          <w:rFonts w:ascii="Times New Roman" w:hAnsi="Times New Roman"/>
          <w:sz w:val="20"/>
        </w:rPr>
        <w:t xml:space="preserve">.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Installment Sale Reporting</w:t>
      </w:r>
      <w:r>
        <w:rPr>
          <w:rFonts w:ascii="Times New Roman" w:hAnsi="Times New Roman"/>
          <w:sz w:val="20"/>
        </w:rPr>
        <w:t xml:space="preserve">. The Corporate Taxpayer and the Members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at the election of a TRA Party specified in the Exchange Notice (as defined in the Exchange Agreement) for the applicable Exchange, the aggregate Tax Benefit Payments in respect of such Exchange (other than amounts accounted for as Imputed Interest under the Code) shall not exceed, as specified by a TRA Party, []%1 of the amount of the initial consideration received in connection with such Exchange (which, for the avoidance of doubt, shall include the amount of any cash and the fair market value of any Class A Common Stock received in such Exchange and shall exclude the fair market value of any Tax Benefit Payments).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blank</w:t>
      </w:r>
      <w:r>
        <w:rPr>
          <w:rFonts w:ascii="Times New Roman" w:hAnsi="Times New Roman"/>
          <w:sz w:val="20"/>
        </w:rPr>
        <w:t xml:space="preserve">]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NTD: Figure to be included in the execution version.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G-18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Corporate Taxpayer and each TRA Party have duly executed this Agreement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200"/>
        <w:gridCol w:w="115"/>
        <w:gridCol w:w="2767"/>
      </w:tblGrid>
      <w:tr>
        <w:trPr/>
        <w:tc>
          <w:tcPr>
            <w:tcW w:w="12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76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BAKKT HOLDINGS, INC.</w:t>
            </w:r>
          </w:p>
        </w:tc>
      </w:tr>
      <w:tr>
        <w:trPr>
          <w:trHeight w:val="240" w:hRule="atLeast"/>
        </w:trPr>
        <w:tc>
          <w:tcPr>
            <w:tcW w:w="1200" w:type="dxa"/>
            <w:tcBorders/>
            <w:shd w:fill="auto" w:val="clear"/>
            <w:vAlign w:val="center"/>
          </w:tcPr>
          <w:p>
            <w:pPr>
              <w:pStyle w:val="TableContents"/>
              <w:spacing w:before="0" w:after="283"/>
              <w:rPr>
                <w:sz w:val="4"/>
                <w:szCs w:val="4"/>
              </w:rPr>
            </w:pPr>
            <w:r>
              <w:rPr>
                <w:sz w:val="4"/>
                <w:szCs w:val="4"/>
              </w:rPr>
            </w:r>
          </w:p>
        </w:tc>
        <w:tc>
          <w:tcPr>
            <w:tcW w:w="2882" w:type="dxa"/>
            <w:gridSpan w:val="2"/>
            <w:tcBorders/>
            <w:shd w:fill="auto" w:val="clear"/>
            <w:vAlign w:val="center"/>
          </w:tcPr>
          <w:p>
            <w:pPr>
              <w:pStyle w:val="TableContents"/>
              <w:spacing w:before="0" w:after="283"/>
              <w:rPr>
                <w:sz w:val="4"/>
                <w:szCs w:val="4"/>
              </w:rPr>
            </w:pPr>
            <w:r>
              <w:rPr>
                <w:sz w:val="4"/>
                <w:szCs w:val="4"/>
              </w:rPr>
            </w:r>
          </w:p>
        </w:tc>
      </w:tr>
      <w:tr>
        <w:trPr/>
        <w:tc>
          <w:tcPr>
            <w:tcW w:w="1200" w:type="dxa"/>
            <w:tcBorders/>
            <w:shd w:fill="auto" w:val="clear"/>
          </w:tcPr>
          <w:p>
            <w:pPr>
              <w:pStyle w:val="TableContents"/>
              <w:spacing w:before="0" w:after="283"/>
              <w:rPr/>
            </w:pPr>
            <w:r>
              <w:rPr/>
              <w:t>By:</w:t>
            </w:r>
          </w:p>
        </w:tc>
        <w:tc>
          <w:tcPr>
            <w:tcW w:w="115" w:type="dxa"/>
            <w:tcBorders/>
            <w:shd w:fill="auto" w:val="clear"/>
            <w:vAlign w:val="bottom"/>
          </w:tcPr>
          <w:p>
            <w:pPr>
              <w:pStyle w:val="TableContents"/>
              <w:spacing w:before="0" w:after="283"/>
              <w:rPr/>
            </w:pPr>
            <w:r>
              <w:rPr/>
              <w:t> </w:t>
            </w:r>
          </w:p>
        </w:tc>
        <w:tc>
          <w:tcPr>
            <w:tcW w:w="2767" w:type="dxa"/>
            <w:tcBorders/>
            <w:shd w:fill="auto" w:val="clear"/>
          </w:tcPr>
          <w:p>
            <w:pPr>
              <w:pStyle w:val="TableContents"/>
              <w:pBdr>
                <w:bottom w:val="single" w:sz="2" w:space="1" w:color="000000"/>
              </w:pBdr>
              <w:spacing w:before="0" w:after="20"/>
              <w:rPr/>
            </w:pPr>
            <w:r>
              <w:rPr/>
              <w:t> </w:t>
            </w:r>
          </w:p>
        </w:tc>
      </w:tr>
      <w:tr>
        <w:trPr/>
        <w:tc>
          <w:tcPr>
            <w:tcW w:w="1200" w:type="dxa"/>
            <w:tcBorders/>
            <w:shd w:fill="auto" w:val="clear"/>
          </w:tcPr>
          <w:p>
            <w:pPr>
              <w:pStyle w:val="TableContents"/>
              <w:spacing w:before="0" w:after="283"/>
              <w:rPr/>
            </w:pPr>
            <w:r>
              <w:rPr/>
              <w:t>Name:</w:t>
            </w:r>
          </w:p>
        </w:tc>
        <w:tc>
          <w:tcPr>
            <w:tcW w:w="115" w:type="dxa"/>
            <w:tcBorders/>
            <w:shd w:fill="auto" w:val="clear"/>
            <w:vAlign w:val="bottom"/>
          </w:tcPr>
          <w:p>
            <w:pPr>
              <w:pStyle w:val="TableContents"/>
              <w:spacing w:before="0" w:after="283"/>
              <w:rPr/>
            </w:pPr>
            <w:r>
              <w:rPr/>
              <w:t> </w:t>
            </w:r>
          </w:p>
        </w:tc>
        <w:tc>
          <w:tcPr>
            <w:tcW w:w="2767" w:type="dxa"/>
            <w:tcBorders/>
            <w:shd w:fill="auto" w:val="clear"/>
          </w:tcPr>
          <w:p>
            <w:pPr>
              <w:pStyle w:val="TableContents"/>
              <w:pBdr>
                <w:bottom w:val="single" w:sz="2" w:space="1" w:color="000000"/>
              </w:pBdr>
              <w:spacing w:before="0" w:after="20"/>
              <w:rPr/>
            </w:pPr>
            <w:r>
              <w:rPr/>
              <w:t> </w:t>
            </w:r>
          </w:p>
        </w:tc>
      </w:tr>
      <w:tr>
        <w:trPr/>
        <w:tc>
          <w:tcPr>
            <w:tcW w:w="1200" w:type="dxa"/>
            <w:tcBorders/>
            <w:shd w:fill="auto" w:val="clear"/>
          </w:tcPr>
          <w:p>
            <w:pPr>
              <w:pStyle w:val="TableContents"/>
              <w:spacing w:before="0" w:after="283"/>
              <w:rPr/>
            </w:pPr>
            <w:r>
              <w:rPr/>
              <w:t>Title:</w:t>
            </w:r>
          </w:p>
        </w:tc>
        <w:tc>
          <w:tcPr>
            <w:tcW w:w="115" w:type="dxa"/>
            <w:tcBorders/>
            <w:shd w:fill="auto" w:val="clear"/>
            <w:vAlign w:val="bottom"/>
          </w:tcPr>
          <w:p>
            <w:pPr>
              <w:pStyle w:val="TableContents"/>
              <w:spacing w:before="0" w:after="283"/>
              <w:rPr/>
            </w:pPr>
            <w:r>
              <w:rPr/>
              <w:t> </w:t>
            </w:r>
          </w:p>
        </w:tc>
        <w:tc>
          <w:tcPr>
            <w:tcW w:w="2767" w:type="dxa"/>
            <w:tcBorders/>
            <w:shd w:fill="auto" w:val="clear"/>
          </w:tcPr>
          <w:p>
            <w:pPr>
              <w:pStyle w:val="TableContents"/>
              <w:pBdr>
                <w:bottom w:val="single" w:sz="2" w:space="1" w:color="000000"/>
              </w:pBdr>
              <w:spacing w:before="0" w:after="20"/>
              <w:rPr/>
            </w:pPr>
            <w:r>
              <w:rPr/>
              <w:t> </w:t>
            </w:r>
          </w:p>
        </w:tc>
      </w:tr>
    </w:tbl>
    <w:p>
      <w:pPr>
        <w:pStyle w:val="TextBody"/>
        <w:spacing w:before="9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Tax Receivable Agreement</w:t>
      </w:r>
      <w:r>
        <w:rPr>
          <w:rFonts w:ascii="Times New Roman" w:hAnsi="Times New Roman"/>
          <w:sz w:val="20"/>
        </w:rPr>
        <w:t xml:space="preserve">]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TRA PARTIES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bl>
    <w:p>
      <w:pPr>
        <w:pStyle w:val="TextBody"/>
        <w:spacing w:before="9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Tax Receivable Agreement</w:t>
      </w:r>
      <w:r>
        <w:rPr>
          <w:rFonts w:ascii="Times New Roman" w:hAnsi="Times New Roman"/>
          <w:sz w:val="20"/>
        </w:rPr>
        <w:t xml:space="preserve">]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Joinder </w:t>
      </w:r>
    </w:p>
    <w:p>
      <w:pPr>
        <w:pStyle w:val="TextBody"/>
        <w:spacing w:before="240" w:after="0"/>
        <w:jc w:val="center"/>
        <w:rPr>
          <w:rFonts w:ascii="Times New Roman" w:hAnsi="Times New Roman"/>
          <w:b/>
          <w:sz w:val="20"/>
        </w:rPr>
      </w:pPr>
      <w:r>
        <w:rPr>
          <w:rFonts w:ascii="Times New Roman" w:hAnsi="Times New Roman"/>
          <w:b/>
          <w:sz w:val="20"/>
        </w:rPr>
        <w:t xml:space="preserve">[To be Included Prior to Closing]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52" w:name="anh"/>
      <w:bookmarkEnd w:id="152"/>
      <w:r>
        <w:rPr>
          <w:rFonts w:ascii="Times New Roman" w:hAnsi="Times New Roman"/>
          <w:b/>
          <w:sz w:val="20"/>
        </w:rPr>
        <w:t xml:space="preserve">Annex H </w:t>
      </w:r>
    </w:p>
    <w:p>
      <w:pPr>
        <w:pStyle w:val="TextBody"/>
        <w:spacing w:before="240" w:after="0"/>
        <w:jc w:val="right"/>
        <w:rPr>
          <w:rFonts w:ascii="Times New Roman" w:hAnsi="Times New Roman"/>
          <w:b/>
          <w:sz w:val="20"/>
        </w:rPr>
      </w:pPr>
      <w:r>
        <w:rPr>
          <w:rFonts w:ascii="Times New Roman" w:hAnsi="Times New Roman"/>
          <w:b/>
          <w:sz w:val="20"/>
        </w:rPr>
        <w:t xml:space="preserve">FINAL FORM </w:t>
      </w:r>
    </w:p>
    <w:p>
      <w:pPr>
        <w:pStyle w:val="TextBody"/>
        <w:spacing w:before="240" w:after="0"/>
        <w:jc w:val="center"/>
        <w:rPr>
          <w:rFonts w:ascii="Times New Roman" w:hAnsi="Times New Roman"/>
          <w:sz w:val="20"/>
        </w:rPr>
      </w:pPr>
      <w:r>
        <w:rPr>
          <w:rFonts w:ascii="Times New Roman" w:hAnsi="Times New Roman"/>
          <w:sz w:val="20"/>
        </w:rPr>
        <w:t xml:space="preserve">FORM OF VOTING AGREEMENT </w:t>
      </w:r>
    </w:p>
    <w:p>
      <w:pPr>
        <w:pStyle w:val="TextBody"/>
        <w:spacing w:before="240" w:after="0"/>
        <w:jc w:val="center"/>
        <w:rPr>
          <w:rFonts w:ascii="Times New Roman" w:hAnsi="Times New Roman"/>
          <w:b/>
          <w:sz w:val="20"/>
        </w:rPr>
      </w:pPr>
      <w:bookmarkStart w:id="153" w:name="toc108105_51"/>
      <w:bookmarkEnd w:id="153"/>
      <w:r>
        <w:rPr>
          <w:rFonts w:ascii="Times New Roman" w:hAnsi="Times New Roman"/>
          <w:b/>
          <w:sz w:val="20"/>
        </w:rPr>
        <w:t xml:space="preserve">VOTING AGREEMENT </w:t>
      </w:r>
    </w:p>
    <w:p>
      <w:pPr>
        <w:pStyle w:val="TextBody"/>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u w:val="single"/>
        </w:rPr>
        <w:t>Agreement</w:t>
      </w:r>
      <w:r>
        <w:rPr>
          <w:rFonts w:ascii="Times New Roman" w:hAnsi="Times New Roman"/>
          <w:sz w:val="20"/>
        </w:rPr>
        <w:t>) is made as of [], 2021 (the </w:t>
      </w:r>
      <w:r>
        <w:rPr>
          <w:rFonts w:ascii="Times New Roman" w:hAnsi="Times New Roman"/>
          <w:b/>
          <w:sz w:val="20"/>
          <w:u w:val="single"/>
        </w:rPr>
        <w:t>Effective Date</w:t>
      </w:r>
      <w:r>
        <w:rPr>
          <w:rFonts w:ascii="Times New Roman" w:hAnsi="Times New Roman"/>
          <w:sz w:val="20"/>
        </w:rPr>
        <w:t>), by and among Bakkt Holdings, Inc., a Delaware corporation (the </w:t>
      </w:r>
      <w:r>
        <w:rPr>
          <w:rFonts w:ascii="Times New Roman" w:hAnsi="Times New Roman"/>
          <w:b/>
          <w:sz w:val="20"/>
          <w:u w:val="single"/>
        </w:rPr>
        <w:t>Company</w:t>
      </w:r>
      <w:r>
        <w:rPr>
          <w:rFonts w:ascii="Times New Roman" w:hAnsi="Times New Roman"/>
          <w:sz w:val="20"/>
        </w:rPr>
        <w:t>), and Intercontinental Exchange Holdings, Inc., a Delaware corporation (the </w:t>
      </w:r>
      <w:r>
        <w:rPr>
          <w:rFonts w:ascii="Times New Roman" w:hAnsi="Times New Roman"/>
          <w:b/>
          <w:sz w:val="20"/>
          <w:u w:val="single"/>
        </w:rPr>
        <w:t>Stockholder</w:t>
      </w:r>
      <w:r>
        <w:rPr>
          <w:rFonts w:ascii="Times New Roman" w:hAnsi="Times New Roman"/>
          <w:sz w:val="20"/>
        </w:rPr>
        <w:t xml:space="preserve">).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January 11, 2021, VPC Impact Acquisition Holdings, a Cayman Islands exempted company (</w:t>
      </w:r>
      <w:r>
        <w:rPr>
          <w:rFonts w:ascii="Times New Roman" w:hAnsi="Times New Roman"/>
          <w:b/>
          <w:sz w:val="20"/>
          <w:u w:val="single"/>
        </w:rPr>
        <w:t>VIH</w:t>
      </w:r>
      <w:r>
        <w:rPr>
          <w:rFonts w:ascii="Times New Roman" w:hAnsi="Times New Roman"/>
          <w:sz w:val="20"/>
        </w:rPr>
        <w:t>), Pylon Merger Company LLC, a Delaware limited liability company and wholly owned subsidiary of VIH (</w:t>
      </w:r>
      <w:r>
        <w:rPr>
          <w:rFonts w:ascii="Times New Roman" w:hAnsi="Times New Roman"/>
          <w:b/>
          <w:sz w:val="20"/>
          <w:u w:val="single"/>
        </w:rPr>
        <w:t>Merger Sub</w:t>
      </w:r>
      <w:r>
        <w:rPr>
          <w:rFonts w:ascii="Times New Roman" w:hAnsi="Times New Roman"/>
          <w:sz w:val="20"/>
        </w:rPr>
        <w:t>), and Bakkt Holdings, LLC, a Delaware limited liability company (</w:t>
      </w:r>
      <w:r>
        <w:rPr>
          <w:rFonts w:ascii="Times New Roman" w:hAnsi="Times New Roman"/>
          <w:b/>
          <w:sz w:val="20"/>
          <w:u w:val="single"/>
        </w:rPr>
        <w:t>Bakkt Opco</w:t>
      </w:r>
      <w:r>
        <w:rPr>
          <w:rFonts w:ascii="Times New Roman" w:hAnsi="Times New Roman"/>
          <w:sz w:val="20"/>
        </w:rPr>
        <w:t>), entered into an Agreement and Plan of Merger (the </w:t>
      </w:r>
      <w:r>
        <w:rPr>
          <w:rFonts w:ascii="Times New Roman" w:hAnsi="Times New Roman"/>
          <w:b/>
          <w:sz w:val="20"/>
          <w:u w:val="single"/>
        </w:rPr>
        <w:t>Merger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the Effective Date, pursuant to the Merger Agreement, Merger Sub merged with and into Bakkt Opco (the </w:t>
      </w:r>
      <w:r>
        <w:rPr>
          <w:rFonts w:ascii="Times New Roman" w:hAnsi="Times New Roman"/>
          <w:b/>
          <w:sz w:val="20"/>
          <w:u w:val="single"/>
        </w:rPr>
        <w:t>Merger</w:t>
      </w:r>
      <w:r>
        <w:rPr>
          <w:rFonts w:ascii="Times New Roman" w:hAnsi="Times New Roman"/>
          <w:sz w:val="20"/>
        </w:rPr>
        <w:t>) with Bakkt Opco as the surviving limited liability company in the Merger (</w:t>
      </w:r>
      <w:r>
        <w:rPr>
          <w:rFonts w:ascii="Times New Roman" w:hAnsi="Times New Roman"/>
          <w:b/>
          <w:sz w:val="20"/>
          <w:u w:val="single"/>
        </w:rPr>
        <w:t>Bakkt</w:t>
      </w:r>
      <w:r>
        <w:rPr>
          <w:rFonts w:ascii="Times New Roman" w:hAnsi="Times New Roman"/>
          <w:sz w:val="20"/>
          <w:u w:val="single"/>
        </w:rPr>
        <w:t xml:space="preserve"> </w:t>
      </w:r>
      <w:r>
        <w:rPr>
          <w:rFonts w:ascii="Times New Roman" w:hAnsi="Times New Roman"/>
          <w:b/>
          <w:sz w:val="20"/>
          <w:u w:val="single"/>
        </w:rPr>
        <w:t>Opco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immediately prior to the Effective Time (as defined in the Merger Agreement), VIH effected the transfer by way of continuation of VIH from the Cayman Islands to the State of Delaware in accordance with the applicable provisions of the Companies Act (2020 Revision) of the Cayman Islands and a continuation of VIH by way of domestication under Section 388 of the General Corporation Law of the State of Delaware (the </w:t>
      </w:r>
      <w:r>
        <w:rPr>
          <w:rFonts w:ascii="Times New Roman" w:hAnsi="Times New Roman"/>
          <w:b/>
          <w:sz w:val="20"/>
          <w:u w:val="single"/>
        </w:rPr>
        <w:t>Domestication</w:t>
      </w:r>
      <w:r>
        <w:rPr>
          <w:rFonts w:ascii="Times New Roman" w:hAnsi="Times New Roman"/>
          <w:sz w:val="20"/>
        </w:rPr>
        <w:t xml:space="preserve">) and was renamed Bakkt Holdings, Inc. (with the corporation resulting from the Domestication being the Company referred to in the introductory paragraph of this Agreement);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all public stockholders of VIH prior to the Domestication and certain PIPE Investors received shares of Class A common stock, par value $0.0001, of the Company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A Shares</w:t>
      </w:r>
      <w:r>
        <w:rPr>
          <w:rFonts w:ascii="Times New Roman" w:hAnsi="Times New Roman"/>
          <w:sz w:val="20"/>
        </w:rPr>
        <w:t xml:space="preserve">), which shares are listed on the New York Stock Exchange;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the equity holders of Bakkt Opco immediately prior to the Effective Time received in exchange for their interests in Bakkt Opco (a) common units of limited liability company interests in Bakkt Opco (</w:t>
      </w:r>
      <w:r>
        <w:rPr>
          <w:rFonts w:ascii="Times New Roman" w:hAnsi="Times New Roman"/>
          <w:b/>
          <w:sz w:val="20"/>
          <w:u w:val="single"/>
        </w:rPr>
        <w:t>Bakkt Opco Common Units</w:t>
      </w:r>
      <w:r>
        <w:rPr>
          <w:rFonts w:ascii="Times New Roman" w:hAnsi="Times New Roman"/>
          <w:sz w:val="20"/>
        </w:rPr>
        <w:t>) and (b) an equal number of shares of Class V common stock, par value $0.0001, of the Company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V Shares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Class V Shares are non-economic, but each Class V Share is entitled to one vote (with the Class A Shares and Class V Shares voting together as a class) on each matter submitted to a vote or consent of the stockholders of the Company;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each Bakkt Opco Common Unit, along with a Class V Share (together, the </w:t>
      </w:r>
      <w:r>
        <w:rPr>
          <w:rFonts w:ascii="Times New Roman" w:hAnsi="Times New Roman"/>
          <w:b/>
          <w:sz w:val="20"/>
          <w:u w:val="single"/>
        </w:rPr>
        <w:t>Paired Interests</w:t>
      </w:r>
      <w:r>
        <w:rPr>
          <w:rFonts w:ascii="Times New Roman" w:hAnsi="Times New Roman"/>
          <w:sz w:val="20"/>
        </w:rPr>
        <w:t xml:space="preserve">), may be tendered (at the election of the holder thereof) to the Company in exchange for, at the Companys election, one Class A Share or a cash payment equal to the market value thereof;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at the Effective Time, in exchange for its equity ownership in Bakkt Opco, the Stockholder was issued a number of Class V Shares entitling it to cast in excess of 50% of the total voting power of the outstanding shares of capital stock of the Company.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H-1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and covenants set forth herein, and certain other good and valuable consideration, the receipt and sufficiency of which are hereby acknowledged, and intending to be legally bound hereby, the parties agree as follows: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Shares Subject to Agreement; 30% Limitation; Excess Shares</w:t>
      </w:r>
      <w:r>
        <w:rPr>
          <w:rFonts w:ascii="Times New Roman" w:hAnsi="Times New Roman"/>
          <w:sz w:val="20"/>
        </w:rPr>
        <w:t>. During the existence of this Agreement, promptly following the setting of any record date (the </w:t>
      </w:r>
      <w:r>
        <w:rPr>
          <w:rFonts w:ascii="Times New Roman" w:hAnsi="Times New Roman"/>
          <w:b/>
          <w:sz w:val="20"/>
          <w:u w:val="single"/>
        </w:rPr>
        <w:t>Record Date</w:t>
      </w:r>
      <w:r>
        <w:rPr>
          <w:rFonts w:ascii="Times New Roman" w:hAnsi="Times New Roman"/>
          <w:sz w:val="20"/>
        </w:rPr>
        <w:t>) with respect to any matter for which the Company shall seek a stockholder vote or written consent (the </w:t>
      </w:r>
      <w:r>
        <w:rPr>
          <w:rFonts w:ascii="Times New Roman" w:hAnsi="Times New Roman"/>
          <w:b/>
          <w:sz w:val="20"/>
          <w:u w:val="single"/>
        </w:rPr>
        <w:t>Stockholder Matter</w:t>
      </w:r>
      <w:r>
        <w:rPr>
          <w:rFonts w:ascii="Times New Roman" w:hAnsi="Times New Roman"/>
          <w:sz w:val="20"/>
        </w:rPr>
        <w:t>), the Stockholder and the Company shall jointly calculate the voting power represented by Class A Shares and Class V Shares (collectively, the </w:t>
      </w:r>
      <w:r>
        <w:rPr>
          <w:rFonts w:ascii="Times New Roman" w:hAnsi="Times New Roman"/>
          <w:b/>
          <w:sz w:val="20"/>
          <w:u w:val="single"/>
        </w:rPr>
        <w:t>Shares</w:t>
      </w:r>
      <w:r>
        <w:rPr>
          <w:rFonts w:ascii="Times New Roman" w:hAnsi="Times New Roman"/>
          <w:sz w:val="20"/>
        </w:rPr>
        <w:t>) beneficially owned by the Stockholder and its Affiliates (the </w:t>
      </w:r>
      <w:r>
        <w:rPr>
          <w:rFonts w:ascii="Times New Roman" w:hAnsi="Times New Roman"/>
          <w:b/>
          <w:sz w:val="20"/>
          <w:u w:val="single"/>
        </w:rPr>
        <w:t>Stockholder Shares</w:t>
      </w:r>
      <w:r>
        <w:rPr>
          <w:rFonts w:ascii="Times New Roman" w:hAnsi="Times New Roman"/>
          <w:sz w:val="20"/>
        </w:rPr>
        <w:t>) as of the applicable Record Date. The voting power represented by the Stockholder Shares, if any, that exceeds thirty percent (30%) of the total voting power of the Shares issued and outstanding and entitled to vote as of the Record Date shall be referred to as the </w:t>
      </w:r>
      <w:r>
        <w:rPr>
          <w:rFonts w:ascii="Times New Roman" w:hAnsi="Times New Roman"/>
          <w:b/>
          <w:sz w:val="20"/>
          <w:u w:val="single"/>
        </w:rPr>
        <w:t>Excess Amount</w:t>
      </w:r>
      <w:r>
        <w:rPr>
          <w:rFonts w:ascii="Times New Roman" w:hAnsi="Times New Roman"/>
          <w:sz w:val="20"/>
        </w:rPr>
        <w:t>. The Stockholder hereby agrees that the Stockholder Shares having voting power equal to the Excess Amount (the </w:t>
      </w:r>
      <w:r>
        <w:rPr>
          <w:rFonts w:ascii="Times New Roman" w:hAnsi="Times New Roman"/>
          <w:b/>
          <w:sz w:val="20"/>
          <w:u w:val="single"/>
        </w:rPr>
        <w:t>Excess Shares</w:t>
      </w:r>
      <w:r>
        <w:rPr>
          <w:rFonts w:ascii="Times New Roman" w:hAnsi="Times New Roman"/>
          <w:sz w:val="20"/>
        </w:rPr>
        <w:t xml:space="preserve">) shall be voted as to any Stockholder Matter solely as contemplated by </w:t>
      </w:r>
      <w:r>
        <w:rPr>
          <w:rFonts w:ascii="Times New Roman" w:hAnsi="Times New Roman"/>
          <w:sz w:val="20"/>
          <w:u w:val="single"/>
        </w:rPr>
        <w:t>Section 3</w:t>
      </w:r>
      <w:r>
        <w:rPr>
          <w:rFonts w:ascii="Times New Roman" w:hAnsi="Times New Roman"/>
          <w:sz w:val="20"/>
        </w:rPr>
        <w:t xml:space="preserve"> below. For the avoidance of doubt, except as expressly set forth herein, the Stockholder and its Affiliates shall be permitted to vote or cause to be voted (whether at a meeting of stockholders or by written consent) all of the shares of capital stock of the Company beneficially owned by them in their respective sole and absolute discretion. </w:t>
      </w:r>
      <w:r>
        <w:rPr>
          <w:rFonts w:ascii="Times New Roman" w:hAnsi="Times New Roman"/>
          <w:b/>
          <w:sz w:val="20"/>
          <w:u w:val="single"/>
        </w:rPr>
        <w:t>Affiliate</w:t>
      </w:r>
      <w:r>
        <w:rPr>
          <w:rFonts w:ascii="Times New Roman" w:hAnsi="Times New Roman"/>
          <w:sz w:val="20"/>
        </w:rPr>
        <w:t xml:space="preserve"> means, with respect to any specified Person, any Person that, directly or indirectly through one or more entities, controls or is controlled by, or is under common control with, such specified Person; </w:t>
      </w:r>
      <w:r>
        <w:rPr>
          <w:rFonts w:ascii="Times New Roman" w:hAnsi="Times New Roman"/>
          <w:sz w:val="20"/>
          <w:u w:val="single"/>
        </w:rPr>
        <w:t>provided</w:t>
      </w:r>
      <w:r>
        <w:rPr>
          <w:rFonts w:ascii="Times New Roman" w:hAnsi="Times New Roman"/>
          <w:sz w:val="20"/>
        </w:rPr>
        <w:t xml:space="preserve"> that, for the avoidance of doubt, neither the Company nor the VIH Sponsor (as defined in the Merger Agreement) shall be deemed an Affiliate of the Stockholder for purposes of this Agreement.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r>
        <w:rPr>
          <w:rFonts w:ascii="Times New Roman" w:hAnsi="Times New Roman"/>
          <w:b/>
          <w:sz w:val="20"/>
          <w:u w:val="single"/>
        </w:rPr>
        <w:t>Person</w:t>
      </w:r>
      <w:r>
        <w:rPr>
          <w:rFonts w:ascii="Times New Roman" w:hAnsi="Times New Roman"/>
          <w:sz w:val="20"/>
        </w:rPr>
        <w:t xml:space="preserve"> means any natural person, corporation, general partnership, limited partnership, limited liability company, limited liability partnership, proprietorship, trust, union, association, governmental authority or other entity, enterprise, authority or business organization. Beneficial ownership shall be determined in the manner required by Rule 13d-3 promulgated under the Securities Exchange Act of 1934.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Irrevocable Proxy</w:t>
      </w:r>
      <w:r>
        <w:rPr>
          <w:rFonts w:ascii="Times New Roman" w:hAnsi="Times New Roman"/>
          <w:sz w:val="20"/>
        </w:rPr>
        <w:t>. Upon the determination of the existence of any Excess Shares with respect to a Record Date, the Stockholder hereby appoints the person designated by the Board of Directors of the Company (the </w:t>
      </w:r>
      <w:r>
        <w:rPr>
          <w:rFonts w:ascii="Times New Roman" w:hAnsi="Times New Roman"/>
          <w:b/>
          <w:sz w:val="20"/>
          <w:u w:val="single"/>
        </w:rPr>
        <w:t>Board</w:t>
      </w:r>
      <w:r>
        <w:rPr>
          <w:rFonts w:ascii="Times New Roman" w:hAnsi="Times New Roman"/>
          <w:sz w:val="20"/>
        </w:rPr>
        <w:t>) in writing (the </w:t>
      </w:r>
      <w:r>
        <w:rPr>
          <w:rFonts w:ascii="Times New Roman" w:hAnsi="Times New Roman"/>
          <w:b/>
          <w:sz w:val="20"/>
          <w:u w:val="single"/>
        </w:rPr>
        <w:t>Proxy Designee</w:t>
      </w:r>
      <w:r>
        <w:rPr>
          <w:rFonts w:ascii="Times New Roman" w:hAnsi="Times New Roman"/>
          <w:sz w:val="20"/>
        </w:rPr>
        <w:t xml:space="preserve">) as its proxy and attorney-in-fact, with full power of substitution and resubstitution, to vote or act by written consent all Excess Shares the Stockholder holds as of such Record Date on the applicable Stockholder Matter in the manner provided in </w:t>
      </w:r>
      <w:r>
        <w:rPr>
          <w:rFonts w:ascii="Times New Roman" w:hAnsi="Times New Roman"/>
          <w:sz w:val="20"/>
          <w:u w:val="single"/>
        </w:rPr>
        <w:t>Section 3</w:t>
      </w:r>
      <w:r>
        <w:rPr>
          <w:rFonts w:ascii="Times New Roman" w:hAnsi="Times New Roman"/>
          <w:sz w:val="20"/>
        </w:rPr>
        <w:t xml:space="preserve"> below.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Excess Shares. The power of attorney granted by the Stockholder herein is a durable power of attorney and shall survive the dissolution, insolvency or bankruptcy of the Stockholder. The proxy and power of attorney granted hereunder shall be in effect during the term of this Agreement and shall terminate automatically upon the termination of this Agreement.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Obligations to Vote Excess Shares</w:t>
      </w:r>
      <w:r>
        <w:rPr>
          <w:rFonts w:ascii="Times New Roman" w:hAnsi="Times New Roman"/>
          <w:sz w:val="20"/>
        </w:rPr>
        <w:t xml:space="preserve">. The Company shall instruct the Proxy Designee to vote any Excess Shares such Proxy Designee is entitled to vote on any Stockholder Matter in the same percentages for and against such Stockholder Matter as votes were cast for and against such Stockholder Matter by all stockholders of the Company other than the Stockholder (ignoring, for purposes of making these calculations, abstentions and broker nonvotes).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Authorization</w:t>
      </w:r>
      <w:r>
        <w:rPr>
          <w:rFonts w:ascii="Times New Roman" w:hAnsi="Times New Roman"/>
          <w:sz w:val="20"/>
        </w:rPr>
        <w:t xml:space="preserve">. The Stockholder represents and warrants to the Company that (a) it has not, prior to the date of this Agreement, executed or delivered any proxy or entered into any other voting agreement or similar arrangement with respect to the Stockholder Shares, and (b) the Stockholder has full power and capacity to execute, deliver and perform this Agreement, which has been duly executed and delivered by, and evidences the valid and binding obligation of, the Stockholder, enforceable in accordance with its terms.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H-2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Miscellaneous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u w:val="single"/>
        </w:rPr>
        <w:t>Notices</w:t>
      </w:r>
      <w:r>
        <w:rPr>
          <w:rFonts w:ascii="Times New Roman" w:hAnsi="Times New Roman"/>
          <w:sz w:val="20"/>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hAnsi="Times New Roman"/>
          <w:sz w:val="20"/>
          <w:u w:val="single"/>
        </w:rPr>
        <w:t>Section 5.1</w:t>
      </w:r>
      <w:r>
        <w:rPr>
          <w:rFonts w:ascii="Times New Roman" w:hAnsi="Times New Roman"/>
          <w:sz w:val="20"/>
        </w:rPr>
        <w:t xml:space="preserve"> within two (2) business days thereafter) if sent during normal business hours of the recipient, and on the next business day if sent after normal business hours of the recipient, or (d) on the third (3rd) business day after the date mailed, by certified or registered mail, return receipt requested, postage prepaid. Such communications must be sent to the respective parties at the following addresses (or at such other address for a party as shall be specified in a notice given by such party in accordance with this </w:t>
      </w:r>
      <w:r>
        <w:rPr>
          <w:rFonts w:ascii="Times New Roman" w:hAnsi="Times New Roman"/>
          <w:sz w:val="20"/>
          <w:u w:val="single"/>
        </w:rPr>
        <w:t>Section 5.1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to the Company: </w:t>
      </w:r>
    </w:p>
    <w:p>
      <w:pPr>
        <w:pStyle w:val="TextBody"/>
        <w:spacing w:before="12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5900 Windward Parkway, Suite 450 </w:t>
      </w:r>
    </w:p>
    <w:p>
      <w:pPr>
        <w:pStyle w:val="TextBody"/>
        <w:spacing w:before="0" w:after="0"/>
        <w:jc w:val="left"/>
        <w:rPr>
          <w:rFonts w:ascii="Times New Roman" w:hAnsi="Times New Roman"/>
          <w:sz w:val="20"/>
        </w:rPr>
      </w:pPr>
      <w:r>
        <w:rPr>
          <w:rFonts w:ascii="Times New Roman" w:hAnsi="Times New Roman"/>
          <w:sz w:val="20"/>
        </w:rPr>
        <w:t xml:space="preserve">Alpharetta, GA 30005 </w:t>
      </w:r>
    </w:p>
    <w:p>
      <w:pPr>
        <w:pStyle w:val="TextBody"/>
        <w:spacing w:before="0" w:after="0"/>
        <w:jc w:val="left"/>
        <w:rPr>
          <w:rFonts w:ascii="Times New Roman" w:hAnsi="Times New Roman"/>
          <w:sz w:val="20"/>
        </w:rPr>
      </w:pPr>
      <w:r>
        <w:rPr>
          <w:rFonts w:ascii="Times New Roman" w:hAnsi="Times New Roman"/>
          <w:sz w:val="20"/>
        </w:rPr>
        <w:t xml:space="preserve">Attn: General Counsel </w:t>
      </w:r>
    </w:p>
    <w:p>
      <w:pPr>
        <w:pStyle w:val="TextBody"/>
        <w:spacing w:before="0" w:after="0"/>
        <w:jc w:val="left"/>
        <w:rPr>
          <w:rFonts w:ascii="Times New Roman" w:hAnsi="Times New Roman"/>
          <w:sz w:val="20"/>
        </w:rPr>
      </w:pPr>
      <w:r>
        <w:rPr>
          <w:rFonts w:ascii="Times New Roman" w:hAnsi="Times New Roman"/>
          <w:sz w:val="20"/>
        </w:rPr>
        <w:t xml:space="preserve">Email: marc.dannunzio@bakkt.com </w:t>
      </w:r>
    </w:p>
    <w:p>
      <w:pPr>
        <w:pStyle w:val="TextBody"/>
        <w:spacing w:before="120" w:after="0"/>
        <w:jc w:val="left"/>
        <w:rPr>
          <w:rFonts w:ascii="Times New Roman" w:hAnsi="Times New Roman"/>
          <w:sz w:val="20"/>
        </w:rPr>
      </w:pPr>
      <w:r>
        <w:rPr>
          <w:rFonts w:ascii="Times New Roman" w:hAnsi="Times New Roman"/>
          <w:sz w:val="20"/>
        </w:rPr>
        <w:t xml:space="preserve">If to the Stockholder </w:t>
      </w:r>
    </w:p>
    <w:p>
      <w:pPr>
        <w:pStyle w:val="TextBody"/>
        <w:spacing w:before="120" w:after="0"/>
        <w:jc w:val="left"/>
        <w:rPr>
          <w:rFonts w:ascii="Times New Roman" w:hAnsi="Times New Roman"/>
          <w:sz w:val="20"/>
        </w:rPr>
      </w:pPr>
      <w:r>
        <w:rPr>
          <w:rFonts w:ascii="Times New Roman" w:hAnsi="Times New Roman"/>
          <w:sz w:val="20"/>
        </w:rPr>
        <w:t xml:space="preserve">Intercontinental Exchange Holdings, Inc. </w:t>
      </w:r>
    </w:p>
    <w:p>
      <w:pPr>
        <w:pStyle w:val="TextBody"/>
        <w:spacing w:before="0" w:after="0"/>
        <w:jc w:val="left"/>
        <w:rPr>
          <w:rFonts w:ascii="Times New Roman" w:hAnsi="Times New Roman"/>
          <w:sz w:val="20"/>
        </w:rPr>
      </w:pPr>
      <w:r>
        <w:rPr>
          <w:rFonts w:ascii="Times New Roman" w:hAnsi="Times New Roman"/>
          <w:sz w:val="20"/>
        </w:rPr>
        <w:t xml:space="preserve">5660 New Northside Drive </w:t>
      </w:r>
    </w:p>
    <w:p>
      <w:pPr>
        <w:pStyle w:val="TextBody"/>
        <w:spacing w:before="0" w:after="0"/>
        <w:jc w:val="left"/>
        <w:rPr>
          <w:rFonts w:ascii="Times New Roman" w:hAnsi="Times New Roman"/>
          <w:sz w:val="20"/>
        </w:rPr>
      </w:pPr>
      <w:r>
        <w:rPr>
          <w:rFonts w:ascii="Times New Roman" w:hAnsi="Times New Roman"/>
          <w:sz w:val="20"/>
        </w:rPr>
        <w:t xml:space="preserve">Atlanta, Georgia 30328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rFonts w:ascii="Times New Roman" w:hAnsi="Times New Roman"/>
          <w:sz w:val="20"/>
        </w:rPr>
      </w:pPr>
      <w:r>
        <w:rPr>
          <w:rFonts w:ascii="Times New Roman" w:hAnsi="Times New Roman"/>
          <w:sz w:val="20"/>
        </w:rPr>
        <w:t xml:space="preserve">Email: legal-notices@theice.com </w:t>
      </w:r>
    </w:p>
    <w:p>
      <w:pPr>
        <w:pStyle w:val="TextBody"/>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u w:val="single"/>
        </w:rPr>
        <w:t>Entire Agreement</w:t>
      </w:r>
      <w:r>
        <w:rPr>
          <w:rFonts w:ascii="Times New Roman" w:hAnsi="Times New Roman"/>
          <w:sz w:val="20"/>
        </w:rPr>
        <w:t xml:space="preserve">. This Agreement sets forth the entire understanding of the parties with respect to the specific subject matter hereof of voting of the Excess Shares. Any and all previous agreements and understandings between or among the parties regarding the specific subject matter hereof of voting the Excess Shares, whether written or oral, are superseded by this Agreement; provided that, except with respect to the voting of the Excess Shares as expressly provided herein, this Agreement shall not be deemed to supersede the Organizational Documents (as defined in the Merger Agreement) of the Company, including the Stockholders Agreement. </w:t>
      </w:r>
    </w:p>
    <w:p>
      <w:pPr>
        <w:pStyle w:val="TextBody"/>
        <w:spacing w:before="12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u w:val="single"/>
        </w:rPr>
        <w:t>Successors and Assigns</w:t>
      </w:r>
      <w:r>
        <w:rPr>
          <w:rFonts w:ascii="Times New Roman" w:hAnsi="Times New Roman"/>
          <w:sz w:val="20"/>
        </w:rPr>
        <w:t xml:space="preserve">. This Agreement shall be binding upon and shall inure to the benefit of the parties and their respective successors and permitted assigns. Neither of the parties may assign its rights or obligations hereunder without the prior written consent of the other party. No assignment shall relieve the assigning party of any of its obligations hereunder. </w:t>
      </w:r>
    </w:p>
    <w:p>
      <w:pPr>
        <w:pStyle w:val="TextBody"/>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u w:val="single"/>
        </w:rPr>
        <w:t>Counterparts</w:t>
      </w:r>
      <w:r>
        <w:rPr>
          <w:rFonts w:ascii="Times New Roman" w:hAnsi="Times New Roman"/>
          <w:sz w:val="20"/>
        </w:rPr>
        <w:t xml:space="preserve">.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 </w:t>
      </w:r>
    </w:p>
    <w:p>
      <w:pPr>
        <w:pStyle w:val="TextBody"/>
        <w:spacing w:before="12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u w:val="single"/>
        </w:rPr>
        <w:t>Governing Law</w:t>
      </w:r>
      <w:r>
        <w:rPr>
          <w:rFonts w:ascii="Times New Roman" w:hAnsi="Times New Roman"/>
          <w:sz w:val="20"/>
        </w:rPr>
        <w:t xml:space="preserve">.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 </w:t>
      </w:r>
    </w:p>
    <w:p>
      <w:pPr>
        <w:pStyle w:val="TextBody"/>
        <w:spacing w:before="120" w:after="0"/>
        <w:jc w:val="left"/>
        <w:rPr>
          <w:rFonts w:ascii="Times New Roman" w:hAnsi="Times New Roman"/>
          <w:sz w:val="20"/>
        </w:rPr>
      </w:pPr>
      <w:r>
        <w:rPr>
          <w:rFonts w:ascii="Times New Roman" w:hAnsi="Times New Roman"/>
          <w:sz w:val="20"/>
        </w:rPr>
        <w:t xml:space="preserve">5.6 </w:t>
      </w:r>
      <w:r>
        <w:rPr>
          <w:rFonts w:ascii="Times New Roman" w:hAnsi="Times New Roman"/>
          <w:b/>
          <w:sz w:val="20"/>
          <w:u w:val="single"/>
        </w:rPr>
        <w:t>Submission to Jurisdiction; WAIVER OF JURY TRIAL</w:t>
      </w:r>
      <w:r>
        <w:rPr>
          <w:rFonts w:ascii="Times New Roman" w:hAnsi="Times New Roman"/>
          <w:sz w:val="20"/>
        </w:rPr>
        <w:t xml:space="preserve">. Each of the parties (i) irrevocably and unconditionally submits to the exclusive personal jurisdiction of the Court of Chancery of the State of Delaware, or, if that court does not have jurisdiction, a federal court sitting in Wilmington, Delaware (and in each case, any appellate courts thereof) in any action or proceeding arising out of or relating to this Agreement, (ii) agrees that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H-3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hAnsi="Times New Roman"/>
          <w:sz w:val="20"/>
          <w:u w:val="single"/>
        </w:rPr>
        <w:t>Section 5.1</w:t>
      </w:r>
      <w:r>
        <w:rPr>
          <w:rFonts w:ascii="Times New Roman" w:hAnsi="Times New Roman"/>
          <w:sz w:val="20"/>
        </w:rPr>
        <w:t xml:space="preserve">. Nothing in this </w:t>
      </w:r>
      <w:r>
        <w:rPr>
          <w:rFonts w:ascii="Times New Roman" w:hAnsi="Times New Roman"/>
          <w:sz w:val="20"/>
          <w:u w:val="single"/>
        </w:rPr>
        <w:t>Section 5.6</w:t>
      </w:r>
      <w:r>
        <w:rPr>
          <w:rFonts w:ascii="Times New Roman" w:hAnsi="Times New Roman"/>
          <w:sz w:val="20"/>
        </w:rPr>
        <w:t xml:space="preserve">, however, shall affect the right of any party to serve legal process in any other manner permitted by law. TO THE FULLEST EXTENT PERMITTED BY APPLICABLE LAW, EACH PARTY HEREBY IRREVOCABLY AND UNCONDITIONALLY WAIVES ALL RIGHTS TO TRIAL BY JURY IN ANY ACTION OR PROCEEDING CONTEMPLATED HEREBY. </w:t>
      </w:r>
    </w:p>
    <w:p>
      <w:pPr>
        <w:pStyle w:val="TextBody"/>
        <w:spacing w:before="120" w:after="0"/>
        <w:jc w:val="left"/>
        <w:rPr>
          <w:rFonts w:ascii="Times New Roman" w:hAnsi="Times New Roman"/>
          <w:sz w:val="20"/>
        </w:rPr>
      </w:pPr>
      <w:r>
        <w:rPr>
          <w:rFonts w:ascii="Times New Roman" w:hAnsi="Times New Roman"/>
          <w:sz w:val="20"/>
        </w:rPr>
        <w:t xml:space="preserve">5.7 </w:t>
      </w:r>
      <w:r>
        <w:rPr>
          <w:rFonts w:ascii="Times New Roman" w:hAnsi="Times New Roman"/>
          <w:b/>
          <w:sz w:val="20"/>
          <w:u w:val="single"/>
        </w:rPr>
        <w:t>Specific Performance</w:t>
      </w:r>
      <w:r>
        <w:rPr>
          <w:rFonts w:ascii="Times New Roman" w:hAnsi="Times New Roman"/>
          <w:sz w:val="20"/>
        </w:rPr>
        <w:t xml:space="preserve">. Each party acknowledges that the other party will be irreparably harmed and that there will be no adequate remedy at law for any violation by any party of any of the covenants or agreements contained in this Agreement.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partys covenants and agreements contained in this Agreement,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and to enforce specifically the terms and provisions of this Agreement shall not be required to provide any bond or other security in connection with such order or injunction. </w:t>
      </w:r>
    </w:p>
    <w:p>
      <w:pPr>
        <w:pStyle w:val="TextBody"/>
        <w:spacing w:before="120" w:after="0"/>
        <w:jc w:val="left"/>
        <w:rPr>
          <w:rFonts w:ascii="Times New Roman" w:hAnsi="Times New Roman"/>
          <w:sz w:val="20"/>
        </w:rPr>
      </w:pPr>
      <w:r>
        <w:rPr>
          <w:rFonts w:ascii="Times New Roman" w:hAnsi="Times New Roman"/>
          <w:sz w:val="20"/>
        </w:rPr>
        <w:t xml:space="preserve">5.8 </w:t>
      </w:r>
      <w:r>
        <w:rPr>
          <w:rFonts w:ascii="Times New Roman" w:hAnsi="Times New Roman"/>
          <w:b/>
          <w:sz w:val="20"/>
          <w:u w:val="single"/>
        </w:rPr>
        <w:t>Severability</w:t>
      </w:r>
      <w:r>
        <w:rPr>
          <w:rFonts w:ascii="Times New Roman" w:hAnsi="Times New Roman"/>
          <w:sz w:val="20"/>
        </w:rPr>
        <w:t xml:space="preserve">.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 </w:t>
      </w:r>
    </w:p>
    <w:p>
      <w:pPr>
        <w:pStyle w:val="TextBody"/>
        <w:spacing w:before="12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u w:val="single"/>
        </w:rPr>
        <w:t>Amendment, Waiver</w:t>
      </w:r>
      <w:r>
        <w:rPr>
          <w:rFonts w:ascii="Times New Roman" w:hAnsi="Times New Roman"/>
          <w:sz w:val="20"/>
        </w:rPr>
        <w:t>. This Agreement may be amended by the parties at any time by execution of an instrument in writing signed on behalf of each of the parties. Any amendment of this Agreement must be approved by the Board or a committee thereof, in each case, with any director that the Stockholder is entitled to nominate pursuant to the Stockholders Agreement, dated as of the Effective Date (as it may be amended from time to time), by and among the Corporation and the other parties thereto (the </w:t>
      </w:r>
      <w:r>
        <w:rPr>
          <w:rFonts w:ascii="Times New Roman" w:hAnsi="Times New Roman"/>
          <w:b/>
          <w:sz w:val="20"/>
          <w:u w:val="single"/>
        </w:rPr>
        <w:t>Stockholders Agreement</w:t>
      </w:r>
      <w:r>
        <w:rPr>
          <w:rFonts w:ascii="Times New Roman" w:hAnsi="Times New Roman"/>
          <w:sz w:val="20"/>
        </w:rPr>
        <w:t xml:space="preserve">), abstaining. Any extension or waiver by any party of any provision hereto shall be valid only if set forth in an instrument in writing signed on behalf of such party. </w:t>
      </w:r>
    </w:p>
    <w:p>
      <w:pPr>
        <w:pStyle w:val="TextBody"/>
        <w:spacing w:before="120" w:after="0"/>
        <w:jc w:val="left"/>
        <w:rPr>
          <w:rFonts w:ascii="Times New Roman" w:hAnsi="Times New Roman"/>
          <w:sz w:val="20"/>
        </w:rPr>
      </w:pPr>
      <w:r>
        <w:rPr>
          <w:rFonts w:ascii="Times New Roman" w:hAnsi="Times New Roman"/>
          <w:sz w:val="20"/>
        </w:rPr>
        <w:t xml:space="preserve">5.10 </w:t>
      </w:r>
      <w:r>
        <w:rPr>
          <w:rFonts w:ascii="Times New Roman" w:hAnsi="Times New Roman"/>
          <w:b/>
          <w:sz w:val="20"/>
          <w:u w:val="single"/>
        </w:rPr>
        <w:t>Termination</w:t>
      </w:r>
      <w:r>
        <w:rPr>
          <w:rFonts w:ascii="Times New Roman" w:hAnsi="Times New Roman"/>
          <w:sz w:val="20"/>
        </w:rPr>
        <w:t xml:space="preserve">. This Agreement shall terminate without any further action by either of the parties if the voting power represented by the Stockholder Shares beneficially owned by the Stockholder and its Affiliates falls below fifty percent (50%) of the total voting power of the Shares issued and outstanding and entitled to vote at any time, regardless of how that event is brought about, including by sale of Shares to any Person that is not an Affiliate of the Stockholder. Once this Agreement terminates, it shall not spring back into effect for any reason, including the acquisition by the Stockholder of additional securities of the Company. </w:t>
      </w:r>
    </w:p>
    <w:p>
      <w:pPr>
        <w:pStyle w:val="TextBody"/>
        <w:spacing w:before="120" w:after="0"/>
        <w:jc w:val="left"/>
        <w:rPr>
          <w:rFonts w:ascii="Times New Roman" w:hAnsi="Times New Roman"/>
          <w:sz w:val="20"/>
        </w:rPr>
      </w:pPr>
      <w:r>
        <w:rPr>
          <w:rFonts w:ascii="Times New Roman" w:hAnsi="Times New Roman"/>
          <w:sz w:val="20"/>
        </w:rPr>
        <w:t xml:space="preserve">5.11 </w:t>
      </w:r>
      <w:r>
        <w:rPr>
          <w:rFonts w:ascii="Times New Roman" w:hAnsi="Times New Roman"/>
          <w:b/>
          <w:sz w:val="20"/>
          <w:u w:val="single"/>
        </w:rPr>
        <w:t>Absence of Third Party Beneficiary Rights</w:t>
      </w:r>
      <w:r>
        <w:rPr>
          <w:rFonts w:ascii="Times New Roman" w:hAnsi="Times New Roman"/>
          <w:sz w:val="20"/>
        </w:rPr>
        <w:t xml:space="preserve">.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H-4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5.12 </w:t>
      </w:r>
      <w:r>
        <w:rPr>
          <w:rFonts w:ascii="Times New Roman" w:hAnsi="Times New Roman"/>
          <w:b/>
          <w:sz w:val="20"/>
          <w:u w:val="single"/>
        </w:rPr>
        <w:t>No Limitations in Capacity as Director or Officer</w:t>
      </w:r>
      <w:r>
        <w:rPr>
          <w:rFonts w:ascii="Times New Roman" w:hAnsi="Times New Roman"/>
          <w:sz w:val="20"/>
        </w:rPr>
        <w:t xml:space="preserve">. The Stockholder is signing this Agreement solely in its capacity as a beneficial owner of the Stockholder Shares, and nothing contained in this Agreement shall prohibit, prevent, preclude, or restrict any designee of Stockholder from taking or not taking any action in its capacity as an officer or director of the Company. </w:t>
      </w:r>
    </w:p>
    <w:p>
      <w:pPr>
        <w:pStyle w:val="TextBody"/>
        <w:spacing w:before="120" w:after="0"/>
        <w:jc w:val="left"/>
        <w:rPr>
          <w:rFonts w:ascii="Times New Roman" w:hAnsi="Times New Roman"/>
          <w:sz w:val="20"/>
        </w:rPr>
      </w:pPr>
      <w:r>
        <w:rPr>
          <w:rFonts w:ascii="Times New Roman" w:hAnsi="Times New Roman"/>
          <w:sz w:val="20"/>
        </w:rPr>
        <w:t xml:space="preserve">5.13 </w:t>
      </w:r>
      <w:r>
        <w:rPr>
          <w:rFonts w:ascii="Times New Roman" w:hAnsi="Times New Roman"/>
          <w:b/>
          <w:sz w:val="20"/>
          <w:u w:val="single"/>
        </w:rPr>
        <w:t>Recapitalization</w:t>
      </w:r>
      <w:r>
        <w:rPr>
          <w:rFonts w:ascii="Times New Roman" w:hAnsi="Times New Roman"/>
          <w:sz w:val="20"/>
        </w:rPr>
        <w:t xml:space="preserve">. In case of any reclassification, capital reorganization, merger or change in the Class A Shares and Class V Shares of the Company, such that such shares no longer exist in the form that they exist on the date of this Agreement, then this Agreement shall apply </w:t>
      </w:r>
      <w:r>
        <w:rPr>
          <w:rFonts w:ascii="Times New Roman" w:hAnsi="Times New Roman"/>
          <w:i/>
          <w:sz w:val="20"/>
        </w:rPr>
        <w:t>mutatis mutandis</w:t>
      </w:r>
      <w:r>
        <w:rPr>
          <w:rFonts w:ascii="Times New Roman" w:hAnsi="Times New Roman"/>
          <w:sz w:val="20"/>
        </w:rPr>
        <w:t xml:space="preserve"> to the class or classes of securities of the Company then outstanding and owned by the Stockholder and its Affiliates that have the right to vote in the election of directors (or their functional equivalents) of the Company. </w:t>
      </w:r>
    </w:p>
    <w:p>
      <w:pPr>
        <w:pStyle w:val="TextBody"/>
        <w:spacing w:before="120" w:after="0"/>
        <w:jc w:val="left"/>
        <w:rPr>
          <w:rFonts w:ascii="Times New Roman" w:hAnsi="Times New Roman"/>
          <w:sz w:val="20"/>
        </w:rPr>
      </w:pPr>
      <w:r>
        <w:rPr>
          <w:rFonts w:ascii="Times New Roman" w:hAnsi="Times New Roman"/>
          <w:sz w:val="20"/>
        </w:rPr>
        <w:t xml:space="preserve">5.14 </w:t>
      </w:r>
      <w:r>
        <w:rPr>
          <w:rFonts w:ascii="Times New Roman" w:hAnsi="Times New Roman"/>
          <w:b/>
          <w:sz w:val="20"/>
          <w:u w:val="single"/>
        </w:rPr>
        <w:t>Mutual Drafting</w:t>
      </w:r>
      <w:r>
        <w:rPr>
          <w:rFonts w:ascii="Times New Roman" w:hAnsi="Times New Roman"/>
          <w:sz w:val="20"/>
        </w:rPr>
        <w:t xml:space="preserve">. This Agreement is the mutual product of the parties, and each provision hereof has been subject to the mutual consultation, negotiation and agreement of each of the parties, and shall not be construed for or against any party by virtue of the authorship thereof.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H-5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Voting Agreement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103"/>
        <w:gridCol w:w="99"/>
        <w:gridCol w:w="2880"/>
      </w:tblGrid>
      <w:tr>
        <w:trPr/>
        <w:tc>
          <w:tcPr>
            <w:tcW w:w="110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COMPANY</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INC.</w:t>
            </w:r>
          </w:p>
        </w:tc>
      </w:tr>
      <w:tr>
        <w:trPr>
          <w:trHeight w:val="240" w:hRule="atLeast"/>
        </w:trPr>
        <w:tc>
          <w:tcPr>
            <w:tcW w:w="1103" w:type="dxa"/>
            <w:tcBorders/>
            <w:shd w:fill="auto" w:val="clear"/>
            <w:vAlign w:val="center"/>
          </w:tcPr>
          <w:p>
            <w:pPr>
              <w:pStyle w:val="TableContents"/>
              <w:spacing w:before="0" w:after="283"/>
              <w:rPr>
                <w:sz w:val="4"/>
                <w:szCs w:val="4"/>
              </w:rPr>
            </w:pPr>
            <w:r>
              <w:rPr>
                <w:sz w:val="4"/>
                <w:szCs w:val="4"/>
              </w:rPr>
            </w:r>
          </w:p>
        </w:tc>
        <w:tc>
          <w:tcPr>
            <w:tcW w:w="2979" w:type="dxa"/>
            <w:gridSpan w:val="2"/>
            <w:tcBorders/>
            <w:shd w:fill="auto" w:val="clear"/>
            <w:vAlign w:val="center"/>
          </w:tcPr>
          <w:p>
            <w:pPr>
              <w:pStyle w:val="TableContents"/>
              <w:spacing w:before="0" w:after="283"/>
              <w:rPr>
                <w:sz w:val="4"/>
                <w:szCs w:val="4"/>
              </w:rPr>
            </w:pPr>
            <w:r>
              <w:rPr>
                <w:sz w:val="4"/>
                <w:szCs w:val="4"/>
              </w:rPr>
            </w:r>
          </w:p>
        </w:tc>
      </w:tr>
      <w:tr>
        <w:trPr/>
        <w:tc>
          <w:tcPr>
            <w:tcW w:w="1103" w:type="dxa"/>
            <w:tcBorders/>
            <w:shd w:fill="auto" w:val="clear"/>
          </w:tcPr>
          <w:p>
            <w:pPr>
              <w:pStyle w:val="TableContents"/>
              <w:spacing w:before="0" w:after="283"/>
              <w:rPr/>
            </w:pPr>
            <w:r>
              <w:rPr/>
              <w:t>By:</w:t>
            </w:r>
          </w:p>
        </w:tc>
        <w:tc>
          <w:tcPr>
            <w:tcW w:w="99" w:type="dxa"/>
            <w:tcBorders/>
            <w:shd w:fill="auto" w:val="clear"/>
            <w:vAlign w:val="bottom"/>
          </w:tcPr>
          <w:p>
            <w:pPr>
              <w:pStyle w:val="TableContents"/>
              <w:spacing w:before="0" w:after="283"/>
              <w:rPr/>
            </w:pPr>
            <w:r>
              <w:rPr/>
              <w:t> </w:t>
            </w:r>
          </w:p>
        </w:tc>
        <w:tc>
          <w:tcPr>
            <w:tcW w:w="2880" w:type="dxa"/>
            <w:tcBorders/>
            <w:shd w:fill="auto" w:val="clear"/>
          </w:tcPr>
          <w:p>
            <w:pPr>
              <w:pStyle w:val="TableContents"/>
              <w:pBdr>
                <w:bottom w:val="single" w:sz="2" w:space="1" w:color="000000"/>
              </w:pBdr>
              <w:spacing w:before="0" w:after="20"/>
              <w:rPr/>
            </w:pPr>
            <w:r>
              <w:rPr/>
              <w:t>                 </w:t>
            </w:r>
          </w:p>
        </w:tc>
      </w:tr>
      <w:tr>
        <w:trPr/>
        <w:tc>
          <w:tcPr>
            <w:tcW w:w="1103" w:type="dxa"/>
            <w:tcBorders/>
            <w:shd w:fill="auto" w:val="clear"/>
          </w:tcPr>
          <w:p>
            <w:pPr>
              <w:pStyle w:val="TableContents"/>
              <w:spacing w:before="0" w:after="283"/>
              <w:rPr/>
            </w:pPr>
            <w:r>
              <w:rPr/>
              <w:t>Name:</w:t>
            </w:r>
          </w:p>
        </w:tc>
        <w:tc>
          <w:tcPr>
            <w:tcW w:w="99" w:type="dxa"/>
            <w:tcBorders/>
            <w:shd w:fill="auto" w:val="clear"/>
            <w:vAlign w:val="bottom"/>
          </w:tcPr>
          <w:p>
            <w:pPr>
              <w:pStyle w:val="TableContents"/>
              <w:spacing w:before="0" w:after="283"/>
              <w:rPr/>
            </w:pPr>
            <w:r>
              <w:rPr/>
              <w:t> </w:t>
            </w:r>
          </w:p>
        </w:tc>
        <w:tc>
          <w:tcPr>
            <w:tcW w:w="2880" w:type="dxa"/>
            <w:tcBorders/>
            <w:shd w:fill="auto" w:val="clear"/>
          </w:tcPr>
          <w:p>
            <w:pPr>
              <w:pStyle w:val="TableContents"/>
              <w:pBdr>
                <w:bottom w:val="single" w:sz="2" w:space="1" w:color="000000"/>
              </w:pBdr>
              <w:spacing w:before="0" w:after="20"/>
              <w:rPr/>
            </w:pPr>
            <w:r>
              <w:rPr/>
              <w:t> </w:t>
            </w:r>
          </w:p>
        </w:tc>
      </w:tr>
      <w:tr>
        <w:trPr/>
        <w:tc>
          <w:tcPr>
            <w:tcW w:w="1103" w:type="dxa"/>
            <w:tcBorders/>
            <w:shd w:fill="auto" w:val="clear"/>
          </w:tcPr>
          <w:p>
            <w:pPr>
              <w:pStyle w:val="TableContents"/>
              <w:spacing w:before="0" w:after="283"/>
              <w:rPr/>
            </w:pPr>
            <w:r>
              <w:rPr/>
              <w:t>Title:</w:t>
            </w:r>
          </w:p>
        </w:tc>
        <w:tc>
          <w:tcPr>
            <w:tcW w:w="99" w:type="dxa"/>
            <w:tcBorders/>
            <w:shd w:fill="auto" w:val="clear"/>
            <w:vAlign w:val="bottom"/>
          </w:tcPr>
          <w:p>
            <w:pPr>
              <w:pStyle w:val="TableContents"/>
              <w:spacing w:before="0" w:after="283"/>
              <w:rPr/>
            </w:pPr>
            <w:r>
              <w:rPr/>
              <w:t> </w:t>
            </w:r>
          </w:p>
        </w:tc>
        <w:tc>
          <w:tcPr>
            <w:tcW w:w="2880" w:type="dxa"/>
            <w:tcBorders/>
            <w:shd w:fill="auto" w:val="clear"/>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STOCKHOLDER</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INTERCONTINENTAL EXCHANGE HOLDINGS, INC.</w:t>
            </w:r>
          </w:p>
        </w:tc>
      </w:tr>
      <w:tr>
        <w:trPr>
          <w:trHeight w:val="240" w:hRule="atLeast"/>
        </w:trPr>
        <w:tc>
          <w:tcPr>
            <w:tcW w:w="1103" w:type="dxa"/>
            <w:tcBorders/>
            <w:shd w:fill="auto" w:val="clear"/>
            <w:vAlign w:val="center"/>
          </w:tcPr>
          <w:p>
            <w:pPr>
              <w:pStyle w:val="TableContents"/>
              <w:spacing w:before="0" w:after="283"/>
              <w:rPr>
                <w:sz w:val="4"/>
                <w:szCs w:val="4"/>
              </w:rPr>
            </w:pPr>
            <w:r>
              <w:rPr>
                <w:sz w:val="4"/>
                <w:szCs w:val="4"/>
              </w:rPr>
            </w:r>
          </w:p>
        </w:tc>
        <w:tc>
          <w:tcPr>
            <w:tcW w:w="2979" w:type="dxa"/>
            <w:gridSpan w:val="2"/>
            <w:tcBorders/>
            <w:shd w:fill="auto" w:val="clear"/>
            <w:vAlign w:val="center"/>
          </w:tcPr>
          <w:p>
            <w:pPr>
              <w:pStyle w:val="TableContents"/>
              <w:spacing w:before="0" w:after="283"/>
              <w:rPr>
                <w:sz w:val="4"/>
                <w:szCs w:val="4"/>
              </w:rPr>
            </w:pPr>
            <w:r>
              <w:rPr>
                <w:sz w:val="4"/>
                <w:szCs w:val="4"/>
              </w:rPr>
            </w:r>
          </w:p>
        </w:tc>
      </w:tr>
      <w:tr>
        <w:trPr/>
        <w:tc>
          <w:tcPr>
            <w:tcW w:w="1103" w:type="dxa"/>
            <w:tcBorders/>
            <w:shd w:fill="auto" w:val="clear"/>
          </w:tcPr>
          <w:p>
            <w:pPr>
              <w:pStyle w:val="TableContents"/>
              <w:spacing w:before="0" w:after="283"/>
              <w:rPr/>
            </w:pPr>
            <w:r>
              <w:rPr/>
              <w:t>By:</w:t>
            </w:r>
          </w:p>
        </w:tc>
        <w:tc>
          <w:tcPr>
            <w:tcW w:w="99" w:type="dxa"/>
            <w:tcBorders/>
            <w:shd w:fill="auto" w:val="clear"/>
            <w:vAlign w:val="bottom"/>
          </w:tcPr>
          <w:p>
            <w:pPr>
              <w:pStyle w:val="TableContents"/>
              <w:spacing w:before="0" w:after="283"/>
              <w:rPr/>
            </w:pPr>
            <w:r>
              <w:rPr/>
              <w:t> </w:t>
            </w:r>
          </w:p>
        </w:tc>
        <w:tc>
          <w:tcPr>
            <w:tcW w:w="2880" w:type="dxa"/>
            <w:tcBorders/>
            <w:shd w:fill="auto" w:val="clear"/>
          </w:tcPr>
          <w:p>
            <w:pPr>
              <w:pStyle w:val="TableContents"/>
              <w:pBdr>
                <w:bottom w:val="single" w:sz="2" w:space="1" w:color="000000"/>
              </w:pBdr>
              <w:spacing w:before="0" w:after="20"/>
              <w:rPr/>
            </w:pPr>
            <w:r>
              <w:rPr/>
              <w:t> </w:t>
            </w:r>
          </w:p>
        </w:tc>
      </w:tr>
      <w:tr>
        <w:trPr/>
        <w:tc>
          <w:tcPr>
            <w:tcW w:w="1103" w:type="dxa"/>
            <w:tcBorders/>
            <w:shd w:fill="auto" w:val="clear"/>
          </w:tcPr>
          <w:p>
            <w:pPr>
              <w:pStyle w:val="TableContents"/>
              <w:spacing w:before="0" w:after="283"/>
              <w:rPr/>
            </w:pPr>
            <w:r>
              <w:rPr/>
              <w:t>Name:</w:t>
            </w:r>
          </w:p>
        </w:tc>
        <w:tc>
          <w:tcPr>
            <w:tcW w:w="99" w:type="dxa"/>
            <w:tcBorders/>
            <w:shd w:fill="auto" w:val="clear"/>
            <w:vAlign w:val="bottom"/>
          </w:tcPr>
          <w:p>
            <w:pPr>
              <w:pStyle w:val="TableContents"/>
              <w:spacing w:before="0" w:after="283"/>
              <w:rPr/>
            </w:pPr>
            <w:r>
              <w:rPr/>
              <w:t> </w:t>
            </w:r>
          </w:p>
        </w:tc>
        <w:tc>
          <w:tcPr>
            <w:tcW w:w="2880" w:type="dxa"/>
            <w:tcBorders/>
            <w:shd w:fill="auto" w:val="clear"/>
          </w:tcPr>
          <w:p>
            <w:pPr>
              <w:pStyle w:val="TableContents"/>
              <w:pBdr>
                <w:bottom w:val="single" w:sz="2" w:space="1" w:color="000000"/>
              </w:pBdr>
              <w:spacing w:before="0" w:after="20"/>
              <w:rPr/>
            </w:pPr>
            <w:r>
              <w:rPr/>
              <w:t> </w:t>
            </w:r>
          </w:p>
        </w:tc>
      </w:tr>
      <w:tr>
        <w:trPr/>
        <w:tc>
          <w:tcPr>
            <w:tcW w:w="1103" w:type="dxa"/>
            <w:tcBorders/>
            <w:shd w:fill="auto" w:val="clear"/>
          </w:tcPr>
          <w:p>
            <w:pPr>
              <w:pStyle w:val="TableContents"/>
              <w:spacing w:before="0" w:after="283"/>
              <w:rPr/>
            </w:pPr>
            <w:r>
              <w:rPr/>
              <w:t>Title:</w:t>
            </w:r>
          </w:p>
        </w:tc>
        <w:tc>
          <w:tcPr>
            <w:tcW w:w="99" w:type="dxa"/>
            <w:tcBorders/>
            <w:shd w:fill="auto" w:val="clear"/>
            <w:vAlign w:val="bottom"/>
          </w:tcPr>
          <w:p>
            <w:pPr>
              <w:pStyle w:val="TableContents"/>
              <w:spacing w:before="0" w:after="283"/>
              <w:rPr/>
            </w:pPr>
            <w:r>
              <w:rPr/>
              <w:t> </w:t>
            </w:r>
          </w:p>
        </w:tc>
        <w:tc>
          <w:tcPr>
            <w:tcW w:w="2880" w:type="dxa"/>
            <w:tcBorders/>
            <w:shd w:fill="auto" w:val="clear"/>
          </w:tcPr>
          <w:p>
            <w:pPr>
              <w:pStyle w:val="TableContents"/>
              <w:pBdr>
                <w:bottom w:val="single" w:sz="2" w:space="1" w:color="000000"/>
              </w:pBdr>
              <w:spacing w:before="0" w:after="20"/>
              <w:rPr/>
            </w:pPr>
            <w:r>
              <w:rPr/>
              <w:t> </w:t>
            </w:r>
          </w:p>
        </w:tc>
      </w:tr>
    </w:tbl>
    <w:p>
      <w:pPr>
        <w:pStyle w:val="TextBody"/>
        <w:spacing w:before="8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Voting Agreement</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54" w:name="anicov"/>
      <w:bookmarkEnd w:id="154"/>
      <w:r>
        <w:rPr>
          <w:rFonts w:ascii="Times New Roman" w:hAnsi="Times New Roman"/>
          <w:b/>
          <w:sz w:val="20"/>
        </w:rPr>
        <w:t xml:space="preserve">Annex I </w:t>
      </w:r>
    </w:p>
    <w:p>
      <w:pPr>
        <w:pStyle w:val="TextBody"/>
        <w:spacing w:before="240" w:after="0"/>
        <w:jc w:val="center"/>
        <w:rPr>
          <w:rFonts w:ascii="Times New Roman" w:hAnsi="Times New Roman"/>
          <w:sz w:val="20"/>
        </w:rPr>
      </w:pPr>
      <w:bookmarkStart w:id="155" w:name="toc108105_52"/>
      <w:bookmarkEnd w:id="155"/>
      <w:r>
        <w:rPr>
          <w:rFonts w:ascii="Times New Roman" w:hAnsi="Times New Roman"/>
          <w:sz w:val="20"/>
        </w:rPr>
        <w:t xml:space="preserve">FORM OF SURVIVING COMPANY LLC AGREEMENT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BAKKT OPCO HOLDINGS, LLC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sz w:val="20"/>
        </w:rPr>
      </w:pPr>
      <w:r>
        <w:rPr>
          <w:rFonts w:ascii="Times New Roman" w:hAnsi="Times New Roman"/>
          <w:sz w:val="20"/>
        </w:rPr>
        <w:t xml:space="preserve">THIRD AMENDED AND RESTATED LIMITED LIABILITY COMPANY AGREEMENT </w:t>
      </w:r>
    </w:p>
    <w:p>
      <w:pPr>
        <w:pStyle w:val="TextBody"/>
        <w:spacing w:before="240" w:after="0"/>
        <w:jc w:val="center"/>
        <w:rPr>
          <w:rFonts w:ascii="Times New Roman" w:hAnsi="Times New Roman"/>
          <w:sz w:val="20"/>
        </w:rPr>
      </w:pPr>
      <w:r>
        <w:rPr>
          <w:rFonts w:ascii="Times New Roman" w:hAnsi="Times New Roman"/>
          <w:sz w:val="20"/>
        </w:rPr>
        <w:t xml:space="preserve">Dated as of [●], 2021 </w:t>
      </w:r>
    </w:p>
    <w:p>
      <w:pPr>
        <w:pStyle w:val="TextBody"/>
        <w:spacing w:before="240" w:after="0"/>
        <w:jc w:val="left"/>
        <w:rPr>
          <w:rFonts w:ascii="Times New Roman" w:hAnsi="Times New Roman"/>
          <w:sz w:val="20"/>
        </w:rPr>
      </w:pPr>
      <w:r>
        <w:rPr>
          <w:rFonts w:ascii="Times New Roman" w:hAnsi="Times New Roman"/>
          <w:sz w:val="20"/>
        </w:rPr>
        <w:t>THE COMMON UNITS OF BAKKT OPCO HOLDINGS, LLC HAVE NOT BEEN REGISTERED UNDER THE U.S. SECURITIES ACT OF 1933, AS AMENDED (THE </w:t>
      </w:r>
      <w:r>
        <w:rPr>
          <w:rFonts w:ascii="Times New Roman" w:hAnsi="Times New Roman"/>
          <w:b/>
          <w:i/>
          <w:sz w:val="20"/>
        </w:rPr>
        <w:t>SECURITIES ACT</w:t>
      </w:r>
      <w:r>
        <w:rPr>
          <w:rFonts w:ascii="Times New Roman" w:hAnsi="Times New Roman"/>
          <w:sz w:val="20"/>
        </w:rPr>
        <w:t xml:space="preserve">), THE SECURITIES LAWS OF ANY STATE OR OTHER JURISDICTION OR ANY OTHER APPLICABLE SECURITIES LAWS AND ARE BEING SOLD IN RELIANCE UPON EXEMPTIONS FROM THE REGISTRATION REQUIREMENTS OF THE SECURITIES ACT AND SUCH LAWS. SUCH COMMON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LIMITED LIABILITY COMPANY AGREEMENT; AND (III) ANY OTHER TERMS AND CONDITIONS AGREED TO IN WRITING BETWEEN THE MANAGING MEMBER AND THE APPLICABLE MEMBER. THE COMMON UNITS MAY NOT BE TRANSFERRED OF RECORD EXCEPT IN COMPLIANCE WITH SUCH LAWS, THIS THIRD AMENDED AND RESTATED LIMITED LIABILITY COMPANY AGREEMENT, AND ANY OTHER TERMS AND CONDITIONS AGREED TO IN WRITING BY THE MANAGING MEMBER AND THE APPLICABLE MEMBER. THEREFORE, PURCHASERS AND OTHER TRANSFEREES OF SUCH COMMON UNITS WILL BE REQUIRED TO BEAR THE RISK OF THEIR INVESTMENT OR ACQUISITION FOR AN INDEFINITE PERIOD OF TIME.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B-1-2</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69"/>
        <w:gridCol w:w="156"/>
        <w:gridCol w:w="7440"/>
        <w:gridCol w:w="156"/>
        <w:gridCol w:w="96"/>
        <w:gridCol w:w="424"/>
        <w:gridCol w:w="64"/>
      </w:tblGrid>
      <w:tr>
        <w:trPr/>
        <w:tc>
          <w:tcPr>
            <w:tcW w:w="186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744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86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4" w:type="dxa"/>
            <w:tcBorders/>
            <w:shd w:fill="auto" w:val="clear"/>
            <w:vAlign w:val="bottom"/>
          </w:tcPr>
          <w:p>
            <w:pPr>
              <w:pStyle w:val="TableContents"/>
              <w:spacing w:before="0" w:after="283"/>
              <w:rPr/>
            </w:pPr>
            <w:r>
              <w:rPr/>
              <w:t> </w:t>
            </w:r>
          </w:p>
        </w:tc>
      </w:tr>
      <w:tr>
        <w:trPr/>
        <w:tc>
          <w:tcPr>
            <w:tcW w:w="946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 DEFINITIONS AND DETERMINATION OF VALUATION</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1.1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Definitions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w:t>
            </w:r>
          </w:p>
        </w:tc>
        <w:tc>
          <w:tcPr>
            <w:tcW w:w="64" w:type="dxa"/>
            <w:tcBorders/>
            <w:shd w:fill="auto" w:val="clear"/>
            <w:vAlign w:val="bottom"/>
          </w:tcPr>
          <w:p>
            <w:pPr>
              <w:pStyle w:val="TableContents"/>
              <w:spacing w:before="0" w:after="283"/>
              <w:rPr/>
            </w:pPr>
            <w:r>
              <w:rPr/>
              <w:t> </w:t>
            </w:r>
          </w:p>
        </w:tc>
      </w:tr>
      <w:tr>
        <w:trPr/>
        <w:tc>
          <w:tcPr>
            <w:tcW w:w="946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 ORGANIZATIONAL MATTERS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Formation of Company</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2.2</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Limited Liability Company Agreement</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2.3</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Name</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2.4</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Purpose</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2.5</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Principal Office; Registered Office</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2.6</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Term</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2.7</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No State-Law Partnership</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2.8</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Fiscal Year</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2.9</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Powers of the Company</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2.10</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Members; Reclassification; Admission of New Members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2.11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Resignation</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I-14</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2.12</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Investment Representations of Members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I-14</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2.13</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Schedule of Members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I-14</w:t>
            </w:r>
          </w:p>
        </w:tc>
        <w:tc>
          <w:tcPr>
            <w:tcW w:w="64" w:type="dxa"/>
            <w:tcBorders/>
            <w:shd w:fill="auto" w:val="clear"/>
            <w:vAlign w:val="bottom"/>
          </w:tcPr>
          <w:p>
            <w:pPr>
              <w:pStyle w:val="TableContents"/>
              <w:spacing w:before="0" w:after="283"/>
              <w:rPr/>
            </w:pPr>
            <w:r>
              <w:rPr/>
              <w:t> </w:t>
            </w:r>
          </w:p>
        </w:tc>
      </w:tr>
      <w:tr>
        <w:trPr/>
        <w:tc>
          <w:tcPr>
            <w:tcW w:w="946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III CAPITAL CONTRIBUTIONS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I-14</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Common Units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I-14</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3.2</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Authorization and Issuance of Additional Units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I-15</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3.3</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Non-certificated Units; Certificates; Lost, Stolen or Destroyed Certificates; Registration and Transfer of Common Units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I-16</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3.4</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Purchase or Redemption of Shares of Class A Common Stock</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I-17</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3.5</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Bakkt Pubco Equity Plans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I-17</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3.6</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Registered Members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I-17</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3.7</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Capital Accounts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I-17</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3.8</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Negative Capital Accounts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I-17</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3.9</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No Withdrawal</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I-18</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3.10</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Loans From Members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I-18</w:t>
            </w:r>
          </w:p>
        </w:tc>
        <w:tc>
          <w:tcPr>
            <w:tcW w:w="64" w:type="dxa"/>
            <w:tcBorders/>
            <w:shd w:fill="auto" w:val="clear"/>
            <w:vAlign w:val="bottom"/>
          </w:tcPr>
          <w:p>
            <w:pPr>
              <w:pStyle w:val="TableContents"/>
              <w:spacing w:before="0" w:after="283"/>
              <w:rPr/>
            </w:pPr>
            <w:r>
              <w:rPr/>
              <w:t> </w:t>
            </w:r>
          </w:p>
        </w:tc>
      </w:tr>
      <w:tr>
        <w:trPr/>
        <w:tc>
          <w:tcPr>
            <w:tcW w:w="946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IV DISTRIBUTIONS AND ALLOCATIONS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I-18</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4.1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Distributions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I-18</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4.2</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Allocations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I-18</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4.3</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Special Allocations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I-19</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4.4</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Tax Allocations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I-20</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4.5</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Indemnification and Reimbursement for Payments on Behalf of a Member</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I-21</w:t>
            </w:r>
          </w:p>
        </w:tc>
        <w:tc>
          <w:tcPr>
            <w:tcW w:w="64" w:type="dxa"/>
            <w:tcBorders/>
            <w:shd w:fill="auto" w:val="clear"/>
            <w:vAlign w:val="bottom"/>
          </w:tcPr>
          <w:p>
            <w:pPr>
              <w:pStyle w:val="TableContents"/>
              <w:spacing w:before="0" w:after="283"/>
              <w:rPr/>
            </w:pPr>
            <w:r>
              <w:rPr/>
              <w:t> </w:t>
            </w:r>
          </w:p>
        </w:tc>
      </w:tr>
      <w:tr>
        <w:trPr/>
        <w:tc>
          <w:tcPr>
            <w:tcW w:w="946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 COVENANTS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5.1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Records and Accounting</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5.2</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Transmission of Communications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I-22</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5.3</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Governmental Consents and Filings</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I-22</w:t>
            </w:r>
          </w:p>
        </w:tc>
        <w:tc>
          <w:tcPr>
            <w:tcW w:w="64" w:type="dxa"/>
            <w:tcBorders/>
            <w:shd w:fill="auto" w:val="clear"/>
            <w:vAlign w:val="bottom"/>
          </w:tcPr>
          <w:p>
            <w:pPr>
              <w:pStyle w:val="TableContents"/>
              <w:spacing w:before="0" w:after="283"/>
              <w:rPr/>
            </w:pPr>
            <w:r>
              <w:rPr/>
              <w:t> </w:t>
            </w:r>
          </w:p>
        </w:tc>
      </w:tr>
      <w:tr>
        <w:trPr/>
        <w:tc>
          <w:tcPr>
            <w:tcW w:w="946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 MANAGEMENT</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6.1</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Authority of the Managing Member</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6.2</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Actions of the Managing Member</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I-23</w:t>
            </w:r>
          </w:p>
        </w:tc>
        <w:tc>
          <w:tcPr>
            <w:tcW w:w="64" w:type="dxa"/>
            <w:tcBorders/>
            <w:shd w:fill="auto" w:val="clear"/>
            <w:vAlign w:val="bottom"/>
          </w:tcPr>
          <w:p>
            <w:pPr>
              <w:pStyle w:val="TableContents"/>
              <w:spacing w:before="0" w:after="283"/>
              <w:rPr/>
            </w:pPr>
            <w:r>
              <w:rPr/>
              <w:t> </w:t>
            </w:r>
          </w:p>
        </w:tc>
      </w:tr>
      <w:tr>
        <w:trPr/>
        <w:tc>
          <w:tcPr>
            <w:tcW w:w="1869" w:type="dxa"/>
            <w:tcBorders/>
            <w:shd w:fill="auto" w:val="clear"/>
          </w:tcPr>
          <w:p>
            <w:pPr>
              <w:pStyle w:val="TableContents"/>
              <w:spacing w:before="0" w:after="0"/>
              <w:rPr>
                <w:rFonts w:ascii="Times New Roman" w:hAnsi="Times New Roman"/>
                <w:sz w:val="20"/>
              </w:rPr>
            </w:pPr>
            <w:r>
              <w:rPr>
                <w:rFonts w:ascii="Times New Roman" w:hAnsi="Times New Roman"/>
                <w:sz w:val="20"/>
              </w:rPr>
              <w:t>Section 6.3</w:t>
            </w:r>
          </w:p>
        </w:tc>
        <w:tc>
          <w:tcPr>
            <w:tcW w:w="156" w:type="dxa"/>
            <w:tcBorders/>
            <w:shd w:fill="auto" w:val="clear"/>
            <w:vAlign w:val="bottom"/>
          </w:tcPr>
          <w:p>
            <w:pPr>
              <w:pStyle w:val="TableContents"/>
              <w:spacing w:before="0" w:after="283"/>
              <w:rPr/>
            </w:pPr>
            <w:r>
              <w:rPr/>
              <w:t>  </w:t>
            </w:r>
          </w:p>
        </w:tc>
        <w:tc>
          <w:tcPr>
            <w:tcW w:w="7440" w:type="dxa"/>
            <w:tcBorders/>
            <w:shd w:fill="auto" w:val="clear"/>
            <w:vAlign w:val="bottom"/>
          </w:tcPr>
          <w:p>
            <w:pPr>
              <w:pStyle w:val="TableContents"/>
              <w:spacing w:before="0" w:after="283"/>
              <w:rPr/>
            </w:pPr>
            <w:r>
              <w:rPr/>
              <w:t>Compensation</w:t>
            </w:r>
          </w:p>
        </w:tc>
        <w:tc>
          <w:tcPr>
            <w:tcW w:w="1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right"/>
              <w:rPr/>
            </w:pPr>
            <w:r>
              <w:rPr/>
              <w:t>I-23</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652"/>
        <w:gridCol w:w="120"/>
        <w:gridCol w:w="7847"/>
        <w:gridCol w:w="120"/>
        <w:gridCol w:w="60"/>
        <w:gridCol w:w="342"/>
        <w:gridCol w:w="64"/>
      </w:tblGrid>
      <w:tr>
        <w:trPr/>
        <w:tc>
          <w:tcPr>
            <w:tcW w:w="16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6.4</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Expenses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I-23</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6.5</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Delegation of Authority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6.6</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Officers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6.7</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Purchase of Equity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I-25</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6.8</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Limitation of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I-25</w:t>
            </w:r>
          </w:p>
        </w:tc>
        <w:tc>
          <w:tcPr>
            <w:tcW w:w="64" w:type="dxa"/>
            <w:tcBorders/>
            <w:shd w:fill="auto" w:val="clear"/>
            <w:vAlign w:val="bottom"/>
          </w:tcPr>
          <w:p>
            <w:pPr>
              <w:pStyle w:val="TableContents"/>
              <w:spacing w:before="0" w:after="283"/>
              <w:rPr/>
            </w:pPr>
            <w:r>
              <w:rPr/>
              <w:t> </w:t>
            </w:r>
          </w:p>
        </w:tc>
      </w:tr>
      <w:tr>
        <w:trPr/>
        <w:tc>
          <w:tcPr>
            <w:tcW w:w="961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 RIGHTS AND OBLIGATIONS OF MEMBERS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I-25</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7.1</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Limitation of Liability of Members and Managing Member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I-25</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7.2</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Lack of Authority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I-26</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7.3</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No Right of Partition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I-26</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7.4</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Members Right to Act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I-26</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7.5</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Outside Activities of the Managing Member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I-26</w:t>
            </w:r>
          </w:p>
        </w:tc>
        <w:tc>
          <w:tcPr>
            <w:tcW w:w="64" w:type="dxa"/>
            <w:tcBorders/>
            <w:shd w:fill="auto" w:val="clear"/>
            <w:vAlign w:val="bottom"/>
          </w:tcPr>
          <w:p>
            <w:pPr>
              <w:pStyle w:val="TableContents"/>
              <w:spacing w:before="0" w:after="283"/>
              <w:rPr/>
            </w:pPr>
            <w:r>
              <w:rPr/>
              <w:t> </w:t>
            </w:r>
          </w:p>
        </w:tc>
      </w:tr>
      <w:tr>
        <w:trPr/>
        <w:tc>
          <w:tcPr>
            <w:tcW w:w="961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VIII TAX MATTERS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I-27</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8.1</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Preparation of Tax Returns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I-27</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8.2</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Tax Elections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I-27</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8.3</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Tax Classifications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I-27</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8.4</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Tax Controversies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I-28</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8.5</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Certain 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I-28</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8.6</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Merger Agreement Conflicts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I-29</w:t>
            </w:r>
          </w:p>
        </w:tc>
        <w:tc>
          <w:tcPr>
            <w:tcW w:w="64" w:type="dxa"/>
            <w:tcBorders/>
            <w:shd w:fill="auto" w:val="clear"/>
            <w:vAlign w:val="bottom"/>
          </w:tcPr>
          <w:p>
            <w:pPr>
              <w:pStyle w:val="TableContents"/>
              <w:spacing w:before="0" w:after="283"/>
              <w:rPr/>
            </w:pPr>
            <w:r>
              <w:rPr/>
              <w:t> </w:t>
            </w:r>
          </w:p>
        </w:tc>
      </w:tr>
      <w:tr>
        <w:trPr/>
        <w:tc>
          <w:tcPr>
            <w:tcW w:w="961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IX RESTRICTIONS ON TRANSFER OF UNITS; CERTAIN TRANSFERS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I-29</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9.1</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Transfers by Members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I-29</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9.2</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Market Stand-Off</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I-29</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9.3</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Restricted Units Legend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I-30</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9.4</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Further Restrictions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I-30</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9.5</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Transfer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I-31</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9.6</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Assignees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I-31</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9.7</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Admissions, Resignations and Removals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I-32</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9.8</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Admission of Assignees as Substitute Members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I-32</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9.9</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Resignation and Removal of Members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I-32</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9.10</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Section 1445 and 1446(f) Withholding</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I-32</w:t>
            </w:r>
          </w:p>
        </w:tc>
        <w:tc>
          <w:tcPr>
            <w:tcW w:w="64" w:type="dxa"/>
            <w:tcBorders/>
            <w:shd w:fill="auto" w:val="clear"/>
            <w:vAlign w:val="bottom"/>
          </w:tcPr>
          <w:p>
            <w:pPr>
              <w:pStyle w:val="TableContents"/>
              <w:spacing w:before="0" w:after="283"/>
              <w:rPr/>
            </w:pPr>
            <w:r>
              <w:rPr/>
              <w:t> </w:t>
            </w:r>
          </w:p>
        </w:tc>
      </w:tr>
      <w:tr>
        <w:trPr/>
        <w:tc>
          <w:tcPr>
            <w:tcW w:w="961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X DISSOLUTION AND LIQUIDATION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I-33</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Dissolution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I-33</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Liquidation and Termination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I-33</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10.3</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Deferment; Distribution in Kind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10.4</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Cancellation of Certificate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10.5</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Reasonable Time for Winding Up</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10.6</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Termination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10.7</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Return of Capital</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I-34</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10.8</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Restrictions on Termination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I-34</w:t>
            </w:r>
          </w:p>
        </w:tc>
        <w:tc>
          <w:tcPr>
            <w:tcW w:w="64" w:type="dxa"/>
            <w:tcBorders/>
            <w:shd w:fill="auto" w:val="clear"/>
            <w:vAlign w:val="bottom"/>
          </w:tcPr>
          <w:p>
            <w:pPr>
              <w:pStyle w:val="TableContents"/>
              <w:spacing w:before="0" w:after="283"/>
              <w:rPr/>
            </w:pPr>
            <w:r>
              <w:rPr/>
              <w:t> </w:t>
            </w:r>
          </w:p>
        </w:tc>
      </w:tr>
      <w:tr>
        <w:trPr/>
        <w:tc>
          <w:tcPr>
            <w:tcW w:w="961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XI LIABILITY AND INDEMNIFICATION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I-35</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11.1</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Liability of Members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I-35</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11.2</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Indemnification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I-36</w:t>
            </w:r>
          </w:p>
        </w:tc>
        <w:tc>
          <w:tcPr>
            <w:tcW w:w="64" w:type="dxa"/>
            <w:tcBorders/>
            <w:shd w:fill="auto" w:val="clear"/>
            <w:vAlign w:val="bottom"/>
          </w:tcPr>
          <w:p>
            <w:pPr>
              <w:pStyle w:val="TableContents"/>
              <w:spacing w:before="0" w:after="283"/>
              <w:rPr/>
            </w:pPr>
            <w:r>
              <w:rPr/>
              <w:t> </w:t>
            </w:r>
          </w:p>
        </w:tc>
      </w:tr>
      <w:tr>
        <w:trPr/>
        <w:tc>
          <w:tcPr>
            <w:tcW w:w="961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XII GENERAL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I-37</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12.1</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Amendments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I-37</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12.2</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Confidentiality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I-38</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12.3</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Title to Company Assets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I-39</w:t>
            </w:r>
          </w:p>
        </w:tc>
        <w:tc>
          <w:tcPr>
            <w:tcW w:w="64" w:type="dxa"/>
            <w:tcBorders/>
            <w:shd w:fill="auto" w:val="clear"/>
            <w:vAlign w:val="bottom"/>
          </w:tcPr>
          <w:p>
            <w:pPr>
              <w:pStyle w:val="TableContents"/>
              <w:spacing w:before="0" w:after="283"/>
              <w:rPr/>
            </w:pPr>
            <w:r>
              <w:rPr/>
              <w:t> </w:t>
            </w:r>
          </w:p>
        </w:tc>
      </w:tr>
      <w:tr>
        <w:trPr/>
        <w:tc>
          <w:tcPr>
            <w:tcW w:w="1652" w:type="dxa"/>
            <w:tcBorders/>
            <w:shd w:fill="auto" w:val="clear"/>
          </w:tcPr>
          <w:p>
            <w:pPr>
              <w:pStyle w:val="TableContents"/>
              <w:spacing w:before="0" w:after="0"/>
              <w:rPr>
                <w:rFonts w:ascii="Times New Roman" w:hAnsi="Times New Roman"/>
                <w:sz w:val="20"/>
              </w:rPr>
            </w:pPr>
            <w:r>
              <w:rPr>
                <w:rFonts w:ascii="Times New Roman" w:hAnsi="Times New Roman"/>
                <w:sz w:val="20"/>
              </w:rPr>
              <w:t>Section 12.4</w:t>
            </w:r>
          </w:p>
        </w:tc>
        <w:tc>
          <w:tcPr>
            <w:tcW w:w="120" w:type="dxa"/>
            <w:tcBorders/>
            <w:shd w:fill="auto" w:val="clear"/>
            <w:vAlign w:val="bottom"/>
          </w:tcPr>
          <w:p>
            <w:pPr>
              <w:pStyle w:val="TableContents"/>
              <w:spacing w:before="0" w:after="283"/>
              <w:rPr/>
            </w:pPr>
            <w:r>
              <w:rPr/>
              <w:t>  </w:t>
            </w:r>
          </w:p>
        </w:tc>
        <w:tc>
          <w:tcPr>
            <w:tcW w:w="7847" w:type="dxa"/>
            <w:tcBorders/>
            <w:shd w:fill="auto" w:val="clear"/>
            <w:vAlign w:val="bottom"/>
          </w:tcPr>
          <w:p>
            <w:pPr>
              <w:pStyle w:val="TableContents"/>
              <w:spacing w:before="0" w:after="283"/>
              <w:rPr/>
            </w:pPr>
            <w:r>
              <w:rPr/>
              <w:t>Notices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pPr>
            <w:r>
              <w:rPr/>
              <w:t>I-39</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663"/>
        <w:gridCol w:w="120"/>
        <w:gridCol w:w="7838"/>
        <w:gridCol w:w="120"/>
        <w:gridCol w:w="60"/>
        <w:gridCol w:w="339"/>
        <w:gridCol w:w="65"/>
      </w:tblGrid>
      <w:tr>
        <w:trPr/>
        <w:tc>
          <w:tcPr>
            <w:tcW w:w="16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12.5</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Binding Effect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I-39</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12.6</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Creditors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I-39</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12.7</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I-39</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12.8</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I-39</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12.9</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Governing Law; Waiver of Jury Trial</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I-39</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12.10</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Severability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12.11</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Further Action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12.12</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Delivery by Facsimile or Electronic Transmission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12.13</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Offset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12.14</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Entire Agreement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12.15</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12.16</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Descriptive Headings; Interpretation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I-40</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12.17</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Attorneys Fees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I-41</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12.18</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Representation of the Company by Shearman &amp; Sterling LLP</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I-41</w:t>
            </w:r>
          </w:p>
        </w:tc>
        <w:tc>
          <w:tcPr>
            <w:tcW w:w="65" w:type="dxa"/>
            <w:tcBorders/>
            <w:shd w:fill="auto" w:val="clear"/>
            <w:vAlign w:val="bottom"/>
          </w:tcPr>
          <w:p>
            <w:pPr>
              <w:pStyle w:val="TableContents"/>
              <w:spacing w:before="0" w:after="283"/>
              <w:rPr/>
            </w:pPr>
            <w:r>
              <w:rPr/>
              <w:t> </w:t>
            </w:r>
          </w:p>
        </w:tc>
      </w:tr>
      <w:tr>
        <w:trPr/>
        <w:tc>
          <w:tcPr>
            <w:tcW w:w="1663" w:type="dxa"/>
            <w:tcBorders/>
            <w:shd w:fill="auto" w:val="clear"/>
          </w:tcPr>
          <w:p>
            <w:pPr>
              <w:pStyle w:val="TableContents"/>
              <w:spacing w:before="0" w:after="0"/>
              <w:rPr>
                <w:rFonts w:ascii="Times New Roman" w:hAnsi="Times New Roman"/>
                <w:sz w:val="20"/>
              </w:rPr>
            </w:pPr>
            <w:r>
              <w:rPr>
                <w:rFonts w:ascii="Times New Roman" w:hAnsi="Times New Roman"/>
                <w:sz w:val="20"/>
              </w:rPr>
              <w:t>Section 12.19</w:t>
            </w:r>
          </w:p>
        </w:tc>
        <w:tc>
          <w:tcPr>
            <w:tcW w:w="120" w:type="dxa"/>
            <w:tcBorders/>
            <w:shd w:fill="auto" w:val="clear"/>
            <w:vAlign w:val="bottom"/>
          </w:tcPr>
          <w:p>
            <w:pPr>
              <w:pStyle w:val="TableContents"/>
              <w:spacing w:before="0" w:after="283"/>
              <w:rPr/>
            </w:pPr>
            <w:r>
              <w:rPr/>
              <w:t>  </w:t>
            </w:r>
          </w:p>
        </w:tc>
        <w:tc>
          <w:tcPr>
            <w:tcW w:w="7838" w:type="dxa"/>
            <w:tcBorders/>
            <w:shd w:fill="auto" w:val="clear"/>
            <w:vAlign w:val="bottom"/>
          </w:tcPr>
          <w:p>
            <w:pPr>
              <w:pStyle w:val="TableContents"/>
              <w:spacing w:before="0" w:after="283"/>
              <w:rPr/>
            </w:pPr>
            <w:r>
              <w:rPr/>
              <w:t>Amendment and Restatement of Prior LLC Agreement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I-41</w:t>
            </w:r>
          </w:p>
        </w:tc>
        <w:tc>
          <w:tcPr>
            <w:tcW w:w="65"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u w:val="single"/>
        </w:rPr>
      </w:pPr>
      <w:r>
        <w:rPr>
          <w:rFonts w:ascii="Times New Roman" w:hAnsi="Times New Roman"/>
          <w:sz w:val="20"/>
          <w:u w:val="single"/>
        </w:rPr>
        <w:t xml:space="preserve">SCHEDULES </w:t>
      </w:r>
    </w:p>
    <w:p>
      <w:pPr>
        <w:pStyle w:val="TextBody"/>
        <w:spacing w:before="240" w:after="0"/>
        <w:jc w:val="left"/>
        <w:rPr>
          <w:rFonts w:ascii="Times New Roman" w:hAnsi="Times New Roman"/>
          <w:sz w:val="20"/>
        </w:rPr>
      </w:pPr>
      <w:r>
        <w:rPr>
          <w:rFonts w:ascii="Times New Roman" w:hAnsi="Times New Roman"/>
          <w:sz w:val="20"/>
        </w:rPr>
        <w:t xml:space="preserve">Schedule of Members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6" w:name="toc108105_521"/>
      <w:bookmarkEnd w:id="156"/>
      <w:r>
        <w:rPr>
          <w:rFonts w:ascii="Times New Roman" w:hAnsi="Times New Roman"/>
          <w:b/>
          <w:sz w:val="20"/>
        </w:rPr>
        <w:t xml:space="preserve">BAKKT OPCO HOLDINGS, LLC </w:t>
      </w:r>
    </w:p>
    <w:p>
      <w:pPr>
        <w:pStyle w:val="TextBody"/>
        <w:spacing w:before="0" w:after="0"/>
        <w:jc w:val="center"/>
        <w:rPr>
          <w:rFonts w:ascii="Times New Roman" w:hAnsi="Times New Roman"/>
          <w:b/>
          <w:sz w:val="20"/>
        </w:rPr>
      </w:pPr>
      <w:r>
        <w:rPr>
          <w:rFonts w:ascii="Times New Roman" w:hAnsi="Times New Roman"/>
          <w:b/>
          <w:sz w:val="20"/>
        </w:rPr>
        <w:t xml:space="preserve">THIRD AMENDED AND RESTATED LIMITED LIABILITY COMPANY AGREEMENT </w:t>
      </w:r>
    </w:p>
    <w:p>
      <w:pPr>
        <w:pStyle w:val="TextBody"/>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THIRD</w:t>
      </w:r>
      <w:r>
        <w:rPr>
          <w:rFonts w:ascii="Times New Roman" w:hAnsi="Times New Roman"/>
          <w:sz w:val="20"/>
        </w:rPr>
        <w:t xml:space="preserve"> </w:t>
      </w:r>
      <w:r>
        <w:rPr>
          <w:rFonts w:ascii="Times New Roman" w:hAnsi="Times New Roman"/>
          <w:b/>
          <w:sz w:val="20"/>
        </w:rPr>
        <w:t>AMENDED AND RESTATED LIMITED LIABILITY COMPANY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dated as of [●], 2021 (the </w:t>
      </w:r>
      <w:r>
        <w:rPr>
          <w:rFonts w:ascii="Times New Roman" w:hAnsi="Times New Roman"/>
          <w:b/>
          <w:i/>
          <w:sz w:val="20"/>
        </w:rPr>
        <w:t>Effective Date</w:t>
      </w:r>
      <w:r>
        <w:rPr>
          <w:rFonts w:ascii="Times New Roman" w:hAnsi="Times New Roman"/>
          <w:sz w:val="20"/>
        </w:rPr>
        <w:t>), is entered into, by and among Bakkt Opco Holdings, LLC, a Delaware limited liability company (the </w:t>
      </w:r>
      <w:r>
        <w:rPr>
          <w:rFonts w:ascii="Times New Roman" w:hAnsi="Times New Roman"/>
          <w:b/>
          <w:i/>
          <w:sz w:val="20"/>
        </w:rPr>
        <w:t>Company</w:t>
      </w:r>
      <w:r>
        <w:rPr>
          <w:rFonts w:ascii="Times New Roman" w:hAnsi="Times New Roman"/>
          <w:sz w:val="20"/>
        </w:rPr>
        <w:t xml:space="preserve">) and the Members (as defined below).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was formed as a limited liability company under the Delaware Limited Liability Company Act by the filing of a certificate of formation with the Secretary of State of the State of Delaware on July 31, 2018 (the </w:t>
      </w:r>
      <w:r>
        <w:rPr>
          <w:rFonts w:ascii="Times New Roman" w:hAnsi="Times New Roman"/>
          <w:b/>
          <w:i/>
          <w:sz w:val="20"/>
        </w:rPr>
        <w:t>Certificate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its members entered into that certain Limited Liability Company Agreement, effective as of August 2, 2018 (the </w:t>
      </w:r>
      <w:r>
        <w:rPr>
          <w:rFonts w:ascii="Times New Roman" w:hAnsi="Times New Roman"/>
          <w:b/>
          <w:i/>
          <w:sz w:val="20"/>
        </w:rPr>
        <w:t>Initial LLC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Initial LLC Agreement was amended and restated by that certain Amended and Restated Limited Liability Agreement, effective as of December 19, 2018 (the </w:t>
      </w:r>
      <w:r>
        <w:rPr>
          <w:rFonts w:ascii="Times New Roman" w:hAnsi="Times New Roman"/>
          <w:b/>
          <w:i/>
          <w:sz w:val="20"/>
        </w:rPr>
        <w:t>Amended LLC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Amended LLC Agreement was amended and restated by the Prior LLC Agreement;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Section 16.1 of the Prior LLC Agreement, the Prior LLC Agreement may be amended or modified upon the consent of the Companys Board of Managers (the </w:t>
      </w:r>
      <w:r>
        <w:rPr>
          <w:rFonts w:ascii="Times New Roman" w:hAnsi="Times New Roman"/>
          <w:b/>
          <w:i/>
          <w:sz w:val="20"/>
        </w:rPr>
        <w:t>Board</w:t>
      </w:r>
      <w:r>
        <w:rPr>
          <w:rFonts w:ascii="Times New Roman" w:hAnsi="Times New Roman"/>
          <w:sz w:val="20"/>
        </w:rPr>
        <w:t>) and the Members holding a majority of the membership interests of the Company, including (i) the holders of a majority of the outstanding Voting Units (as defined in the Prior LLC Agreement), consenting or voting (as the case may be) together as a single class, (ii) the holders of a majority of the outstanding Class A Voting Units (as defined in the Prior LLC Agreement), Class B Voting Units (as defined in the Prior LLC Agreement) and Class C Voting Units (as defined in the Prior LLC Agreement), each consenting or voting (as the case may be) as separate classes, and (ii) the Minority Investors (as defined in the Prior LLC Agreement) holding a majority of the outstanding Minority Investor Units (as defined in the Prior LLC Agreement), consenting or voting (as the case may be) together as a single class, consenting or voting (as the case may be) separately as a class on an as-converted basis (together, the </w:t>
      </w:r>
      <w:r>
        <w:rPr>
          <w:rFonts w:ascii="Times New Roman" w:hAnsi="Times New Roman"/>
          <w:b/>
          <w:i/>
          <w:sz w:val="20"/>
        </w:rPr>
        <w:t>Prior Member Requisite Consent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previously approved this Agreement;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undersigned Members constitute the Prior Member Requisite Consent and desire to amend and restate the Prior LLC Agreement and to accept the rights created pursuant to this Agreement in lieu of the rights granted to them under the Prior LLC Agreement, including without limitation the replacement of the Board with the Managing Member (as defined below) as the Companys managing body;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substantially concurrently with the effectiveness of this Agreement, in accordance with the Agreement and Plan of Merger, dated as of January 11, 2021 (the </w:t>
      </w:r>
      <w:r>
        <w:rPr>
          <w:rFonts w:ascii="Times New Roman" w:hAnsi="Times New Roman"/>
          <w:b/>
          <w:i/>
          <w:sz w:val="20"/>
        </w:rPr>
        <w:t>Merger Agreement</w:t>
      </w:r>
      <w:r>
        <w:rPr>
          <w:rFonts w:ascii="Times New Roman" w:hAnsi="Times New Roman"/>
          <w:sz w:val="20"/>
        </w:rPr>
        <w:t>), by and among VPC Impact Acquisition Holdings, Pylon Merger Company LLC (</w:t>
      </w:r>
      <w:r>
        <w:rPr>
          <w:rFonts w:ascii="Times New Roman" w:hAnsi="Times New Roman"/>
          <w:b/>
          <w:i/>
          <w:sz w:val="20"/>
        </w:rPr>
        <w:t>Merger Sub</w:t>
      </w:r>
      <w:r>
        <w:rPr>
          <w:rFonts w:ascii="Times New Roman" w:hAnsi="Times New Roman"/>
          <w:sz w:val="20"/>
        </w:rPr>
        <w:t>), and the Company, Merger Sub has merged with and into the Company (the </w:t>
      </w:r>
      <w:r>
        <w:rPr>
          <w:rFonts w:ascii="Times New Roman" w:hAnsi="Times New Roman"/>
          <w:b/>
          <w:i/>
          <w:sz w:val="20"/>
        </w:rPr>
        <w:t>Merger</w:t>
      </w:r>
      <w:r>
        <w:rPr>
          <w:rFonts w:ascii="Times New Roman" w:hAnsi="Times New Roman"/>
          <w:sz w:val="20"/>
        </w:rPr>
        <w:t xml:space="preserve">), with the Company being the entity surviving the Merger;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at the Effective Time (as defined in the Merger Agreement), by virtue of the Merger, the Class A Voting Units, the Class B Voting Units, the Class C Voting Units and the Incentive Units, but excluding the Participation Units (as defined in the Merger Agreement) held by each Member (as defined in the Prior LLC Agreement) were converted into the right to receive from the Company (as the Surviving Company following the Merger) and from Bakkt Holdings, Inc. a Delaware corporation (</w:t>
      </w:r>
      <w:r>
        <w:rPr>
          <w:rFonts w:ascii="Times New Roman" w:hAnsi="Times New Roman"/>
          <w:b/>
          <w:i/>
          <w:sz w:val="20"/>
        </w:rPr>
        <w:t>Bakkt Pubco</w:t>
      </w:r>
      <w:r>
        <w:rPr>
          <w:rFonts w:ascii="Times New Roman" w:hAnsi="Times New Roman"/>
          <w:sz w:val="20"/>
        </w:rPr>
        <w:t xml:space="preserve">), the number of Common Units and the number of validly issued, fully paid and nonassessable shares of Class V Common Stock, respectively, set forth opposite such Members name on the Final Merger Consideration Spreadsheet (as defined in the Merger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Common Units resulting from the conversion, by virtue of the Merger, of Incentive Units into the right to receive the Merger Consideration are held by Bakkt Management, LLC, a Delaware limited liability company (</w:t>
      </w:r>
      <w:r>
        <w:rPr>
          <w:rFonts w:ascii="Times New Roman" w:hAnsi="Times New Roman"/>
          <w:b/>
          <w:i/>
          <w:sz w:val="20"/>
        </w:rPr>
        <w:t>Bakkt Management</w:t>
      </w:r>
      <w:r>
        <w:rPr>
          <w:rFonts w:ascii="Times New Roman" w:hAnsi="Times New Roman"/>
          <w:sz w:val="20"/>
        </w:rPr>
        <w:t>), on behalf of individuals who are or were Participants (as defined in the Prior Equity Incentive Plan, </w:t>
      </w:r>
      <w:r>
        <w:rPr>
          <w:rFonts w:ascii="Times New Roman" w:hAnsi="Times New Roman"/>
          <w:b/>
          <w:i/>
          <w:sz w:val="20"/>
        </w:rPr>
        <w:t>Participants</w:t>
      </w:r>
      <w:r>
        <w:rPr>
          <w:rFonts w:ascii="Times New Roman" w:hAnsi="Times New Roman"/>
          <w:sz w:val="20"/>
        </w:rPr>
        <w:t xml:space="preserve">) and, as contemplated by the Merger Agreement, may be subject to vesting and forfeiture provisions pursuant to the Prior Equity Incentive Plan and award agreements and notices issued thereunder;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execution of this Agreement, the Company and certain of its Members are entering into the Exchange Agreement, pursuant to which each Paired Interest may be exchanged for shares of Class A Common Stock or the Cash Amount (as defined in the Exchange Agreement) on the terms and subject to the conditions set forth in the Exchange Agreement and the Tax Receivable Agreement;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U.S. federal and applicable state and local income tax purposes, the parties intend that, following the Merger, the Company be treated as continuing pursuant to Code Section 708 and Treasury Regulations Section 1.708-1;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(i) the Company is adopting this Agreement, (ii) the Company changed its name from Bakkt Holdings, LLC to Bakkt Opco Holdings, LLC, and (iii) Bakkt Pubco, by its execution and delivery of this Agreement, is hereby admitted to the Company as a Member and is hereby designated as Managing Member, and in such capacity shall have the rights and obligations as provided in this Agreement;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Members constituting the Prior Member Requisite Consent, on behalf of all of the Members (as defined in the Prior LLC Agreement) acknowledge and agree that the </w:t>
      </w:r>
      <w:r>
        <w:rPr>
          <w:rFonts w:ascii="Times New Roman" w:hAnsi="Times New Roman"/>
          <w:sz w:val="20"/>
          <w:u w:val="single"/>
        </w:rPr>
        <w:t>Schedule of Members</w:t>
      </w:r>
      <w:r>
        <w:rPr>
          <w:rFonts w:ascii="Times New Roman" w:hAnsi="Times New Roman"/>
          <w:sz w:val="20"/>
        </w:rPr>
        <w:t xml:space="preserve"> will be based on the Final Merger Consideration Spreadsheet (as defined in the Merger Agreement) with respect to the Members (as that term is defined in the Prior LLC Agreement), which will be determinative absent manifest mathematical error, and each Member (as that term is defined in the Prior LLC Agreement) shall hold that number of Common Units set forth on such </w:t>
      </w:r>
      <w:r>
        <w:rPr>
          <w:rFonts w:ascii="Times New Roman" w:hAnsi="Times New Roman"/>
          <w:sz w:val="20"/>
          <w:u w:val="single"/>
        </w:rPr>
        <w:t>Schedule of Members</w:t>
      </w:r>
      <w:r>
        <w:rPr>
          <w:rFonts w:ascii="Times New Roman" w:hAnsi="Times New Roman"/>
          <w:sz w:val="20"/>
        </w:rPr>
        <w:t xml:space="preserve"> (in lieu of the number of Units (as defined in the Prior LLC Agreement) set forth in </w:t>
      </w:r>
      <w:r>
        <w:rPr>
          <w:rFonts w:ascii="Times New Roman" w:hAnsi="Times New Roman"/>
          <w:sz w:val="20"/>
          <w:u w:val="single"/>
        </w:rPr>
        <w:t>Schedule I</w:t>
      </w:r>
      <w:r>
        <w:rPr>
          <w:rFonts w:ascii="Times New Roman" w:hAnsi="Times New Roman"/>
          <w:sz w:val="20"/>
        </w:rPr>
        <w:t xml:space="preserve"> to the Prior LLC Agreement).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contained herein and other good and valuable consideration, the receipt and sufficiency of which are hereby acknowledged, the parties hereto, intending to be legally bound, hereby agree that the Prior LLC Agreement is amended and restated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DEFINITIONS AND DETERMINATION OF VALUATION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w:t>
      </w:r>
      <w:r>
        <w:rPr>
          <w:rFonts w:ascii="Times New Roman" w:hAnsi="Times New Roman"/>
          <w:b/>
          <w:sz w:val="20"/>
          <w:u w:val="single"/>
        </w:rPr>
        <w:t>Definitions</w:t>
      </w:r>
      <w:r>
        <w:rPr>
          <w:rFonts w:ascii="Times New Roman" w:hAnsi="Times New Roman"/>
          <w:sz w:val="20"/>
        </w:rPr>
        <w:t xml:space="preserve">. The following definitions shall be applied to the terms used in this Agreement for all purposes, unless otherwise clearly indicated to the contrary.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Additional Member</w:t>
      </w:r>
      <w:r>
        <w:rPr>
          <w:rFonts w:ascii="Times New Roman" w:hAnsi="Times New Roman"/>
          <w:sz w:val="20"/>
        </w:rPr>
        <w:t xml:space="preserve"> means a Person admitted to the Company as a Member pursuant to </w:t>
      </w:r>
      <w:r>
        <w:rPr>
          <w:rFonts w:ascii="Times New Roman" w:hAnsi="Times New Roman"/>
          <w:sz w:val="20"/>
          <w:u w:val="single"/>
        </w:rPr>
        <w:t>Section 9.7</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Adjusted Capital Account</w:t>
      </w:r>
      <w:r>
        <w:rPr>
          <w:rFonts w:ascii="Times New Roman" w:hAnsi="Times New Roman"/>
          <w:sz w:val="20"/>
        </w:rPr>
        <w:t xml:space="preserve"> means the Capital Account maintained for each Member, (a) increased by any amounts that such Member is obligated to restore or is treated as obligated to restore under Treasury Regulations Sections 1.704-1(b)(2)(ii)(c), 1.704-2(g)(1) and 1.704-2(i)(5) and (b) decreased by any amounts described in Treasury Regulations Sections 1.704-1(b)(2)(ii)(d)(4), (5) and (6) with respect to such Member.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Adjusted Capital Account Deficit</w:t>
      </w:r>
      <w:r>
        <w:rPr>
          <w:rFonts w:ascii="Times New Roman" w:hAnsi="Times New Roman"/>
          <w:sz w:val="20"/>
        </w:rPr>
        <w:t xml:space="preserve"> means with respect to any Capital Account as of the end of any Taxable Year, the amount by which the balance in such Capital Account is less than zero. For this purpose, such Persons Capital Account balance shall be: </w:t>
      </w:r>
    </w:p>
    <w:p>
      <w:pPr>
        <w:pStyle w:val="TextBody"/>
        <w:spacing w:before="240" w:after="0"/>
        <w:jc w:val="left"/>
        <w:rPr>
          <w:rFonts w:ascii="Times New Roman" w:hAnsi="Times New Roman"/>
          <w:sz w:val="20"/>
        </w:rPr>
      </w:pPr>
      <w:r>
        <w:rPr>
          <w:rFonts w:ascii="Times New Roman" w:hAnsi="Times New Roman"/>
          <w:sz w:val="20"/>
        </w:rPr>
        <w:t xml:space="preserve">(a) reduced for any items described in Treasury Regulations Section 1.704-1(b)(2)(ii)(d)(4), (5), and (6);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increased for any amount such Person is obligated to contribute or is treated as being obligated to contribute to the Company pursuant to Treasury Regulations Section 1.704-1(b)(2)(ii)(c) (relating to partner liabilities to a partnership) or 1.704-2(g)(1) and 1.704-2(i) (relating to Minimum Gain).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of any Person means any Person that directly or indirectly Controls, is Controlled by or is under common Control with the Person in question; </w:t>
      </w:r>
      <w:r>
        <w:rPr>
          <w:rFonts w:ascii="Times New Roman" w:hAnsi="Times New Roman"/>
          <w:i/>
          <w:sz w:val="20"/>
        </w:rPr>
        <w:t>provided</w:t>
      </w:r>
      <w:r>
        <w:rPr>
          <w:rFonts w:ascii="Times New Roman" w:hAnsi="Times New Roman"/>
          <w:sz w:val="20"/>
        </w:rPr>
        <w:t xml:space="preserve">, that neither Bakkt Pubco, the Company nor any of their Subsidiaries shall be deemed an Affiliate of any other Member or any holder of securities of Bakkt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has the meaning set forth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Amended LLC Agreement</w:t>
      </w:r>
      <w:r>
        <w:rPr>
          <w:rFonts w:ascii="Times New Roman" w:hAnsi="Times New Roman"/>
          <w:sz w:val="20"/>
        </w:rPr>
        <w:t xml:space="preserve"> has the meaning set forth in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Assignee</w:t>
      </w:r>
      <w:r>
        <w:rPr>
          <w:rFonts w:ascii="Times New Roman" w:hAnsi="Times New Roman"/>
          <w:sz w:val="20"/>
        </w:rPr>
        <w:t xml:space="preserve"> has the meaning set forth in </w:t>
      </w:r>
      <w:r>
        <w:rPr>
          <w:rFonts w:ascii="Times New Roman" w:hAnsi="Times New Roman"/>
          <w:sz w:val="20"/>
          <w:u w:val="single"/>
        </w:rPr>
        <w:t>Section 9.6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Available Cash</w:t>
      </w:r>
      <w:r>
        <w:rPr>
          <w:rFonts w:ascii="Times New Roman" w:hAnsi="Times New Roman"/>
          <w:sz w:val="20"/>
        </w:rPr>
        <w:t xml:space="preserve">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Bakkt Management</w:t>
      </w:r>
      <w:r>
        <w:rPr>
          <w:rFonts w:ascii="Times New Roman" w:hAnsi="Times New Roman"/>
          <w:sz w:val="20"/>
        </w:rPr>
        <w:t xml:space="preserve"> has the meaning set forth in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Bakkt Pubco</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Bakkt Pubco Board</w:t>
      </w:r>
      <w:r>
        <w:rPr>
          <w:rFonts w:ascii="Times New Roman" w:hAnsi="Times New Roman"/>
          <w:sz w:val="20"/>
        </w:rPr>
        <w:t xml:space="preserve"> means the board of directors of Bakkt Pubco.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Bakkt Pubco Charter</w:t>
      </w:r>
      <w:r>
        <w:rPr>
          <w:rFonts w:ascii="Times New Roman" w:hAnsi="Times New Roman"/>
          <w:sz w:val="20"/>
        </w:rPr>
        <w:t xml:space="preserve"> means the certificate of incorporation (or equivalent organizational document) as filed with the secretary of state (or equivalent governmental body or department) of the state in which Bakkt Pubco is incorporated or formed, as applicable, as in effect and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Base Rate</w:t>
      </w:r>
      <w:r>
        <w:rPr>
          <w:rFonts w:ascii="Times New Roman" w:hAnsi="Times New Roman"/>
          <w:sz w:val="20"/>
        </w:rPr>
        <w:t xml:space="preserve"> means, on any date, a variable rate per annum equal to the rate of interest most recently published by </w:t>
      </w:r>
      <w:r>
        <w:rPr>
          <w:rFonts w:ascii="Times New Roman" w:hAnsi="Times New Roman"/>
          <w:sz w:val="20"/>
          <w:u w:val="single"/>
        </w:rPr>
        <w:t>The Wall Street Journal</w:t>
      </w:r>
      <w:r>
        <w:rPr>
          <w:rFonts w:ascii="Times New Roman" w:hAnsi="Times New Roman"/>
          <w:sz w:val="20"/>
        </w:rPr>
        <w:t xml:space="preserve"> as the prime rate at large U.S. money center banks.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Book Value</w:t>
      </w:r>
      <w:r>
        <w:rPr>
          <w:rFonts w:ascii="Times New Roman" w:hAnsi="Times New Roman"/>
          <w:sz w:val="20"/>
        </w:rPr>
        <w:t xml:space="preserve"> means, with respect to any property, such propertys adjusted basis for U.S. federal income tax purposes, except as follows: </w:t>
      </w:r>
    </w:p>
    <w:p>
      <w:pPr>
        <w:pStyle w:val="TextBody"/>
        <w:spacing w:before="240" w:after="0"/>
        <w:jc w:val="left"/>
        <w:rPr>
          <w:rFonts w:ascii="Times New Roman" w:hAnsi="Times New Roman"/>
          <w:sz w:val="20"/>
        </w:rPr>
      </w:pPr>
      <w:r>
        <w:rPr>
          <w:rFonts w:ascii="Times New Roman" w:hAnsi="Times New Roman"/>
          <w:sz w:val="20"/>
        </w:rPr>
        <w:t xml:space="preserve">(a) The initial Book Value of any property contributed by a Member to the Company shall be the gross fair market value of such property at the time of such contribution, as reasonably determined by the Managing Member, </w:t>
      </w:r>
      <w:r>
        <w:rPr>
          <w:rFonts w:ascii="Times New Roman" w:hAnsi="Times New Roman"/>
          <w:i/>
          <w:sz w:val="20"/>
        </w:rPr>
        <w:t>provided</w:t>
      </w:r>
      <w:r>
        <w:rPr>
          <w:rFonts w:ascii="Times New Roman" w:hAnsi="Times New Roman"/>
          <w:sz w:val="20"/>
        </w:rPr>
        <w:t xml:space="preserve"> that the Book Values of all properties of the Company shall be adjusted to equal their respective gross fair market values as reasonably determined by the Managing Member as of the date hereof; </w:t>
      </w:r>
    </w:p>
    <w:p>
      <w:pPr>
        <w:pStyle w:val="TextBody"/>
        <w:spacing w:before="240" w:after="0"/>
        <w:jc w:val="left"/>
        <w:rPr>
          <w:rFonts w:ascii="Times New Roman" w:hAnsi="Times New Roman"/>
          <w:sz w:val="20"/>
        </w:rPr>
      </w:pPr>
      <w:r>
        <w:rPr>
          <w:rFonts w:ascii="Times New Roman" w:hAnsi="Times New Roman"/>
          <w:sz w:val="20"/>
        </w:rPr>
        <w:t xml:space="preserve">(b) The Book Values of all properties shall be adjusted to equal their respective gross fair market values as reasonably determined by the Managing Member in connection with (i) the acquisition of an interest in the Company by any new or existing Member in exchange for more than a </w:t>
      </w:r>
      <w:r>
        <w:rPr>
          <w:rFonts w:ascii="Times New Roman" w:hAnsi="Times New Roman"/>
          <w:i/>
          <w:sz w:val="20"/>
        </w:rPr>
        <w:t>de minimis</w:t>
      </w:r>
      <w:r>
        <w:rPr>
          <w:rFonts w:ascii="Times New Roman" w:hAnsi="Times New Roman"/>
          <w:sz w:val="20"/>
        </w:rPr>
        <w:t xml:space="preserve"> capital contribution to the Company, (ii) the grant of an interest in the Company (other than a </w:t>
      </w:r>
      <w:r>
        <w:rPr>
          <w:rFonts w:ascii="Times New Roman" w:hAnsi="Times New Roman"/>
          <w:i/>
          <w:sz w:val="20"/>
        </w:rPr>
        <w:t>de minimis</w:t>
      </w:r>
      <w:r>
        <w:rPr>
          <w:rFonts w:ascii="Times New Roman" w:hAnsi="Times New Roman"/>
          <w:sz w:val="20"/>
        </w:rPr>
        <w:t xml:space="preserve"> interest) as consideration for the provision of services to or for the benefit of the Company by an existing Member acting in a partner capacity or by a new Member acting in a partner capacity or in anticipation of being a partner (in each case within the meaning of Treasury Regulations Section 1.704-1(b)(2)(iv)(f)(5)(iii)), (iii) the distribution by the Company to a Member of more than a </w:t>
      </w:r>
      <w:r>
        <w:rPr>
          <w:rFonts w:ascii="Times New Roman" w:hAnsi="Times New Roman"/>
          <w:i/>
          <w:sz w:val="20"/>
        </w:rPr>
        <w:t>de minimis</w:t>
      </w:r>
      <w:r>
        <w:rPr>
          <w:rFonts w:ascii="Times New Roman" w:hAnsi="Times New Roman"/>
          <w:sz w:val="20"/>
        </w:rPr>
        <w:t xml:space="preserve"> amount of property as consideration for an interest in the Company, (iv) the liquidation of the Company within the meaning of Treasury Regulations Section 1.704-1(b)(2)(ii)(g)(1), (v)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grant of a Noncompensatory Option which is not treated as a partnership interest pursuant to Treasury Regulations Section 1.761-3(a); and (vi) the acquisition of a membership interest upon the exercise of a Noncompensatory Option in accordance with Treasury Regulations Section 1.704-1(b)(2)(iv)(s);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 adjustment pursuant to an event described in clause (i), (ii) or (iii) of this paragraph shall be made only if the Managing Member reasonably determines that such adjustment is necessary or appropriate to reflect the relative economic interests of the Members in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any Noncompensatory Options are outstanding upon the occurrence of an event described in clauses (i) through (v), the Company shall adjust the Book Values of its properties in accordance with Treasury Regulations Sections 1.704-1(b)(2)(iv)(f) and 1.704-1(b)(2)(iv)(h)(2); </w:t>
      </w:r>
    </w:p>
    <w:p>
      <w:pPr>
        <w:pStyle w:val="TextBody"/>
        <w:spacing w:before="240" w:after="0"/>
        <w:jc w:val="left"/>
        <w:rPr>
          <w:rFonts w:ascii="Times New Roman" w:hAnsi="Times New Roman"/>
          <w:sz w:val="20"/>
        </w:rPr>
      </w:pPr>
      <w:r>
        <w:rPr>
          <w:rFonts w:ascii="Times New Roman" w:hAnsi="Times New Roman"/>
          <w:sz w:val="20"/>
        </w:rPr>
        <w:t xml:space="preserve">(c) The Book Value of property distributed to a Member shall be the gross fair market value of such property as reasonably determined by the Managing Member; and </w:t>
      </w:r>
    </w:p>
    <w:p>
      <w:pPr>
        <w:pStyle w:val="TextBody"/>
        <w:spacing w:before="240" w:after="0"/>
        <w:jc w:val="left"/>
        <w:rPr>
          <w:rFonts w:ascii="Times New Roman" w:hAnsi="Times New Roman"/>
          <w:sz w:val="20"/>
        </w:rPr>
      </w:pPr>
      <w:r>
        <w:rPr>
          <w:rFonts w:ascii="Times New Roman" w:hAnsi="Times New Roman"/>
          <w:sz w:val="20"/>
        </w:rPr>
        <w:t xml:space="preserve">(d) The Book Value of all property shall be increased (or decreased) to reflect any adjustments to the adjusted basis of such property pursuant to Code Section 734(b) or Code Section 743(b), but only to the extent that such adjustments are taken into account in determining Capital Accounts pursuant to Treasury Regulations Section 1.704-1(b)(2)(iv)(m) and clause (f) of the definition of Net Profits and Net Losses;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Book Value shall not be adjusted pursuant to this </w:t>
      </w:r>
      <w:r>
        <w:rPr>
          <w:rFonts w:ascii="Times New Roman" w:hAnsi="Times New Roman"/>
          <w:sz w:val="20"/>
          <w:u w:val="single"/>
        </w:rPr>
        <w:t>clause (d)</w:t>
      </w:r>
      <w:r>
        <w:rPr>
          <w:rFonts w:ascii="Times New Roman" w:hAnsi="Times New Roman"/>
          <w:sz w:val="20"/>
        </w:rPr>
        <w:t xml:space="preserve"> to the extent the Managing Member determines that an adjustment pursuant to </w:t>
      </w:r>
      <w:r>
        <w:rPr>
          <w:rFonts w:ascii="Times New Roman" w:hAnsi="Times New Roman"/>
          <w:sz w:val="20"/>
          <w:u w:val="single"/>
        </w:rPr>
        <w:t>clause (b)</w:t>
      </w:r>
      <w:r>
        <w:rPr>
          <w:rFonts w:ascii="Times New Roman" w:hAnsi="Times New Roman"/>
          <w:sz w:val="20"/>
        </w:rPr>
        <w:t xml:space="preserve"> hereof is necessary or appropriate in connection with the transaction that would otherwise result in an adjustment pursuant to this </w:t>
      </w:r>
      <w:r>
        <w:rPr>
          <w:rFonts w:ascii="Times New Roman" w:hAnsi="Times New Roman"/>
          <w:sz w:val="20"/>
          <w:u w:val="single"/>
        </w:rPr>
        <w:t>clause (d)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the Book Value of property has been determined or adjusted pursuant to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hereof, such Book Value shall thereafter be adjusted by the Depreciation taken into account with respect to such property for purposes of computing Net Profits and Net Losses and other items allocated pursuant to </w:t>
      </w:r>
      <w:r>
        <w:rPr>
          <w:rFonts w:ascii="Times New Roman" w:hAnsi="Times New Roman"/>
          <w:sz w:val="20"/>
          <w:u w:val="single"/>
        </w:rPr>
        <w:t>Article IV</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 day other than a Saturday, Sunday, federal or New York State holiday or other day on which commercial banks in New York City are authorized or required by law to be closed for business; </w:t>
      </w:r>
      <w:r>
        <w:rPr>
          <w:rFonts w:ascii="Times New Roman" w:hAnsi="Times New Roman"/>
          <w:i/>
          <w:sz w:val="20"/>
        </w:rPr>
        <w:t>provided</w:t>
      </w:r>
      <w:r>
        <w:rPr>
          <w:rFonts w:ascii="Times New Roman" w:hAnsi="Times New Roman"/>
          <w:sz w:val="20"/>
        </w:rPr>
        <w:t xml:space="preserve"> that such banks shall be deemed to be open for business in the event of a shelter in place order or similar closure of physical branch locations is required at the direction of any Governmental Entity if such banks electronic funds transfer systems (including wire transfers) are open for use by customers on such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Capital Account</w:t>
      </w:r>
      <w:r>
        <w:rPr>
          <w:rFonts w:ascii="Times New Roman" w:hAnsi="Times New Roman"/>
          <w:sz w:val="20"/>
        </w:rPr>
        <w:t xml:space="preserve"> means the capital account maintained for a Member pursuant to </w:t>
      </w:r>
      <w:r>
        <w:rPr>
          <w:rFonts w:ascii="Times New Roman" w:hAnsi="Times New Roman"/>
          <w:sz w:val="20"/>
          <w:u w:val="single"/>
        </w:rPr>
        <w:t>Section 3.7</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Capital Contribution</w:t>
      </w:r>
      <w:r>
        <w:rPr>
          <w:rFonts w:ascii="Times New Roman" w:hAnsi="Times New Roman"/>
          <w:sz w:val="20"/>
        </w:rPr>
        <w:t xml:space="preserve"> means, with respect to any Member, the amount of money and the initial Book Value of any property (other than money) contributed to the Company by such Member, net of any liabilities assumed by the Company upon contribution or to which such property is subject. Any reference in this Agreement to the Capital Contribution of a Member shall include a Capital Contribution of such Members predecessors in interest.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Certificate</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has the meaning set forth in the Bakkt Pubco Charter.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Voting Units</w:t>
      </w:r>
      <w:r>
        <w:rPr>
          <w:rFonts w:ascii="Times New Roman" w:hAnsi="Times New Roman"/>
          <w:sz w:val="20"/>
        </w:rPr>
        <w:t xml:space="preserve"> has the meaning set forth in the Prior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Voting Units</w:t>
      </w:r>
      <w:r>
        <w:rPr>
          <w:rFonts w:ascii="Times New Roman" w:hAnsi="Times New Roman"/>
          <w:sz w:val="20"/>
        </w:rPr>
        <w:t xml:space="preserve"> has the meaning set forth in the Prior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C Voting Units</w:t>
      </w:r>
      <w:r>
        <w:rPr>
          <w:rFonts w:ascii="Times New Roman" w:hAnsi="Times New Roman"/>
          <w:sz w:val="20"/>
        </w:rPr>
        <w:t xml:space="preserve"> has the meaning set forth in the Prior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V Common Stock</w:t>
      </w:r>
      <w:r>
        <w:rPr>
          <w:rFonts w:ascii="Times New Roman" w:hAnsi="Times New Roman"/>
          <w:sz w:val="20"/>
        </w:rPr>
        <w:t xml:space="preserve"> has the meaning set forth in the Bakkt Pubco Charter.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w:t>
      </w:r>
      <w:r>
        <w:rPr>
          <w:rFonts w:ascii="Times New Roman" w:hAnsi="Times New Roman"/>
          <w:sz w:val="20"/>
        </w:rPr>
        <w:t xml:space="preserve"> has the meaning set forth in the Merger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the United States Internal Revenue Code of 1986,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Common Unit</w:t>
      </w:r>
      <w:r>
        <w:rPr>
          <w:rFonts w:ascii="Times New Roman" w:hAnsi="Times New Roman"/>
          <w:sz w:val="20"/>
        </w:rPr>
        <w:t xml:space="preserve"> means the limited liability company interests in the Company issued pursuant to the terms of this Agreement, having such rights, privileges, preferences, obligations and duties as are set forth in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has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Interest</w:t>
      </w:r>
      <w:r>
        <w:rPr>
          <w:rFonts w:ascii="Times New Roman" w:hAnsi="Times New Roman"/>
          <w:sz w:val="20"/>
        </w:rPr>
        <w:t xml:space="preserve"> means the interest of a Member in allocations of Net Profits and Net Losses (or items thereof) and Distributions.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Legal Matters</w:t>
      </w:r>
      <w:r>
        <w:rPr>
          <w:rFonts w:ascii="Times New Roman" w:hAnsi="Times New Roman"/>
          <w:sz w:val="20"/>
        </w:rPr>
        <w:t xml:space="preserve"> has the meaning set forth in </w:t>
      </w:r>
      <w:r>
        <w:rPr>
          <w:rFonts w:ascii="Times New Roman" w:hAnsi="Times New Roman"/>
          <w:sz w:val="20"/>
          <w:u w:val="single"/>
        </w:rPr>
        <w:t>Section 12.18(b)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Confidential Information</w:t>
      </w:r>
      <w:r>
        <w:rPr>
          <w:rFonts w:ascii="Times New Roman" w:hAnsi="Times New Roman"/>
          <w:sz w:val="20"/>
        </w:rPr>
        <w:t xml:space="preserve"> has the meaning set forth in </w:t>
      </w:r>
      <w:r>
        <w:rPr>
          <w:rFonts w:ascii="Times New Roman" w:hAnsi="Times New Roman"/>
          <w:sz w:val="20"/>
          <w:u w:val="single"/>
        </w:rPr>
        <w:t>Section 12.2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Control</w:t>
      </w:r>
      <w:r>
        <w:rPr>
          <w:rFonts w:ascii="Times New Roman" w:hAnsi="Times New Roman"/>
          <w:sz w:val="20"/>
        </w:rPr>
        <w:t xml:space="preserve"> means the possession, directly or indirectly, of the power to direct or cause the direction of management and policies whether through ownership of voting securities, by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Delaware Act</w:t>
      </w:r>
      <w:r>
        <w:rPr>
          <w:rFonts w:ascii="Times New Roman" w:hAnsi="Times New Roman"/>
          <w:sz w:val="20"/>
        </w:rPr>
        <w:t xml:space="preserve"> means the Delaware Limited Liability Company Act, 6 Del. L. §18-101, et seq., as it may be amended from time to time, and any successor to the Delaware Act.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Depreciation</w:t>
      </w:r>
      <w:r>
        <w:rPr>
          <w:rFonts w:ascii="Times New Roman" w:hAnsi="Times New Roman"/>
          <w:sz w:val="20"/>
        </w:rPr>
        <w:t xml:space="preserve"> means, for each Taxable Year, an amount equal to the depreciation, amortization or other cost recovery deduction allowable for U.S. federal income tax purposes with respect to property for such Taxable Year, except that (a) with respect to any property the Book Value of which differs from its adjusted tax basis for U.S. federal income tax purposes and which difference is being eliminated by use of the remedial allocation method pursuant to Treasury Regulations Section 1.704-3(d), Depreciation for such Taxable Year shall be the amount of book basis recovered for such Taxable Year under the rules prescribed by Treasury Regulations Section 1.704-3(d)(2), and (b) with respect to any other property the Book Value of which differs from its adjusted tax basis at the beginning of such Taxable Year, Depreciation shall be an amount which bears the same ratio to such beginning Book Value as the U.S. federal income tax depreciation, amortization or other cost recovery deduction for such Taxable Year bears to such beginning adjusted tax basis; </w:t>
      </w:r>
      <w:r>
        <w:rPr>
          <w:rFonts w:ascii="Times New Roman" w:hAnsi="Times New Roman"/>
          <w:i/>
          <w:sz w:val="20"/>
        </w:rPr>
        <w:t>provided</w:t>
      </w:r>
      <w:r>
        <w:rPr>
          <w:rFonts w:ascii="Times New Roman" w:hAnsi="Times New Roman"/>
          <w:sz w:val="20"/>
        </w:rPr>
        <w:t xml:space="preserve"> that if the adjusted tax basis of any property at the beginning of such Taxable Year is zero, Depreciation with respect to such property shall be determined with reference to such beginning value using any reasonable method selected by the Managing Member.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Distribution</w:t>
      </w:r>
      <w:r>
        <w:rPr>
          <w:rFonts w:ascii="Times New Roman" w:hAnsi="Times New Roman"/>
          <w:sz w:val="20"/>
        </w:rPr>
        <w:t xml:space="preserve"> means each distribution made by the Company to a Member, whether in cash, property or securities of the Company and whether by liquidating distribution or otherwise; </w:t>
      </w:r>
      <w:r>
        <w:rPr>
          <w:rFonts w:ascii="Times New Roman" w:hAnsi="Times New Roman"/>
          <w:i/>
          <w:sz w:val="20"/>
        </w:rPr>
        <w:t xml:space="preserve">provided </w:t>
      </w:r>
      <w:r>
        <w:rPr>
          <w:rFonts w:ascii="Times New Roman" w:hAnsi="Times New Roman"/>
          <w:sz w:val="20"/>
        </w:rPr>
        <w:t xml:space="preserve">that any recapitalization or exchange of securities of the Company, and any subdivision (by Unit split or otherwise) or any combination (by reverse Unit split or otherwise) of any outstanding Units shall not be a Distribution.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Economic Risk of Loss</w:t>
      </w:r>
      <w:r>
        <w:rPr>
          <w:rFonts w:ascii="Times New Roman" w:hAnsi="Times New Roman"/>
          <w:sz w:val="20"/>
        </w:rPr>
        <w:t xml:space="preserve"> has the meaning assigned to that term in Treasury Regulations Section 1.752-2(a).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Effective Date</w:t>
      </w:r>
      <w:r>
        <w:rPr>
          <w:rFonts w:ascii="Times New Roman" w:hAnsi="Times New Roman"/>
          <w:sz w:val="20"/>
        </w:rPr>
        <w:t xml:space="preserve"> has the meaning set forth in the introduction.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Election of Exchange</w:t>
      </w:r>
      <w:r>
        <w:rPr>
          <w:rFonts w:ascii="Times New Roman" w:hAnsi="Times New Roman"/>
          <w:sz w:val="20"/>
        </w:rPr>
        <w:t xml:space="preserve"> has the meaning set forth in the Exchange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Equity Securities</w:t>
      </w:r>
      <w:r>
        <w:rPr>
          <w:rFonts w:ascii="Times New Roman" w:hAnsi="Times New Roman"/>
          <w:sz w:val="20"/>
        </w:rPr>
        <w:t xml:space="preserve">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ERISA</w:t>
      </w:r>
      <w:r>
        <w:rPr>
          <w:rFonts w:ascii="Times New Roman" w:hAnsi="Times New Roman"/>
          <w:sz w:val="20"/>
        </w:rPr>
        <w:t xml:space="preserve"> means The Employee Retirement Income Security Act of 1974,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w:t>
      </w:r>
      <w:r>
        <w:rPr>
          <w:rFonts w:ascii="Times New Roman" w:hAnsi="Times New Roman"/>
          <w:sz w:val="20"/>
        </w:rPr>
        <w:t xml:space="preserve"> means an exchange of Paired Interests pursuant to, and in accordance with, the Exchange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Agreement</w:t>
      </w:r>
      <w:r>
        <w:rPr>
          <w:rFonts w:ascii="Times New Roman" w:hAnsi="Times New Roman"/>
          <w:sz w:val="20"/>
        </w:rPr>
        <w:t xml:space="preserve"> means the exchange agreement dated as of or about the date hereof among the Company, Bakkt Pubco and the other Members of the Company from time to time party thereto,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Rate</w:t>
      </w:r>
      <w:r>
        <w:rPr>
          <w:rFonts w:ascii="Times New Roman" w:hAnsi="Times New Roman"/>
          <w:sz w:val="20"/>
        </w:rPr>
        <w:t xml:space="preserve"> has the meaning set forth in the Exchange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Family Group</w:t>
      </w:r>
      <w:r>
        <w:rPr>
          <w:rFonts w:ascii="Times New Roman" w:hAnsi="Times New Roman"/>
          <w:sz w:val="20"/>
        </w:rPr>
        <w:t xml:space="preserve"> means, as to any particular Person, (i) such Persons spouse, such Persons and such Persons spouses parents and descendants (whether natural or adopted) of such Person and such Persons spouses parents, (ii) any trust solely for the benefit of such Person and/or any of the Persons described in </w:t>
      </w:r>
      <w:r>
        <w:rPr>
          <w:rFonts w:ascii="Times New Roman" w:hAnsi="Times New Roman"/>
          <w:sz w:val="20"/>
          <w:u w:val="single"/>
        </w:rPr>
        <w:t>clause (i)</w:t>
      </w:r>
      <w:r>
        <w:rPr>
          <w:rFonts w:ascii="Times New Roman" w:hAnsi="Times New Roman"/>
          <w:sz w:val="20"/>
        </w:rPr>
        <w:t xml:space="preserve">, and (iii) any partnerships, corporations or limited liability companies where the only partners, shareholders or members are such Person and/or any of the Persons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Fiscal Year</w:t>
      </w:r>
      <w:r>
        <w:rPr>
          <w:rFonts w:ascii="Times New Roman" w:hAnsi="Times New Roman"/>
          <w:sz w:val="20"/>
        </w:rPr>
        <w:t xml:space="preserve"> means the Companys annual accounting period established pursuant to </w:t>
      </w:r>
      <w:r>
        <w:rPr>
          <w:rFonts w:ascii="Times New Roman" w:hAnsi="Times New Roman"/>
          <w:sz w:val="20"/>
          <w:u w:val="single"/>
        </w:rPr>
        <w:t>Section 2.8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Flow-Through Tax Return</w:t>
      </w:r>
      <w:r>
        <w:rPr>
          <w:rFonts w:ascii="Times New Roman" w:hAnsi="Times New Roman"/>
          <w:sz w:val="20"/>
        </w:rPr>
        <w:t xml:space="preserve"> means a Tax Return of the Company or any of its Subsidiaries that is of a type that reports income, gain, deduction or loss from the operation of a partnership or other pass-through entity and that could reflect items of income, gain, deduction or loss required to be included on a Tax Return of a Member (whether or not such items are actually reflected thereon).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Entity</w:t>
      </w:r>
      <w:r>
        <w:rPr>
          <w:rFonts w:ascii="Times New Roman" w:hAnsi="Times New Roman"/>
          <w:sz w:val="20"/>
        </w:rPr>
        <w:t xml:space="preserve"> means the United States of America or any other nation, any state or other political subdivision thereof, or any entity exercising executive, legislative, judicial, regulatory or administrative functions of government.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w:t>
      </w:r>
      <w:r>
        <w:rPr>
          <w:rFonts w:ascii="Times New Roman" w:hAnsi="Times New Roman"/>
          <w:sz w:val="20"/>
        </w:rPr>
        <w:t xml:space="preserve"> means any Person who holds a Unit, whether as a Member or as an unadmitted Assignee of a Member.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ICE</w:t>
      </w:r>
      <w:r>
        <w:rPr>
          <w:rFonts w:ascii="Times New Roman" w:hAnsi="Times New Roman"/>
          <w:sz w:val="20"/>
        </w:rPr>
        <w:t xml:space="preserve"> means Intercontinental Exchange, Inc., a Delaware corporation, together with its Affiliates, successors and assigns.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Incentive Units</w:t>
      </w:r>
      <w:r>
        <w:rPr>
          <w:rFonts w:ascii="Times New Roman" w:hAnsi="Times New Roman"/>
          <w:sz w:val="20"/>
        </w:rPr>
        <w:t xml:space="preserve"> has the meaning set forth in the Prior LLC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Income Tax</w:t>
      </w:r>
      <w:r>
        <w:rPr>
          <w:rFonts w:ascii="Times New Roman" w:hAnsi="Times New Roman"/>
          <w:sz w:val="20"/>
        </w:rPr>
        <w:t xml:space="preserve"> means (i) all Taxes based upon, measured by, or calculated with respect to gross or net income, gross or net receipts or profits (including franchise Taxes and any capital gains, alternative minimum, and net worth Taxes, but excluding ad valorem, property, excise, sales, use, real or personal property transfer or other similar Taxes), (ii)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Times New Roman" w:hAnsi="Times New Roman"/>
          <w:sz w:val="20"/>
          <w:u w:val="single"/>
        </w:rPr>
        <w:t>clause (i)</w:t>
      </w:r>
      <w:r>
        <w:rPr>
          <w:rFonts w:ascii="Times New Roman" w:hAnsi="Times New Roman"/>
          <w:sz w:val="20"/>
        </w:rPr>
        <w:t xml:space="preserve"> above, or (iii) withholding Taxes measured with reference to or as a substitute for any Tax included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Indemnitee</w:t>
      </w:r>
      <w:r>
        <w:rPr>
          <w:rFonts w:ascii="Times New Roman" w:hAnsi="Times New Roman"/>
          <w:sz w:val="20"/>
        </w:rPr>
        <w:t xml:space="preserve"> means (a) Bakkt Pubco, (b) any additional or substitute Managing Member, (c) any Person who is or was a Partnership Representative, officer or director of Bakkt Pubco or any additional or substitute Managing Member, (d) any Person that is required to be indemnified by Bakkt Pubco as an indemnitee in accordance with the Bakkt Pubco Charter or bylaws of Bakkt Pubco as in effect from time to time, (e) any officer or director of Bakkt Pubco or any additional or substitute Managing Member who is or was serving at the request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Bakkt Pubco or any additional or substitute Managing Member as an officer, director, employee, member, Member, Partnership Representative, agent, fiduciary or trustee of another Person; </w:t>
      </w:r>
      <w:r>
        <w:rPr>
          <w:rFonts w:ascii="Times New Roman" w:hAnsi="Times New Roman"/>
          <w:i/>
          <w:sz w:val="20"/>
        </w:rPr>
        <w:t>provided</w:t>
      </w:r>
      <w:r>
        <w:rPr>
          <w:rFonts w:ascii="Times New Roman" w:hAnsi="Times New Roman"/>
          <w:sz w:val="20"/>
        </w:rPr>
        <w:t xml:space="preserve">, that a Person shall not be an Indemnitee by reason of providing, on a fee-for-services basis, trustee, fiduciary or custodial services, (f) any officer of the Company, (g) any other Person the Managing Member in its sole discretion designates as an Indemnitee for purposes of this Agreement and (h) any heir, executor or administrator with respect to Persons named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Indemnitee-Related Entities</w:t>
      </w:r>
      <w:r>
        <w:rPr>
          <w:rFonts w:ascii="Times New Roman" w:hAnsi="Times New Roman"/>
          <w:sz w:val="20"/>
        </w:rPr>
        <w:t xml:space="preserve">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Initial LLC Agreement</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Jointly Indemnifiable Claims</w:t>
      </w:r>
      <w:r>
        <w:rPr>
          <w:rFonts w:ascii="Times New Roman" w:hAnsi="Times New Roman"/>
          <w:sz w:val="20"/>
        </w:rPr>
        <w:t xml:space="preserve"> shall be broadly construed to mean, without limitation, any action, suit or proceeding for which an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Law</w:t>
      </w:r>
      <w:r>
        <w:rPr>
          <w:rFonts w:ascii="Times New Roman" w:hAnsi="Times New Roman"/>
          <w:sz w:val="20"/>
        </w:rPr>
        <w:t xml:space="preserve">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Lien</w:t>
      </w:r>
      <w:r>
        <w:rPr>
          <w:rFonts w:ascii="Times New Roman" w:hAnsi="Times New Roman"/>
          <w:sz w:val="20"/>
        </w:rPr>
        <w:t xml:space="preserve"> means any mortgage, pledge, security interest, encumbrance, lien or charge of any kind (including any conditional sale or other title retention agreement or lease in the nature thereof), any sale of receivables with recourse against the Company, any Subsidiary or any Affiliate thereof, any filing or agreement to file a financing statement as debtor under the Uniform Commercial Code or any similar statute other than to reflect ownership by a third party of property leased to the Company, any Subsidiary or any Affiliate under a lease which is not in the nature of a conditional sale or title retention agreement, or any subordination arrangement in favor of another Person (other than any subordination arising in the ordinary course of business).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Managing Member</w:t>
      </w:r>
      <w:r>
        <w:rPr>
          <w:rFonts w:ascii="Times New Roman" w:hAnsi="Times New Roman"/>
          <w:sz w:val="20"/>
        </w:rPr>
        <w:t xml:space="preserve"> means Bakkt Pubco or any successor managing member admitted to the Company in accordance with the terms of this Agreement, in its capacity as the managing member of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Member</w:t>
      </w:r>
      <w:r>
        <w:rPr>
          <w:rFonts w:ascii="Times New Roman" w:hAnsi="Times New Roman"/>
          <w:sz w:val="20"/>
        </w:rPr>
        <w:t xml:space="preserve"> means each of the members named on the </w:t>
      </w:r>
      <w:r>
        <w:rPr>
          <w:rFonts w:ascii="Times New Roman" w:hAnsi="Times New Roman"/>
          <w:sz w:val="20"/>
          <w:u w:val="single"/>
        </w:rPr>
        <w:t>Schedule of Members</w:t>
      </w:r>
      <w:r>
        <w:rPr>
          <w:rFonts w:ascii="Times New Roman" w:hAnsi="Times New Roman"/>
          <w:sz w:val="20"/>
        </w:rPr>
        <w:t xml:space="preserve"> and any Person admitted to the Company as a Substituted Member or Additional Member, but only so long as such Person is shown on the Companys books and records as the owner of one or more Units.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Member Nonrecourse Debt</w:t>
      </w:r>
      <w:r>
        <w:rPr>
          <w:rFonts w:ascii="Times New Roman" w:hAnsi="Times New Roman"/>
          <w:sz w:val="20"/>
        </w:rPr>
        <w:t xml:space="preserve"> has the meaning assigned to the term partner nonrecourse debt in Treasury Regulations Section 1.704-2(b)(4).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Member Nonrecourse Debt Minimum Gain</w:t>
      </w:r>
      <w:r>
        <w:rPr>
          <w:rFonts w:ascii="Times New Roman" w:hAnsi="Times New Roman"/>
          <w:sz w:val="20"/>
        </w:rPr>
        <w:t xml:space="preserve"> has the meaning assigned to the term partner nonrecourse debt minimum gain in Treasury Regulations Section 1.704-2(i)(2).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Member Nonrecourse Deductions</w:t>
      </w:r>
      <w:r>
        <w:rPr>
          <w:rFonts w:ascii="Times New Roman" w:hAnsi="Times New Roman"/>
          <w:sz w:val="20"/>
        </w:rPr>
        <w:t xml:space="preserve"> has the meaning assigned to the term partner nonrecourse deductions in Treasury Regulations Section 1.704-2(i)(2).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Merger</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Merger Agreement</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Merger Consideration</w:t>
      </w:r>
      <w:r>
        <w:rPr>
          <w:rFonts w:ascii="Times New Roman" w:hAnsi="Times New Roman"/>
          <w:sz w:val="20"/>
        </w:rPr>
        <w:t xml:space="preserve"> has the meaning set forth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Merger Sub</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Minimum Gain</w:t>
      </w:r>
      <w:r>
        <w:rPr>
          <w:rFonts w:ascii="Times New Roman" w:hAnsi="Times New Roman"/>
          <w:sz w:val="20"/>
        </w:rPr>
        <w:t xml:space="preserve"> means the partnership minimum gain determined pursuant to Treasury Regulations Section 1.704-2(d).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Net Profit</w:t>
      </w:r>
      <w:r>
        <w:rPr>
          <w:rFonts w:ascii="Times New Roman" w:hAnsi="Times New Roman"/>
          <w:sz w:val="20"/>
        </w:rPr>
        <w:t> or </w:t>
      </w:r>
      <w:r>
        <w:rPr>
          <w:rFonts w:ascii="Times New Roman" w:hAnsi="Times New Roman"/>
          <w:b/>
          <w:i/>
          <w:sz w:val="20"/>
        </w:rPr>
        <w:t>Net Loss</w:t>
      </w:r>
      <w:r>
        <w:rPr>
          <w:rFonts w:ascii="Times New Roman" w:hAnsi="Times New Roman"/>
          <w:sz w:val="20"/>
        </w:rPr>
        <w:t xml:space="preserve"> means, for each Taxable Year, an amount equal to the Companys taxable income or loss for such Taxable Year, determined in accordance with Code Section 703(a) (for this purpose, all items of income, gain, loss, deduction or credit required to be stated separately pursuant to Code Section 703(a)(1) shall be included in taxable income or loss), with the following adjustments (without duplication): </w:t>
      </w:r>
    </w:p>
    <w:p>
      <w:pPr>
        <w:pStyle w:val="TextBody"/>
        <w:spacing w:before="240" w:after="0"/>
        <w:jc w:val="left"/>
        <w:rPr>
          <w:rFonts w:ascii="Times New Roman" w:hAnsi="Times New Roman"/>
          <w:sz w:val="20"/>
        </w:rPr>
      </w:pPr>
      <w:r>
        <w:rPr>
          <w:rFonts w:ascii="Times New Roman" w:hAnsi="Times New Roman"/>
          <w:sz w:val="20"/>
        </w:rPr>
        <w:t>(a) Any income of the Company that is exempt from U.S. federal income tax and not otherwise taken into account in computing Net Profit and Net Loss pursuant to this definition of </w:t>
      </w:r>
      <w:r>
        <w:rPr>
          <w:rFonts w:ascii="Times New Roman" w:hAnsi="Times New Roman"/>
          <w:b/>
          <w:i/>
          <w:sz w:val="20"/>
        </w:rPr>
        <w:t>Net Profit</w:t>
      </w:r>
      <w:r>
        <w:rPr>
          <w:rFonts w:ascii="Times New Roman" w:hAnsi="Times New Roman"/>
          <w:sz w:val="20"/>
        </w:rPr>
        <w:t> and </w:t>
      </w:r>
      <w:r>
        <w:rPr>
          <w:rFonts w:ascii="Times New Roman" w:hAnsi="Times New Roman"/>
          <w:b/>
          <w:i/>
          <w:sz w:val="20"/>
        </w:rPr>
        <w:t>Net Loss</w:t>
      </w:r>
      <w:r>
        <w:rPr>
          <w:rFonts w:ascii="Times New Roman" w:hAnsi="Times New Roman"/>
          <w:sz w:val="20"/>
        </w:rPr>
        <w:t xml:space="preserve"> shall be added to such taxable income or loss; </w:t>
      </w:r>
    </w:p>
    <w:p>
      <w:pPr>
        <w:pStyle w:val="TextBody"/>
        <w:spacing w:before="240" w:after="0"/>
        <w:jc w:val="left"/>
        <w:rPr>
          <w:rFonts w:ascii="Times New Roman" w:hAnsi="Times New Roman"/>
          <w:sz w:val="20"/>
        </w:rPr>
      </w:pPr>
      <w:r>
        <w:rPr>
          <w:rFonts w:ascii="Times New Roman" w:hAnsi="Times New Roman"/>
          <w:sz w:val="20"/>
        </w:rPr>
        <w:t>(b) Any expenditures of the Company described in Code Section 705(a)(2)(B) or treated as Code Section 705(a)(2)(B) expenditures pursuant to Treasury Regulations Section 1.704-1(b)(2)(iv)(i) and not otherwise taken into account in computing Net Profit or Net Loss pursuant to this definition of </w:t>
      </w:r>
      <w:r>
        <w:rPr>
          <w:rFonts w:ascii="Times New Roman" w:hAnsi="Times New Roman"/>
          <w:b/>
          <w:i/>
          <w:sz w:val="20"/>
        </w:rPr>
        <w:t>Net Profit</w:t>
      </w:r>
      <w:r>
        <w:rPr>
          <w:rFonts w:ascii="Times New Roman" w:hAnsi="Times New Roman"/>
          <w:sz w:val="20"/>
        </w:rPr>
        <w:t> and </w:t>
      </w:r>
      <w:r>
        <w:rPr>
          <w:rFonts w:ascii="Times New Roman" w:hAnsi="Times New Roman"/>
          <w:b/>
          <w:i/>
          <w:sz w:val="20"/>
        </w:rPr>
        <w:t>Net Loss</w:t>
      </w:r>
      <w:r>
        <w:rPr>
          <w:rFonts w:ascii="Times New Roman" w:hAnsi="Times New Roman"/>
          <w:sz w:val="20"/>
        </w:rPr>
        <w:t xml:space="preserve"> shall be subtracted from such taxable income or loss; </w:t>
      </w:r>
    </w:p>
    <w:p>
      <w:pPr>
        <w:pStyle w:val="TextBody"/>
        <w:spacing w:before="240" w:after="0"/>
        <w:jc w:val="left"/>
        <w:rPr>
          <w:rFonts w:ascii="Times New Roman" w:hAnsi="Times New Roman"/>
          <w:sz w:val="20"/>
        </w:rPr>
      </w:pPr>
      <w:r>
        <w:rPr>
          <w:rFonts w:ascii="Times New Roman" w:hAnsi="Times New Roman"/>
          <w:sz w:val="20"/>
        </w:rPr>
        <w:t xml:space="preserve">(c) In the event the Book Value of any asset is adjusted pursuant to </w:t>
      </w:r>
      <w:r>
        <w:rPr>
          <w:rFonts w:ascii="Times New Roman" w:hAnsi="Times New Roman"/>
          <w:sz w:val="20"/>
          <w:u w:val="single"/>
        </w:rPr>
        <w:t>clause (b)</w:t>
      </w:r>
      <w:r>
        <w:rPr>
          <w:rFonts w:ascii="Times New Roman" w:hAnsi="Times New Roman"/>
          <w:sz w:val="20"/>
        </w:rPr>
        <w:t xml:space="preserve"> or </w:t>
      </w:r>
      <w:r>
        <w:rPr>
          <w:rFonts w:ascii="Times New Roman" w:hAnsi="Times New Roman"/>
          <w:sz w:val="20"/>
          <w:u w:val="single"/>
        </w:rPr>
        <w:t>clause (c)</w:t>
      </w:r>
      <w:r>
        <w:rPr>
          <w:rFonts w:ascii="Times New Roman" w:hAnsi="Times New Roman"/>
          <w:sz w:val="20"/>
        </w:rPr>
        <w:t xml:space="preserve"> of the definition of Book Value, the amount of such adjustment shall be treated as an item of gain (if the adjustment increases the Book Value of the asset) or an item of loss (if the adjustment decreases the Book Value of the asset) from the disposition of such asset and shall be taken into account for purposes of computing Net Profit or Net Loss; </w:t>
      </w:r>
    </w:p>
    <w:p>
      <w:pPr>
        <w:pStyle w:val="TextBody"/>
        <w:spacing w:before="240" w:after="0"/>
        <w:jc w:val="left"/>
        <w:rPr>
          <w:rFonts w:ascii="Times New Roman" w:hAnsi="Times New Roman"/>
          <w:sz w:val="20"/>
        </w:rPr>
      </w:pPr>
      <w:r>
        <w:rPr>
          <w:rFonts w:ascii="Times New Roman" w:hAnsi="Times New Roman"/>
          <w:sz w:val="20"/>
        </w:rPr>
        <w:t xml:space="preserve">(d) 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 </w:t>
      </w:r>
    </w:p>
    <w:p>
      <w:pPr>
        <w:pStyle w:val="TextBody"/>
        <w:spacing w:before="240" w:after="0"/>
        <w:jc w:val="left"/>
        <w:rPr>
          <w:rFonts w:ascii="Times New Roman" w:hAnsi="Times New Roman"/>
          <w:sz w:val="20"/>
        </w:rPr>
      </w:pPr>
      <w:r>
        <w:rPr>
          <w:rFonts w:ascii="Times New Roman" w:hAnsi="Times New Roman"/>
          <w:sz w:val="20"/>
        </w:rPr>
        <w:t xml:space="preserve">(e) In lieu of the depreciation, amortization, and other cost recovery deductions taken into account in computing such taxable income or loss, there shall be taken into account Depreciation for such Taxable Year; </w:t>
      </w:r>
    </w:p>
    <w:p>
      <w:pPr>
        <w:pStyle w:val="TextBody"/>
        <w:spacing w:before="240" w:after="0"/>
        <w:jc w:val="left"/>
        <w:rPr>
          <w:rFonts w:ascii="Times New Roman" w:hAnsi="Times New Roman"/>
          <w:sz w:val="20"/>
        </w:rPr>
      </w:pPr>
      <w:r>
        <w:rPr>
          <w:rFonts w:ascii="Times New Roman" w:hAnsi="Times New Roman"/>
          <w:sz w:val="20"/>
        </w:rPr>
        <w:t xml:space="preserve">(f) To the extent an adjustment to the adjusted tax basis of any Company asset pursuant to Code Section 734(b) or Section 743(b) is required pursuant to Treasury Regulations Section 1.704-1(b)(2)(iv)(m)(4) to be taken into account in determining Capital Accounts as a result of a distribution other than in liquidation of a Members Units,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or Net Losses; and </w:t>
      </w:r>
    </w:p>
    <w:p>
      <w:pPr>
        <w:pStyle w:val="TextBody"/>
        <w:spacing w:before="240" w:after="0"/>
        <w:jc w:val="left"/>
        <w:rPr>
          <w:rFonts w:ascii="Times New Roman" w:hAnsi="Times New Roman"/>
          <w:sz w:val="20"/>
        </w:rPr>
      </w:pPr>
      <w:r>
        <w:rPr>
          <w:rFonts w:ascii="Times New Roman" w:hAnsi="Times New Roman"/>
          <w:sz w:val="20"/>
        </w:rPr>
        <w:t xml:space="preserve">(g) Any items that are allocated pursuant to </w:t>
      </w:r>
      <w:r>
        <w:rPr>
          <w:rFonts w:ascii="Times New Roman" w:hAnsi="Times New Roman"/>
          <w:sz w:val="20"/>
          <w:u w:val="single"/>
        </w:rPr>
        <w:t>Section 4.3</w:t>
      </w:r>
      <w:r>
        <w:rPr>
          <w:rFonts w:ascii="Times New Roman" w:hAnsi="Times New Roman"/>
          <w:sz w:val="20"/>
        </w:rPr>
        <w:t xml:space="preserve"> shall be determined by applying rules analogous to those set forth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hereof but shall not be taken into account in computing Net Profits and Net Losses.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New Equity Incentive Plan</w:t>
      </w:r>
      <w:r>
        <w:rPr>
          <w:rFonts w:ascii="Times New Roman" w:hAnsi="Times New Roman"/>
          <w:sz w:val="20"/>
        </w:rPr>
        <w:t xml:space="preserve"> means the Bakkt Holdings, Inc. 2021 Omnibus Employee Incentive Plan adopted in connection with the Merger as of the Effective Time and any successor or replacement equity incentive plan of Bakkt Pubco.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Noncompensatory Option</w:t>
      </w:r>
      <w:r>
        <w:rPr>
          <w:rFonts w:ascii="Times New Roman" w:hAnsi="Times New Roman"/>
          <w:sz w:val="20"/>
        </w:rPr>
        <w:t xml:space="preserve"> means a noncompensatory option within the meaning of Treasury Regulations Sections 1.721-2(f) and 1.761-3(b)(2).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Nonrecourse Deductions</w:t>
      </w:r>
      <w:r>
        <w:rPr>
          <w:rFonts w:ascii="Times New Roman" w:hAnsi="Times New Roman"/>
          <w:sz w:val="20"/>
        </w:rPr>
        <w:t xml:space="preserve"> has the meaning assigned that term in Treasury Regulations Section 1.704-2(b).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Nonrepresented Members</w:t>
      </w:r>
      <w:r>
        <w:rPr>
          <w:rFonts w:ascii="Times New Roman" w:hAnsi="Times New Roman"/>
          <w:sz w:val="20"/>
        </w:rPr>
        <w:t xml:space="preserve"> has the meaning set forth in </w:t>
      </w:r>
      <w:r>
        <w:rPr>
          <w:rFonts w:ascii="Times New Roman" w:hAnsi="Times New Roman"/>
          <w:sz w:val="20"/>
          <w:u w:val="single"/>
        </w:rPr>
        <w:t>Section 12.18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Paired Interest</w:t>
      </w:r>
      <w:r>
        <w:rPr>
          <w:rFonts w:ascii="Times New Roman" w:hAnsi="Times New Roman"/>
          <w:sz w:val="20"/>
        </w:rPr>
        <w:t xml:space="preserve"> means one Common Unit together with one share of Class V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Participants</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Partnership Representative</w:t>
      </w:r>
      <w:r>
        <w:rPr>
          <w:rFonts w:ascii="Times New Roman" w:hAnsi="Times New Roman"/>
          <w:sz w:val="20"/>
        </w:rPr>
        <w:t xml:space="preserve"> has the meaning set forth in Code Section 6223.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Percentage Interest</w:t>
      </w:r>
      <w:r>
        <w:rPr>
          <w:rFonts w:ascii="Times New Roman" w:hAnsi="Times New Roman"/>
          <w:sz w:val="20"/>
        </w:rPr>
        <w:t xml:space="preserve"> means, with respect to any Member, the quotient obtained by dividing the number of Common Units then owned by such Member by the number of Common Units then owned by all of the Members, in each case, whether vested or unvested.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Transfer</w:t>
      </w:r>
      <w:r>
        <w:rPr>
          <w:rFonts w:ascii="Times New Roman" w:hAnsi="Times New Roman"/>
          <w:sz w:val="20"/>
        </w:rPr>
        <w:t xml:space="preserve"> means a Transfer (a) in the case of a Member that is a natural Person, pursuant to applicable laws of descent and distribution, (b) in the case of a Member that is a natural Person, to or among such Members Family Group, (c) in the case of a Member that is an entity, a Transfer to its Affiliates; </w:t>
      </w:r>
      <w:r>
        <w:rPr>
          <w:rFonts w:ascii="Times New Roman" w:hAnsi="Times New Roman"/>
          <w:i/>
          <w:sz w:val="20"/>
        </w:rPr>
        <w:t>provided</w:t>
      </w:r>
      <w:r>
        <w:rPr>
          <w:rFonts w:ascii="Times New Roman" w:hAnsi="Times New Roman"/>
          <w:sz w:val="20"/>
        </w:rPr>
        <w:t xml:space="preserve"> that in each case (i) the restrictions, conditions, and obligations contained in this Agreement, the Stockholders Agreement and any other agreement to which such Member is a party in its capacity as such shall continue to be applicable to such securities after any such Permitted Transfer, (ii) the transferee(s) of such securities shall have agreed in writing to be bound by the provisions of such agreements, and (iii) unless the transferee was a Member prior to such Permitted Transfer or has been admitted as a Substituted Member, such Member shall have retained all voting Control over such securities. For the avoidance of doubt, Transfers by ICE of Units to its other Affiliates shall be deemed to be a Permitted Transfer.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 individual or any corporation, partnership, limited liability company, trust, unincorporated organization, association, joint venture or any other entity or organization, regardless of whether a legally-recognized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Prior Equity Incentive Plan</w:t>
      </w:r>
      <w:r>
        <w:rPr>
          <w:rFonts w:ascii="Times New Roman" w:hAnsi="Times New Roman"/>
          <w:sz w:val="20"/>
        </w:rPr>
        <w:t xml:space="preserve"> means the Amended and Restated Bakkt Equity Incentive Plan, which was amended and restated effective as of May 15, 2020, and shall be further amended and restated as of the Effective Time, after which no additional awards may be made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Prior LLC Agreement</w:t>
      </w:r>
      <w:r>
        <w:rPr>
          <w:rFonts w:ascii="Times New Roman" w:hAnsi="Times New Roman"/>
          <w:sz w:val="20"/>
        </w:rPr>
        <w:t xml:space="preserve"> means that certain Second Amended and Restated Limited Liability Company Agreement, effective February 28, 2020, among the Company and each Member listed on Schedule I attached thereto and such additional Persons who became Members of the Company from time to time in accordance with the terms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Prior Member Requisite Consent</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Proceeding</w:t>
      </w:r>
      <w:r>
        <w:rPr>
          <w:rFonts w:ascii="Times New Roman" w:hAnsi="Times New Roman"/>
          <w:sz w:val="20"/>
        </w:rPr>
        <w:t xml:space="preserve"> has the meaning set forth in </w:t>
      </w:r>
      <w:r>
        <w:rPr>
          <w:rFonts w:ascii="Times New Roman" w:hAnsi="Times New Roman"/>
          <w:sz w:val="20"/>
          <w:u w:val="single"/>
        </w:rPr>
        <w:t>Section 11.2(a)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Recapture Gain</w:t>
      </w:r>
      <w:r>
        <w:rPr>
          <w:rFonts w:ascii="Times New Roman" w:hAnsi="Times New Roman"/>
          <w:sz w:val="20"/>
        </w:rPr>
        <w:t xml:space="preserve"> has the meaning set forth in </w:t>
      </w:r>
      <w:r>
        <w:rPr>
          <w:rFonts w:ascii="Times New Roman" w:hAnsi="Times New Roman"/>
          <w:sz w:val="20"/>
          <w:u w:val="single"/>
        </w:rPr>
        <w:t>Section 4.4(d)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Regulatory Allocations</w:t>
      </w:r>
      <w:r>
        <w:rPr>
          <w:rFonts w:ascii="Times New Roman" w:hAnsi="Times New Roman"/>
          <w:sz w:val="20"/>
        </w:rPr>
        <w:t xml:space="preserve"> has the meaning set forth in </w:t>
      </w:r>
      <w:r>
        <w:rPr>
          <w:rFonts w:ascii="Times New Roman" w:hAnsi="Times New Roman"/>
          <w:sz w:val="20"/>
          <w:u w:val="single"/>
        </w:rPr>
        <w:t>Section 4.3(j)</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Related Person</w:t>
      </w:r>
      <w:r>
        <w:rPr>
          <w:rFonts w:ascii="Times New Roman" w:hAnsi="Times New Roman"/>
          <w:sz w:val="20"/>
        </w:rPr>
        <w:t xml:space="preserve"> of any Person means (a) any Affiliate of such Person, (b) any Person in which such Person (together with its Affiliates) hold(s) (individually or in the aggregate and directly or indirectly) at least a fifteen percent (15%) voting or economic interest, (c) any entity in which such Person hold(s) (directly or indirectly) any voting or economic interest, or (d) each director or officer of such Person; </w:t>
      </w:r>
      <w:r>
        <w:rPr>
          <w:rFonts w:ascii="Times New Roman" w:hAnsi="Times New Roman"/>
          <w:i/>
          <w:sz w:val="20"/>
        </w:rPr>
        <w:t>provided</w:t>
      </w:r>
      <w:r>
        <w:rPr>
          <w:rFonts w:ascii="Times New Roman" w:hAnsi="Times New Roman"/>
          <w:sz w:val="20"/>
        </w:rPr>
        <w:t xml:space="preserve">, that, notwithstanding anything herein to the contrary, no Person shall be considered a Related Person of Bakkt Pubco.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Representative</w:t>
      </w:r>
      <w:r>
        <w:rPr>
          <w:rFonts w:ascii="Times New Roman" w:hAnsi="Times New Roman"/>
          <w:sz w:val="20"/>
        </w:rPr>
        <w:t xml:space="preserve"> has the meaning set forth in </w:t>
      </w:r>
      <w:r>
        <w:rPr>
          <w:rFonts w:ascii="Times New Roman" w:hAnsi="Times New Roman"/>
          <w:sz w:val="20"/>
          <w:u w:val="single"/>
        </w:rPr>
        <w:t>Section 12.2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Required Interest</w:t>
      </w:r>
      <w:r>
        <w:rPr>
          <w:rFonts w:ascii="Times New Roman" w:hAnsi="Times New Roman"/>
          <w:sz w:val="20"/>
        </w:rPr>
        <w:t xml:space="preserve"> means one or more Members (excluding the Managing Member and any Members controlled by the Managing Member) holding a majority of the Units then owned by all of the Members (excluding the Units held by the Managing Member and any Members Controlled by the Managing Members); </w:t>
      </w:r>
      <w:r>
        <w:rPr>
          <w:rFonts w:ascii="Times New Roman" w:hAnsi="Times New Roman"/>
          <w:sz w:val="20"/>
          <w:u w:val="single"/>
        </w:rPr>
        <w:t>provided</w:t>
      </w:r>
      <w:r>
        <w:rPr>
          <w:rFonts w:ascii="Times New Roman" w:hAnsi="Times New Roman"/>
          <w:sz w:val="20"/>
        </w:rPr>
        <w:t xml:space="preserve"> that, in the event no Person other than the Managing Member and/or Members controlled by the Managing Member hold Units, the </w:t>
      </w:r>
      <w:r>
        <w:rPr>
          <w:rFonts w:ascii="Times New Roman" w:hAnsi="Times New Roman"/>
          <w:b/>
          <w:i/>
          <w:sz w:val="20"/>
        </w:rPr>
        <w:t>Required Interest</w:t>
      </w:r>
      <w:r>
        <w:rPr>
          <w:rFonts w:ascii="Times New Roman" w:hAnsi="Times New Roman"/>
          <w:sz w:val="20"/>
        </w:rPr>
        <w:t xml:space="preserve"> shall be deemed to mean the Managing Member.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Retained Amount</w:t>
      </w:r>
      <w:r>
        <w:rPr>
          <w:rFonts w:ascii="Times New Roman" w:hAnsi="Times New Roman"/>
          <w:sz w:val="20"/>
        </w:rPr>
        <w:t xml:space="preserve"> has the meaning set forth in </w:t>
      </w:r>
      <w:r>
        <w:rPr>
          <w:rFonts w:ascii="Times New Roman" w:hAnsi="Times New Roman"/>
          <w:sz w:val="20"/>
          <w:u w:val="single"/>
        </w:rPr>
        <w:t>Section 4.1(c)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Rights</w:t>
      </w:r>
      <w:r>
        <w:rPr>
          <w:rFonts w:ascii="Times New Roman" w:hAnsi="Times New Roman"/>
          <w:sz w:val="20"/>
        </w:rPr>
        <w:t xml:space="preserve"> means warrants, options or other rights to purchase or otherwise acquire Units or other Equity Securities in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Schedule of Members</w:t>
      </w:r>
      <w:r>
        <w:rPr>
          <w:rFonts w:ascii="Times New Roman" w:hAnsi="Times New Roman"/>
          <w:sz w:val="20"/>
        </w:rPr>
        <w:t xml:space="preserve"> has the meaning set forth in </w:t>
      </w:r>
      <w:r>
        <w:rPr>
          <w:rFonts w:ascii="Times New Roman" w:hAnsi="Times New Roman"/>
          <w:sz w:val="20"/>
          <w:u w:val="single"/>
        </w:rPr>
        <w:t>Section 2.13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and Exchange Commission</w:t>
      </w:r>
      <w:r>
        <w:rPr>
          <w:rFonts w:ascii="Times New Roman" w:hAnsi="Times New Roman"/>
          <w:sz w:val="20"/>
        </w:rPr>
        <w:t xml:space="preserve"> means the United States Securities and Exchange Commission, including any governmental body or agency succeeding to the functions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Similar Law</w:t>
      </w:r>
      <w:r>
        <w:rPr>
          <w:rFonts w:ascii="Times New Roman" w:hAnsi="Times New Roman"/>
          <w:sz w:val="20"/>
        </w:rPr>
        <w:t xml:space="preserve">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Code Section 4975.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Stockholders Agreement</w:t>
      </w:r>
      <w:r>
        <w:rPr>
          <w:rFonts w:ascii="Times New Roman" w:hAnsi="Times New Roman"/>
          <w:sz w:val="20"/>
        </w:rPr>
        <w:t xml:space="preserve"> means that certain Stockholders Agreement, dated as of [●], 2021, by and among Bakkt Pubco, VIH Sponsor and each of the other Persons party thereto from time to time, as may be amended, restated, supplemented or otherwise modified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with respect to any Person, another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the first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the first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Bakkt Holding, Inc. will include the Company and its direct and indirect Subsidiaries.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Substituted Member</w:t>
      </w:r>
      <w:r>
        <w:rPr>
          <w:rFonts w:ascii="Times New Roman" w:hAnsi="Times New Roman"/>
          <w:sz w:val="20"/>
        </w:rPr>
        <w:t xml:space="preserve"> means a Person that is admitted as a Member to the Company pursuant to </w:t>
      </w:r>
      <w:r>
        <w:rPr>
          <w:rFonts w:ascii="Times New Roman" w:hAnsi="Times New Roman"/>
          <w:sz w:val="20"/>
          <w:u w:val="single"/>
        </w:rPr>
        <w:t>Section 9.8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Distribution</w:t>
      </w:r>
      <w:r>
        <w:rPr>
          <w:rFonts w:ascii="Times New Roman" w:hAnsi="Times New Roman"/>
          <w:sz w:val="20"/>
        </w:rPr>
        <w:t xml:space="preserve"> has the meaning set forth in </w:t>
      </w:r>
      <w:r>
        <w:rPr>
          <w:rFonts w:ascii="Times New Roman" w:hAnsi="Times New Roman"/>
          <w:sz w:val="20"/>
          <w:u w:val="single"/>
        </w:rPr>
        <w:t>Section 4.1(d)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Tax Distribution Amount</w:t>
      </w:r>
      <w:r>
        <w:rPr>
          <w:rFonts w:ascii="Times New Roman" w:hAnsi="Times New Roman"/>
          <w:sz w:val="20"/>
        </w:rPr>
        <w:t xml:space="preserve"> means, with respect to any Fiscal Year, an amount equal to the aggregate amount of Tax Distributions with respect to such Fiscal Year that, if made on a </w:t>
      </w:r>
      <w:r>
        <w:rPr>
          <w:rFonts w:ascii="Times New Roman" w:hAnsi="Times New Roman"/>
          <w:i/>
          <w:sz w:val="20"/>
        </w:rPr>
        <w:t>pro rata</w:t>
      </w:r>
      <w:r>
        <w:rPr>
          <w:rFonts w:ascii="Times New Roman" w:hAnsi="Times New Roman"/>
          <w:sz w:val="20"/>
        </w:rPr>
        <w:t xml:space="preserve"> basis in accordance with the Members Percentage Interests, would permit Bakkt Pubco to receive a Tax Distribution with respect to such Fiscal Year that is not less than the sum of (a) Bakkt Pubcos U.S. federal, state, local and non-U.S. Income Tax liabilities plus (b) the amount necessary to satisfy Bakkt Pubcos payment obligations pursuant to the Tax Receivable Agreement with respect to such Fiscal Year. The Managing Member may estimate this amount on a quarterly basis and reconcile the estimates as of the end of the Fiscal Year, as soon as reasonably practicable after the end of such Fiscal Year (or as soon as reasonably practicable after any event that subsequently adjusts the taxable income of such Fiscal Year), in each case, in the Managing Members reasonable discretion.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Taxes</w:t>
      </w:r>
      <w:r>
        <w:rPr>
          <w:rFonts w:ascii="Times New Roman" w:hAnsi="Times New Roman"/>
          <w:sz w:val="20"/>
        </w:rPr>
        <w:t xml:space="preserve"> means any federal, state, local or foreign income, sales and use, excise, franchise, real and personal property, gross receipt, capital stock, business and occupation, premium, disability, employment, payroll, or withholding tax or other tax, duty, fee, assessment or charge of any kind whatsoever in the nature of a tax imposed by any taxing authority, whether computed on a separate or consolidated, unitary or combined basis or in any other manner, whether disputed or not, and any interest or penalties related to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Receivable Agreement</w:t>
      </w:r>
      <w:r>
        <w:rPr>
          <w:rFonts w:ascii="Times New Roman" w:hAnsi="Times New Roman"/>
          <w:sz w:val="20"/>
        </w:rPr>
        <w:t xml:space="preserve"> means the Tax Receivable Agreement dated as of or about the date hereof among the Company, Bakkt Pubco and the other parties from time to time party thereto,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Return</w:t>
      </w:r>
      <w:r>
        <w:rPr>
          <w:rFonts w:ascii="Times New Roman" w:hAnsi="Times New Roman"/>
          <w:sz w:val="20"/>
        </w:rPr>
        <w:t xml:space="preserve"> means any and all reports, returns (including information returns and claims for refunds), declarations,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Taxable Year</w:t>
      </w:r>
      <w:r>
        <w:rPr>
          <w:rFonts w:ascii="Times New Roman" w:hAnsi="Times New Roman"/>
          <w:sz w:val="20"/>
        </w:rPr>
        <w:t xml:space="preserve"> means the Companys accounting period for U.S. federal income tax purposes determined pursuant to </w:t>
      </w:r>
      <w:r>
        <w:rPr>
          <w:rFonts w:ascii="Times New Roman" w:hAnsi="Times New Roman"/>
          <w:sz w:val="20"/>
          <w:u w:val="single"/>
        </w:rPr>
        <w:t>Section 8.1(b)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Termination Transaction</w:t>
      </w:r>
      <w:r>
        <w:rPr>
          <w:rFonts w:ascii="Times New Roman" w:hAnsi="Times New Roman"/>
          <w:sz w:val="20"/>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the Company; </w:t>
      </w:r>
      <w:r>
        <w:rPr>
          <w:rFonts w:ascii="Times New Roman" w:hAnsi="Times New Roman"/>
          <w:i/>
          <w:sz w:val="20"/>
        </w:rPr>
        <w:t>provided</w:t>
      </w:r>
      <w:r>
        <w:rPr>
          <w:rFonts w:ascii="Times New Roman" w:hAnsi="Times New Roman"/>
          <w:sz w:val="20"/>
        </w:rPr>
        <w:t xml:space="preserve"> that, for the avoidance of doubt, Termination Transaction shall be deemed to exclude (x) any direct or indirect Transfers of Equity Securities of Bakkt Pubco by any stockholder or other holder thereof (other than any such Transfers pursuant to a combination transaction described in the foregoing </w:t>
      </w:r>
      <w:r>
        <w:rPr>
          <w:rFonts w:ascii="Times New Roman" w:hAnsi="Times New Roman"/>
          <w:sz w:val="20"/>
          <w:u w:val="single"/>
        </w:rPr>
        <w:t>clause (a)</w:t>
      </w:r>
      <w:r>
        <w:rPr>
          <w:rFonts w:ascii="Times New Roman" w:hAnsi="Times New Roman"/>
          <w:sz w:val="20"/>
        </w:rPr>
        <w:t xml:space="preserve">) and (y) any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Documents</w:t>
      </w:r>
      <w:r>
        <w:rPr>
          <w:rFonts w:ascii="Times New Roman" w:hAnsi="Times New Roman"/>
          <w:sz w:val="20"/>
        </w:rPr>
        <w:t xml:space="preserve"> has the meaning set forth in the Merger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w:t>
      </w:r>
      <w:r>
        <w:rPr>
          <w:rFonts w:ascii="Times New Roman" w:hAnsi="Times New Roman"/>
          <w:sz w:val="20"/>
        </w:rPr>
        <w:t xml:space="preserve"> means, in respect of any Common Unit, any direct or indirect transfer of ownership by sale, exchange, assignment, pledge, encumbrance, Lien, gift, donation, grant or other conveyance or disposition of any kind, whether voluntary or involuntary, including conveyances or dispositions by operation of law or legal process or otherwise (and hereby expressly includes, with respect to a Member, any voluntary or involuntary: (a) appointment of a receiver, trustee, liquidator, custodian or other similar official for such Member or all or any part of such Members property under any Law relating to bankruptcy, insolvency, reorganization, liquidation or other relief of debtors, including Title 11 of the United States Code, as amended; (b) gift, donation, transfer by will or intestacy or other disposition, whether </w:t>
      </w:r>
      <w:r>
        <w:rPr>
          <w:rFonts w:ascii="Times New Roman" w:hAnsi="Times New Roman"/>
          <w:i/>
          <w:sz w:val="20"/>
        </w:rPr>
        <w:t>inter vivos</w:t>
      </w:r>
      <w:r>
        <w:rPr>
          <w:rFonts w:ascii="Times New Roman" w:hAnsi="Times New Roman"/>
          <w:sz w:val="20"/>
        </w:rPr>
        <w:t xml:space="preserve"> or </w:t>
      </w:r>
      <w:r>
        <w:rPr>
          <w:rFonts w:ascii="Times New Roman" w:hAnsi="Times New Roman"/>
          <w:i/>
          <w:sz w:val="20"/>
        </w:rPr>
        <w:t>mortis causa</w:t>
      </w:r>
      <w:r>
        <w:rPr>
          <w:rFonts w:ascii="Times New Roman" w:hAnsi="Times New Roman"/>
          <w:sz w:val="20"/>
        </w:rPr>
        <w:t xml:space="preserve">; and (c) transfer or other disposition to a spouse or former spouse (including by reason of a separation agreement or divorce, equitable or community or marital property distribution, judicial decree or other court order relating to the division or partition of property between spouses or former spouses or other persons)).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Treasury Regulations</w:t>
      </w:r>
      <w:r>
        <w:rPr>
          <w:rFonts w:ascii="Times New Roman" w:hAnsi="Times New Roman"/>
          <w:sz w:val="20"/>
        </w:rPr>
        <w:t xml:space="preserve"> means the income tax regulations promulgated under the Code and any corresponding provisions of succeeding regulations.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Unit</w:t>
      </w:r>
      <w:r>
        <w:rPr>
          <w:rFonts w:ascii="Times New Roman" w:hAnsi="Times New Roman"/>
          <w:sz w:val="20"/>
        </w:rPr>
        <w:t xml:space="preserve"> means a Company Interest of a Member or an Assignee in the Company representing a fractional part of the Company Interests of all Members and Assignees; </w:t>
      </w:r>
      <w:r>
        <w:rPr>
          <w:rFonts w:ascii="Times New Roman" w:hAnsi="Times New Roman"/>
          <w:i/>
          <w:sz w:val="20"/>
        </w:rPr>
        <w:t>provided</w:t>
      </w:r>
      <w:r>
        <w:rPr>
          <w:rFonts w:ascii="Times New Roman" w:hAnsi="Times New Roman"/>
          <w:sz w:val="20"/>
        </w:rPr>
        <w:t xml:space="preserve"> that any class or group of Units issued shall have the relative rights, powers and duties set forth in this Agreement and the Company Interest represented by such class or group of Units shall be determined in accordance with such relative rights, powers and duties.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Upstream Securities</w:t>
      </w:r>
      <w:r>
        <w:rPr>
          <w:rFonts w:ascii="Times New Roman" w:hAnsi="Times New Roman"/>
          <w:sz w:val="20"/>
        </w:rPr>
        <w:t xml:space="preserve"> means Equity Securities of any type issued by Bakkt Pubco, including shares of common and preferred stock whether vested or unvested.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VIH Sponsor</w:t>
      </w:r>
      <w:r>
        <w:rPr>
          <w:rFonts w:ascii="Times New Roman" w:hAnsi="Times New Roman"/>
          <w:sz w:val="20"/>
        </w:rPr>
        <w:t xml:space="preserve"> means VPC Impact Acquisition Holdings Sponsor, LLC, a Delaware limited liability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Warrant</w:t>
      </w:r>
      <w:r>
        <w:rPr>
          <w:rFonts w:ascii="Times New Roman" w:hAnsi="Times New Roman"/>
          <w:sz w:val="20"/>
        </w:rPr>
        <w:t xml:space="preserve"> means, as applicable, (i) that certain Warrant to Purchase Class B Voting Units, issued to Starbucks Corporation on February 19, 2020, or (ii) that certain Warrant to Purchase Class C Voting Units, issued to The Boston Consulting Group, Inc., on May 19, 2020.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ORGANIZATIONAL MATTERS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Formation of Company</w:t>
      </w:r>
      <w:r>
        <w:rPr>
          <w:rFonts w:ascii="Times New Roman" w:hAnsi="Times New Roman"/>
          <w:sz w:val="20"/>
        </w:rPr>
        <w:t xml:space="preserve">. The Company was formed as a limited liability company on July 31, 2018 pursuant to the provisions of the Delaware Act.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Limited Liability Company Agreement</w:t>
      </w:r>
      <w:r>
        <w:rPr>
          <w:rFonts w:ascii="Times New Roman" w:hAnsi="Times New Roman"/>
          <w:sz w:val="20"/>
        </w:rPr>
        <w:t xml:space="preserve">. The Members hereby execute this Agreement for the purpose of establishing the affairs of the Company and the conduct of its business in accordance with the provisions of the Delaware Act. The Members hereby agree that during the term of the Company set forth in </w:t>
      </w:r>
      <w:r>
        <w:rPr>
          <w:rFonts w:ascii="Times New Roman" w:hAnsi="Times New Roman"/>
          <w:sz w:val="20"/>
          <w:u w:val="single"/>
        </w:rPr>
        <w:t>Section 2.6</w:t>
      </w:r>
      <w:r>
        <w:rPr>
          <w:rFonts w:ascii="Times New Roman" w:hAnsi="Times New Roman"/>
          <w:sz w:val="20"/>
        </w:rPr>
        <w:t xml:space="preserve"> the rights and obligations of the Members with respect to the Company will be determined in accordance with the terms and conditions of this Agreement and the Delaware Act. To the extent that the rights, powers, duties, obligations and liabilities of any Member are different by reason of any provision of this Agreement than they would be in the absence of such provision, this Agreement shall, to the extent permitted by the Delaware Act,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Times New Roman" w:hAnsi="Times New Roman"/>
          <w:i/>
          <w:sz w:val="20"/>
        </w:rPr>
        <w:t>provided</w:t>
      </w:r>
      <w:r>
        <w:rPr>
          <w:rFonts w:ascii="Times New Roman" w:hAnsi="Times New Roman"/>
          <w:sz w:val="20"/>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Times New Roman" w:hAnsi="Times New Roman"/>
          <w:i/>
          <w:sz w:val="20"/>
        </w:rPr>
        <w:t>provided further</w:t>
      </w:r>
      <w:r>
        <w:rPr>
          <w:rFonts w:ascii="Times New Roman" w:hAnsi="Times New Roman"/>
          <w:sz w:val="20"/>
        </w:rPr>
        <w:t xml:space="preserve">, that notwithstanding the foregoing, no contractual appraisal rights, whether pursuant to the Delaware Act or otherwise, including Section 18-210 of the Delaware Act, shall apply or be incorporated into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Name</w:t>
      </w:r>
      <w:r>
        <w:rPr>
          <w:rFonts w:ascii="Times New Roman" w:hAnsi="Times New Roman"/>
          <w:sz w:val="20"/>
        </w:rPr>
        <w:t xml:space="preserve">. The name of the Company shall be Bakkt Opco Holdings, LLC and all Company business shall be conducted in that name or in such other names that comply with applicable law as the Managing Member, in its sole discretion may select from time to time. Subject to the Delaware Act, the Managing Member, in its sole discretion may change the name of the Company (and amend this Agreement to reflect such change) at any time and from time to time without the consent of any other Person. Notification of any such change shall be given to all of the Members.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Purpose</w:t>
      </w:r>
      <w:r>
        <w:rPr>
          <w:rFonts w:ascii="Times New Roman" w:hAnsi="Times New Roman"/>
          <w:sz w:val="20"/>
        </w:rPr>
        <w:t xml:space="preserve">. The purpose and business of the Company shall be to engage in any business which may lawfully be conducted by a limited liability company formed pursuant to the Delaware Act.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Principal Office; Registered Office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The principal office of the Company shall be at 5660 New Northside Drive, Atlanta, GA 30328, or such other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Delaware shall be 3411 Silverside Road, Tatnall Building No. 104, Wilmington, County of New Castle, Delaware 19810, and the registered agent for service of process on the Company in the State of Delaware at such registered office shall be United Agent Group Inc. </w:t>
      </w:r>
    </w:p>
    <w:p>
      <w:pPr>
        <w:pStyle w:val="TextBody"/>
        <w:spacing w:before="240" w:after="0"/>
        <w:jc w:val="left"/>
        <w:rPr>
          <w:rFonts w:ascii="Times New Roman" w:hAnsi="Times New Roman"/>
          <w:sz w:val="20"/>
        </w:rPr>
      </w:pPr>
      <w:r>
        <w:rPr>
          <w:rFonts w:ascii="Times New Roman" w:hAnsi="Times New Roman"/>
          <w:sz w:val="20"/>
        </w:rPr>
        <w:t xml:space="preserve">(b) 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xml:space="preserve">. The term of the Company commenced upon the filing of the Certificate in accordance with the Delaware Act and shall continue in existence until termination and dissolution thereof in accordance with the provisions of </w:t>
      </w:r>
      <w:r>
        <w:rPr>
          <w:rFonts w:ascii="Times New Roman" w:hAnsi="Times New Roman"/>
          <w:sz w:val="20"/>
          <w:u w:val="single"/>
        </w:rPr>
        <w:t>Article X</w:t>
      </w:r>
      <w:r>
        <w:rPr>
          <w:rFonts w:ascii="Times New Roman" w:hAnsi="Times New Roman"/>
          <w:sz w:val="20"/>
        </w:rPr>
        <w:t xml:space="preserve">. The existence of the Company shall continue until cancellation of the Certificate in the manner required by the Delaware Act.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No State-Law Partnership</w:t>
      </w:r>
      <w:r>
        <w:rPr>
          <w:rFonts w:ascii="Times New Roman" w:hAnsi="Times New Roman"/>
          <w:sz w:val="20"/>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the last sentence of this </w:t>
      </w:r>
      <w:r>
        <w:rPr>
          <w:rFonts w:ascii="Times New Roman" w:hAnsi="Times New Roman"/>
          <w:sz w:val="20"/>
          <w:u w:val="single"/>
        </w:rPr>
        <w:t>Section 2.7</w:t>
      </w:r>
      <w:r>
        <w:rPr>
          <w:rFonts w:ascii="Times New Roman" w:hAnsi="Times New Roman"/>
          <w:sz w:val="20"/>
        </w:rPr>
        <w:t xml:space="preserve">,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Fiscal Year</w:t>
      </w:r>
      <w:r>
        <w:rPr>
          <w:rFonts w:ascii="Times New Roman" w:hAnsi="Times New Roman"/>
          <w:sz w:val="20"/>
        </w:rPr>
        <w:t xml:space="preserve">. The Fiscal Year of the Company shall end on December 31 of each year or such other annual accounting period as may be established by the Managing Member.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Powers</w:t>
      </w:r>
      <w:r>
        <w:rPr>
          <w:rFonts w:ascii="Times New Roman" w:hAnsi="Times New Roman"/>
          <w:sz w:val="20"/>
          <w:u w:val="single"/>
        </w:rPr>
        <w:t xml:space="preserve"> </w:t>
      </w:r>
      <w:r>
        <w:rPr>
          <w:rFonts w:ascii="Times New Roman" w:hAnsi="Times New Roman"/>
          <w:b/>
          <w:sz w:val="20"/>
          <w:u w:val="single"/>
        </w:rPr>
        <w:t>of the Company</w:t>
      </w:r>
      <w:r>
        <w:rPr>
          <w:rFonts w:ascii="Times New Roman" w:hAnsi="Times New Roman"/>
          <w:sz w:val="20"/>
        </w:rPr>
        <w:t xml:space="preserve">. Subject to the limitations set forth in this Agreement, the Company will possess and may exercise all of the powers and privileges granted to it by the Delaware Act including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Times New Roman" w:hAnsi="Times New Roman"/>
          <w:sz w:val="20"/>
          <w:u w:val="single"/>
        </w:rPr>
        <w:t>Section 2.4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Members; Reclassification; Admission of New Members</w:t>
      </w:r>
      <w:r>
        <w:rPr>
          <w:rFonts w:ascii="Times New Roman" w:hAnsi="Times New Roman"/>
          <w:sz w:val="20"/>
        </w:rPr>
        <w:t xml:space="preserve">. Each of the Persons listed in the books and records of the Company as a Member, as the same may be amended from time to time in accordance with this Agreement, by virtue of its execution of the Prior LLC Agreement or this Agreement, is admitted as a Member of the Company. The rights, duties and liabilities of the Members shall be as provided in the Delaware Act, except as is otherwise expressly provided herein, and the Members consent to the variation of such rights, duties and liabilities as provided herein. Subject to </w:t>
      </w:r>
      <w:r>
        <w:rPr>
          <w:rFonts w:ascii="Times New Roman" w:hAnsi="Times New Roman"/>
          <w:sz w:val="20"/>
          <w:u w:val="single"/>
        </w:rPr>
        <w:t>Section 9.8</w:t>
      </w:r>
      <w:r>
        <w:rPr>
          <w:rFonts w:ascii="Times New Roman" w:hAnsi="Times New Roman"/>
          <w:sz w:val="20"/>
        </w:rPr>
        <w:t xml:space="preserve"> with respect to Substituted Members, a Person may be admitted from time to time as a new Member with the written consent of the Managing Member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its sole discretion,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exercise of a Warrant by the holder thereof and the execution and delivery a joinder to this Agreement pursuant to which such holder agrees to become a party to this Agreement with respect to the Equity Securities issued upon exercise of the Warrant, such holder shall be admitted to the Company as a Member.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Times New Roman" w:hAnsi="Times New Roman"/>
          <w:sz w:val="20"/>
          <w:u w:val="single"/>
        </w:rPr>
        <w:t>Section 9.7</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Resignation</w:t>
      </w:r>
      <w:r>
        <w:rPr>
          <w:rFonts w:ascii="Times New Roman" w:hAnsi="Times New Roman"/>
          <w:sz w:val="20"/>
        </w:rPr>
        <w:t xml:space="preserve">. No Member shall have the right to resign as a member of the Company other than following the Transfer of all Common Units owned by such Member in accordance with </w:t>
      </w:r>
      <w:r>
        <w:rPr>
          <w:rFonts w:ascii="Times New Roman" w:hAnsi="Times New Roman"/>
          <w:sz w:val="20"/>
          <w:u w:val="single"/>
        </w:rPr>
        <w:t>Article IX</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 xml:space="preserve">Section 2.12 </w:t>
      </w:r>
      <w:r>
        <w:rPr>
          <w:rFonts w:ascii="Times New Roman" w:hAnsi="Times New Roman"/>
          <w:b/>
          <w:sz w:val="20"/>
          <w:u w:val="single"/>
        </w:rPr>
        <w:t>Investment Representations of Members</w:t>
      </w:r>
      <w:r>
        <w:rPr>
          <w:rFonts w:ascii="Times New Roman" w:hAnsi="Times New Roman"/>
          <w:sz w:val="20"/>
        </w:rPr>
        <w:t xml:space="preserve">. Each Member hereby represents, warrants and acknowledges to the Company that: (a) such Member has such knowledge and experience in financial and business matters and is capable of evaluating the merits and risks of an investment in the Company and is making an informed investment decision with respect thereto; (b) such Member is acquiring interests in the Company for investment only and not with a view to, or for resale in connection with, any distribution to the public or public offering thereof; and (c) the execution, delivery and performance of this Agreement have been duly authorized by such Member.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w:t>
      </w:r>
      <w:r>
        <w:rPr>
          <w:rFonts w:ascii="Times New Roman" w:hAnsi="Times New Roman"/>
          <w:b/>
          <w:sz w:val="20"/>
          <w:u w:val="single"/>
        </w:rPr>
        <w:t>Schedule of Members</w:t>
      </w:r>
      <w:r>
        <w:rPr>
          <w:rFonts w:ascii="Times New Roman" w:hAnsi="Times New Roman"/>
          <w:sz w:val="20"/>
        </w:rPr>
        <w:t>. The Company shall maintain a schedule, from time to time amended or supplemented, setting forth the name and address of each Member, and the number of Common Units or Equity Securities in the Company owned by such Member (such schedule, the </w:t>
      </w:r>
      <w:r>
        <w:rPr>
          <w:rFonts w:ascii="Times New Roman" w:hAnsi="Times New Roman"/>
          <w:b/>
          <w:i/>
          <w:sz w:val="20"/>
        </w:rPr>
        <w:t>Schedule of Members</w:t>
      </w:r>
      <w:r>
        <w:rPr>
          <w:rFonts w:ascii="Times New Roman" w:hAnsi="Times New Roman"/>
          <w:sz w:val="20"/>
        </w:rPr>
        <w:t xml:space="preserve">). The Schedule of Members, as amended and supplemented from time to time, shall be the definitive record of ownership of each Common Unit or other Equity Security in the Company. All Members acknowledge, and hereby agree, that the </w:t>
      </w:r>
      <w:r>
        <w:rPr>
          <w:rFonts w:ascii="Times New Roman" w:hAnsi="Times New Roman"/>
          <w:sz w:val="20"/>
          <w:u w:val="single"/>
        </w:rPr>
        <w:t>Schedule of Members</w:t>
      </w:r>
      <w:r>
        <w:rPr>
          <w:rFonts w:ascii="Times New Roman" w:hAnsi="Times New Roman"/>
          <w:sz w:val="20"/>
        </w:rPr>
        <w:t xml:space="preserve"> is confidential to the Company and that each Member is only entitled to view the portion of the Schedule of Members representing his, her or its Company Interest. The Company shall be entitled to recognize the exclusive right of a Person registered on its records as the owner of Common Units or other Equity Securities in the Company for all purposes and shall not be bound to recognize any equitable or other claim to or interest in Common Units or other Equity Securities in the Company on the part of any other Person, whether or not it shall have express or other notice thereof, except as otherwise provided by the Delaware Act and this Agreement.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CAPITAL CONTRIBUTIONS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Common Units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Limited liability company interests in the Company shall be represented by Common Units, or such other securities of the Company, in each case as the Managing Member may establish in its discretion in accordance with the terms and subject to the restrictions hereof. As of immediately following the Effective Time, each Member shall hold the number of Common Units set forth opposite such Members name on the </w:t>
      </w:r>
      <w:r>
        <w:rPr>
          <w:rFonts w:ascii="Times New Roman" w:hAnsi="Times New Roman"/>
          <w:sz w:val="20"/>
          <w:u w:val="single"/>
        </w:rPr>
        <w:t>Schedule of Members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Each Member named on the </w:t>
      </w:r>
      <w:r>
        <w:rPr>
          <w:rFonts w:ascii="Times New Roman" w:hAnsi="Times New Roman"/>
          <w:sz w:val="20"/>
          <w:u w:val="single"/>
        </w:rPr>
        <w:t>Schedule of Members</w:t>
      </w:r>
      <w:r>
        <w:rPr>
          <w:rFonts w:ascii="Times New Roman" w:hAnsi="Times New Roman"/>
          <w:sz w:val="20"/>
        </w:rPr>
        <w:t xml:space="preserve"> has made Capital Contributions or provided other consideration to the Company in exchange for the Units specified thereon. Each Member named on the </w:t>
      </w:r>
      <w:r>
        <w:rPr>
          <w:rFonts w:ascii="Times New Roman" w:hAnsi="Times New Roman"/>
          <w:sz w:val="20"/>
          <w:u w:val="single"/>
        </w:rPr>
        <w:t>Schedule of Members</w:t>
      </w:r>
      <w:r>
        <w:rPr>
          <w:rFonts w:ascii="Times New Roman" w:hAnsi="Times New Roman"/>
          <w:sz w:val="20"/>
        </w:rPr>
        <w:t xml:space="preserve"> has delivered to the Company a properly executed Internal Revenue Service Form W-8 or W-9, as applicable. Each Member acknowledges and agrees that portions of this Agreement, including the </w:t>
      </w:r>
      <w:r>
        <w:rPr>
          <w:rFonts w:ascii="Times New Roman" w:hAnsi="Times New Roman"/>
          <w:sz w:val="20"/>
          <w:u w:val="single"/>
        </w:rPr>
        <w:t>Schedule of Members</w:t>
      </w:r>
      <w:r>
        <w:rPr>
          <w:rFonts w:ascii="Times New Roman" w:hAnsi="Times New Roman"/>
          <w:sz w:val="20"/>
        </w:rPr>
        <w:t xml:space="preserve">, may be redacted or information herein may otherwise be aggregated to prevent disclosure of confidential information. </w:t>
      </w:r>
    </w:p>
    <w:p>
      <w:pPr>
        <w:pStyle w:val="TextBody"/>
        <w:spacing w:before="240" w:after="0"/>
        <w:jc w:val="left"/>
        <w:rPr>
          <w:rFonts w:ascii="Times New Roman" w:hAnsi="Times New Roman"/>
          <w:sz w:val="20"/>
        </w:rPr>
      </w:pPr>
      <w:r>
        <w:rPr>
          <w:rFonts w:ascii="Times New Roman" w:hAnsi="Times New Roman"/>
          <w:sz w:val="20"/>
        </w:rPr>
        <w:t xml:space="preserve">(c) No Member shall be required or, permitted to (i) make any Capital Contribution other than in respect of the Merger Consideration as set forth on the </w:t>
      </w:r>
      <w:r>
        <w:rPr>
          <w:rFonts w:ascii="Times New Roman" w:hAnsi="Times New Roman"/>
          <w:sz w:val="20"/>
          <w:u w:val="single"/>
        </w:rPr>
        <w:t>Schedule of Members</w:t>
      </w:r>
      <w:r>
        <w:rPr>
          <w:rFonts w:ascii="Times New Roman" w:hAnsi="Times New Roman"/>
          <w:sz w:val="20"/>
        </w:rPr>
        <w:t xml:space="preserve"> or (ii) loan any money or property to the Company or borrow any money or property from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 The Common Units resulting from the conversion, by virtue of the Merger, of Incentive Units (which are held by Bakkt Management) into the right to receive the Merger Consideration may be subject to vesting and forfeiture provisions pursuant to the Merger Agreement, the Prior Equity Incentive Plan and award agreements and notices issued thereunder. As set forth on the </w:t>
      </w:r>
      <w:r>
        <w:rPr>
          <w:rFonts w:ascii="Times New Roman" w:hAnsi="Times New Roman"/>
          <w:sz w:val="20"/>
          <w:u w:val="single"/>
        </w:rPr>
        <w:t>Schedule of Members</w:t>
      </w:r>
      <w:r>
        <w:rPr>
          <w:rFonts w:ascii="Times New Roman" w:hAnsi="Times New Roman"/>
          <w:sz w:val="20"/>
        </w:rPr>
        <w:t xml:space="preserve">, such Common Units shall initially be held by Bakkt Management, which shall hold such Common Units on behalf of Participants, but in the future all or a portion of such Common Units may be distributed from time to time directly to Participants, either in connection with the liquidation of Bakkt Management or otherwise. In the event of such a distribution of a Common Unit by Bakkt Management to a Participant, (i) the Participant shall automatically become a Member, (ii) the </w:t>
      </w:r>
      <w:r>
        <w:rPr>
          <w:rFonts w:ascii="Times New Roman" w:hAnsi="Times New Roman"/>
          <w:sz w:val="20"/>
          <w:u w:val="single"/>
        </w:rPr>
        <w:t>Schedule of Members</w:t>
      </w:r>
      <w:r>
        <w:rPr>
          <w:rFonts w:ascii="Times New Roman" w:hAnsi="Times New Roman"/>
          <w:sz w:val="20"/>
        </w:rPr>
        <w:t xml:space="preserve"> shall be amended to reflect the addition of the Participant as a Member and the resulting adjustment in the number of Common Units held by Bakkt Management and the Participant, respectively, and (iii) the vesting and forfeiture provisions applicable to the distributed Common Units shall continue to apply to all such Participants.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Authorization and Issuance of Additional Units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Managing Member may not, without the prior written consent of a Required Interest, (i) create any new class or series of Units, or other Equity Securities of the Company, (ii) issue additional Units or other Equity Securities of the Company to any Member or Person (other than Units issued pursuant to </w:t>
      </w:r>
      <w:r>
        <w:rPr>
          <w:rFonts w:ascii="Times New Roman" w:hAnsi="Times New Roman"/>
          <w:sz w:val="20"/>
          <w:u w:val="single"/>
        </w:rPr>
        <w:t>Section 3.2(b)</w:t>
      </w:r>
      <w:r>
        <w:rPr>
          <w:rFonts w:ascii="Times New Roman" w:hAnsi="Times New Roman"/>
          <w:sz w:val="20"/>
        </w:rPr>
        <w:t xml:space="preserve"> or </w:t>
      </w:r>
      <w:r>
        <w:rPr>
          <w:rFonts w:ascii="Times New Roman" w:hAnsi="Times New Roman"/>
          <w:sz w:val="20"/>
          <w:u w:val="single"/>
        </w:rPr>
        <w:t>Section 3.5</w:t>
      </w:r>
      <w:r>
        <w:rPr>
          <w:rFonts w:ascii="Times New Roman" w:hAnsi="Times New Roman"/>
          <w:sz w:val="20"/>
        </w:rPr>
        <w:t xml:space="preserve"> of this Agreement and </w:t>
      </w:r>
      <w:r>
        <w:rPr>
          <w:rFonts w:ascii="Times New Roman" w:hAnsi="Times New Roman"/>
          <w:sz w:val="20"/>
          <w:u w:val="single"/>
        </w:rPr>
        <w:t>Section 2.6</w:t>
      </w:r>
      <w:r>
        <w:rPr>
          <w:rFonts w:ascii="Times New Roman" w:hAnsi="Times New Roman"/>
          <w:sz w:val="20"/>
        </w:rPr>
        <w:t xml:space="preserve"> of the Merger Agreement), (iii) amend the privileges, preference, duties, liabilities, obligations and rights of any existing Units, or (iv) retire or redeem any previously issued Units or other Equity Securities of the Company (other than in connection with an Exchange or pursuant to </w:t>
      </w:r>
      <w:r>
        <w:rPr>
          <w:rFonts w:ascii="Times New Roman" w:hAnsi="Times New Roman"/>
          <w:sz w:val="20"/>
          <w:u w:val="single"/>
        </w:rPr>
        <w:t>Section 3.4</w:t>
      </w:r>
      <w:r>
        <w:rPr>
          <w:rFonts w:ascii="Times New Roman" w:hAnsi="Times New Roman"/>
          <w:sz w:val="20"/>
        </w:rPr>
        <w:t xml:space="preserve"> of this Agreement). </w:t>
      </w:r>
    </w:p>
    <w:p>
      <w:pPr>
        <w:pStyle w:val="TextBody"/>
        <w:spacing w:before="240" w:after="0"/>
        <w:jc w:val="left"/>
        <w:rPr>
          <w:rFonts w:ascii="Times New Roman" w:hAnsi="Times New Roman"/>
          <w:sz w:val="20"/>
        </w:rPr>
      </w:pPr>
      <w:r>
        <w:rPr>
          <w:rFonts w:ascii="Times New Roman" w:hAnsi="Times New Roman"/>
          <w:sz w:val="20"/>
        </w:rPr>
        <w:t xml:space="preserve">(b) Subject to the Exchange Agreement, the Company shall undertake all actions, including an issuance, reclassification, distribution, division or recapitalization, with respect to the Common Units, to maintain at all times a one-to-one ratio between the number of Common Units owned by Bakkt Pubco, directly or indirectly, and the number of outstanding shares of Class A Common Stock, disregarding, for purposes of maintaining the one-to-one ratio, (i) options, rights or securities of Bakkt Pubco issued under the New Equity Incentive Plan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Times New Roman" w:hAnsi="Times New Roman"/>
          <w:i/>
          <w:sz w:val="20"/>
        </w:rPr>
        <w:t>provided</w:t>
      </w:r>
      <w:r>
        <w:rPr>
          <w:rFonts w:ascii="Times New Roman" w:hAnsi="Times New Roman"/>
          <w:sz w:val="20"/>
        </w:rPr>
        <w:t xml:space="preserve"> that, in each of the foregoing cases, the issuance of Class A Common Stock in connection with the conversion, exercise or exchange of such options, rights or securities shall not be disregarded for purposes of this </w:t>
      </w:r>
      <w:r>
        <w:rPr>
          <w:rFonts w:ascii="Times New Roman" w:hAnsi="Times New Roman"/>
          <w:sz w:val="20"/>
          <w:u w:val="single"/>
        </w:rPr>
        <w:t>Section 3.2(b)</w:t>
      </w:r>
      <w:r>
        <w:rPr>
          <w:rFonts w:ascii="Times New Roman" w:hAnsi="Times New Roman"/>
          <w:sz w:val="20"/>
        </w:rPr>
        <w:t xml:space="preserve">, (ii) treasury stock, (iii) preferred stock or other debt or equity securities (including warrants, options or rights) issued by Bakkt Pubco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Times New Roman" w:hAnsi="Times New Roman"/>
          <w:i/>
          <w:sz w:val="20"/>
        </w:rPr>
        <w:t>provided</w:t>
      </w:r>
      <w:r>
        <w:rPr>
          <w:rFonts w:ascii="Times New Roman" w:hAnsi="Times New Roman"/>
          <w:sz w:val="20"/>
        </w:rPr>
        <w:t xml:space="preserve"> that, in each of the foregoing cases, the issuance of Class A Common Stock in connection with the conversion, exercise or exchange of such preferred stock or other debt or equity securities (including such warrants, options or rights) shall not be disregarded for purposes of this </w:t>
      </w:r>
      <w:r>
        <w:rPr>
          <w:rFonts w:ascii="Times New Roman" w:hAnsi="Times New Roman"/>
          <w:sz w:val="20"/>
          <w:u w:val="single"/>
        </w:rPr>
        <w:t>Section 3.2(b)</w:t>
      </w:r>
      <w:r>
        <w:rPr>
          <w:rFonts w:ascii="Times New Roman" w:hAnsi="Times New Roman"/>
          <w:sz w:val="20"/>
        </w:rPr>
        <w:t xml:space="preserve">, or (iv) the issuance and distribution to holders of shares of Class A Common Stock of rights to purchase Upstream Securities of Bakkt Pubco under a poison pill or similar shareholders rights plan (it being understood that upon exchange of Paired Interests for Class A Common Stock pursuant to the Exchange Agreement, such Class A Common Stock would be issued together with a corresponding right). In the event Bakkt Pubco issues, transfers or delivers from treasury stock or repurchases Class A Common Stock in a transaction not contemplated in this Agreement or the Exchange Agreement, Bakkt Pubco shall take all actions such that, after giving effect to all such issuances, transfers, deliveries or repurchases, the number of outstanding Common Units owned by Bakkt Pubco will equal on a one-for-one basis the aggregate number of outstanding shares of Class A Common Stock. </w:t>
      </w:r>
    </w:p>
    <w:p>
      <w:pPr>
        <w:pStyle w:val="TextBody"/>
        <w:spacing w:before="240" w:after="0"/>
        <w:jc w:val="left"/>
        <w:rPr>
          <w:rFonts w:ascii="Times New Roman" w:hAnsi="Times New Roman"/>
          <w:sz w:val="20"/>
        </w:rPr>
      </w:pPr>
      <w:r>
        <w:rPr>
          <w:rFonts w:ascii="Times New Roman" w:hAnsi="Times New Roman"/>
          <w:sz w:val="20"/>
        </w:rPr>
        <w:t xml:space="preserve">(c) Subject to the Exchange Agreement, the Company shall undertake all actions, including an issuance, a reclassification, distribution, division or recapitalization, with respect to the Common Units,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maintain at all times a one-to-one ratio between the number of outstanding shares of Class V Common Stock held by any Person and the number of Common Units owned by such Person. In the event Bakkt Pubco repurchases Class V Common Stock in a transaction not contemplated in this Agreement or the Exchange Agreement, Bakkt Pubco shall take all actions such that, after giving effect to all such repurchases, the number of outstanding shares of Class V Common Stock held by any Person will equal on a one-to-one basis the number of Common Units owned by such Person. </w:t>
      </w:r>
    </w:p>
    <w:p>
      <w:pPr>
        <w:pStyle w:val="TextBody"/>
        <w:spacing w:before="240" w:after="0"/>
        <w:jc w:val="left"/>
        <w:rPr>
          <w:rFonts w:ascii="Times New Roman" w:hAnsi="Times New Roman"/>
          <w:sz w:val="20"/>
        </w:rPr>
      </w:pPr>
      <w:r>
        <w:rPr>
          <w:rFonts w:ascii="Times New Roman" w:hAnsi="Times New Roman"/>
          <w:sz w:val="20"/>
        </w:rPr>
        <w:t xml:space="preserve">(d) The Company shall not undertake any subdivision (by any Common Unit split, Common Unit distribution, reclassification, recapitalization or similar event) or combination (by reverse Common Unit split, reclassification, recapitalization or similar event) of the Common Units that is not accompanied by an identical subdivision or combination of each of the Class A Common Stock and Class V Common Stock (and the Company and Bakkt Pubco shall take all necessary action) so that at all times there is (x) a one-to-one ratio between the number of Common Units owned by Bakkt Pubco and the number of outstanding shares of Class A Common Stock (subject to the first sentence of </w:t>
      </w:r>
      <w:r>
        <w:rPr>
          <w:rFonts w:ascii="Times New Roman" w:hAnsi="Times New Roman"/>
          <w:sz w:val="20"/>
          <w:u w:val="single"/>
        </w:rPr>
        <w:t>Section 3.1(a)</w:t>
      </w:r>
      <w:r>
        <w:rPr>
          <w:rFonts w:ascii="Times New Roman" w:hAnsi="Times New Roman"/>
          <w:sz w:val="20"/>
        </w:rPr>
        <w:t xml:space="preserve">) (or such other Equity Security of Bakkt Pubco in which the Class A Common Stock may be converted or changed, as contemplated by Section 2.2 of the Exchange Agreement), and (y) a one-to-one ratio between the number of Common Units owned by Members other than Bakkt Pubco and the number of outstanding shares of Class V Common Stock. </w:t>
      </w:r>
    </w:p>
    <w:p>
      <w:pPr>
        <w:pStyle w:val="TextBody"/>
        <w:spacing w:before="240" w:after="0"/>
        <w:jc w:val="left"/>
        <w:rPr>
          <w:rFonts w:ascii="Times New Roman" w:hAnsi="Times New Roman"/>
          <w:sz w:val="20"/>
        </w:rPr>
      </w:pPr>
      <w:r>
        <w:rPr>
          <w:rFonts w:ascii="Times New Roman" w:hAnsi="Times New Roman"/>
          <w:sz w:val="20"/>
        </w:rPr>
        <w:t xml:space="preserve">(e) The Company shall only be permitted to issue additional Common Units or other Equity Securities in the Company to the Persons and on the terms and conditions provided for in the Merger Agreement and </w:t>
      </w:r>
      <w:r>
        <w:rPr>
          <w:rFonts w:ascii="Times New Roman" w:hAnsi="Times New Roman"/>
          <w:sz w:val="20"/>
          <w:u w:val="single"/>
        </w:rPr>
        <w:t>Section 3.1</w:t>
      </w:r>
      <w:r>
        <w:rPr>
          <w:rFonts w:ascii="Times New Roman" w:hAnsi="Times New Roman"/>
          <w:sz w:val="20"/>
        </w:rPr>
        <w:t xml:space="preserve">, this </w:t>
      </w:r>
      <w:r>
        <w:rPr>
          <w:rFonts w:ascii="Times New Roman" w:hAnsi="Times New Roman"/>
          <w:sz w:val="20"/>
          <w:u w:val="single"/>
        </w:rPr>
        <w:t>Section 3.2</w:t>
      </w:r>
      <w:r>
        <w:rPr>
          <w:rFonts w:ascii="Times New Roman" w:hAnsi="Times New Roman"/>
          <w:sz w:val="20"/>
        </w:rPr>
        <w:t xml:space="preserve">, and </w:t>
      </w:r>
      <w:r>
        <w:rPr>
          <w:rFonts w:ascii="Times New Roman" w:hAnsi="Times New Roman"/>
          <w:sz w:val="20"/>
          <w:u w:val="single"/>
        </w:rPr>
        <w:t>Section 3.5</w:t>
      </w:r>
      <w:r>
        <w:rPr>
          <w:rFonts w:ascii="Times New Roman" w:hAnsi="Times New Roman"/>
          <w:sz w:val="20"/>
        </w:rPr>
        <w:t xml:space="preserve"> of this Agreement. Subject to the foregoing, the Managing Member may cause the Company to issue additional Common Units authorized under this Agreement at such times and upon such terms as the Managing Member shall determine and the Managing Member shall, and is hereby authorized to, promptly amend this Agreement and the </w:t>
      </w:r>
      <w:r>
        <w:rPr>
          <w:rFonts w:ascii="Times New Roman" w:hAnsi="Times New Roman"/>
          <w:sz w:val="20"/>
          <w:u w:val="single"/>
        </w:rPr>
        <w:t>Schedule of Members</w:t>
      </w:r>
      <w:r>
        <w:rPr>
          <w:rFonts w:ascii="Times New Roman" w:hAnsi="Times New Roman"/>
          <w:sz w:val="20"/>
        </w:rPr>
        <w:t xml:space="preserve"> as necessary in connection with the issuance of additional Common Units and admission of additional Members under this </w:t>
      </w:r>
      <w:r>
        <w:rPr>
          <w:rFonts w:ascii="Times New Roman" w:hAnsi="Times New Roman"/>
          <w:sz w:val="20"/>
          <w:u w:val="single"/>
        </w:rPr>
        <w:t>Section 3.2</w:t>
      </w:r>
      <w:r>
        <w:rPr>
          <w:rFonts w:ascii="Times New Roman" w:hAnsi="Times New Roman"/>
          <w:sz w:val="20"/>
        </w:rPr>
        <w:t xml:space="preserve"> without the requirement of any consent or acknowledgement of any other Member. </w:t>
      </w:r>
    </w:p>
    <w:p>
      <w:pPr>
        <w:pStyle w:val="TextBody"/>
        <w:spacing w:before="240" w:after="0"/>
        <w:jc w:val="left"/>
        <w:rPr>
          <w:rFonts w:ascii="Times New Roman" w:hAnsi="Times New Roman"/>
          <w:sz w:val="20"/>
        </w:rPr>
      </w:pPr>
      <w:r>
        <w:rPr>
          <w:rFonts w:ascii="Times New Roman" w:hAnsi="Times New Roman"/>
          <w:sz w:val="20"/>
        </w:rPr>
        <w:t xml:space="preserve">(f) At any time that Bakkt Pubco issues a share of Class A Common Stock or a share of other capital stock of Bakkt Pubco (other than Class V Common Stock and other than Class A Common Stock issued in connection with an Exchange (as defined in the Exchange Agreement)) for cash or other consideration (including capital stock or assets of another Person), the net proceeds received by Bakkt Pubco with respect to such share, if any, shall be concurrently transferred to the Company in exchange for a corresponding number of Common Units (determined based upon the Exchange Rate then in effect). </w:t>
      </w:r>
    </w:p>
    <w:p>
      <w:pPr>
        <w:pStyle w:val="TextBody"/>
        <w:spacing w:before="240" w:after="0"/>
        <w:jc w:val="left"/>
        <w:rPr>
          <w:rFonts w:ascii="Times New Roman" w:hAnsi="Times New Roman"/>
          <w:sz w:val="20"/>
        </w:rPr>
      </w:pPr>
      <w:r>
        <w:rPr>
          <w:rFonts w:ascii="Times New Roman" w:hAnsi="Times New Roman"/>
          <w:sz w:val="20"/>
        </w:rPr>
        <w:t xml:space="preserve">(g) If any such shares of Class A Common Stock issued by Bakkt Pubco, including any securities issued pursuant to the New Equity Incentive Plan or any other equity incentive program, are subject to vesting or forfeiture provisions, then the Common Units that are issued by the Company to Bakkt Pubco in connection therewith in accordance with the preceding provisions of this </w:t>
      </w:r>
      <w:r>
        <w:rPr>
          <w:rFonts w:ascii="Times New Roman" w:hAnsi="Times New Roman"/>
          <w:sz w:val="20"/>
          <w:u w:val="single"/>
        </w:rPr>
        <w:t>Article III</w:t>
      </w:r>
      <w:r>
        <w:rPr>
          <w:rFonts w:ascii="Times New Roman" w:hAnsi="Times New Roman"/>
          <w:sz w:val="20"/>
        </w:rPr>
        <w:t xml:space="preserve"> shall be subject to vesting or forfeiture on the same basis; if any of such shares of Class A Common Stock vest or are forfeited, then a corresponding number of the Common Units (determined based upon the Exchange Rate then in effect) issued by the Company in accordance therewith shall automatically vest or be forfeited. Any cash or property held by Bakkt Pubco or the Company or on any of such Persons behalf in respect of dividends paid on restricted shares of Class A Common Stock that fail to vest shall be returned to the Company upon the forfeiture of such restricted shares of Class A Common Stock. The </w:t>
      </w:r>
      <w:r>
        <w:rPr>
          <w:rFonts w:ascii="Times New Roman" w:hAnsi="Times New Roman"/>
          <w:sz w:val="20"/>
          <w:u w:val="single"/>
        </w:rPr>
        <w:t>Schedule of Members</w:t>
      </w:r>
      <w:r>
        <w:rPr>
          <w:rFonts w:ascii="Times New Roman" w:hAnsi="Times New Roman"/>
          <w:sz w:val="20"/>
        </w:rPr>
        <w:t xml:space="preserve"> shall set forth the number of Common Units subject to forfeiture or vesting. </w:t>
      </w:r>
    </w:p>
    <w:p>
      <w:pPr>
        <w:pStyle w:val="TextBody"/>
        <w:spacing w:before="240" w:after="0"/>
        <w:jc w:val="left"/>
        <w:rPr>
          <w:rFonts w:ascii="Times New Roman" w:hAnsi="Times New Roman"/>
          <w:b/>
          <w:sz w:val="20"/>
        </w:rPr>
      </w:pPr>
      <w:r>
        <w:rPr>
          <w:rFonts w:ascii="Times New Roman" w:hAnsi="Times New Roman"/>
          <w:b/>
          <w:sz w:val="20"/>
        </w:rPr>
        <w:t xml:space="preserve">Section 3.3 </w:t>
      </w:r>
      <w:r>
        <w:rPr>
          <w:rFonts w:ascii="Times New Roman" w:hAnsi="Times New Roman"/>
          <w:b/>
          <w:sz w:val="20"/>
          <w:u w:val="single"/>
        </w:rPr>
        <w:t xml:space="preserve">Non-certificated Units; Certificates; Lost, Stolen or Destroyed Certificates; Registration and Transfer of Common Units. </w:t>
      </w:r>
    </w:p>
    <w:p>
      <w:pPr>
        <w:pStyle w:val="TextBody"/>
        <w:spacing w:before="240" w:after="0"/>
        <w:jc w:val="left"/>
        <w:rPr>
          <w:rFonts w:ascii="Times New Roman" w:hAnsi="Times New Roman"/>
          <w:sz w:val="20"/>
        </w:rPr>
      </w:pPr>
      <w:r>
        <w:rPr>
          <w:rFonts w:ascii="Times New Roman" w:hAnsi="Times New Roman"/>
          <w:sz w:val="20"/>
        </w:rPr>
        <w:t xml:space="preserve">(a) Common Units shall not be certificated unless otherwise determined by the Managing Member. If the Managing Member determines that one or more Common Units shall be certificated, each such certificate shall be signed by or in the name of the Company and any officer designated by the Managing Member.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certificate shall be in such form (and shall contain such legends) as the Managing Member may determine. Any or all of such signatures on any certificate representing one or more Common Units may be an electronic signature, engraved or printed, to the extent permitted by applicable Law. </w:t>
      </w:r>
    </w:p>
    <w:p>
      <w:pPr>
        <w:pStyle w:val="TextBody"/>
        <w:spacing w:before="240" w:after="0"/>
        <w:jc w:val="left"/>
        <w:rPr>
          <w:rFonts w:ascii="Times New Roman" w:hAnsi="Times New Roman"/>
          <w:sz w:val="20"/>
        </w:rPr>
      </w:pPr>
      <w:r>
        <w:rPr>
          <w:rFonts w:ascii="Times New Roman" w:hAnsi="Times New Roman"/>
          <w:sz w:val="20"/>
        </w:rPr>
        <w:t xml:space="preserve">(b) If Common Units are certificated, the Managing Member may direct that a new certificate representing one or more Common Units be issued in place of any certificate theretofore issued by the Company alleged to have been lost, stolen or destroyed, upon delivery to the Managing Member of an affidavit of the owner or owners of such certificate, setting forth such allegation. The Managing Member may require the owner of such lost, stolen or destroyed certificate, or such owners legal representative, to give the Company a bond sufficient to indemnity it against any claim that may be made against it on account of the alleged loss, theft or destruction of any such certificate or the issuance of any such new certificate. </w:t>
      </w:r>
    </w:p>
    <w:p>
      <w:pPr>
        <w:pStyle w:val="TextBody"/>
        <w:spacing w:before="240" w:after="0"/>
        <w:jc w:val="left"/>
        <w:rPr>
          <w:rFonts w:ascii="Times New Roman" w:hAnsi="Times New Roman"/>
          <w:sz w:val="20"/>
        </w:rPr>
      </w:pPr>
      <w:r>
        <w:rPr>
          <w:rFonts w:ascii="Times New Roman" w:hAnsi="Times New Roman"/>
          <w:sz w:val="20"/>
        </w:rPr>
        <w:t xml:space="preserve">(c) Upon surrender to the Company or the transfer agent of the Company, if any, of a certificate for one or more Common Units, duly endorsed or accompanied by appropriate evidence of succession, assignment or authority to transfer, in compliance with the provisions hereof, the Company shall issue a new certificate representing one or more Common Units to the Person entitled thereto, cancel the old certificate and record the transaction upon its books. Subject to the provisions of this Agreement, the Managing Member may prescribe such additional rules and regulations as it may deem appropriate relating to the issue, Transfer and registration of Common Units.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Purchase or Redemption of Shares of Class</w:t>
      </w:r>
      <w:r>
        <w:rPr>
          <w:rFonts w:ascii="Times New Roman" w:hAnsi="Times New Roman"/>
          <w:sz w:val="20"/>
          <w:u w:val="single"/>
        </w:rPr>
        <w:t> </w:t>
      </w:r>
      <w:r>
        <w:rPr>
          <w:rFonts w:ascii="Times New Roman" w:hAnsi="Times New Roman"/>
          <w:b/>
          <w:sz w:val="20"/>
          <w:u w:val="single"/>
        </w:rPr>
        <w:t>A Common Stock</w:t>
      </w:r>
      <w:r>
        <w:rPr>
          <w:rFonts w:ascii="Times New Roman" w:hAnsi="Times New Roman"/>
          <w:sz w:val="20"/>
        </w:rPr>
        <w:t xml:space="preserve">. If, at any time, any shares of Class A Common Stock are purchased or redeemed by Bakkt Pubco for cash, then the Managing Member shall cause the Company, immediately prior to such purchase or redemption of Class A Common Stock, to redeem a corresponding number of Common Units held by Bakkt Pubco, at an aggregate redemption price equal to the aggregate purchase or redemption price of the shares of Class A Common Stock being purchased or redeemed by Bakkt Pubco (plus any expenses related thereto) and upon such other terms as are the same for the shares of Class A Common Stock being purchased or redeemed by Bakkt Pubco.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Bakkt Pubco Equity Plans</w:t>
      </w:r>
      <w:r>
        <w:rPr>
          <w:rFonts w:ascii="Times New Roman" w:hAnsi="Times New Roman"/>
          <w:sz w:val="20"/>
        </w:rPr>
        <w:t xml:space="preserve">. If at any time Bakkt Pubco issues one or more shares of Class A Common Stock in connection with the New Equity Incentive Plan or any other equity incentive program, whether such share or shares are issued upon exercise (including cashless exercise) of an option, settlement of a restricted stock unit, as restricted stock or otherwise, the Managing Member shall cause the Company to issue a corresponding number of Common Units, registered in the name of Bakkt Pubco (determined based upon the Exchange Rate then in effect); </w:t>
      </w:r>
      <w:r>
        <w:rPr>
          <w:rFonts w:ascii="Times New Roman" w:hAnsi="Times New Roman"/>
          <w:i/>
          <w:sz w:val="20"/>
        </w:rPr>
        <w:t xml:space="preserve">provided </w:t>
      </w:r>
      <w:r>
        <w:rPr>
          <w:rFonts w:ascii="Times New Roman" w:hAnsi="Times New Roman"/>
          <w:sz w:val="20"/>
        </w:rPr>
        <w:t xml:space="preserve">that Bakkt Pubco shall be required to contribute all (but not less than all) of the net proceeds (if any) received by Bakkt Pubco from or otherwise in connection with such issuance of one or more shares of Class A Common Stock, including the exercise price of any option exercised, to the Company.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b/>
          <w:sz w:val="20"/>
          <w:u w:val="single"/>
        </w:rPr>
        <w:t>Registered Members</w:t>
      </w:r>
      <w:r>
        <w:rPr>
          <w:rFonts w:ascii="Times New Roman" w:hAnsi="Times New Roman"/>
          <w:sz w:val="20"/>
        </w:rPr>
        <w:t xml:space="preserve">. The Company shall be entitled to recognize the exclusive right of a Person registered on its records as the owner of Common Units for all purposes and shall not be bound to recognize any equitable or other claim to or interest in Common Units on the part of any other Person, whether or not it shall have express or other notice thereof, except as otherwise provided by the Delaware Act or other applicable Law.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b/>
          <w:sz w:val="20"/>
          <w:u w:val="single"/>
        </w:rPr>
        <w:t>Capital Accounts</w:t>
      </w:r>
      <w:r>
        <w:rPr>
          <w:rFonts w:ascii="Times New Roman" w:hAnsi="Times New Roman"/>
          <w:sz w:val="20"/>
        </w:rPr>
        <w:t xml:space="preserve">. The Company shall maintain a separate Capital Account for each Member according to the rules of Treasury Regulations Section 1.704-1(b)(2)(iv). For this purpose, the Company may (in the discretion of the Managing Member), upon the occurrence of the events specified in Treasury Regulations Section 1.704-1(b)(2)(iv)(f), increase or decrease the Capital Accounts in accordance with the rules of such regulation and Treasury Regulations Section 1.704-1(b)(2)(iv)(g) to reflect a revaluation of Company property. </w:t>
      </w:r>
    </w:p>
    <w:p>
      <w:pPr>
        <w:pStyle w:val="TextBody"/>
        <w:spacing w:before="240" w:after="0"/>
        <w:jc w:val="left"/>
        <w:rPr>
          <w:rFonts w:ascii="Times New Roman" w:hAnsi="Times New Roman"/>
          <w:sz w:val="20"/>
        </w:rPr>
      </w:pPr>
      <w:r>
        <w:rPr>
          <w:rFonts w:ascii="Times New Roman" w:hAnsi="Times New Roman"/>
          <w:b/>
          <w:sz w:val="20"/>
        </w:rPr>
        <w:t xml:space="preserve">Section 3.8 </w:t>
      </w:r>
      <w:r>
        <w:rPr>
          <w:rFonts w:ascii="Times New Roman" w:hAnsi="Times New Roman"/>
          <w:b/>
          <w:sz w:val="20"/>
          <w:u w:val="single"/>
        </w:rPr>
        <w:t>Negative Capital Accounts</w:t>
      </w:r>
      <w:r>
        <w:rPr>
          <w:rFonts w:ascii="Times New Roman" w:hAnsi="Times New Roman"/>
          <w:sz w:val="20"/>
        </w:rPr>
        <w:t xml:space="preserve">. No Member shall be required to pay to any other Member or the Company any deficit or negative balance which may exist from time to time in such Members Capital Account (including upon and after dissolution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b/>
          <w:sz w:val="20"/>
          <w:u w:val="single"/>
        </w:rPr>
        <w:t>No Withdrawal</w:t>
      </w:r>
      <w:r>
        <w:rPr>
          <w:rFonts w:ascii="Times New Roman" w:hAnsi="Times New Roman"/>
          <w:sz w:val="20"/>
        </w:rPr>
        <w:t xml:space="preserve">. No Person shall be entitled to withdraw any part of such Persons Capital Contribution or Capital Account or to receive any Distribution from the Company, except as expressly provided herein.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b/>
          <w:sz w:val="20"/>
          <w:u w:val="single"/>
        </w:rPr>
        <w:t>Loans From Members</w:t>
      </w:r>
      <w:r>
        <w:rPr>
          <w:rFonts w:ascii="Times New Roman" w:hAnsi="Times New Roman"/>
          <w:sz w:val="20"/>
        </w:rPr>
        <w:t xml:space="preserve">. Loans by Members to the Company shall not be considered Capital Contributions. For the avoidance of doubt, no Member may make a loan or advance funds to the Company without the consent of the Managing Member.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DISTRIBUTIONS AND ALLOCATIONS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 xml:space="preserve">Distributions. </w:t>
      </w:r>
    </w:p>
    <w:p>
      <w:pPr>
        <w:pStyle w:val="TextBody"/>
        <w:spacing w:before="240" w:after="0"/>
        <w:jc w:val="left"/>
        <w:rPr>
          <w:rFonts w:ascii="Times New Roman" w:hAnsi="Times New Roman"/>
          <w:sz w:val="20"/>
        </w:rPr>
      </w:pPr>
      <w:r>
        <w:rPr>
          <w:rFonts w:ascii="Times New Roman" w:hAnsi="Times New Roman"/>
          <w:sz w:val="20"/>
        </w:rPr>
        <w:t xml:space="preserve">(a) Subject to the provisions of the Delaware Act and the provisions of this </w:t>
      </w:r>
      <w:r>
        <w:rPr>
          <w:rFonts w:ascii="Times New Roman" w:hAnsi="Times New Roman"/>
          <w:sz w:val="20"/>
          <w:u w:val="single"/>
        </w:rPr>
        <w:t>Article IV</w:t>
      </w:r>
      <w:r>
        <w:rPr>
          <w:rFonts w:ascii="Times New Roman" w:hAnsi="Times New Roman"/>
          <w:sz w:val="20"/>
        </w:rPr>
        <w:t xml:space="preserve">, the Managing Member, in its sole discretion, may authorize Distributions to the Members, which Distributions shall be made </w:t>
      </w:r>
      <w:r>
        <w:rPr>
          <w:rFonts w:ascii="Times New Roman" w:hAnsi="Times New Roman"/>
          <w:i/>
          <w:sz w:val="20"/>
        </w:rPr>
        <w:t>pro rata</w:t>
      </w:r>
      <w:r>
        <w:rPr>
          <w:rFonts w:ascii="Times New Roman" w:hAnsi="Times New Roman"/>
          <w:sz w:val="20"/>
        </w:rPr>
        <w:t xml:space="preserve"> in accordance with the Members respective Percentage Interests as of the record date of the Distribution designated by the Managing Member. </w:t>
      </w:r>
    </w:p>
    <w:p>
      <w:pPr>
        <w:pStyle w:val="TextBody"/>
        <w:spacing w:before="240" w:after="0"/>
        <w:jc w:val="left"/>
        <w:rPr>
          <w:rFonts w:ascii="Times New Roman" w:hAnsi="Times New Roman"/>
          <w:sz w:val="20"/>
        </w:rPr>
      </w:pPr>
      <w:r>
        <w:rPr>
          <w:rFonts w:ascii="Times New Roman" w:hAnsi="Times New Roman"/>
          <w:sz w:val="20"/>
        </w:rPr>
        <w:t xml:space="preserve">(b) Each Distribution pursuant to this </w:t>
      </w:r>
      <w:r>
        <w:rPr>
          <w:rFonts w:ascii="Times New Roman" w:hAnsi="Times New Roman"/>
          <w:sz w:val="20"/>
          <w:u w:val="single"/>
        </w:rPr>
        <w:t>Section 4.1</w:t>
      </w:r>
      <w:r>
        <w:rPr>
          <w:rFonts w:ascii="Times New Roman" w:hAnsi="Times New Roman"/>
          <w:sz w:val="20"/>
        </w:rPr>
        <w:t xml:space="preserve"> shall be made to the Persons shown on the Companys books and records as Members as of the record date of such Distribution. </w:t>
      </w:r>
    </w:p>
    <w:p>
      <w:pPr>
        <w:pStyle w:val="TextBody"/>
        <w:spacing w:before="240" w:after="0"/>
        <w:jc w:val="left"/>
        <w:rPr>
          <w:rFonts w:ascii="Times New Roman" w:hAnsi="Times New Roman"/>
          <w:sz w:val="20"/>
        </w:rPr>
      </w:pPr>
      <w:r>
        <w:rPr>
          <w:rFonts w:ascii="Times New Roman" w:hAnsi="Times New Roman"/>
          <w:sz w:val="20"/>
        </w:rPr>
        <w:t xml:space="preserve">(c) Notwithstanding the foregoing provisions of </w:t>
      </w:r>
      <w:r>
        <w:rPr>
          <w:rFonts w:ascii="Times New Roman" w:hAnsi="Times New Roman"/>
          <w:sz w:val="20"/>
          <w:u w:val="single"/>
        </w:rPr>
        <w:t>Section 4.1(a)</w:t>
      </w:r>
      <w:r>
        <w:rPr>
          <w:rFonts w:ascii="Times New Roman" w:hAnsi="Times New Roman"/>
          <w:sz w:val="20"/>
        </w:rPr>
        <w:t>, all amounts otherwise distributable pursuant to this Agreement (other than</w:t>
      </w:r>
      <w:r>
        <w:rPr>
          <w:rFonts w:ascii="Times New Roman" w:hAnsi="Times New Roman"/>
          <w:sz w:val="20"/>
          <w:u w:val="single"/>
        </w:rPr>
        <w:t xml:space="preserve"> Section 4.1(d)</w:t>
      </w:r>
      <w:r>
        <w:rPr>
          <w:rFonts w:ascii="Times New Roman" w:hAnsi="Times New Roman"/>
          <w:sz w:val="20"/>
        </w:rPr>
        <w:t>) with respect to each unvested Unit shall be retained by the Company (collectively, the </w:t>
      </w:r>
      <w:r>
        <w:rPr>
          <w:rFonts w:ascii="Times New Roman" w:hAnsi="Times New Roman"/>
          <w:b/>
          <w:i/>
          <w:sz w:val="20"/>
        </w:rPr>
        <w:t>Retained</w:t>
      </w:r>
      <w:r>
        <w:rPr>
          <w:rFonts w:ascii="Times New Roman" w:hAnsi="Times New Roman"/>
          <w:sz w:val="20"/>
        </w:rPr>
        <w:t xml:space="preserve"> </w:t>
      </w:r>
      <w:r>
        <w:rPr>
          <w:rFonts w:ascii="Times New Roman" w:hAnsi="Times New Roman"/>
          <w:b/>
          <w:i/>
          <w:sz w:val="20"/>
        </w:rPr>
        <w:t>Amounts</w:t>
      </w:r>
      <w:r>
        <w:rPr>
          <w:rFonts w:ascii="Times New Roman" w:hAnsi="Times New Roman"/>
          <w:sz w:val="20"/>
        </w:rPr>
        <w:t xml:space="preserve">). Prior to making any distribution pursuant to </w:t>
      </w:r>
      <w:r>
        <w:rPr>
          <w:rFonts w:ascii="Times New Roman" w:hAnsi="Times New Roman"/>
          <w:sz w:val="20"/>
          <w:u w:val="single"/>
        </w:rPr>
        <w:t>Section 4.1(a)</w:t>
      </w:r>
      <w:r>
        <w:rPr>
          <w:rFonts w:ascii="Times New Roman" w:hAnsi="Times New Roman"/>
          <w:sz w:val="20"/>
        </w:rPr>
        <w:t xml:space="preserve">, the Company will distribute the Retained Amounts with respect to each previously unvested Unit that has become a vested Unit to the Holder of such Unit. Retained Amounts in respect of unvested Units that are forfeited prior to vesting shall be forfeited by the Holder of such Unit, and no distribution of such Retained Amounts in respect of such forfeited Units shall be made. </w:t>
      </w:r>
    </w:p>
    <w:p>
      <w:pPr>
        <w:pStyle w:val="TextBody"/>
        <w:spacing w:before="240" w:after="0"/>
        <w:jc w:val="left"/>
        <w:rPr>
          <w:rFonts w:ascii="Times New Roman" w:hAnsi="Times New Roman"/>
          <w:sz w:val="20"/>
        </w:rPr>
      </w:pPr>
      <w:r>
        <w:rPr>
          <w:rFonts w:ascii="Times New Roman" w:hAnsi="Times New Roman"/>
          <w:sz w:val="20"/>
        </w:rPr>
        <w:t>(d) Notwithstanding any other provision of this Agreement to the contrary, to the fullest extent permitted by applicable Law and consistent with the Companys obligations to its creditors as reasonably determined by the Managing Member, the Managing Member shall, to the extent of Available Cash, cause to be distributed to the Members with respect to their Common Units in proportion to their respective Percentage Interests on an annual basis an aggregate amount that equals the Tax Distribution Amount (each, a </w:t>
      </w:r>
      <w:r>
        <w:rPr>
          <w:rFonts w:ascii="Times New Roman" w:hAnsi="Times New Roman"/>
          <w:b/>
          <w:i/>
          <w:sz w:val="20"/>
        </w:rPr>
        <w:t>Tax Distribution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portion of a Tax Distribution made with respect to the amounts described in </w:t>
      </w:r>
      <w:r>
        <w:rPr>
          <w:rFonts w:ascii="Times New Roman" w:hAnsi="Times New Roman"/>
          <w:sz w:val="20"/>
          <w:u w:val="single"/>
        </w:rPr>
        <w:t>clause (b)</w:t>
      </w:r>
      <w:r>
        <w:rPr>
          <w:rFonts w:ascii="Times New Roman" w:hAnsi="Times New Roman"/>
          <w:sz w:val="20"/>
        </w:rPr>
        <w:t xml:space="preserve"> of the definition of Tax Distribution Amount may be distributed reasonably promptly before a payment is required to be made pursuant to the Tax Receivable Agreement. If, on the date of a Tax Distribution, there are insufficient funds on hand to distribute to the Members the full amount of the Tax Distributions to which such Members are otherwise entitled, distributions pursuant to this </w:t>
      </w:r>
      <w:r>
        <w:rPr>
          <w:rFonts w:ascii="Times New Roman" w:hAnsi="Times New Roman"/>
          <w:sz w:val="20"/>
          <w:u w:val="single"/>
        </w:rPr>
        <w:t>Section 4.1(d)</w:t>
      </w:r>
      <w:r>
        <w:rPr>
          <w:rFonts w:ascii="Times New Roman" w:hAnsi="Times New Roman"/>
          <w:sz w:val="20"/>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 Notwithstanding the foregoing, the Managing Member may cause distributions under this </w:t>
      </w:r>
      <w:r>
        <w:rPr>
          <w:rFonts w:ascii="Times New Roman" w:hAnsi="Times New Roman"/>
          <w:sz w:val="20"/>
          <w:u w:val="single"/>
        </w:rPr>
        <w:t>Section 4.1(d)</w:t>
      </w:r>
      <w:r>
        <w:rPr>
          <w:rFonts w:ascii="Times New Roman" w:hAnsi="Times New Roman"/>
          <w:sz w:val="20"/>
        </w:rPr>
        <w:t xml:space="preserve"> to be made on a quarterly basis based upon estimates of the Tax Distribution Amount (but only to the extent of the amounts described in </w:t>
      </w:r>
      <w:r>
        <w:rPr>
          <w:rFonts w:ascii="Times New Roman" w:hAnsi="Times New Roman"/>
          <w:sz w:val="20"/>
          <w:u w:val="single"/>
        </w:rPr>
        <w:t>clause (a)</w:t>
      </w:r>
      <w:r>
        <w:rPr>
          <w:rFonts w:ascii="Times New Roman" w:hAnsi="Times New Roman"/>
          <w:sz w:val="20"/>
        </w:rPr>
        <w:t xml:space="preserve"> of the definition thereof), and reconcile such quarterly determinations with its determination of the total amount of Tax Distributions to be made for a Fiscal Year as soon as reasonably practicable after the end of such Fiscal Year (or as soon as reasonably practicable after any event that subsequently adjusts the taxable income of such Fiscal Year), in each case, in the Managing Members reasonable discretion.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Allocations</w:t>
      </w:r>
      <w:r>
        <w:rPr>
          <w:rFonts w:ascii="Times New Roman" w:hAnsi="Times New Roman"/>
          <w:sz w:val="20"/>
        </w:rPr>
        <w:t xml:space="preserve">. After giving effect to the allocations set forth in </w:t>
      </w:r>
      <w:r>
        <w:rPr>
          <w:rFonts w:ascii="Times New Roman" w:hAnsi="Times New Roman"/>
          <w:sz w:val="20"/>
          <w:u w:val="single"/>
        </w:rPr>
        <w:t>Section 4.3</w:t>
      </w:r>
      <w:r>
        <w:rPr>
          <w:rFonts w:ascii="Times New Roman" w:hAnsi="Times New Roman"/>
          <w:sz w:val="20"/>
        </w:rPr>
        <w:t xml:space="preserve">, Net Profits and Net Losses (and to the extent necessary to achieve the resulting Capital Account balances described below,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allocable items of gross income, gain, loss and expense that would otherwise be includable in the computation of Net Profits and Net Losses) for each Taxable Year shall be allocated among the Members during such Taxable Year, in such a manner as shall cause the Capital Accounts of the Members (as adjusted to reflect all allocations set forth in </w:t>
      </w:r>
      <w:r>
        <w:rPr>
          <w:rFonts w:ascii="Times New Roman" w:hAnsi="Times New Roman"/>
          <w:sz w:val="20"/>
          <w:u w:val="single"/>
        </w:rPr>
        <w:t>Section 4.3</w:t>
      </w:r>
      <w:r>
        <w:rPr>
          <w:rFonts w:ascii="Times New Roman" w:hAnsi="Times New Roman"/>
          <w:sz w:val="20"/>
        </w:rPr>
        <w:t xml:space="preserve"> and all distributions through the end of such Taxable Year) to equal, as nearly as possible, (a) the amount such Members would receive if all assets of the Company on hand at the end of such Taxable Year were sold for cash equal to their Book Values, all liabilities of the Company were satisfied in cash in accordance with their terms (limited in the case of non-recourse liabilities to the Book Value of the property securing such liabilities), and all remaining or resulting cash (including any withheld amounts) were distributed to the Members under </w:t>
      </w:r>
      <w:r>
        <w:rPr>
          <w:rFonts w:ascii="Times New Roman" w:hAnsi="Times New Roman"/>
          <w:sz w:val="20"/>
          <w:u w:val="single"/>
        </w:rPr>
        <w:t>Section 10.2</w:t>
      </w:r>
      <w:r>
        <w:rPr>
          <w:rFonts w:ascii="Times New Roman" w:hAnsi="Times New Roman"/>
          <w:sz w:val="20"/>
        </w:rPr>
        <w:t xml:space="preserve"> minus (b) such Members share of Minimum Gain and Member Nonrecourse Debt Minimum Gain, computed immediately prior to the hypothetical sale of assets.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Special Allocations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Notwithstanding any other provision of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if there is a net decrease in Minimum Gain during any Taxable Year, each Member shall be allocated items of Company income and gain for such Taxable Year (and, if necessary, subsequent Taxable Years) in the manner and amounts provided in Treasury Regulations Sections 1.704-2(f)(6), (g)(2) and (j)(2)(i). For purposes of this </w:t>
      </w:r>
      <w:r>
        <w:rPr>
          <w:rFonts w:ascii="Times New Roman" w:hAnsi="Times New Roman"/>
          <w:sz w:val="20"/>
          <w:u w:val="single"/>
        </w:rPr>
        <w:t>Section 4.3</w:t>
      </w:r>
      <w:r>
        <w:rPr>
          <w:rFonts w:ascii="Times New Roman" w:hAnsi="Times New Roman"/>
          <w:sz w:val="20"/>
        </w:rPr>
        <w:t xml:space="preserve">, each Members Adjusted Capital Account shall be determined and the allocation of income or gain required hereunder shall be effected, prior to the application of any other allocations pursuant to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Section 4.3</w:t>
      </w:r>
      <w:r>
        <w:rPr>
          <w:rFonts w:ascii="Times New Roman" w:hAnsi="Times New Roman"/>
          <w:sz w:val="20"/>
        </w:rPr>
        <w:t xml:space="preserve"> with respect to such Taxable Year. This </w:t>
      </w:r>
      <w:r>
        <w:rPr>
          <w:rFonts w:ascii="Times New Roman" w:hAnsi="Times New Roman"/>
          <w:sz w:val="20"/>
          <w:u w:val="single"/>
        </w:rPr>
        <w:t>Section 4.3(a)</w:t>
      </w:r>
      <w:r>
        <w:rPr>
          <w:rFonts w:ascii="Times New Roman" w:hAnsi="Times New Roman"/>
          <w:sz w:val="20"/>
        </w:rPr>
        <w:t xml:space="preserve"> is intended to comply with the partnership Minimum Gain chargeback requirement in Treasury Regulations Section 1.704-2(f) and shall be interpreted consistently therewith. </w:t>
      </w:r>
    </w:p>
    <w:p>
      <w:pPr>
        <w:pStyle w:val="TextBody"/>
        <w:spacing w:before="240" w:after="0"/>
        <w:jc w:val="left"/>
        <w:rPr>
          <w:rFonts w:ascii="Times New Roman" w:hAnsi="Times New Roman"/>
          <w:sz w:val="20"/>
        </w:rPr>
      </w:pPr>
      <w:r>
        <w:rPr>
          <w:rFonts w:ascii="Times New Roman" w:hAnsi="Times New Roman"/>
          <w:sz w:val="20"/>
        </w:rPr>
        <w:t xml:space="preserve">(b) Notwithstanding the other provisions of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(other than </w:t>
      </w:r>
      <w:r>
        <w:rPr>
          <w:rFonts w:ascii="Times New Roman" w:hAnsi="Times New Roman"/>
          <w:sz w:val="20"/>
          <w:u w:val="single"/>
        </w:rPr>
        <w:t>clause (a)</w:t>
      </w:r>
      <w:r>
        <w:rPr>
          <w:rFonts w:ascii="Times New Roman" w:hAnsi="Times New Roman"/>
          <w:sz w:val="20"/>
        </w:rPr>
        <w:t xml:space="preserve"> above), if there is a net decrease in Member Nonrecourse Debt Minimum Gain during any Taxable Year, any Member with a share of Member Nonrecourse Debt Minimum Gain at the beginning of such Taxable Year shall be allocated items of Company income and gain for such Taxable Year (and, if necessary, subsequent Taxable Years) in the manner and amounts provided in Treasury Regulations Section 1.704-2(i)(4) and (j)(2)(ii). For purposes of this </w:t>
      </w:r>
      <w:r>
        <w:rPr>
          <w:rFonts w:ascii="Times New Roman" w:hAnsi="Times New Roman"/>
          <w:sz w:val="20"/>
          <w:u w:val="single"/>
        </w:rPr>
        <w:t>Section 4.3</w:t>
      </w:r>
      <w:r>
        <w:rPr>
          <w:rFonts w:ascii="Times New Roman" w:hAnsi="Times New Roman"/>
          <w:sz w:val="20"/>
        </w:rPr>
        <w:t xml:space="preserve"> each Members Adjusted Capital Account balance shall be determined, and the allocation of income and gain required hereunder shall be effected, prior to the application of any other allocations pursuant to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Section 4.3</w:t>
      </w:r>
      <w:r>
        <w:rPr>
          <w:rFonts w:ascii="Times New Roman" w:hAnsi="Times New Roman"/>
          <w:sz w:val="20"/>
        </w:rPr>
        <w:t xml:space="preserve"> other than </w:t>
      </w:r>
      <w:r>
        <w:rPr>
          <w:rFonts w:ascii="Times New Roman" w:hAnsi="Times New Roman"/>
          <w:sz w:val="20"/>
          <w:u w:val="single"/>
        </w:rPr>
        <w:t>Section 4.3(a)</w:t>
      </w:r>
      <w:r>
        <w:rPr>
          <w:rFonts w:ascii="Times New Roman" w:hAnsi="Times New Roman"/>
          <w:sz w:val="20"/>
        </w:rPr>
        <w:t xml:space="preserve"> above, with respect to such Taxable Year. This </w:t>
      </w:r>
      <w:r>
        <w:rPr>
          <w:rFonts w:ascii="Times New Roman" w:hAnsi="Times New Roman"/>
          <w:sz w:val="20"/>
          <w:u w:val="single"/>
        </w:rPr>
        <w:t>Section 4.3(b)</w:t>
      </w:r>
      <w:r>
        <w:rPr>
          <w:rFonts w:ascii="Times New Roman" w:hAnsi="Times New Roman"/>
          <w:sz w:val="20"/>
        </w:rPr>
        <w:t xml:space="preserve"> is intended to comply with the partner nonrecourse debt minimum gain chargeback requirement in Treasury Regulations Section 1.704-2(i)(4) and shall be interpreted consistently therewith. </w:t>
      </w:r>
    </w:p>
    <w:p>
      <w:pPr>
        <w:pStyle w:val="TextBody"/>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4.3(a)</w:t>
      </w:r>
      <w:r>
        <w:rPr>
          <w:rFonts w:ascii="Times New Roman" w:hAnsi="Times New Roman"/>
          <w:sz w:val="20"/>
        </w:rPr>
        <w:t xml:space="preserve"> and </w:t>
      </w:r>
      <w:r>
        <w:rPr>
          <w:rFonts w:ascii="Times New Roman" w:hAnsi="Times New Roman"/>
          <w:sz w:val="20"/>
          <w:u w:val="single"/>
        </w:rPr>
        <w:t>Section 4.3(b)</w:t>
      </w:r>
      <w:r>
        <w:rPr>
          <w:rFonts w:ascii="Times New Roman" w:hAnsi="Times New Roman"/>
          <w:sz w:val="20"/>
        </w:rPr>
        <w:t xml:space="preserve"> above,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such Treasury Regulations, the deficit balance, if any, in its Adjusted Capital Account created by such adjustments, allocations or distributions as quickly as possible unless such deficit balance is otherwise eliminated pursuant to </w:t>
      </w:r>
      <w:r>
        <w:rPr>
          <w:rFonts w:ascii="Times New Roman" w:hAnsi="Times New Roman"/>
          <w:sz w:val="20"/>
          <w:u w:val="single"/>
        </w:rPr>
        <w:t>Section 4.3(a)</w:t>
      </w:r>
      <w:r>
        <w:rPr>
          <w:rFonts w:ascii="Times New Roman" w:hAnsi="Times New Roman"/>
          <w:sz w:val="20"/>
        </w:rPr>
        <w:t xml:space="preserve"> and </w:t>
      </w:r>
      <w:r>
        <w:rPr>
          <w:rFonts w:ascii="Times New Roman" w:hAnsi="Times New Roman"/>
          <w:sz w:val="20"/>
          <w:u w:val="single"/>
        </w:rPr>
        <w:t>Section 4.3(b)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 No allocation of Net Loss shall be made to a Member if it would cause or increase an Adjusted Capital Account Deficit of such Member. Allocations of Net Loss that would be made to a Member but for this </w:t>
      </w:r>
      <w:r>
        <w:rPr>
          <w:rFonts w:ascii="Times New Roman" w:hAnsi="Times New Roman"/>
          <w:sz w:val="20"/>
          <w:u w:val="single"/>
        </w:rPr>
        <w:t>Section 4.3(d)</w:t>
      </w:r>
      <w:r>
        <w:rPr>
          <w:rFonts w:ascii="Times New Roman" w:hAnsi="Times New Roman"/>
          <w:sz w:val="20"/>
        </w:rPr>
        <w:t xml:space="preserve"> shall instead be made to other Members pursuant to </w:t>
      </w:r>
      <w:r>
        <w:rPr>
          <w:rFonts w:ascii="Times New Roman" w:hAnsi="Times New Roman"/>
          <w:sz w:val="20"/>
          <w:u w:val="single"/>
        </w:rPr>
        <w:t>Section 4.2</w:t>
      </w:r>
      <w:r>
        <w:rPr>
          <w:rFonts w:ascii="Times New Roman" w:hAnsi="Times New Roman"/>
          <w:sz w:val="20"/>
        </w:rPr>
        <w:t xml:space="preserve"> to the extent not inconsistent with this </w:t>
      </w:r>
      <w:r>
        <w:rPr>
          <w:rFonts w:ascii="Times New Roman" w:hAnsi="Times New Roman"/>
          <w:sz w:val="20"/>
          <w:u w:val="single"/>
        </w:rPr>
        <w:t>Section 4.3(d)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 In the event any Member has an Adjusted Capital Account Deficit at the end of any Taxable Year, such Member shall be specially allocated items of Company gross income and gain in the amount of such excess as quickly as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 allocation pursuant to this </w:t>
      </w:r>
      <w:r>
        <w:rPr>
          <w:rFonts w:ascii="Times New Roman" w:hAnsi="Times New Roman"/>
          <w:sz w:val="20"/>
          <w:u w:val="single"/>
        </w:rPr>
        <w:t>Section 4.3(e)</w:t>
      </w:r>
      <w:r>
        <w:rPr>
          <w:rFonts w:ascii="Times New Roman" w:hAnsi="Times New Roman"/>
          <w:sz w:val="20"/>
        </w:rPr>
        <w:t xml:space="preserve"> shall be made only if and to the extent that such Member would have an Adjusted Capital Account Deficit after all other allocations provided in this </w:t>
      </w:r>
      <w:r>
        <w:rPr>
          <w:rFonts w:ascii="Times New Roman" w:hAnsi="Times New Roman"/>
          <w:sz w:val="20"/>
          <w:u w:val="single"/>
        </w:rPr>
        <w:t>Section 4.3</w:t>
      </w:r>
      <w:r>
        <w:rPr>
          <w:rFonts w:ascii="Times New Roman" w:hAnsi="Times New Roman"/>
          <w:sz w:val="20"/>
        </w:rPr>
        <w:t xml:space="preserve"> have been tentatively made as if this </w:t>
      </w:r>
      <w:r>
        <w:rPr>
          <w:rFonts w:ascii="Times New Roman" w:hAnsi="Times New Roman"/>
          <w:sz w:val="20"/>
          <w:u w:val="single"/>
        </w:rPr>
        <w:t>Section 4.3(e)</w:t>
      </w:r>
      <w:r>
        <w:rPr>
          <w:rFonts w:ascii="Times New Roman" w:hAnsi="Times New Roman"/>
          <w:sz w:val="20"/>
        </w:rPr>
        <w:t xml:space="preserve"> were not in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 Nonrecourse Deductions for any Taxable Year shall be allocated to the Members ratably among such Members based upon the number of Units held by each Holder. </w:t>
      </w:r>
    </w:p>
    <w:p>
      <w:pPr>
        <w:pStyle w:val="TextBody"/>
        <w:spacing w:before="240" w:after="0"/>
        <w:jc w:val="left"/>
        <w:rPr>
          <w:rFonts w:ascii="Times New Roman" w:hAnsi="Times New Roman"/>
          <w:sz w:val="20"/>
        </w:rPr>
      </w:pPr>
      <w:r>
        <w:rPr>
          <w:rFonts w:ascii="Times New Roman" w:hAnsi="Times New Roman"/>
          <w:sz w:val="20"/>
        </w:rPr>
        <w:t xml:space="preserve">(g) Member Nonrecourse Deductions for any Taxable Year shall be allocated 100% to the Member that bears the Economic Risk of Loss with respect to the Member Nonrecourse Debt to which such Member Nonrecourse Deductions are attributable in accordance with Treasury Regulations Section 1.704-2(i). If more than one Member bears the Economic Risk of Loss with respect to a Member Nonrecourse Debt, Member Nonrecourse Deductions attributable thereto shall be allocated between or among such Members in accordance with the ratios in which they share such Economic Risk of Loss. </w:t>
      </w:r>
    </w:p>
    <w:p>
      <w:pPr>
        <w:pStyle w:val="TextBody"/>
        <w:spacing w:before="240" w:after="0"/>
        <w:jc w:val="left"/>
        <w:rPr>
          <w:rFonts w:ascii="Times New Roman" w:hAnsi="Times New Roman"/>
          <w:sz w:val="20"/>
        </w:rPr>
      </w:pPr>
      <w:r>
        <w:rPr>
          <w:rFonts w:ascii="Times New Roman" w:hAnsi="Times New Roman"/>
          <w:sz w:val="20"/>
        </w:rPr>
        <w:t xml:space="preserve">(h) If any Holder of unvested Units forfeits all or a portion of such Units, such Holder shall be allocated items of loss and deduction in the year of such forfeiture in an amount equal to the portion of such Holders Capital Account attributable to such forfeited Units. </w:t>
      </w:r>
    </w:p>
    <w:p>
      <w:pPr>
        <w:pStyle w:val="TextBody"/>
        <w:spacing w:before="240" w:after="0"/>
        <w:jc w:val="left"/>
        <w:rPr>
          <w:rFonts w:ascii="Times New Roman" w:hAnsi="Times New Roman"/>
          <w:sz w:val="20"/>
        </w:rPr>
      </w:pPr>
      <w:r>
        <w:rPr>
          <w:rFonts w:ascii="Times New Roman" w:hAnsi="Times New Roman"/>
          <w:sz w:val="20"/>
        </w:rPr>
        <w:t xml:space="preserve">(i) To the extent an adjustment to the adjusted tax basis of any Company asset pursuant to Code Section 734(b) or Section 743(b) is required pursuant to Treasury Regulations Section 1.704-1(b)(2)(iv)(m)(2) or Section 1.704-1(b)(2)(iv)(m)(4) to be taken into account in determining Capital Accounts as the result of a distribution to a Member in complete liquidation of its Company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 Section 1.704-1(b)(2)(iv)(m)(4) applies.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Curative Allocation</w:t>
      </w:r>
      <w:r>
        <w:rPr>
          <w:rFonts w:ascii="Times New Roman" w:hAnsi="Times New Roman"/>
          <w:sz w:val="20"/>
        </w:rPr>
        <w:t xml:space="preserve">. The allocations set forth in </w:t>
      </w:r>
      <w:r>
        <w:rPr>
          <w:rFonts w:ascii="Times New Roman" w:hAnsi="Times New Roman"/>
          <w:sz w:val="20"/>
          <w:u w:val="single"/>
        </w:rPr>
        <w:t>Section 4.3(a)-(i)</w:t>
      </w:r>
      <w:r>
        <w:rPr>
          <w:rFonts w:ascii="Times New Roman" w:hAnsi="Times New Roman"/>
          <w:sz w:val="20"/>
        </w:rPr>
        <w:t xml:space="preserve"> (other than </w:t>
      </w:r>
      <w:r>
        <w:rPr>
          <w:rFonts w:ascii="Times New Roman" w:hAnsi="Times New Roman"/>
          <w:sz w:val="20"/>
          <w:u w:val="single"/>
        </w:rPr>
        <w:t>Section 4.3(h)</w:t>
      </w:r>
      <w:r>
        <w:rPr>
          <w:rFonts w:ascii="Times New Roman" w:hAnsi="Times New Roman"/>
          <w:sz w:val="20"/>
        </w:rPr>
        <w:t>) (the </w:t>
      </w:r>
      <w:r>
        <w:rPr>
          <w:rFonts w:ascii="Times New Roman" w:hAnsi="Times New Roman"/>
          <w:b/>
          <w:i/>
          <w:sz w:val="20"/>
        </w:rPr>
        <w:t>Regulatory Allocations</w:t>
      </w:r>
      <w:r>
        <w:rPr>
          <w:rFonts w:ascii="Times New Roman" w:hAnsi="Times New Roman"/>
          <w:sz w:val="20"/>
        </w:rPr>
        <w:t xml:space="preserve">)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deduction or credit pursuant to this </w:t>
      </w:r>
      <w:r>
        <w:rPr>
          <w:rFonts w:ascii="Times New Roman" w:hAnsi="Times New Roman"/>
          <w:sz w:val="20"/>
          <w:u w:val="single"/>
        </w:rPr>
        <w:t>Section 4.3(j)</w:t>
      </w:r>
      <w:r>
        <w:rPr>
          <w:rFonts w:ascii="Times New Roman" w:hAnsi="Times New Roman"/>
          <w:sz w:val="20"/>
        </w:rPr>
        <w:t xml:space="preserve">. Therefore, notwithstanding any other provision of this </w:t>
      </w:r>
      <w:r>
        <w:rPr>
          <w:rFonts w:ascii="Times New Roman" w:hAnsi="Times New Roman"/>
          <w:sz w:val="20"/>
          <w:u w:val="single"/>
        </w:rPr>
        <w:t>Article IV</w:t>
      </w:r>
      <w:r>
        <w:rPr>
          <w:rFonts w:ascii="Times New Roman" w:hAnsi="Times New Roman"/>
          <w:sz w:val="20"/>
        </w:rPr>
        <w:t xml:space="preserve"> (other than the Regulatory Allocations), but subject to the Code and the Treasury Regulations, the Managing Member shall make such offsetting special allocations of Company income, gain, loss, deduction or credit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In exercising its discretion under this </w:t>
      </w:r>
      <w:r>
        <w:rPr>
          <w:rFonts w:ascii="Times New Roman" w:hAnsi="Times New Roman"/>
          <w:sz w:val="20"/>
          <w:u w:val="single"/>
        </w:rPr>
        <w:t>Section 4.3(j)</w:t>
      </w:r>
      <w:r>
        <w:rPr>
          <w:rFonts w:ascii="Times New Roman" w:hAnsi="Times New Roman"/>
          <w:sz w:val="20"/>
        </w:rPr>
        <w:t xml:space="preserve">, the Managing Member shall take into account future Regulatory Allocations that, although not yet made, are likely to offset other Regulatory Allocations previously made.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Tax Allocations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provided in this </w:t>
      </w:r>
      <w:r>
        <w:rPr>
          <w:rFonts w:ascii="Times New Roman" w:hAnsi="Times New Roman"/>
          <w:sz w:val="20"/>
          <w:u w:val="single"/>
        </w:rPr>
        <w:t>Section 4.4</w:t>
      </w:r>
      <w:r>
        <w:rPr>
          <w:rFonts w:ascii="Times New Roman" w:hAnsi="Times New Roman"/>
          <w:sz w:val="20"/>
        </w:rPr>
        <w:t xml:space="preserve">, each item of income, gain, loss, deduction and credit of the Company for U.S. federal income tax purposes shall be allocated among the Members in the same manner as such items are allocated for book purposes under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The Members recognize that there may be a difference between the Book Value of a Company asset and the assets adjusted tax basis at the time of the propertys contribution or revaluation pursuant to this Agreement. In such a case, all items of tax depreciation, cost recovery, depletion, amortization, and gain or loss with respect to such asset shall be allocated among the Members to take into account the disparities between the Book Values and the adjusted tax basis with respect to such properties in accordance with the traditional method described in Treasury Regulation Section 1.704-3(b);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tax items not required to be allocated under Code Sections 704(b) or 704(c) shall be allocated in the same manner as such gain or loss would be allocated for book purposes under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 All items of income, gain, loss, deduction and credit allocated to the Members in accordance with the provisions hereof and basis allocations recognized by the Company for U.S. federal income tax purposes shall be determined without regard to any election under Code Section 754 which may be made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such allocations, once made, shall be adjusted as necessary or appropriate to take into account the adjustments permitted by Code Sections 734 and 743. </w:t>
      </w:r>
    </w:p>
    <w:p>
      <w:pPr>
        <w:pStyle w:val="TextBody"/>
        <w:spacing w:before="240" w:after="0"/>
        <w:jc w:val="left"/>
        <w:rPr>
          <w:rFonts w:ascii="Times New Roman" w:hAnsi="Times New Roman"/>
          <w:sz w:val="20"/>
        </w:rPr>
      </w:pPr>
      <w:r>
        <w:rPr>
          <w:rFonts w:ascii="Times New Roman" w:hAnsi="Times New Roman"/>
          <w:sz w:val="20"/>
        </w:rPr>
        <w:t xml:space="preserve">(d) Subject to </w:t>
      </w:r>
      <w:r>
        <w:rPr>
          <w:rFonts w:ascii="Times New Roman" w:hAnsi="Times New Roman"/>
          <w:sz w:val="20"/>
          <w:u w:val="single"/>
        </w:rPr>
        <w:t>Section 4.4(b)</w:t>
      </w:r>
      <w:r>
        <w:rPr>
          <w:rFonts w:ascii="Times New Roman" w:hAnsi="Times New Roman"/>
          <w:sz w:val="20"/>
        </w:rPr>
        <w:t>, if any portion of taxable gain recognized from the disposition of property by the Company represents the recapture of previously allocated deductions by virtue of the application of Code Section 1(h)(1)(D), 1245 or 1250 (</w:t>
      </w:r>
      <w:r>
        <w:rPr>
          <w:rFonts w:ascii="Times New Roman" w:hAnsi="Times New Roman"/>
          <w:b/>
          <w:i/>
          <w:sz w:val="20"/>
        </w:rPr>
        <w:t>Recapture Gain</w:t>
      </w:r>
      <w:r>
        <w:rPr>
          <w:rFonts w:ascii="Times New Roman" w:hAnsi="Times New Roman"/>
          <w:sz w:val="20"/>
        </w:rPr>
        <w:t xml:space="preserve">), such Recapture Gain shall be allocated as follows: </w:t>
      </w:r>
    </w:p>
    <w:p>
      <w:pPr>
        <w:pStyle w:val="TextBody"/>
        <w:spacing w:before="120" w:after="0"/>
        <w:jc w:val="left"/>
        <w:rPr>
          <w:rFonts w:ascii="Times New Roman" w:hAnsi="Times New Roman"/>
          <w:sz w:val="20"/>
        </w:rPr>
      </w:pPr>
      <w:r>
        <w:rPr>
          <w:rFonts w:ascii="Times New Roman" w:hAnsi="Times New Roman"/>
          <w:sz w:val="20"/>
        </w:rPr>
        <w:t xml:space="preserve">(i) First, to the Members in proportion to the lesser of each Members (A) allocable share of the total taxable gain recognized from the disposition of such property and (B) share of depreciation or amortization with respect to such property (as determined in the manner provided under Treasury Regulations Sections 1.1245-1(e)(2) and (3)), until each such Member has been allocated Recapture Gain equal to such lesser amount. </w:t>
      </w:r>
    </w:p>
    <w:p>
      <w:pPr>
        <w:pStyle w:val="TextBody"/>
        <w:spacing w:before="120" w:after="0"/>
        <w:jc w:val="left"/>
        <w:rPr>
          <w:rFonts w:ascii="Times New Roman" w:hAnsi="Times New Roman"/>
          <w:sz w:val="20"/>
        </w:rPr>
      </w:pPr>
      <w:r>
        <w:rPr>
          <w:rFonts w:ascii="Times New Roman" w:hAnsi="Times New Roman"/>
          <w:sz w:val="20"/>
        </w:rPr>
        <w:t xml:space="preserve">(ii) Second, the balance of Recapture Gain shall be allocated among the Members whose allocable shares of total taxable gain from the disposition of such property exceed their shares of depreciation or amortization with respect to such property (as determined in the manner provided under Treasury Regulations Sections 1.1245-1(e)(2) and (3)), in proportion to their shares of total taxable gain (including Recapture Gain) from the disposition of such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Member shall be allocated Recapture Gain under this </w:t>
      </w:r>
      <w:r>
        <w:rPr>
          <w:rFonts w:ascii="Times New Roman" w:hAnsi="Times New Roman"/>
          <w:sz w:val="20"/>
          <w:u w:val="single"/>
        </w:rPr>
        <w:t>Section 4.4(d)</w:t>
      </w:r>
      <w:r>
        <w:rPr>
          <w:rFonts w:ascii="Times New Roman" w:hAnsi="Times New Roman"/>
          <w:sz w:val="20"/>
        </w:rPr>
        <w:t xml:space="preserve"> in excess of the total taxable gain otherwise allocated to such Member from such disposition. </w:t>
      </w:r>
    </w:p>
    <w:p>
      <w:pPr>
        <w:pStyle w:val="TextBody"/>
        <w:spacing w:before="120" w:after="0"/>
        <w:jc w:val="left"/>
        <w:rPr>
          <w:rFonts w:ascii="Times New Roman" w:hAnsi="Times New Roman"/>
          <w:sz w:val="20"/>
        </w:rPr>
      </w:pPr>
      <w:r>
        <w:rPr>
          <w:rFonts w:ascii="Times New Roman" w:hAnsi="Times New Roman"/>
          <w:sz w:val="20"/>
        </w:rPr>
        <w:t xml:space="preserve">(iii) Unless otherwise required by the Code, any tax credits of the Company shall be allocated among the Members ratably based upon the number of Units held by each Holder. </w:t>
      </w:r>
    </w:p>
    <w:p>
      <w:pPr>
        <w:pStyle w:val="TextBody"/>
        <w:spacing w:before="240" w:after="0"/>
        <w:jc w:val="left"/>
        <w:rPr>
          <w:rFonts w:ascii="Times New Roman" w:hAnsi="Times New Roman"/>
          <w:sz w:val="20"/>
        </w:rPr>
      </w:pPr>
      <w:r>
        <w:rPr>
          <w:rFonts w:ascii="Times New Roman" w:hAnsi="Times New Roman"/>
          <w:sz w:val="20"/>
        </w:rPr>
        <w:t xml:space="preserve">(e) Any recapture of tax credits shall be allocated among the Members in the same ratio as the applicable tax credits were allocated to the Members. </w:t>
      </w:r>
    </w:p>
    <w:p>
      <w:pPr>
        <w:pStyle w:val="TextBody"/>
        <w:spacing w:before="240" w:after="0"/>
        <w:jc w:val="left"/>
        <w:rPr>
          <w:rFonts w:ascii="Times New Roman" w:hAnsi="Times New Roman"/>
          <w:sz w:val="20"/>
        </w:rPr>
      </w:pPr>
      <w:r>
        <w:rPr>
          <w:rFonts w:ascii="Times New Roman" w:hAnsi="Times New Roman"/>
          <w:sz w:val="20"/>
        </w:rPr>
        <w:t xml:space="preserve">(f) If, as a result of an exercise of a Warrant to acquire an interest in the Company, a Capital Account reallocation is required under Treasury Regulations Section 1.704-1(b)(2)(iv)(s)(3), the Company shall make corrective allocations pursuant to Treasury Regulations Section 1.704-1(b)(4)(x). </w:t>
      </w:r>
    </w:p>
    <w:p>
      <w:pPr>
        <w:pStyle w:val="TextBody"/>
        <w:spacing w:before="240" w:after="0"/>
        <w:jc w:val="left"/>
        <w:rPr>
          <w:rFonts w:ascii="Times New Roman" w:hAnsi="Times New Roman"/>
          <w:sz w:val="20"/>
        </w:rPr>
      </w:pPr>
      <w:r>
        <w:rPr>
          <w:rFonts w:ascii="Times New Roman" w:hAnsi="Times New Roman"/>
          <w:sz w:val="20"/>
        </w:rPr>
        <w:t xml:space="preserve">(g) For purposes of determining a Members proportional share of the Companys excess non-recourse liabilities within the meaning of Treasury Regulations Section 1.752-3(a)(3), each Members interest in income and gain shall be in proportion to the Units held by such Member. </w:t>
      </w:r>
    </w:p>
    <w:p>
      <w:pPr>
        <w:pStyle w:val="TextBody"/>
        <w:spacing w:before="240" w:after="0"/>
        <w:jc w:val="left"/>
        <w:rPr>
          <w:rFonts w:ascii="Times New Roman" w:hAnsi="Times New Roman"/>
          <w:sz w:val="20"/>
        </w:rPr>
      </w:pPr>
      <w:r>
        <w:rPr>
          <w:rFonts w:ascii="Times New Roman" w:hAnsi="Times New Roman"/>
          <w:sz w:val="20"/>
        </w:rPr>
        <w:t xml:space="preserve">(h) If there is a change in any Members Percentage Interests during any Fiscal Year, the principles of Code Section 706(d) shall apply in allocating items of income, gain, loss, deduction and credit for such Fiscal Year to account for the variation. For purposes of applying Code Section 706(d), the Managing Member may adopt any method or convention permitted under applicable Treasury Regulations. </w:t>
      </w:r>
    </w:p>
    <w:p>
      <w:pPr>
        <w:pStyle w:val="TextBody"/>
        <w:spacing w:before="240" w:after="0"/>
        <w:jc w:val="left"/>
        <w:rPr>
          <w:rFonts w:ascii="Times New Roman" w:hAnsi="Times New Roman"/>
          <w:sz w:val="20"/>
        </w:rPr>
      </w:pPr>
      <w:r>
        <w:rPr>
          <w:rFonts w:ascii="Times New Roman" w:hAnsi="Times New Roman"/>
          <w:sz w:val="20"/>
        </w:rPr>
        <w:t xml:space="preserve">(i) Allocations pursuant to this </w:t>
      </w:r>
      <w:r>
        <w:rPr>
          <w:rFonts w:ascii="Times New Roman" w:hAnsi="Times New Roman"/>
          <w:sz w:val="20"/>
          <w:u w:val="single"/>
        </w:rPr>
        <w:t>Section 4.4</w:t>
      </w:r>
      <w:r>
        <w:rPr>
          <w:rFonts w:ascii="Times New Roman" w:hAnsi="Times New Roman"/>
          <w:sz w:val="20"/>
        </w:rPr>
        <w:t xml:space="preserve"> are solely for purposes of U.S. federal, state and local taxes and shall not affect, or in any way be taken into account in computing, any Members Capital Account or share of Net Profits, Net Losses, Distributions or other Company items pursuant to any provision of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Indemnification and Reimbursement for Payments on Behalf of a Member</w:t>
      </w:r>
      <w:r>
        <w:rPr>
          <w:rFonts w:ascii="Times New Roman" w:hAnsi="Times New Roman"/>
          <w:sz w:val="20"/>
        </w:rPr>
        <w:t xml:space="preserve">. If the Company is obligated to pay any amount to a Governmental Entity (or otherwise makes a payment to a Governmental Entity) that is specifically attributable to a Member (or former Member) or a Members (or former Members) status as such (including, without limitation, U.S. federal withholding taxes, any imputed underpayment as determined under Code Section 6225, state personal property taxes, and state unincorporated business taxes), but not including any such amounts attributable to a Members (or former Members) status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 employee of the Company or its Subsidiaries, then such Person shall indemnify the Company in full for the entire amount paid (including interest, penalties and related expenses). The Managing Member may offset Distributions to which a Person is otherwise entitled under this Agreement against such Persons obligation to indemnify the Company under this </w:t>
      </w:r>
      <w:r>
        <w:rPr>
          <w:rFonts w:ascii="Times New Roman" w:hAnsi="Times New Roman"/>
          <w:sz w:val="20"/>
          <w:u w:val="single"/>
        </w:rPr>
        <w:t>Section 4.5</w:t>
      </w:r>
      <w:r>
        <w:rPr>
          <w:rFonts w:ascii="Times New Roman" w:hAnsi="Times New Roman"/>
          <w:sz w:val="20"/>
        </w:rPr>
        <w:t xml:space="preserve">. A Members obligation to indemnify the Company under this </w:t>
      </w:r>
      <w:r>
        <w:rPr>
          <w:rFonts w:ascii="Times New Roman" w:hAnsi="Times New Roman"/>
          <w:sz w:val="20"/>
          <w:u w:val="single"/>
        </w:rPr>
        <w:t>Section 4.5</w:t>
      </w:r>
      <w:r>
        <w:rPr>
          <w:rFonts w:ascii="Times New Roman" w:hAnsi="Times New Roman"/>
          <w:sz w:val="20"/>
        </w:rPr>
        <w:t xml:space="preserve"> shall survive the termination, dissolution, liquidation and winding up of the Company and the termination of such Members interest, and for purposes of this </w:t>
      </w:r>
      <w:r>
        <w:rPr>
          <w:rFonts w:ascii="Times New Roman" w:hAnsi="Times New Roman"/>
          <w:sz w:val="20"/>
          <w:u w:val="single"/>
        </w:rPr>
        <w:t>Section 4.5</w:t>
      </w:r>
      <w:r>
        <w:rPr>
          <w:rFonts w:ascii="Times New Roman" w:hAnsi="Times New Roman"/>
          <w:sz w:val="20"/>
        </w:rPr>
        <w:t xml:space="preserve">, the Company shall be treated as continuing in existence. The Company may pursue and enforce all rights and remedies it may have against each Member under this </w:t>
      </w:r>
      <w:r>
        <w:rPr>
          <w:rFonts w:ascii="Times New Roman" w:hAnsi="Times New Roman"/>
          <w:sz w:val="20"/>
          <w:u w:val="single"/>
        </w:rPr>
        <w:t>Section 4.5</w:t>
      </w:r>
      <w:r>
        <w:rPr>
          <w:rFonts w:ascii="Times New Roman" w:hAnsi="Times New Roman"/>
          <w:sz w:val="20"/>
        </w:rPr>
        <w:t xml:space="preserve">, including instituting a lawsuit to collect such contribution with interest calculated at a rate equal to the Base Rate plus three (3) percentage points per annum (but not in excess of the highest rate per annum permitted by law).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COVENANTS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Records and Accounting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Company shall keep, or cause to be kept, appropriate books and records with respect to the Companys business, including all books and records necessary to provide any information, lists and copies of documents required to be provided pursuant to applicable laws. </w:t>
      </w:r>
    </w:p>
    <w:p>
      <w:pPr>
        <w:pStyle w:val="TextBody"/>
        <w:spacing w:before="240" w:after="0"/>
        <w:jc w:val="left"/>
        <w:rPr>
          <w:rFonts w:ascii="Times New Roman" w:hAnsi="Times New Roman"/>
          <w:sz w:val="20"/>
        </w:rPr>
      </w:pPr>
      <w:r>
        <w:rPr>
          <w:rFonts w:ascii="Times New Roman" w:hAnsi="Times New Roman"/>
          <w:sz w:val="20"/>
        </w:rPr>
        <w:t xml:space="preserve">(b) Except as limited by </w:t>
      </w:r>
      <w:r>
        <w:rPr>
          <w:rFonts w:ascii="Times New Roman" w:hAnsi="Times New Roman"/>
          <w:sz w:val="20"/>
          <w:u w:val="single"/>
        </w:rPr>
        <w:t>Section 5.1(c)</w:t>
      </w:r>
      <w:r>
        <w:rPr>
          <w:rFonts w:ascii="Times New Roman" w:hAnsi="Times New Roman"/>
          <w:sz w:val="20"/>
        </w:rPr>
        <w:t xml:space="preserve">, each Member shall have the right to inspect at the offices of the Company, for a purpose reasonably related to such Members interest as a Member in the Company, upon reasonable written demand stating the purpose of such demand and at such Members own expense: </w:t>
      </w:r>
    </w:p>
    <w:p>
      <w:pPr>
        <w:pStyle w:val="TextBody"/>
        <w:spacing w:before="120" w:after="0"/>
        <w:jc w:val="left"/>
        <w:rPr>
          <w:rFonts w:ascii="Times New Roman" w:hAnsi="Times New Roman"/>
          <w:sz w:val="20"/>
        </w:rPr>
      </w:pPr>
      <w:r>
        <w:rPr>
          <w:rFonts w:ascii="Times New Roman" w:hAnsi="Times New Roman"/>
          <w:sz w:val="20"/>
        </w:rPr>
        <w:t xml:space="preserve">(i) a copy of the Certificate and this Agreement and all amendments thereto; and </w:t>
      </w:r>
    </w:p>
    <w:p>
      <w:pPr>
        <w:pStyle w:val="TextBody"/>
        <w:spacing w:before="120" w:after="0"/>
        <w:jc w:val="left"/>
        <w:rPr>
          <w:rFonts w:ascii="Times New Roman" w:hAnsi="Times New Roman"/>
          <w:sz w:val="20"/>
        </w:rPr>
      </w:pPr>
      <w:r>
        <w:rPr>
          <w:rFonts w:ascii="Times New Roman" w:hAnsi="Times New Roman"/>
          <w:sz w:val="20"/>
        </w:rPr>
        <w:t xml:space="preserve">(ii) promptly after their becoming available, copies of the Companys U.S. federal income tax returns for the three most recent years. </w:t>
      </w:r>
    </w:p>
    <w:p>
      <w:pPr>
        <w:pStyle w:val="TextBody"/>
        <w:spacing w:before="240" w:after="0"/>
        <w:jc w:val="left"/>
        <w:rPr>
          <w:rFonts w:ascii="Times New Roman" w:hAnsi="Times New Roman"/>
          <w:sz w:val="20"/>
        </w:rPr>
      </w:pPr>
      <w:r>
        <w:rPr>
          <w:rFonts w:ascii="Times New Roman" w:hAnsi="Times New Roman"/>
          <w:sz w:val="20"/>
        </w:rPr>
        <w:t xml:space="preserve">(c) 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information as to the Common Units held by any other Member. With respect to any schedules, annexes or exhibits to this Agreement, each Member (other than Bakkt Pubco) shall only be entitled to receive and review any such schedules, annexes and exhibits relating to such Member and shall not be entitled to receive or review any schedules, annexes or exhibits relating to any other Member (other than Bakkt Pubco).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Transmission of Communications</w:t>
      </w:r>
      <w:r>
        <w:rPr>
          <w:rFonts w:ascii="Times New Roman" w:hAnsi="Times New Roman"/>
          <w:sz w:val="20"/>
        </w:rPr>
        <w:t xml:space="preserve">. Each Person that owns or Controls Units on behalf of, or for the benefit of, another Person or Persons shall be responsible for conveying any report, notice or other communication received from the Managing Member to such other Person or Persons.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Governmental Consents and Filings</w:t>
      </w:r>
      <w:r>
        <w:rPr>
          <w:rFonts w:ascii="Times New Roman" w:hAnsi="Times New Roman"/>
          <w:sz w:val="20"/>
        </w:rPr>
        <w:t xml:space="preserve">. Each Member hereby represents and warrants that no consent, approval, order or authorization of, or registration, qualification, designation, declaration or filing with, any federal, state or local governmental authority or regulatory authority is required on the part of the Member in connection with the consummation of the transactions contemplated by this Agreement or to hold Units.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MANAGEMENT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Authority of the Managing Member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Managing Member shall conduct, direct and exercise full control over all activities of the Company. All management powers over the business and affairs of the Company shall be vested in the Managing Member. The Managing Member shall have the power to bind or take any action on behalf of the Company, or to exercise in its sole discretion any rights and powers (including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or by virtue of its holding the equity interests of any Subsidiary thereof. </w:t>
      </w:r>
    </w:p>
    <w:p>
      <w:pPr>
        <w:pStyle w:val="TextBody"/>
        <w:spacing w:before="240" w:after="0"/>
        <w:jc w:val="left"/>
        <w:rPr>
          <w:rFonts w:ascii="Times New Roman" w:hAnsi="Times New Roman"/>
          <w:sz w:val="20"/>
        </w:rPr>
      </w:pPr>
      <w:r>
        <w:rPr>
          <w:rFonts w:ascii="Times New Roman" w:hAnsi="Times New Roman"/>
          <w:sz w:val="20"/>
        </w:rPr>
        <w:t xml:space="preserve">(b) Notwithstanding any provision herein to the contrary, in connection with the performance of its duties as the Managing Member of the Company under this Agreement, the Members and the Managing Member acknowledge that the Managing Member will take action through the Bakkt Pubco Board and the officers of Bakkt Pubco, and that the members of the Bakkt Pubco Board and such officers of Bakkt Pubco will owe fiduciary duties to the stockholders of the Bakkt Pubco in respect of any such actions taken or omitted in connection with the performance of the Managing Members duties hereunder, </w:t>
      </w:r>
      <w:r>
        <w:rPr>
          <w:rFonts w:ascii="Times New Roman" w:hAnsi="Times New Roman"/>
          <w:i/>
          <w:sz w:val="20"/>
        </w:rPr>
        <w:t>provided, however</w:t>
      </w:r>
      <w:r>
        <w:rPr>
          <w:rFonts w:ascii="Times New Roman" w:hAnsi="Times New Roman"/>
          <w:sz w:val="20"/>
        </w:rPr>
        <w:t xml:space="preserve"> that nothing in the foregoing shall abrogate or diminish the rights of the Holders of Common Units under this Agreement or applicable law. </w:t>
      </w:r>
    </w:p>
    <w:p>
      <w:pPr>
        <w:pStyle w:val="TextBody"/>
        <w:spacing w:before="240" w:after="0"/>
        <w:jc w:val="left"/>
        <w:rPr>
          <w:rFonts w:ascii="Times New Roman" w:hAnsi="Times New Roman"/>
          <w:sz w:val="20"/>
        </w:rPr>
      </w:pPr>
      <w:r>
        <w:rPr>
          <w:rFonts w:ascii="Times New Roman" w:hAnsi="Times New Roman"/>
          <w:sz w:val="20"/>
        </w:rPr>
        <w:t xml:space="preserve">(c) Without limiting the foregoing provisions of this </w:t>
      </w:r>
      <w:r>
        <w:rPr>
          <w:rFonts w:ascii="Times New Roman" w:hAnsi="Times New Roman"/>
          <w:sz w:val="20"/>
          <w:u w:val="single"/>
        </w:rPr>
        <w:t>Section 6.1</w:t>
      </w:r>
      <w:r>
        <w:rPr>
          <w:rFonts w:ascii="Times New Roman" w:hAnsi="Times New Roman"/>
          <w:sz w:val="20"/>
        </w:rPr>
        <w:t xml:space="preserve">, the Managing Member shall have the general power to manage or cause the management of the Company (which may be delegated to officers of the Company) to, directly or indirectly, undertake any of the following: </w:t>
      </w:r>
    </w:p>
    <w:p>
      <w:pPr>
        <w:pStyle w:val="TextBody"/>
        <w:spacing w:before="120" w:after="0"/>
        <w:jc w:val="left"/>
        <w:rPr>
          <w:rFonts w:ascii="Times New Roman" w:hAnsi="Times New Roman"/>
          <w:sz w:val="20"/>
        </w:rPr>
      </w:pPr>
      <w:r>
        <w:rPr>
          <w:rFonts w:ascii="Times New Roman" w:hAnsi="Times New Roman"/>
          <w:sz w:val="20"/>
        </w:rPr>
        <w:t xml:space="preserve">(i) to develop and prepare a business plan each year which will set forth the operating goals and plans for the Company; </w:t>
      </w:r>
    </w:p>
    <w:p>
      <w:pPr>
        <w:pStyle w:val="TextBody"/>
        <w:spacing w:before="120" w:after="0"/>
        <w:jc w:val="left"/>
        <w:rPr>
          <w:rFonts w:ascii="Times New Roman" w:hAnsi="Times New Roman"/>
          <w:sz w:val="20"/>
        </w:rPr>
      </w:pPr>
      <w:r>
        <w:rPr>
          <w:rFonts w:ascii="Times New Roman" w:hAnsi="Times New Roman"/>
          <w:sz w:val="20"/>
        </w:rPr>
        <w:t xml:space="preserve">(ii) to execute and deliver or to authorize the execution and delivery of contracts, deeds, leases, licenses, instruments of transfer and other documents on behalf of the Company; </w:t>
      </w:r>
    </w:p>
    <w:p>
      <w:pPr>
        <w:pStyle w:val="TextBody"/>
        <w:spacing w:before="120" w:after="0"/>
        <w:jc w:val="left"/>
        <w:rPr>
          <w:rFonts w:ascii="Times New Roman" w:hAnsi="Times New Roman"/>
          <w:sz w:val="20"/>
        </w:rPr>
      </w:pPr>
      <w:r>
        <w:rPr>
          <w:rFonts w:ascii="Times New Roman" w:hAnsi="Times New Roman"/>
          <w:sz w:val="20"/>
        </w:rPr>
        <w:t xml:space="preserve">(iii) to make any expenditures, to lend or borrow money, to assume or guarantee, or otherwise contract for, indebtedness and other liabilities, to issue evidences of indebtedness and to incur any other obligations; </w:t>
      </w:r>
    </w:p>
    <w:p>
      <w:pPr>
        <w:pStyle w:val="TextBody"/>
        <w:spacing w:before="120" w:after="0"/>
        <w:jc w:val="left"/>
        <w:rPr>
          <w:rFonts w:ascii="Times New Roman" w:hAnsi="Times New Roman"/>
          <w:sz w:val="20"/>
        </w:rPr>
      </w:pPr>
      <w:r>
        <w:rPr>
          <w:rFonts w:ascii="Times New Roman" w:hAnsi="Times New Roman"/>
          <w:sz w:val="20"/>
        </w:rPr>
        <w:t xml:space="preserve">(iv) to establish and enforce limits of authority and internal controls with respect to all personnel and functions; </w:t>
      </w:r>
    </w:p>
    <w:p>
      <w:pPr>
        <w:pStyle w:val="TextBody"/>
        <w:spacing w:before="120" w:after="0"/>
        <w:jc w:val="left"/>
        <w:rPr>
          <w:rFonts w:ascii="Times New Roman" w:hAnsi="Times New Roman"/>
          <w:sz w:val="20"/>
        </w:rPr>
      </w:pPr>
      <w:r>
        <w:rPr>
          <w:rFonts w:ascii="Times New Roman" w:hAnsi="Times New Roman"/>
          <w:sz w:val="20"/>
        </w:rPr>
        <w:t xml:space="preserve">(v) to engage attorneys, consultants and accountants for the Company; </w:t>
      </w:r>
    </w:p>
    <w:p>
      <w:pPr>
        <w:pStyle w:val="TextBody"/>
        <w:spacing w:before="120" w:after="0"/>
        <w:jc w:val="left"/>
        <w:rPr>
          <w:rFonts w:ascii="Times New Roman" w:hAnsi="Times New Roman"/>
          <w:sz w:val="20"/>
        </w:rPr>
      </w:pPr>
      <w:r>
        <w:rPr>
          <w:rFonts w:ascii="Times New Roman" w:hAnsi="Times New Roman"/>
          <w:sz w:val="20"/>
        </w:rPr>
        <w:t xml:space="preserve">(vi) to develop or cause to be developed accounting procedures for the maintenance of the Companys books of account; and </w:t>
      </w:r>
    </w:p>
    <w:p>
      <w:pPr>
        <w:pStyle w:val="TextBody"/>
        <w:spacing w:before="120" w:after="0"/>
        <w:jc w:val="left"/>
        <w:rPr>
          <w:rFonts w:ascii="Times New Roman" w:hAnsi="Times New Roman"/>
          <w:sz w:val="20"/>
        </w:rPr>
      </w:pPr>
      <w:r>
        <w:rPr>
          <w:rFonts w:ascii="Times New Roman" w:hAnsi="Times New Roman"/>
          <w:sz w:val="20"/>
        </w:rPr>
        <w:t xml:space="preserve">(vii) to do all such other acts as shall be authorized in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Actions of the Managing Member</w:t>
      </w:r>
      <w:r>
        <w:rPr>
          <w:rFonts w:ascii="Times New Roman" w:hAnsi="Times New Roman"/>
          <w:sz w:val="20"/>
        </w:rPr>
        <w:t xml:space="preserve">. The Managing Member may act (a) through meetings and written consents and (b) through any Person or Persons to whom authority and duties have been delegated pursuant to </w:t>
      </w:r>
      <w:r>
        <w:rPr>
          <w:rFonts w:ascii="Times New Roman" w:hAnsi="Times New Roman"/>
          <w:sz w:val="20"/>
          <w:u w:val="single"/>
        </w:rPr>
        <w:t>Section 6.5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 xml:space="preserve">Section 6.3 </w:t>
      </w:r>
      <w:r>
        <w:rPr>
          <w:rFonts w:ascii="Times New Roman" w:hAnsi="Times New Roman"/>
          <w:b/>
          <w:sz w:val="20"/>
          <w:u w:val="single"/>
        </w:rPr>
        <w:t>Compensation</w:t>
      </w:r>
      <w:r>
        <w:rPr>
          <w:rFonts w:ascii="Times New Roman" w:hAnsi="Times New Roman"/>
          <w:sz w:val="20"/>
        </w:rPr>
        <w:t xml:space="preserve">. The Managing Member shall not be entitled to any compensation for services rendered to the Company in its capacity as Managing Member except as expressly provided in this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The Members acknowledge and agree that the Managing Members Class A Common Stock will be publicly traded and therefore the Managing Member will have access to the public capital markets and that such status and the services performed by the Managing Member will inure to the benefit of the Company and all Members; therefore, the Managing Member shall be reimbursed by the Company for any reasonable out-of-pocket expenses incurred on behalf of or for the benefit of the Company, including all fees,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expenses and costs associated with being a public company (including public reporting obligations, proxy statements, stockholder meetings, compensation and meeting costs of any board of directors or similar body, any salary, bonus, incentive compensation and other amounts paid to any Person including Affiliates of the Managing Member to perform services for the Company, stock exchange fees, transfer agent fees, SEC and FINRA filing fees and offering expenses, litigation costs and damages arising from litigation and accounting and legal costs) and maintaining its corporate existence. To the extent practicable, expenses incurred by the Managing Member on behalf of or for the benefit of the Company shall be billed directly to and paid by the Company. Notwithstanding the foregoing, the Company shall not pay or bear any Income Tax obligations of the Managing Member or any obligations of the Managing Member under the Tax Receivable Agreement; </w:t>
      </w:r>
      <w:r>
        <w:rPr>
          <w:rFonts w:ascii="Times New Roman" w:hAnsi="Times New Roman"/>
          <w:i/>
          <w:sz w:val="20"/>
        </w:rPr>
        <w:t>provided</w:t>
      </w:r>
      <w:r>
        <w:rPr>
          <w:rFonts w:ascii="Times New Roman" w:hAnsi="Times New Roman"/>
          <w:sz w:val="20"/>
        </w:rPr>
        <w:t xml:space="preserve">, that, for the avoidance of doubt, nothing under this </w:t>
      </w:r>
      <w:r>
        <w:rPr>
          <w:rFonts w:ascii="Times New Roman" w:hAnsi="Times New Roman"/>
          <w:sz w:val="20"/>
          <w:u w:val="single"/>
        </w:rPr>
        <w:t>Section 6.4</w:t>
      </w:r>
      <w:r>
        <w:rPr>
          <w:rFonts w:ascii="Times New Roman" w:hAnsi="Times New Roman"/>
          <w:sz w:val="20"/>
        </w:rPr>
        <w:t xml:space="preserve"> shall reduce the amount of any Tax Distribution to which the Managing Member is entitled pursuant to </w:t>
      </w:r>
      <w:r>
        <w:rPr>
          <w:rFonts w:ascii="Times New Roman" w:hAnsi="Times New Roman"/>
          <w:sz w:val="20"/>
          <w:u w:val="single"/>
        </w:rPr>
        <w:t>Section 4.1(d)</w:t>
      </w:r>
      <w:r>
        <w:rPr>
          <w:rFonts w:ascii="Times New Roman" w:hAnsi="Times New Roman"/>
          <w:sz w:val="20"/>
        </w:rPr>
        <w:t xml:space="preserve">. Reimbursements pursuant to this </w:t>
      </w:r>
      <w:r>
        <w:rPr>
          <w:rFonts w:ascii="Times New Roman" w:hAnsi="Times New Roman"/>
          <w:sz w:val="20"/>
          <w:u w:val="single"/>
        </w:rPr>
        <w:t>Section 6.4</w:t>
      </w:r>
      <w:r>
        <w:rPr>
          <w:rFonts w:ascii="Times New Roman" w:hAnsi="Times New Roman"/>
          <w:sz w:val="20"/>
        </w:rPr>
        <w:t xml:space="preserve"> shall be in addition to any reimbursement to Bakkt Pubco as a result of indemnification pursuant to </w:t>
      </w:r>
      <w:r>
        <w:rPr>
          <w:rFonts w:ascii="Times New Roman" w:hAnsi="Times New Roman"/>
          <w:sz w:val="20"/>
          <w:u w:val="single"/>
        </w:rPr>
        <w:t>Section 11.2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Delegation of Authority</w:t>
      </w:r>
      <w:r>
        <w:rPr>
          <w:rFonts w:ascii="Times New Roman" w:hAnsi="Times New Roman"/>
          <w:sz w:val="20"/>
        </w:rPr>
        <w:t xml:space="preserve">. The Managing Member may, from time to time, delegate to one or more Persons such authority and duties as the Managing Member may deem advisable. In addition, the Managing Member may assign titles (including, without limitation, chief executive officer, president, principal, vice president, secretary, assistant secretary, treasurer or assistant treasurer) and delegate certain authority and duties to such Persons as the same may be amended, restated or otherwise modified from time to time. Any number of titles may be held by the same individual. The salaries or other compensation, if any, of such agents of the Company shall be fixed from time to time by the Managing Member. Any delegation pursuant to this </w:t>
      </w:r>
      <w:r>
        <w:rPr>
          <w:rFonts w:ascii="Times New Roman" w:hAnsi="Times New Roman"/>
          <w:sz w:val="20"/>
          <w:u w:val="single"/>
        </w:rPr>
        <w:t>Section 6.5</w:t>
      </w:r>
      <w:r>
        <w:rPr>
          <w:rFonts w:ascii="Times New Roman" w:hAnsi="Times New Roman"/>
          <w:sz w:val="20"/>
        </w:rPr>
        <w:t xml:space="preserve"> may be revoked at any time by the Managing Member in its sole discretion.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Officers</w:t>
      </w:r>
      <w:r>
        <w:rPr>
          <w:rFonts w:ascii="Times New Roman" w:hAnsi="Times New Roman"/>
          <w:sz w:val="20"/>
        </w:rPr>
        <w:t xml:space="preserve">. Subject to </w:t>
      </w:r>
      <w:r>
        <w:rPr>
          <w:rFonts w:ascii="Times New Roman" w:hAnsi="Times New Roman"/>
          <w:sz w:val="20"/>
          <w:u w:val="single"/>
        </w:rPr>
        <w:t>Section 6.1</w:t>
      </w:r>
      <w:r>
        <w:rPr>
          <w:rFonts w:ascii="Times New Roman" w:hAnsi="Times New Roman"/>
          <w:sz w:val="20"/>
        </w:rPr>
        <w:t xml:space="preserve"> and pursuant to </w:t>
      </w:r>
      <w:r>
        <w:rPr>
          <w:rFonts w:ascii="Times New Roman" w:hAnsi="Times New Roman"/>
          <w:sz w:val="20"/>
          <w:u w:val="single"/>
        </w:rPr>
        <w:t>Section 6.5</w:t>
      </w:r>
      <w:r>
        <w:rPr>
          <w:rFonts w:ascii="Times New Roman" w:hAnsi="Times New Roman"/>
          <w:sz w:val="20"/>
        </w:rPr>
        <w:t xml:space="preserve">, the Managing Member hereby delegates the following authority and duties to the following respective officers of the Company: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Appointment and Term of Office</w:t>
      </w:r>
      <w:r>
        <w:rPr>
          <w:rFonts w:ascii="Times New Roman" w:hAnsi="Times New Roman"/>
          <w:sz w:val="20"/>
        </w:rPr>
        <w:t xml:space="preserve">. The officers of the Company shall consist of a Chief Executive Officer, a Chief Financial Officer, a Chief Operating Officer and a Secretary, and there may be a Chairperson, a Vice Chairperson, one or more Presidents, one or more Vice Presidents, one or more Assistant Secretaries, a Treasurer (and one or more Assistant Treasurers), and such other officers as may be appointed by the Managing Member. Each of such officers will not be subject to periodic elections by the Managing Member, but will hold office until the earlier of his or her death, resignation, retirement, disqualification or removal from office. Two or more offices may be held by the same Person.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Removal</w:t>
      </w:r>
      <w:r>
        <w:rPr>
          <w:rFonts w:ascii="Times New Roman" w:hAnsi="Times New Roman"/>
          <w:sz w:val="20"/>
        </w:rPr>
        <w:t xml:space="preserve">. Any officer elected or appointed by the Managing Member may be removed at any time by the Managing Member, for or without cause. Such removal will be without prejudice to the contract rights pursuant to an employment or other agreement, if any, of the Person so removed. Election or appointment of an officer will not of itself create contract rights.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Vacancies</w:t>
      </w:r>
      <w:r>
        <w:rPr>
          <w:rFonts w:ascii="Times New Roman" w:hAnsi="Times New Roman"/>
          <w:sz w:val="20"/>
        </w:rPr>
        <w:t xml:space="preserve">. Subject to </w:t>
      </w:r>
      <w:r>
        <w:rPr>
          <w:rFonts w:ascii="Times New Roman" w:hAnsi="Times New Roman"/>
          <w:sz w:val="20"/>
          <w:u w:val="single"/>
        </w:rPr>
        <w:t>Section 6.1</w:t>
      </w:r>
      <w:r>
        <w:rPr>
          <w:rFonts w:ascii="Times New Roman" w:hAnsi="Times New Roman"/>
          <w:sz w:val="20"/>
        </w:rPr>
        <w:t xml:space="preserve">, whenever any vacancy shall occur in any office of any officer by death, resignation, removal, increase in the number of officers of the Company or otherwise, such vacancy shall be filled by the Managing Member.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Compensation</w:t>
      </w:r>
      <w:r>
        <w:rPr>
          <w:rFonts w:ascii="Times New Roman" w:hAnsi="Times New Roman"/>
          <w:sz w:val="20"/>
        </w:rPr>
        <w:t xml:space="preserve">. Subject to </w:t>
      </w:r>
      <w:r>
        <w:rPr>
          <w:rFonts w:ascii="Times New Roman" w:hAnsi="Times New Roman"/>
          <w:sz w:val="20"/>
          <w:u w:val="single"/>
        </w:rPr>
        <w:t>Section 6.1</w:t>
      </w:r>
      <w:r>
        <w:rPr>
          <w:rFonts w:ascii="Times New Roman" w:hAnsi="Times New Roman"/>
          <w:sz w:val="20"/>
        </w:rPr>
        <w:t xml:space="preserve">, the compensation of all officers of the Company shall be determined by the Managing Member and may be altered by the Managing Member or such committee from time to time, except as otherwise provided by contract, and no officer shall be prevented from receiving such compensation by reason of the fact such officer is also a member of the Managing Member.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Powers and Duties</w:t>
      </w:r>
      <w:r>
        <w:rPr>
          <w:rFonts w:ascii="Times New Roman" w:hAnsi="Times New Roman"/>
          <w:sz w:val="20"/>
        </w:rPr>
        <w:t xml:space="preserve">. Subject to </w:t>
      </w:r>
      <w:r>
        <w:rPr>
          <w:rFonts w:ascii="Times New Roman" w:hAnsi="Times New Roman"/>
          <w:sz w:val="20"/>
          <w:u w:val="single"/>
        </w:rPr>
        <w:t>Section 6.1</w:t>
      </w:r>
      <w:r>
        <w:rPr>
          <w:rFonts w:ascii="Times New Roman" w:hAnsi="Times New Roman"/>
          <w:sz w:val="20"/>
        </w:rPr>
        <w:t xml:space="preserve">, the officers of the Company shall have such titles and powers and perform such duties as shall be determined from time to time by the Managing Member and otherwise as shall customarily pertain to such offices. In its sole discretion, the Managing Member may choose not to fill any office for any period as it may deem advisable. All officers and other persons providing services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for the benefit of the Company shall be subject to the supervision and direction of the Managing Member. No officer of the Company, in its capacity as such, shall be considered a Managing Member of the Company by agreement, as a result of the performance of its duties hereunder or otherwise.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Purchase of Equity Securities</w:t>
      </w:r>
      <w:r>
        <w:rPr>
          <w:rFonts w:ascii="Times New Roman" w:hAnsi="Times New Roman"/>
          <w:sz w:val="20"/>
        </w:rPr>
        <w:t xml:space="preserve">. Subject to the provisions of this Agreement, the Managing Member may cause the Company to purchase or otherwise acquire Equity Securities, or may purchase or otherwise acquire Equity Securities on behalf of the Company. As long as such Equity Securities are owned by or on behalf of the Company, such Equity Securities will not be considered outstanding for any purpose.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Limitation of Liability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otherwise provided herein or in an agreement entered into by such Person and the Company, neither the Managing Member nor any of such Managing Members Affiliates shall be liable to the Company or to any Member for any act or omission performed or omitted by such Managing Member in its capacity as the Managing Member pursuant to authority granted to such Person by this Agreement; </w:t>
      </w:r>
      <w:r>
        <w:rPr>
          <w:rFonts w:ascii="Times New Roman" w:hAnsi="Times New Roman"/>
          <w:i/>
          <w:sz w:val="20"/>
        </w:rPr>
        <w:t>provided</w:t>
      </w:r>
      <w:r>
        <w:rPr>
          <w:rFonts w:ascii="Times New Roman" w:hAnsi="Times New Roman"/>
          <w:sz w:val="20"/>
        </w:rPr>
        <w:t xml:space="preserve">, that except as otherwise provided herein, such limitation of liability shall not apply to the extent the act or omission was attributable to such Persons gross negligence, willful misconduct or knowing violation of Law or for any present or future breaches of any representations, warranties or covenants by such Person or its Affiliates contained herein or in Other Agreements with the Company. The Managing Member may exercise any of the powers granted to it by this Agreement and perform any of the duties imposed upon it hereunder either directly or by or through its agents, and neither the Managing Member nor any of such Managing Members Affiliates shall be responsible for any misconduct or negligence on the part of any such agent appointed by the Managing Member (so long as such agent was selected in good faith and with reasonable care); </w:t>
      </w:r>
      <w:r>
        <w:rPr>
          <w:rFonts w:ascii="Times New Roman" w:hAnsi="Times New Roman"/>
          <w:i/>
          <w:sz w:val="20"/>
        </w:rPr>
        <w:t>provided</w:t>
      </w:r>
      <w:r>
        <w:rPr>
          <w:rFonts w:ascii="Times New Roman" w:hAnsi="Times New Roman"/>
          <w:sz w:val="20"/>
        </w:rPr>
        <w:t xml:space="preserve"> that the foregoing shall not limit any responsibility the Managing Member may have as a result of a breach of fiduciary duties to its stockholders in connection with any such action.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thereof to liability to the Company or any Member. </w:t>
      </w:r>
    </w:p>
    <w:p>
      <w:pPr>
        <w:pStyle w:val="TextBody"/>
        <w:spacing w:before="240" w:after="0"/>
        <w:jc w:val="left"/>
        <w:rPr>
          <w:rFonts w:ascii="Times New Roman" w:hAnsi="Times New Roman"/>
          <w:sz w:val="20"/>
        </w:rPr>
      </w:pPr>
      <w:r>
        <w:rPr>
          <w:rFonts w:ascii="Times New Roman" w:hAnsi="Times New Roman"/>
          <w:sz w:val="20"/>
        </w:rPr>
        <w:t xml:space="preserve">(b) Notwithstanding anything to the contrary herein, this </w:t>
      </w:r>
      <w:r>
        <w:rPr>
          <w:rFonts w:ascii="Times New Roman" w:hAnsi="Times New Roman"/>
          <w:sz w:val="20"/>
          <w:u w:val="single"/>
        </w:rPr>
        <w:t>Section 6.8</w:t>
      </w:r>
      <w:r>
        <w:rPr>
          <w:rFonts w:ascii="Times New Roman" w:hAnsi="Times New Roman"/>
          <w:sz w:val="20"/>
        </w:rPr>
        <w:t xml:space="preserve"> shall not affect the liability or duties of any officer of the Company or any of its Subsidiaries in his or her capacity as such.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RIGHTS AND OBLIGATIONS OF MEMBERS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Limitation of Liability</w:t>
      </w:r>
      <w:r>
        <w:rPr>
          <w:rFonts w:ascii="Times New Roman" w:hAnsi="Times New Roman"/>
          <w:sz w:val="20"/>
          <w:u w:val="single"/>
        </w:rPr>
        <w:t xml:space="preserve"> </w:t>
      </w:r>
      <w:r>
        <w:rPr>
          <w:rFonts w:ascii="Times New Roman" w:hAnsi="Times New Roman"/>
          <w:b/>
          <w:sz w:val="20"/>
          <w:u w:val="single"/>
        </w:rPr>
        <w:t>of Members and Managing Member</w:t>
      </w:r>
      <w:r>
        <w:rPr>
          <w:rFonts w:ascii="Times New Roman" w:hAnsi="Times New Roman"/>
          <w:sz w:val="20"/>
        </w:rPr>
        <w:t xml:space="preserve">. Except as provided in this Agreement, in an agreement entered by such Person and the Company, or in the Delaware Act, the debts, obligations and liabilities of the Company, whether arising in contract, tort or otherwise, shall be solely the debts, obligations and liabilities of the Company and no Member, including the Managing Member, shall be obligated personally for any such debts, obligation or liability solely by reason of being a Member or acting as a Managing Member of the Company or any combination thereof. Except as otherwise provided in this Agreement, a Members liability (in its capacity as such) for Company liabilities and Net Losses shall be limited to the payment of its respective Capital Contributions as and when due (which, in accordance with the definition of Capital Contribution, may be deemed to have been made) and other payments as expressly provided by the Agreement. If and to the extent a Members Capital Contribution shall be fully paid or deemed paid, such Member shall not, except as required by the express provisions of the Delaware Act regarding repayment of sums wrongfully distributed to Members, be required to make any further contributions; </w:t>
      </w:r>
      <w:r>
        <w:rPr>
          <w:rFonts w:ascii="Times New Roman" w:hAnsi="Times New Roman"/>
          <w:i/>
          <w:sz w:val="20"/>
        </w:rPr>
        <w:t>provided</w:t>
      </w:r>
      <w:r>
        <w:rPr>
          <w:rFonts w:ascii="Times New Roman" w:hAnsi="Times New Roman"/>
          <w:sz w:val="20"/>
        </w:rPr>
        <w:t xml:space="preserve"> that a Member shall be required to return to the Company any Distribution made to it in clear and manifest accounting or similar error. The immediately preceding sentence shall constitute a compromise to which all Members have consented within the meaning of the Delaware Act. Notwithstanding anything contained herein to the contrary, the failure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Company to observe any formalities or requirements relating to the exercise of its powers or management of its business and affairs under this Agreement or the Delaware Act shall not be grounds for imposing personal liability on the Members for liabilities of the Company.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Lack of Authority</w:t>
      </w:r>
      <w:r>
        <w:rPr>
          <w:rFonts w:ascii="Times New Roman" w:hAnsi="Times New Roman"/>
          <w:sz w:val="20"/>
        </w:rPr>
        <w:t xml:space="preserve">. No Member in its capacity as such (other than the Managing Member, in its capacity as such) has the authority or power to act for or on behalf of the Company, to do any act that would be binding on the Company or to make any expenditure on behalf of the Company, and except as expressly provided herein, the Common Units do not confer any rights upon the Members to participate in the affairs of the Company described in this Agreement. The Members hereby consent to the exercise by the Managing Member of the powers conferred on them by law and this Agreement. Except as expressly provided herein (and other than a Members voting rights in its capacity as a stockholder of Bakkt Holding, Inc.),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Delaware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Times New Roman" w:hAnsi="Times New Roman"/>
          <w:sz w:val="20"/>
          <w:u w:val="single"/>
        </w:rPr>
        <w:t>Section 7.2</w:t>
      </w:r>
      <w:r>
        <w:rPr>
          <w:rFonts w:ascii="Times New Roman" w:hAnsi="Times New Roman"/>
          <w:sz w:val="20"/>
        </w:rPr>
        <w:t xml:space="preserve"> or by separate agreement with the Company, no Member who is not also the Managing Member (and acting in such capacity) 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No Right of Partition</w:t>
      </w:r>
      <w:r>
        <w:rPr>
          <w:rFonts w:ascii="Times New Roman" w:hAnsi="Times New Roman"/>
          <w:sz w:val="20"/>
        </w:rPr>
        <w:t xml:space="preserve">. No Member shall have the right to seek or obtain partition by court decree or operation of law of any Company property, or the right to own or use particular or individual assets of the Company.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Members Right to Act</w:t>
      </w:r>
      <w:r>
        <w:rPr>
          <w:rFonts w:ascii="Times New Roman" w:hAnsi="Times New Roman"/>
          <w:sz w:val="20"/>
        </w:rPr>
        <w:t xml:space="preserve">. For matters that expressly require the approval of the Members (rather than the approval of the Managing Member on behalf of the Members), any action required or permitted to be taken by the Members pursuant to this Agreement shall be taken if the Required Interest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 </w:t>
      </w:r>
    </w:p>
    <w:p>
      <w:pPr>
        <w:pStyle w:val="TextBody"/>
        <w:spacing w:before="240" w:after="0"/>
        <w:jc w:val="left"/>
        <w:rPr>
          <w:rFonts w:ascii="Times New Roman" w:hAnsi="Times New Roman"/>
          <w:sz w:val="20"/>
        </w:rPr>
      </w:pPr>
      <w:r>
        <w:rPr>
          <w:rFonts w:ascii="Times New Roman" w:hAnsi="Times New Roman"/>
          <w:b/>
          <w:sz w:val="20"/>
        </w:rPr>
        <w:t xml:space="preserve">Section 7.5 </w:t>
      </w:r>
      <w:r>
        <w:rPr>
          <w:rFonts w:ascii="Times New Roman" w:hAnsi="Times New Roman"/>
          <w:b/>
          <w:sz w:val="20"/>
          <w:u w:val="single"/>
        </w:rPr>
        <w:t>Outside Activities of the Managing Member</w:t>
      </w:r>
      <w:r>
        <w:rPr>
          <w:rFonts w:ascii="Times New Roman" w:hAnsi="Times New Roman"/>
          <w:sz w:val="20"/>
        </w:rPr>
        <w:t xml:space="preserve">. The Managing Member shall not, directly or indirectly, enter into or conduct any business or operations, other than in connection with (a) the ownership, acquisition and disposition of Common Units, (b) the management of the business and affairs of the Company and its Subsidiaries, (c) the operation of Bakkt Pubco as a reporting company with a class (or classes) of securities registered under Section 12 of the U.S. Securities Exchange Act of 1934, and listed on a securities exchange, (d) the offering, sale, syndication, private placement or public offering of stock, bonds, securities or other interests, (e) financing or refinancing of any type related to the Company, its Subsidiaries or their assets or activities, and (f) such activities as are incidental to the foregoing; provided, however, that, except as otherwise provided herein, the net proceeds of any financing raised by Bakkt Pubco pursuant to the preceding </w:t>
      </w:r>
      <w:r>
        <w:rPr>
          <w:rFonts w:ascii="Times New Roman" w:hAnsi="Times New Roman"/>
          <w:sz w:val="20"/>
          <w:u w:val="single"/>
        </w:rPr>
        <w:t>clauses (d)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shall be made available to the Company, whether as Capital Contributions, loans or otherwise, as appropriate, and, provided further, that Bakkt Pubco may, in its sole and absolute discretion,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hold or acquire assets in its own name or otherwise other than through the Company and its Subsidiaries so long as Bakkt Pubco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Bakkt Pubco. Nothing contained herein shall be deemed to prohibit Bakkt Pubco from executing any guarantee of indebtedness of the Company or its Subsidiaries. </w:t>
      </w:r>
    </w:p>
    <w:p>
      <w:pPr>
        <w:pStyle w:val="TextBody"/>
        <w:spacing w:before="480" w:after="0"/>
        <w:jc w:val="center"/>
        <w:rPr>
          <w:rFonts w:ascii="Times New Roman" w:hAnsi="Times New Roman"/>
          <w:b/>
          <w:sz w:val="20"/>
        </w:rPr>
      </w:pPr>
      <w:r>
        <w:rPr>
          <w:rFonts w:ascii="Times New Roman" w:hAnsi="Times New Roman"/>
          <w:b/>
          <w:sz w:val="20"/>
        </w:rPr>
        <w:t xml:space="preserve">ARTICLE VIII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TAX MATTERS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Preparation of Tax Returns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Company shall arrange for the preparation and timely filing of all Tax Returns required to be filed by the Company. Each Member will, upon request, supply to the Company all pertinent information in its possession relating to the operations of the Company necessary to enable the Companys Tax Returns to be prepared and filed. The Company will provide copies of each Members U.S. federal and applicable state tax Schedule K-1s within one hundred eighty (180) days after the end of each Taxable Year. Upon written request of a Member, the Company will provide within five (5) Business Days (i) estimated amounts to be included on such Members federal tax Schedule K-1 for the prior Taxable Year and (ii) a list of jurisdictions where the Company intends to file Tax Returns with respect to Income Taxes for the prior Taxable Year;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supply such estimated amounts and list of jurisdictions prior to ninety (90) days after the end of a Taxable Year. </w:t>
      </w:r>
    </w:p>
    <w:p>
      <w:pPr>
        <w:pStyle w:val="TextBody"/>
        <w:spacing w:before="240" w:after="0"/>
        <w:jc w:val="left"/>
        <w:rPr>
          <w:rFonts w:ascii="Times New Roman" w:hAnsi="Times New Roman"/>
          <w:sz w:val="20"/>
        </w:rPr>
      </w:pPr>
      <w:r>
        <w:rPr>
          <w:rFonts w:ascii="Times New Roman" w:hAnsi="Times New Roman"/>
          <w:sz w:val="20"/>
        </w:rPr>
        <w:t xml:space="preserve">(b) With respect to any taxable period during which ICE owns more than twenty-percent (20%) of the Common Units, the Managing Member shall provide to ICE a draft of any U.S. federal and other material Flow-Through Tax Return of the Company or any of its Subsidiaries for any Taxable Year beginning after December 31, 2019 (together with all supporting documentation) for its review and reasonable comment no later than fifteen (15) days prior to the date on which copies of each Members U.S. federal and applicable state tax Schedule K-1s are to be delivered pursuant to </w:t>
      </w:r>
      <w:r>
        <w:rPr>
          <w:rFonts w:ascii="Times New Roman" w:hAnsi="Times New Roman"/>
          <w:sz w:val="20"/>
          <w:u w:val="single"/>
        </w:rPr>
        <w:t>Section 8.1(a)</w:t>
      </w:r>
      <w:r>
        <w:rPr>
          <w:rFonts w:ascii="Times New Roman" w:hAnsi="Times New Roman"/>
          <w:sz w:val="20"/>
        </w:rPr>
        <w:t xml:space="preserve">, and the Managing Member shall consider in good faith all reasonable comments received from ICE with respect thereto and shall not cause such Tax Return to be filed without the consent of ICE, such consent not to be unreasonably withheld, conditioned or delayed.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b/>
          <w:sz w:val="20"/>
          <w:u w:val="single"/>
        </w:rPr>
        <w:t>Tax Elections</w:t>
      </w:r>
      <w:r>
        <w:rPr>
          <w:rFonts w:ascii="Times New Roman" w:hAnsi="Times New Roman"/>
          <w:sz w:val="20"/>
        </w:rPr>
        <w:t xml:space="preserve">. The Taxable Year shall be the Fiscal Year set forth in </w:t>
      </w:r>
      <w:r>
        <w:rPr>
          <w:rFonts w:ascii="Times New Roman" w:hAnsi="Times New Roman"/>
          <w:sz w:val="20"/>
          <w:u w:val="single"/>
        </w:rPr>
        <w:t>Section 2.8</w:t>
      </w:r>
      <w:r>
        <w:rPr>
          <w:rFonts w:ascii="Times New Roman" w:hAnsi="Times New Roman"/>
          <w:sz w:val="20"/>
        </w:rPr>
        <w:t xml:space="preserve">, unless the Managing Member shall determine otherwise in its sole discretion and in compliance with applicable laws. Except as otherwise expressly provided in this Agreement, the Managing Member shall, in its sole discretion, determine whether to make or revoke any available election pursuant to the Code; provided the Managing Member shall cause the Company to make an election pursuant to Code Section 754 for the taxable year that includes the date hereof. Each Member will upon request supply any information necessary to give proper effect to any such election.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b/>
          <w:sz w:val="20"/>
          <w:u w:val="single"/>
        </w:rPr>
        <w:t>Tax Classifications</w:t>
      </w:r>
      <w:r>
        <w:rPr>
          <w:rFonts w:ascii="Times New Roman" w:hAnsi="Times New Roman"/>
          <w:sz w:val="20"/>
        </w:rPr>
        <w:t xml:space="preserve">. The Company shall be classified as a partnership for U.S. federal income tax purposes. Each Member agrees that it shall not: (a) treat, on such Members individual income Tax Returns, any item of income, gain, loss, deduction or credit relating to such Members interest in the Company in a manner inconsistent with the treatment of such item by the Company as reflected on the Schedule K-1 or other information statement furnished by the Company to such Member for use in preparing its income Tax Return;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the event a Member has in place, or otherwise adopts, mark-to-market accounting, such accounting methodology shall not be deemed to be inconsistent with the treatment of such item by the Company as reflected on the Schedule K-1 or other information statement furnished by the Company to such Members; or (b) file any claim for refund relating to any such item based on, or which would result in, such inconsistent treatment.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8.4</w:t>
      </w:r>
      <w:r>
        <w:rPr>
          <w:rFonts w:ascii="Times New Roman" w:hAnsi="Times New Roman"/>
          <w:sz w:val="20"/>
        </w:rPr>
        <w:t xml:space="preserve"> </w:t>
      </w:r>
      <w:r>
        <w:rPr>
          <w:rFonts w:ascii="Times New Roman" w:hAnsi="Times New Roman"/>
          <w:b/>
          <w:sz w:val="20"/>
          <w:u w:val="single"/>
        </w:rPr>
        <w:t>Tax Controversies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ICE is hereby designated the Partnership Representative of the Company with respect to all Taxable Years ending on or prior to December 31, 2020, and Bakkt Pubco is hereby designated the Partnership Representative of the Company with respect to all Taxable Years beginning after December 31, 2020. In such capacity, the Partnership Representative is hereby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Each Member agrees to be bound by the decisions and elections made by the Partnership Representative with respect to such examinations, controversies or administrative or judicial proceedings. Each Member and former Member shall provide such information as shall reasonably be requested by the Partnership Representative in order to reduce the amount of the Companys liability for any imputed underpayment in accordance with the procedures under Code Section 6225(c). The Partnership Representative shall keep the Managing Member or ICE, as applicable, fully informed of the progress of any examinations, audits or other proceedings, it being agreed that no Holder of Units (other than Bakkt Pubco and ICE) shall have any right to participate in any such examinations, audits or other proceedings. If an audit results in an imputed underpayment by the Company as determined under Code Section 6225, the Partnership Representative may make the election under Code Section 6226(a). If such an election is made, the Company shall furnish to each Member for the year under audit a statement reflecting the Members or former Members share of the adjusted items as determined in the notice of final partnership adjustment, and each such Member shall take such adjustment into account as required under Code Section 6226(b) and shall be liable for any related interest, penalty, addition to tax or additional amount. If such an election is not made, each person that was a Member of the Company during the taxable period to which such liability relates will indemnify and hold harmless the Company for such persons allocable share of the amount of such tax liability, including any interest and penalties associated therewith, as reasonably determined by the Partnership Representative, in accordance with </w:t>
      </w:r>
      <w:r>
        <w:rPr>
          <w:rFonts w:ascii="Times New Roman" w:hAnsi="Times New Roman"/>
          <w:sz w:val="20"/>
          <w:u w:val="single"/>
        </w:rPr>
        <w:t>Section 4.5</w:t>
      </w:r>
      <w:r>
        <w:rPr>
          <w:rFonts w:ascii="Times New Roman" w:hAnsi="Times New Roman"/>
          <w:sz w:val="20"/>
        </w:rPr>
        <w:t xml:space="preserve">. The Company shall reimburse and indemnify the Partnership Representative for any expenses, including reasonable legal and accounting fees, claims, liabilities, losses and damages that the Partnership Representative incurs in connection with its obligations as the Partnership Representative. For the avoidance of doubt, any former Members obligation to provide information to the Partnership Representative pursuant to this </w:t>
      </w:r>
      <w:r>
        <w:rPr>
          <w:rFonts w:ascii="Times New Roman" w:hAnsi="Times New Roman"/>
          <w:sz w:val="20"/>
          <w:u w:val="single"/>
        </w:rPr>
        <w:t>Section 8.4</w:t>
      </w:r>
      <w:r>
        <w:rPr>
          <w:rFonts w:ascii="Times New Roman" w:hAnsi="Times New Roman"/>
          <w:sz w:val="20"/>
        </w:rPr>
        <w:t xml:space="preserve"> shall survive the termination of such Members interest. </w:t>
      </w:r>
    </w:p>
    <w:p>
      <w:pPr>
        <w:pStyle w:val="TextBody"/>
        <w:spacing w:before="240" w:after="0"/>
        <w:jc w:val="left"/>
        <w:rPr>
          <w:rFonts w:ascii="Times New Roman" w:hAnsi="Times New Roman"/>
          <w:sz w:val="20"/>
        </w:rPr>
      </w:pPr>
      <w:r>
        <w:rPr>
          <w:rFonts w:ascii="Times New Roman" w:hAnsi="Times New Roman"/>
          <w:sz w:val="20"/>
        </w:rPr>
        <w:t>(b) The Managing Member shall promptly notify ICE in writing of the receipt of any written proposed assessment or the commencement of any Tax audit, demand, claim or administrative or judicial proceeding that relates to the Taxes of, or Tax Returns required to be filed by, the Company or any of its Subsidiaries (a </w:t>
      </w:r>
      <w:r>
        <w:rPr>
          <w:rFonts w:ascii="Times New Roman" w:hAnsi="Times New Roman"/>
          <w:b/>
          <w:i/>
          <w:sz w:val="20"/>
        </w:rPr>
        <w:t>Contest</w:t>
      </w:r>
      <w:r>
        <w:rPr>
          <w:rFonts w:ascii="Times New Roman" w:hAnsi="Times New Roman"/>
          <w:sz w:val="20"/>
        </w:rPr>
        <w:t xml:space="preserve">), if such Contest relates to a taxable period beginning on or prior to the date hereof. ICE shall have the right, at the Companys cost and expense (to the extent such costs and expenses are reasonable), to elect to control the conduct of such Contest; </w:t>
      </w:r>
      <w:r>
        <w:rPr>
          <w:rFonts w:ascii="Times New Roman" w:hAnsi="Times New Roman"/>
          <w:i/>
          <w:sz w:val="20"/>
        </w:rPr>
        <w:t>provided</w:t>
      </w:r>
      <w:r>
        <w:rPr>
          <w:rFonts w:ascii="Times New Roman" w:hAnsi="Times New Roman"/>
          <w:sz w:val="20"/>
        </w:rPr>
        <w:t xml:space="preserve">, that (i) ICE shall elect to control such Contest within thirty (30) days of receipt of notice thereof; (ii) if ICE elects to control such Contest, the Managing Member shall be entitled to participate (at the Companys expense) in such Contest; and (iii) ICE shall not settle such Contest without first obtaining the Managing Members prior written consent (which consent shall not be unreasonably withheld, delayed or conditioned). Notwithstanding anything in this Agreement to the contrary, the Managing Member shall have the exclusive right to control any Contest that ICE elects not to control or fails to elect to control within the time period set forth in </w:t>
      </w:r>
      <w:r>
        <w:rPr>
          <w:rFonts w:ascii="Times New Roman" w:hAnsi="Times New Roman"/>
          <w:sz w:val="20"/>
          <w:u w:val="single"/>
        </w:rPr>
        <w:t>Section 8.4(b)(i)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w:t>
      </w:r>
      <w:r>
        <w:rPr>
          <w:rFonts w:ascii="Times New Roman" w:hAnsi="Times New Roman"/>
          <w:sz w:val="20"/>
        </w:rPr>
        <w:t xml:space="preserve"> </w:t>
      </w:r>
      <w:r>
        <w:rPr>
          <w:rFonts w:ascii="Times New Roman" w:hAnsi="Times New Roman"/>
          <w:b/>
          <w:sz w:val="20"/>
          <w:u w:val="single"/>
        </w:rPr>
        <w:t>Certain Actions</w:t>
      </w:r>
      <w:r>
        <w:rPr>
          <w:rFonts w:ascii="Times New Roman" w:hAnsi="Times New Roman"/>
          <w:sz w:val="20"/>
        </w:rPr>
        <w:t xml:space="preserve">. Notwithstanding anything to the contrary in this Agreement, none of Bakkt Pubco or any of its Affiliates (including the Company and its Subsidiaries) shall, without the prior written consent of ICE, (i) make, change or revoke any Tax election (other an election under Code Section 754) affecting a taxable period (or portion thereof) of the Company or its Subsidiaries ending on or before the date hereof, (ii) amend, refile or otherwise modify (or grant an extension of any applicable statute of limitations with respect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any Tax Return of the Company or its Subsidiaries relating to a taxable period (or portion thereof) ending on or before the date hereof, (iii) file or request any ruling with respect to Taxes or Tax Returns of the Company or its Subsidiaries, or enter into any voluntary disclosure with any Governmental Entity regarding any Tax or Tax Returns of the Company or its Subsidiaries, in each case relating to a taxable period (or portion thereof) ending on or before the date hereof or (iv) take any action that results in any increased Tax liability or reduction of any Tax attributes of any Member in respect of a taxable period ending on or before the date 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w:t>
      </w:r>
      <w:r>
        <w:rPr>
          <w:rFonts w:ascii="Times New Roman" w:hAnsi="Times New Roman"/>
          <w:sz w:val="20"/>
        </w:rPr>
        <w:t xml:space="preserve"> </w:t>
      </w:r>
      <w:r>
        <w:rPr>
          <w:rFonts w:ascii="Times New Roman" w:hAnsi="Times New Roman"/>
          <w:b/>
          <w:sz w:val="20"/>
          <w:u w:val="single"/>
        </w:rPr>
        <w:t>Merger Agreement Conflicts</w:t>
      </w:r>
      <w:r>
        <w:rPr>
          <w:rFonts w:ascii="Times New Roman" w:hAnsi="Times New Roman"/>
          <w:sz w:val="20"/>
        </w:rPr>
        <w:t xml:space="preserve">. For the avoidance of doubt, to the extent there is any inconsistency between this Agreement and the provisions of Section 6.1 of the Merger Agreement, the provisions of Section 6.1 of the Merger Agreement shall control. </w:t>
      </w:r>
    </w:p>
    <w:p>
      <w:pPr>
        <w:pStyle w:val="TextBody"/>
        <w:spacing w:before="480" w:after="0"/>
        <w:jc w:val="center"/>
        <w:rPr>
          <w:rFonts w:ascii="Times New Roman" w:hAnsi="Times New Roman"/>
          <w:b/>
          <w:sz w:val="20"/>
        </w:rPr>
      </w:pPr>
      <w:r>
        <w:rPr>
          <w:rFonts w:ascii="Times New Roman" w:hAnsi="Times New Roman"/>
          <w:b/>
          <w:sz w:val="20"/>
        </w:rPr>
        <w:t xml:space="preserve">ARTICLE IX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RESTRICTIONS ON TRANSFER OF UNITS; CERTAIN TRANSFERS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Transfers by Members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otherwise agreed to in writing between the Managing Member and the applicable Member and reflected in the books and records of the Company or as otherwise provided in this </w:t>
      </w:r>
      <w:r>
        <w:rPr>
          <w:rFonts w:ascii="Times New Roman" w:hAnsi="Times New Roman"/>
          <w:sz w:val="20"/>
          <w:u w:val="single"/>
        </w:rPr>
        <w:t>Article IX</w:t>
      </w:r>
      <w:r>
        <w:rPr>
          <w:rFonts w:ascii="Times New Roman" w:hAnsi="Times New Roman"/>
          <w:sz w:val="20"/>
        </w:rPr>
        <w:t xml:space="preserve">, and subject to </w:t>
      </w:r>
      <w:r>
        <w:rPr>
          <w:rFonts w:ascii="Times New Roman" w:hAnsi="Times New Roman"/>
          <w:sz w:val="20"/>
          <w:u w:val="single"/>
        </w:rPr>
        <w:t>Section 9.2</w:t>
      </w:r>
      <w:r>
        <w:rPr>
          <w:rFonts w:ascii="Times New Roman" w:hAnsi="Times New Roman"/>
          <w:sz w:val="20"/>
        </w:rPr>
        <w:t xml:space="preserve"> and Article III of the Stockholders Agreement, no Member or Assignee thereof may Transfer all or any portion of its Common Units or other interest in the Company (or beneficial interest therein) without the prior consent of the Managing Member, which consent may be given or withheld, or made subject to such conditions (including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Common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Common Units that is not in accordance with, or subsequently violates, this Agreement or Article III of the Stockholders Agreement shall be, to the fullest extent permitted by law, null and void. If a Member transfers all or a portion of its Common Units or other interest in the Company to a transferee in compliance with each of this Agreement and the Stockholders Agreement, the Member shall cause the transfer of an equal number of shares of Class V Common Stock to such transferee upon its admittance to the Company as a Member. </w:t>
      </w:r>
    </w:p>
    <w:p>
      <w:pPr>
        <w:pStyle w:val="TextBody"/>
        <w:spacing w:before="240" w:after="0"/>
        <w:jc w:val="left"/>
        <w:rPr>
          <w:rFonts w:ascii="Times New Roman" w:hAnsi="Times New Roman"/>
          <w:sz w:val="20"/>
        </w:rPr>
      </w:pPr>
      <w:r>
        <w:rPr>
          <w:rFonts w:ascii="Times New Roman" w:hAnsi="Times New Roman"/>
          <w:sz w:val="20"/>
        </w:rPr>
        <w:t xml:space="preserve">(b) Notwithstanding anything otherwise to the contrary in this </w:t>
      </w:r>
      <w:r>
        <w:rPr>
          <w:rFonts w:ascii="Times New Roman" w:hAnsi="Times New Roman"/>
          <w:sz w:val="20"/>
          <w:u w:val="single"/>
        </w:rPr>
        <w:t>Section 9.1</w:t>
      </w:r>
      <w:r>
        <w:rPr>
          <w:rFonts w:ascii="Times New Roman" w:hAnsi="Times New Roman"/>
          <w:sz w:val="20"/>
        </w:rPr>
        <w:t xml:space="preserve">, each Member may Transfer Common Units in an Exchange pursuant to, and in accordance with, the Exchange Agreement; </w:t>
      </w:r>
      <w:r>
        <w:rPr>
          <w:rFonts w:ascii="Times New Roman" w:hAnsi="Times New Roman"/>
          <w:i/>
          <w:sz w:val="20"/>
        </w:rPr>
        <w:t>provided</w:t>
      </w:r>
      <w:r>
        <w:rPr>
          <w:rFonts w:ascii="Times New Roman" w:hAnsi="Times New Roman"/>
          <w:sz w:val="20"/>
        </w:rPr>
        <w:t xml:space="preserve"> that any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Times New Roman" w:hAnsi="Times New Roman"/>
          <w:i/>
          <w:sz w:val="20"/>
        </w:rPr>
        <w:t>provided, further</w:t>
      </w:r>
      <w:r>
        <w:rPr>
          <w:rFonts w:ascii="Times New Roman" w:hAnsi="Times New Roman"/>
          <w:sz w:val="20"/>
        </w:rPr>
        <w:t xml:space="preserve">, that if such policies conflict with the terms of the Exchange Agreement, the provisions of the Exchange Agreement shall apply in lieu thereof to any Exchange to the extent of such conflict. </w:t>
      </w:r>
    </w:p>
    <w:p>
      <w:pPr>
        <w:pStyle w:val="TextBody"/>
        <w:spacing w:before="240" w:after="0"/>
        <w:jc w:val="left"/>
        <w:rPr>
          <w:rFonts w:ascii="Times New Roman" w:hAnsi="Times New Roman"/>
          <w:sz w:val="20"/>
        </w:rPr>
      </w:pPr>
      <w:r>
        <w:rPr>
          <w:rFonts w:ascii="Times New Roman" w:hAnsi="Times New Roman"/>
          <w:sz w:val="20"/>
        </w:rPr>
        <w:t xml:space="preserve">(c) Notwithstanding anything otherwise to the contrary in this </w:t>
      </w:r>
      <w:r>
        <w:rPr>
          <w:rFonts w:ascii="Times New Roman" w:hAnsi="Times New Roman"/>
          <w:sz w:val="20"/>
          <w:u w:val="single"/>
        </w:rPr>
        <w:t>Section 9.1</w:t>
      </w:r>
      <w:r>
        <w:rPr>
          <w:rFonts w:ascii="Times New Roman" w:hAnsi="Times New Roman"/>
          <w:sz w:val="20"/>
        </w:rPr>
        <w:t xml:space="preserve">, but subject to </w:t>
      </w:r>
      <w:r>
        <w:rPr>
          <w:rFonts w:ascii="Times New Roman" w:hAnsi="Times New Roman"/>
          <w:sz w:val="20"/>
          <w:u w:val="single"/>
        </w:rPr>
        <w:t>Section 9.2</w:t>
      </w:r>
      <w:r>
        <w:rPr>
          <w:rFonts w:ascii="Times New Roman" w:hAnsi="Times New Roman"/>
          <w:sz w:val="20"/>
        </w:rPr>
        <w:t xml:space="preserve"> and Article III of the Stockholders Agreement, (i) an individual Member may Transfer all or any portion of his or her Common Units in a Permitted Transfer and (ii) the Managing Member may implement other policies and procedures to permit the Transfer of Common Units by the other Members for personal estate planning purposes and any such Transfer effected in compliance with such policies and procedures shall require prior written notice to the Managing Member.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Market Stand-Off</w:t>
      </w:r>
      <w:r>
        <w:rPr>
          <w:rFonts w:ascii="Times New Roman" w:hAnsi="Times New Roman"/>
          <w:sz w:val="20"/>
        </w:rPr>
        <w:t xml:space="preserve">. Notwithstanding anything in this </w:t>
      </w:r>
      <w:r>
        <w:rPr>
          <w:rFonts w:ascii="Times New Roman" w:hAnsi="Times New Roman"/>
          <w:sz w:val="20"/>
          <w:u w:val="single"/>
        </w:rPr>
        <w:t>Article IX</w:t>
      </w:r>
      <w:r>
        <w:rPr>
          <w:rFonts w:ascii="Times New Roman" w:hAnsi="Times New Roman"/>
          <w:sz w:val="20"/>
        </w:rPr>
        <w:t xml:space="preserve"> to the contrary, during the period commencing on the date hereof and ending on the six (6) month anniversary of the date hereof (in respect of all other Members and Holders of Units who derive their chain of ownership through a Transfer from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other Member), the Members and all subsequent Holders of Units who derive their chain of ownership through a Transfer from a Member (each an </w:t>
      </w:r>
      <w:r>
        <w:rPr>
          <w:rFonts w:ascii="Times New Roman" w:hAnsi="Times New Roman"/>
          <w:b/>
          <w:i/>
          <w:sz w:val="20"/>
        </w:rPr>
        <w:t>Owner</w:t>
      </w:r>
      <w:r>
        <w:rPr>
          <w:rFonts w:ascii="Times New Roman" w:hAnsi="Times New Roman"/>
          <w:sz w:val="20"/>
        </w:rPr>
        <w:t xml:space="preserve">) shall not (i) lend, offer, pledge, sell, contract to sell, sell any option or contract to purchase, purchase any option or contract to sell, grant any option, right or warrant to purchase, or otherwise Transfer or dispose of, directly or indirectly, any Common Units, including Common Units issued or delivered after the Closing pursuant to the Merger Agreement, (ii) enter into any swap or other arrangement that transfers to another, in whole or in part, any of the economic consequences of ownership of any Common Units, (iii) establish or increase any put equivalent position or liquidation with respect to, or decrease a call equivalent position within the meaning of Section 15 of the Exchange Act with respect to, any Common Units, (iv) Transfer any Common Units in violation of the Stockholders Agreement (or which would be a violation of the Stockholders Agreement if such Owner were a party thereto in the capacity as a Bakkt Equity Holder or a Permitted Transferee thereof (each, as defined in the Stockholders Agreement)), or (v) publicly disclose the intention to do any of the foregoing, whether any such transaction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or </w:t>
      </w:r>
      <w:r>
        <w:rPr>
          <w:rFonts w:ascii="Times New Roman" w:hAnsi="Times New Roman"/>
          <w:sz w:val="20"/>
          <w:u w:val="single"/>
        </w:rPr>
        <w:t>(v)</w:t>
      </w:r>
      <w:r>
        <w:rPr>
          <w:rFonts w:ascii="Times New Roman" w:hAnsi="Times New Roman"/>
          <w:sz w:val="20"/>
        </w:rPr>
        <w:t xml:space="preserve"> above is to be settled by delivery of Common Units in cash or otherwise. The foregoing sentence shall not apply to the Transfer of any or all of the Common Units owned by a Member in a Permitted Transfer in accordance with each of this Agreement and the Stockholders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it shall be a condition to such Transfer (in addition to any other requirements hereunder) that the transferee executes and delivers to the Company an agreement stating that the transferee is receiving and holding the Common Units subject to this </w:t>
      </w:r>
      <w:r>
        <w:rPr>
          <w:rFonts w:ascii="Times New Roman" w:hAnsi="Times New Roman"/>
          <w:sz w:val="20"/>
          <w:u w:val="single"/>
        </w:rPr>
        <w:t>Section 9.2</w:t>
      </w:r>
      <w:r>
        <w:rPr>
          <w:rFonts w:ascii="Times New Roman" w:hAnsi="Times New Roman"/>
          <w:sz w:val="20"/>
        </w:rPr>
        <w:t xml:space="preserve"> and Article III of the Stockholders Agreement, and there shall be no further Transfer of such Common Units except in accordance with each of this Agreement and the Stockholders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Restricted Units Legend</w:t>
      </w:r>
      <w:r>
        <w:rPr>
          <w:rFonts w:ascii="Times New Roman" w:hAnsi="Times New Roman"/>
          <w:sz w:val="20"/>
        </w:rPr>
        <w:t xml:space="preserve">. 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In the event that Units are ever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 </w:t>
      </w:r>
    </w:p>
    <w:p>
      <w:pPr>
        <w:pStyle w:val="TextBody"/>
        <w:spacing w:before="120" w:after="0"/>
        <w:jc w:val="left"/>
        <w:rPr>
          <w:rFonts w:ascii="Times New Roman" w:hAnsi="Times New Roman"/>
          <w:sz w:val="20"/>
        </w:rPr>
      </w:pPr>
      <w:r>
        <w:rPr>
          <w:rFonts w:ascii="Times New Roman" w:hAnsi="Times New Roman"/>
          <w:sz w:val="20"/>
        </w:rPr>
        <w:t>THE SECURITIES REPRESENTED BY THIS CERTIFICATE HAVE NOT BEEN REGISTERED UNDER THE SECURITIES ACT OF 1933, AS AMENDED (THE </w:t>
      </w:r>
      <w:r>
        <w:rPr>
          <w:rFonts w:ascii="Times New Roman" w:hAnsi="Times New Roman"/>
          <w:b/>
          <w:i/>
          <w:sz w:val="20"/>
        </w:rPr>
        <w:t>ACT</w:t>
      </w:r>
      <w:r>
        <w:rPr>
          <w:rFonts w:ascii="Times New Roman" w:hAnsi="Times New Roman"/>
          <w:sz w:val="20"/>
        </w:rPr>
        <w:t xml:space="preserve">), AND MAY NOT BE SOLD OR TRANSFERRED IN THE ABSENCE OF AN EFFECTIVE REGISTRATION STATEMENT UNDER THE ACT OR AN EXEMPTION FROM REGISTRATION THEREUNDER. THE SECURITIES REPRESENTED BY THIS CERTIFICATE ARE ALSO SUBJECT TO ADDITIONAL RESTRICTIONS ON TRANSFER SPECIFIED IN THE THIRD AMENDED AND RESTATED LIMITED LIABILITY COMPANY AGREEMENT OF THE COMPANY, BY AND AMONG THE COMPANY AND ITS MEMBERS AND AS MAY BE AMENDED AND MODIFIED FROM TIME TO TIME. A COPY OF SUCH AGREEMENT IS ON FILE AT THE PRINCIPAL OFFICE OF THE COMPANY. SUCH RESTRICTIONS ARE BINDING ON THE TRANSFEREES OF SUCH UNITS. </w:t>
      </w:r>
    </w:p>
    <w:p>
      <w:pPr>
        <w:pStyle w:val="TextBody"/>
        <w:spacing w:before="240" w:after="0"/>
        <w:jc w:val="left"/>
        <w:rPr>
          <w:rFonts w:ascii="Times New Roman" w:hAnsi="Times New Roman"/>
          <w:sz w:val="20"/>
        </w:rPr>
      </w:pPr>
      <w:r>
        <w:rPr>
          <w:rFonts w:ascii="Times New Roman" w:hAnsi="Times New Roman"/>
          <w:sz w:val="20"/>
        </w:rPr>
        <w:t xml:space="preserve">The Company shall imprint such legend on certificates (if any) evidencing Units. The legend set forth above shall be removed from the certificates (if any) evidencing any units which cease to be Units in accordance with the definition thereof.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b/>
          <w:sz w:val="20"/>
          <w:u w:val="single"/>
        </w:rPr>
        <w:t>Further Restrictions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Common Units issued from time to time after the date of this Agreement, including Common Units issued under equity incentive plans of the Company or Bakkt Pubco (or upon settlement of awards granted under such plans), may be subject to such additional or other terms and conditions, including with regard to vesting, forfeiture, minimum retained ownership and Transfer, as may be agreed between Bakkt Pubco and the applicable Member and reflected in the books and records of the Company. Such requirements, provisions and restrictions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need not be uniform and may be waived or released by Bakkt Pubco in its sole discretion with respect to all or a portion of the Common Units owned by any one or more Members at any time and from time to time, and shall not constitute the breach of any duty hereunder or otherwise existing at law, in equity or otherwise. </w:t>
      </w:r>
    </w:p>
    <w:p>
      <w:pPr>
        <w:pStyle w:val="TextBody"/>
        <w:spacing w:before="240" w:after="0"/>
        <w:jc w:val="left"/>
        <w:rPr>
          <w:rFonts w:ascii="Times New Roman" w:hAnsi="Times New Roman"/>
          <w:sz w:val="20"/>
        </w:rPr>
      </w:pPr>
      <w:r>
        <w:rPr>
          <w:rFonts w:ascii="Times New Roman" w:hAnsi="Times New Roman"/>
          <w:sz w:val="20"/>
        </w:rPr>
        <w:t xml:space="preserve">(b) Notwithstanding any contrary provision in this Agreement, in no event may any Transfer of a Common Unit be made by any Member or Assignee if the Managing Member determines that: </w:t>
      </w:r>
    </w:p>
    <w:p>
      <w:pPr>
        <w:pStyle w:val="TextBody"/>
        <w:spacing w:before="120" w:after="0"/>
        <w:jc w:val="left"/>
        <w:rPr>
          <w:rFonts w:ascii="Times New Roman" w:hAnsi="Times New Roman"/>
          <w:sz w:val="20"/>
        </w:rPr>
      </w:pPr>
      <w:r>
        <w:rPr>
          <w:rFonts w:ascii="Times New Roman" w:hAnsi="Times New Roman"/>
          <w:sz w:val="20"/>
        </w:rPr>
        <w:t xml:space="preserve">(i) such Transfer is made to any Person who lacks the legal right, power or capacity to own such Common Unit; </w:t>
      </w:r>
    </w:p>
    <w:p>
      <w:pPr>
        <w:pStyle w:val="TextBody"/>
        <w:spacing w:before="120" w:after="0"/>
        <w:jc w:val="left"/>
        <w:rPr>
          <w:rFonts w:ascii="Times New Roman" w:hAnsi="Times New Roman"/>
          <w:sz w:val="20"/>
        </w:rPr>
      </w:pPr>
      <w:r>
        <w:rPr>
          <w:rFonts w:ascii="Times New Roman" w:hAnsi="Times New Roman"/>
          <w:sz w:val="20"/>
        </w:rPr>
        <w:t xml:space="preserve">(ii) except pursuant to an Exchange, such Transfer would require the registration of such transferred Common Unit pursuant to any applicable U.S. federal or state securities laws (including the Securities Act or the Exchange Act) or other non-U.S. securities laws (including Canadian provincial or territorial securities laws) or would constitute a non-exempt distribution pursuant to applicable provincial or state securities laws; </w:t>
      </w:r>
    </w:p>
    <w:p>
      <w:pPr>
        <w:pStyle w:val="TextBody"/>
        <w:spacing w:before="120" w:after="0"/>
        <w:jc w:val="left"/>
        <w:rPr>
          <w:rFonts w:ascii="Times New Roman" w:hAnsi="Times New Roman"/>
          <w:sz w:val="20"/>
        </w:rPr>
      </w:pPr>
      <w:r>
        <w:rPr>
          <w:rFonts w:ascii="Times New Roman" w:hAnsi="Times New Roman"/>
          <w:sz w:val="20"/>
        </w:rPr>
        <w:t xml:space="preserve">(iii) such Transfer would cause (A) all or any portion of the assets of the Company to (x) constitute plan assets (under ERISA, the Code or any applicable Similar Law) of any existing or contemplated Member, or (y) be subject to the provisions of ERISA, Section 4975 of the Code or any applicable Similar Law, or (B) Bakkt Pubco to become a fiduciary with respect to any existing or contemplated Member, pursuant to ERISA, any applicable Similar Law, or otherwise; </w:t>
      </w:r>
    </w:p>
    <w:p>
      <w:pPr>
        <w:pStyle w:val="TextBody"/>
        <w:spacing w:before="120" w:after="0"/>
        <w:jc w:val="left"/>
        <w:rPr>
          <w:rFonts w:ascii="Times New Roman" w:hAnsi="Times New Roman"/>
          <w:sz w:val="20"/>
        </w:rPr>
      </w:pPr>
      <w:r>
        <w:rPr>
          <w:rFonts w:ascii="Times New Roman" w:hAnsi="Times New Roman"/>
          <w:sz w:val="20"/>
        </w:rPr>
        <w:t xml:space="preserve">(iv) to the extent requested by the Managing Member, the Company does not receive such legal and/or tax opinions and written instruments (including copies of any instruments of Transfer and such Assignees consent to be bound by this Agreement as an Assignee) that are in a form satisfactory to the Managing Member, as determined in the Managing Members sole discretion; or </w:t>
      </w:r>
    </w:p>
    <w:p>
      <w:pPr>
        <w:pStyle w:val="TextBody"/>
        <w:spacing w:before="120" w:after="0"/>
        <w:jc w:val="left"/>
        <w:rPr>
          <w:rFonts w:ascii="Times New Roman" w:hAnsi="Times New Roman"/>
          <w:sz w:val="20"/>
        </w:rPr>
      </w:pPr>
      <w:r>
        <w:rPr>
          <w:rFonts w:ascii="Times New Roman" w:hAnsi="Times New Roman"/>
          <w:sz w:val="20"/>
        </w:rPr>
        <w:t xml:space="preserve">(v) the Managing Member reasonably determines that such Transfer would pose a material risk that the Company would be treated as a publicly traded partnership within the meaning of Code Section 7704 and the Treasury Regulations promulgated thereunder. </w:t>
      </w:r>
    </w:p>
    <w:p>
      <w:pPr>
        <w:pStyle w:val="TextBody"/>
        <w:spacing w:before="240" w:after="0"/>
        <w:jc w:val="left"/>
        <w:rPr>
          <w:rFonts w:ascii="Times New Roman" w:hAnsi="Times New Roman"/>
          <w:sz w:val="20"/>
        </w:rPr>
      </w:pPr>
      <w:r>
        <w:rPr>
          <w:rFonts w:ascii="Times New Roman" w:hAnsi="Times New Roman"/>
          <w:sz w:val="20"/>
        </w:rPr>
        <w:t xml:space="preserve">All determinations with respect to this </w:t>
      </w:r>
      <w:r>
        <w:rPr>
          <w:rFonts w:ascii="Times New Roman" w:hAnsi="Times New Roman"/>
          <w:sz w:val="20"/>
          <w:u w:val="single"/>
        </w:rPr>
        <w:t>Section 9.4</w:t>
      </w:r>
      <w:r>
        <w:rPr>
          <w:rFonts w:ascii="Times New Roman" w:hAnsi="Times New Roman"/>
          <w:sz w:val="20"/>
        </w:rPr>
        <w:t xml:space="preserve"> shall be made by the Managing Member in its sole discretion. </w:t>
      </w:r>
    </w:p>
    <w:p>
      <w:pPr>
        <w:pStyle w:val="TextBody"/>
        <w:spacing w:before="240" w:after="0"/>
        <w:jc w:val="left"/>
        <w:rPr>
          <w:rFonts w:ascii="Times New Roman" w:hAnsi="Times New Roman"/>
          <w:sz w:val="20"/>
        </w:rPr>
      </w:pPr>
      <w:r>
        <w:rPr>
          <w:rFonts w:ascii="Times New Roman" w:hAnsi="Times New Roman"/>
          <w:sz w:val="20"/>
        </w:rPr>
        <w:t xml:space="preserve">(c) To the fullest extent permitted by law, any Transfer in violation of this </w:t>
      </w:r>
      <w:r>
        <w:rPr>
          <w:rFonts w:ascii="Times New Roman" w:hAnsi="Times New Roman"/>
          <w:sz w:val="20"/>
          <w:u w:val="single"/>
        </w:rPr>
        <w:t>Article IX</w:t>
      </w:r>
      <w:r>
        <w:rPr>
          <w:rFonts w:ascii="Times New Roman" w:hAnsi="Times New Roman"/>
          <w:sz w:val="20"/>
        </w:rPr>
        <w:t xml:space="preserve"> shall be deemed null and void </w:t>
      </w:r>
      <w:r>
        <w:rPr>
          <w:rFonts w:ascii="Times New Roman" w:hAnsi="Times New Roman"/>
          <w:i/>
          <w:sz w:val="20"/>
        </w:rPr>
        <w:t xml:space="preserve">ab initio </w:t>
      </w:r>
      <w:r>
        <w:rPr>
          <w:rFonts w:ascii="Times New Roman" w:hAnsi="Times New Roman"/>
          <w:sz w:val="20"/>
        </w:rPr>
        <w:t xml:space="preserve">and of no effect.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b/>
          <w:sz w:val="20"/>
          <w:u w:val="single"/>
        </w:rPr>
        <w:t>Transfer</w:t>
      </w:r>
      <w:r>
        <w:rPr>
          <w:rFonts w:ascii="Times New Roman" w:hAnsi="Times New Roman"/>
          <w:sz w:val="20"/>
        </w:rPr>
        <w:t>. Prior to Transferring any Units (other than Transfers to the Company), the Transferring Holder of such Units shall cause the prospective transferee to be bound by this Agreement, and any other agreements executed by Holders of Units relating to such Units in the aggregate (including, without limitation, the Stockholders Agreement) (collectively, the </w:t>
      </w:r>
      <w:r>
        <w:rPr>
          <w:rFonts w:ascii="Times New Roman" w:hAnsi="Times New Roman"/>
          <w:b/>
          <w:i/>
          <w:sz w:val="20"/>
        </w:rPr>
        <w:t>Other Agreements</w:t>
      </w:r>
      <w:r>
        <w:rPr>
          <w:rFonts w:ascii="Times New Roman" w:hAnsi="Times New Roman"/>
          <w:sz w:val="20"/>
        </w:rPr>
        <w:t xml:space="preserve">) and to execute and deliver to the Company and the other Holders of Units counterparts of this Agreement and the applicable Other Agreements.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b/>
          <w:sz w:val="20"/>
          <w:u w:val="single"/>
        </w:rPr>
        <w:t>Assignees Rights</w:t>
      </w:r>
      <w:r>
        <w:rPr>
          <w:rFonts w:ascii="Times New Roman" w:hAnsi="Times New Roman"/>
          <w:sz w:val="20"/>
        </w:rPr>
        <w:t xml:space="preserve">. Subject to </w:t>
      </w:r>
      <w:r>
        <w:rPr>
          <w:rFonts w:ascii="Times New Roman" w:hAnsi="Times New Roman"/>
          <w:sz w:val="20"/>
          <w:u w:val="single"/>
        </w:rPr>
        <w:t>Section 9.6</w:t>
      </w:r>
      <w:r>
        <w:rPr>
          <w:rFonts w:ascii="Times New Roman" w:hAnsi="Times New Roman"/>
          <w:sz w:val="20"/>
        </w:rPr>
        <w:t xml:space="preserve">, the transferee in any Permitted Transfer pursuant to this </w:t>
      </w:r>
      <w:r>
        <w:rPr>
          <w:rFonts w:ascii="Times New Roman" w:hAnsi="Times New Roman"/>
          <w:sz w:val="20"/>
          <w:u w:val="single"/>
        </w:rPr>
        <w:t>Article IX</w:t>
      </w:r>
      <w:r>
        <w:rPr>
          <w:rFonts w:ascii="Times New Roman" w:hAnsi="Times New Roman"/>
          <w:sz w:val="20"/>
        </w:rPr>
        <w:t xml:space="preserve"> will be an assignee only (</w:t>
      </w:r>
      <w:r>
        <w:rPr>
          <w:rFonts w:ascii="Times New Roman" w:hAnsi="Times New Roman"/>
          <w:b/>
          <w:i/>
          <w:sz w:val="20"/>
        </w:rPr>
        <w:t>Assignee</w:t>
      </w:r>
      <w:r>
        <w:rPr>
          <w:rFonts w:ascii="Times New Roman" w:hAnsi="Times New Roman"/>
          <w:sz w:val="20"/>
        </w:rPr>
        <w:t xml:space="preserve">), and only will receive, to the extent transferred, the distributions and allocations of income, gain, loss, deduction, credit or similar item to which the Member which transferred its Common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Common Units to one or more Assignees until such time as the Assignee(s) is admitted to the Company as a Member pursuant to </w:t>
      </w:r>
      <w:r>
        <w:rPr>
          <w:rFonts w:ascii="Times New Roman" w:hAnsi="Times New Roman"/>
          <w:sz w:val="20"/>
          <w:u w:val="single"/>
        </w:rPr>
        <w:t>Section 9.8</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Section 9.7 </w:t>
      </w:r>
      <w:r>
        <w:rPr>
          <w:rFonts w:ascii="Times New Roman" w:hAnsi="Times New Roman"/>
          <w:b/>
          <w:sz w:val="20"/>
          <w:u w:val="single"/>
        </w:rPr>
        <w:t>Admissions, Resignations and Removals.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No Person may be admitted to the Company as an additional Managing Member or a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The Members shall not have the right to remove or replace Bakkt Pubco or any other Managing Member. </w:t>
      </w:r>
    </w:p>
    <w:p>
      <w:pPr>
        <w:pStyle w:val="TextBody"/>
        <w:spacing w:before="240" w:after="0"/>
        <w:jc w:val="left"/>
        <w:rPr>
          <w:rFonts w:ascii="Times New Roman" w:hAnsi="Times New Roman"/>
          <w:sz w:val="20"/>
        </w:rPr>
      </w:pPr>
      <w:r>
        <w:rPr>
          <w:rFonts w:ascii="Times New Roman" w:hAnsi="Times New Roman"/>
          <w:sz w:val="20"/>
        </w:rPr>
        <w:t xml:space="preserve">(b) No Member will be removed or entitled to resign from being a Member of the Company except in accordance with </w:t>
      </w:r>
      <w:r>
        <w:rPr>
          <w:rFonts w:ascii="Times New Roman" w:hAnsi="Times New Roman"/>
          <w:sz w:val="20"/>
          <w:u w:val="single"/>
        </w:rPr>
        <w:t>Section 9.9</w:t>
      </w:r>
      <w:r>
        <w:rPr>
          <w:rFonts w:ascii="Times New Roman" w:hAnsi="Times New Roman"/>
          <w:sz w:val="20"/>
        </w:rPr>
        <w:t xml:space="preserve">. Any additional Managing Member or substitute Managing Member admitted as a Managing Member of the Company pursuant to this </w:t>
      </w:r>
      <w:r>
        <w:rPr>
          <w:rFonts w:ascii="Times New Roman" w:hAnsi="Times New Roman"/>
          <w:sz w:val="20"/>
          <w:u w:val="single"/>
        </w:rPr>
        <w:t>Section 9.7</w:t>
      </w:r>
      <w:r>
        <w:rPr>
          <w:rFonts w:ascii="Times New Roman" w:hAnsi="Times New Roman"/>
          <w:sz w:val="20"/>
        </w:rPr>
        <w:t xml:space="preserve"> is hereby authorized to, and shall, continue the Company without dissolution. </w:t>
      </w:r>
    </w:p>
    <w:p>
      <w:pPr>
        <w:pStyle w:val="TextBody"/>
        <w:spacing w:before="240" w:after="0"/>
        <w:jc w:val="left"/>
        <w:rPr>
          <w:rFonts w:ascii="Times New Roman" w:hAnsi="Times New Roman"/>
          <w:sz w:val="20"/>
        </w:rPr>
      </w:pPr>
      <w:r>
        <w:rPr>
          <w:rFonts w:ascii="Times New Roman" w:hAnsi="Times New Roman"/>
          <w:sz w:val="20"/>
        </w:rPr>
        <w:t xml:space="preserve">(c) Except as otherwise provided in </w:t>
      </w:r>
      <w:r>
        <w:rPr>
          <w:rFonts w:ascii="Times New Roman" w:hAnsi="Times New Roman"/>
          <w:sz w:val="20"/>
          <w:u w:val="single"/>
        </w:rPr>
        <w:t>Article X</w:t>
      </w:r>
      <w:r>
        <w:rPr>
          <w:rFonts w:ascii="Times New Roman" w:hAnsi="Times New Roman"/>
          <w:sz w:val="20"/>
        </w:rPr>
        <w:t xml:space="preserve"> or the Delaware Act, no admission, substitution, resignation or removal of a Member will cause the dissolution of the Company. To the fullest extent permitted by law, any purported admission, resignation or removal that is not in accordance with this Agreement shall be null and void.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b/>
          <w:sz w:val="20"/>
          <w:u w:val="single"/>
        </w:rPr>
        <w:t>Admission of Assignees as Substitute Members</w:t>
      </w:r>
      <w:r>
        <w:rPr>
          <w:rFonts w:ascii="Times New Roman" w:hAnsi="Times New Roman"/>
          <w:sz w:val="20"/>
        </w:rPr>
        <w:t xml:space="preserve">. An Assignee will become a Substituted Member only if and when each of the following conditions is satisfied: </w:t>
      </w:r>
    </w:p>
    <w:p>
      <w:pPr>
        <w:pStyle w:val="TextBody"/>
        <w:spacing w:before="240" w:after="0"/>
        <w:jc w:val="left"/>
        <w:rPr>
          <w:rFonts w:ascii="Times New Roman" w:hAnsi="Times New Roman"/>
          <w:sz w:val="20"/>
        </w:rPr>
      </w:pPr>
      <w:r>
        <w:rPr>
          <w:rFonts w:ascii="Times New Roman" w:hAnsi="Times New Roman"/>
          <w:sz w:val="20"/>
        </w:rPr>
        <w:t xml:space="preserve">(a) the Managing Member consents in writing to such admission, which consent may be given or withheld, or made subject to such conditions as are determined by the Managing Member, in each case in the Managing Members sole discretion; </w:t>
      </w:r>
    </w:p>
    <w:p>
      <w:pPr>
        <w:pStyle w:val="TextBody"/>
        <w:spacing w:before="240" w:after="0"/>
        <w:jc w:val="left"/>
        <w:rPr>
          <w:rFonts w:ascii="Times New Roman" w:hAnsi="Times New Roman"/>
          <w:sz w:val="20"/>
        </w:rPr>
      </w:pPr>
      <w:r>
        <w:rPr>
          <w:rFonts w:ascii="Times New Roman" w:hAnsi="Times New Roman"/>
          <w:sz w:val="20"/>
        </w:rPr>
        <w:t xml:space="preserve">(b) if required by the Managing Member, the Managing Member receives written instruments (including copies of any instruments of Transfer and such Assignees consent to be bound by this Agreement as a Substituted Member) that are in a form satisfactory to the Managing Member (as determined in its sole discretion); </w:t>
      </w:r>
    </w:p>
    <w:p>
      <w:pPr>
        <w:pStyle w:val="TextBody"/>
        <w:spacing w:before="240" w:after="0"/>
        <w:jc w:val="left"/>
        <w:rPr>
          <w:rFonts w:ascii="Times New Roman" w:hAnsi="Times New Roman"/>
          <w:sz w:val="20"/>
        </w:rPr>
      </w:pPr>
      <w:r>
        <w:rPr>
          <w:rFonts w:ascii="Times New Roman" w:hAnsi="Times New Roman"/>
          <w:sz w:val="20"/>
        </w:rPr>
        <w:t xml:space="preserve">(c) if required by the Managing Member, the Managing Member receives an opinion of counsel satisfactory to the Managing Member to the effect that such Transfer is in compliance with this Agreement and all applicable Law; and </w:t>
      </w:r>
    </w:p>
    <w:p>
      <w:pPr>
        <w:pStyle w:val="TextBody"/>
        <w:spacing w:before="240" w:after="0"/>
        <w:jc w:val="left"/>
        <w:rPr>
          <w:rFonts w:ascii="Times New Roman" w:hAnsi="Times New Roman"/>
          <w:sz w:val="20"/>
        </w:rPr>
      </w:pPr>
      <w:r>
        <w:rPr>
          <w:rFonts w:ascii="Times New Roman" w:hAnsi="Times New Roman"/>
          <w:sz w:val="20"/>
        </w:rPr>
        <w:t xml:space="preserve">(d) if required by the Managing Member, the parties to the Transfer, or any one of them, pays all of the Companys reasonable expenses connected with such Transfer (including the reasonable legal and accounting fees of the Company). </w:t>
      </w:r>
    </w:p>
    <w:p>
      <w:pPr>
        <w:pStyle w:val="TextBody"/>
        <w:spacing w:before="240" w:after="0"/>
        <w:jc w:val="left"/>
        <w:rPr>
          <w:rFonts w:ascii="Times New Roman" w:hAnsi="Times New Roman"/>
          <w:sz w:val="20"/>
        </w:rPr>
      </w:pPr>
      <w:r>
        <w:rPr>
          <w:rFonts w:ascii="Times New Roman" w:hAnsi="Times New Roman"/>
          <w:b/>
          <w:sz w:val="20"/>
        </w:rPr>
        <w:t xml:space="preserve">Section 9.9 </w:t>
      </w:r>
      <w:r>
        <w:rPr>
          <w:rFonts w:ascii="Times New Roman" w:hAnsi="Times New Roman"/>
          <w:b/>
          <w:sz w:val="20"/>
          <w:u w:val="single"/>
        </w:rPr>
        <w:t>Resignation and Removal of Members</w:t>
      </w:r>
      <w:r>
        <w:rPr>
          <w:rFonts w:ascii="Times New Roman" w:hAnsi="Times New Roman"/>
          <w:sz w:val="20"/>
        </w:rPr>
        <w:t xml:space="preserve">. Subject to </w:t>
      </w:r>
      <w:r>
        <w:rPr>
          <w:rFonts w:ascii="Times New Roman" w:hAnsi="Times New Roman"/>
          <w:sz w:val="20"/>
          <w:u w:val="single"/>
        </w:rPr>
        <w:t>Section 9.6</w:t>
      </w:r>
      <w:r>
        <w:rPr>
          <w:rFonts w:ascii="Times New Roman" w:hAnsi="Times New Roman"/>
          <w:sz w:val="20"/>
        </w:rPr>
        <w:t xml:space="preserve">, if a Member (other than Bakkt Pubco) ceases to hold any Common Units then such Member shall cease to be a Member and to have the power to exercise any rights or powers of a member of the Company, and shall be deemed to have resigned from the Company.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b/>
          <w:sz w:val="20"/>
          <w:u w:val="single"/>
        </w:rPr>
        <w:t>Section 1445 and 1446(f) Withholding</w:t>
      </w:r>
      <w:r>
        <w:rPr>
          <w:rFonts w:ascii="Times New Roman" w:hAnsi="Times New Roman"/>
          <w:sz w:val="20"/>
        </w:rPr>
        <w:t xml:space="preserve">. An Assignee shall provide the Managing Member with all certifications, documentation and other information required by the Managing Member to determine that such Assignee has complied with the withholding and filing obligations under Code Sections 1445 and 1446(f) and the Treasury Regulations and other guidance issued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ARTICLE X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DISSOLUTION AND LIQUIDATION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Dissolution</w:t>
      </w:r>
      <w:r>
        <w:rPr>
          <w:rFonts w:ascii="Times New Roman" w:hAnsi="Times New Roman"/>
          <w:sz w:val="20"/>
        </w:rPr>
        <w:t xml:space="preserve">. Except as required by the Delaware Act, the Company shall not be dissolved by the admission of Additional Members or Substituted Members or the attempted withdrawal or resignation of a Member. The Company may be dissolved, liquidated, wound up and terminated only pursuant to the provisions of this </w:t>
      </w:r>
      <w:r>
        <w:rPr>
          <w:rFonts w:ascii="Times New Roman" w:hAnsi="Times New Roman"/>
          <w:sz w:val="20"/>
          <w:u w:val="single"/>
        </w:rPr>
        <w:t>Article X</w:t>
      </w:r>
      <w:r>
        <w:rPr>
          <w:rFonts w:ascii="Times New Roman" w:hAnsi="Times New Roman"/>
          <w:sz w:val="20"/>
        </w:rPr>
        <w:t xml:space="preserve">, and the Members hereby irrevocably waive any and all other rights they may have to cause a dissolution of the Company or a sale or partition of any or all of the Company assets. The Company shall dissolve, and its affairs shall be wound up, upon: </w:t>
      </w:r>
    </w:p>
    <w:p>
      <w:pPr>
        <w:pStyle w:val="TextBody"/>
        <w:spacing w:before="240" w:after="0"/>
        <w:jc w:val="left"/>
        <w:rPr>
          <w:rFonts w:ascii="Times New Roman" w:hAnsi="Times New Roman"/>
          <w:sz w:val="20"/>
        </w:rPr>
      </w:pPr>
      <w:r>
        <w:rPr>
          <w:rFonts w:ascii="Times New Roman" w:hAnsi="Times New Roman"/>
          <w:sz w:val="20"/>
        </w:rPr>
        <w:t xml:space="preserve">(a) the entry of a decree of judicial dissolution of the Company under Section 18-802 of the Delaware Act upon the finding by a court of competent jurisdiction that it is not reasonably practicable to carry on the business of the Company in conformity with this Agreement or an administrative dissolution under Section 18-1107 of the Delaware Act; </w:t>
      </w:r>
    </w:p>
    <w:p>
      <w:pPr>
        <w:pStyle w:val="TextBody"/>
        <w:spacing w:before="240" w:after="0"/>
        <w:jc w:val="left"/>
        <w:rPr>
          <w:rFonts w:ascii="Times New Roman" w:hAnsi="Times New Roman"/>
          <w:sz w:val="20"/>
        </w:rPr>
      </w:pPr>
      <w:r>
        <w:rPr>
          <w:rFonts w:ascii="Times New Roman" w:hAnsi="Times New Roman"/>
          <w:sz w:val="20"/>
        </w:rPr>
        <w:t xml:space="preserve">(b) any event which makes it unlawful for the business of the Company to be carried on by the Members; </w:t>
      </w:r>
    </w:p>
    <w:p>
      <w:pPr>
        <w:pStyle w:val="TextBody"/>
        <w:spacing w:before="240" w:after="0"/>
        <w:jc w:val="left"/>
        <w:rPr>
          <w:rFonts w:ascii="Times New Roman" w:hAnsi="Times New Roman"/>
          <w:sz w:val="20"/>
        </w:rPr>
      </w:pPr>
      <w:r>
        <w:rPr>
          <w:rFonts w:ascii="Times New Roman" w:hAnsi="Times New Roman"/>
          <w:sz w:val="20"/>
        </w:rPr>
        <w:t xml:space="preserve">(c) the written consent of the Managing Member and the Required Interest; or </w:t>
      </w:r>
    </w:p>
    <w:p>
      <w:pPr>
        <w:pStyle w:val="TextBody"/>
        <w:spacing w:before="240" w:after="0"/>
        <w:jc w:val="left"/>
        <w:rPr>
          <w:rFonts w:ascii="Times New Roman" w:hAnsi="Times New Roman"/>
          <w:sz w:val="20"/>
        </w:rPr>
      </w:pPr>
      <w:r>
        <w:rPr>
          <w:rFonts w:ascii="Times New Roman" w:hAnsi="Times New Roman"/>
          <w:sz w:val="20"/>
        </w:rPr>
        <w:t xml:space="preserve">(d) at any time there are no Members, unless the Company is continued in accordance with the Delaware Act. </w:t>
      </w:r>
    </w:p>
    <w:p>
      <w:pPr>
        <w:pStyle w:val="TextBody"/>
        <w:spacing w:before="240" w:after="0"/>
        <w:jc w:val="left"/>
        <w:rPr>
          <w:rFonts w:ascii="Times New Roman" w:hAnsi="Times New Roman"/>
          <w:sz w:val="20"/>
        </w:rPr>
      </w:pPr>
      <w:r>
        <w:rPr>
          <w:rFonts w:ascii="Times New Roman" w:hAnsi="Times New Roman"/>
          <w:sz w:val="20"/>
        </w:rPr>
        <w:t xml:space="preserve">Except as otherwise set forth in this </w:t>
      </w:r>
      <w:r>
        <w:rPr>
          <w:rFonts w:ascii="Times New Roman" w:hAnsi="Times New Roman"/>
          <w:sz w:val="20"/>
          <w:u w:val="single"/>
        </w:rPr>
        <w:t>Article X</w:t>
      </w:r>
      <w:r>
        <w:rPr>
          <w:rFonts w:ascii="Times New Roman" w:hAnsi="Times New Roman"/>
          <w:sz w:val="20"/>
        </w:rPr>
        <w:t xml:space="preserve">, the Company is intended to have perpetual existence.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Liquidation and Termination</w:t>
      </w:r>
      <w:r>
        <w:rPr>
          <w:rFonts w:ascii="Times New Roman" w:hAnsi="Times New Roman"/>
          <w:sz w:val="20"/>
        </w:rPr>
        <w:t xml:space="preserve">. Upon dissolution, the Company shall not be terminated and shall continue until the winding up of the affairs of the Company is completed. Upon the winding up of the Company, the Managing Member shall act as liquidator or may appoint one or more 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Managing Member. The steps to be accomplished by the liquidators are as follows: </w:t>
      </w:r>
    </w:p>
    <w:p>
      <w:pPr>
        <w:pStyle w:val="TextBody"/>
        <w:spacing w:before="240" w:after="0"/>
        <w:jc w:val="left"/>
        <w:rPr>
          <w:rFonts w:ascii="Times New Roman" w:hAnsi="Times New Roman"/>
          <w:sz w:val="20"/>
        </w:rPr>
      </w:pPr>
      <w:r>
        <w:rPr>
          <w:rFonts w:ascii="Times New Roman" w:hAnsi="Times New Roman"/>
          <w:sz w:val="20"/>
        </w:rPr>
        <w:t xml:space="preserve">(a) as promptly as possible after dissolution and again after final liquidation, the liquidators shall cause a proper accounting to be made by a recognized firm of independent certified public accountants of the Companys assets, liabilities and operations through the last day of the calendar month in which the dissolution occurs or the final liquidation is completed, as applicable; </w:t>
      </w:r>
    </w:p>
    <w:p>
      <w:pPr>
        <w:pStyle w:val="TextBody"/>
        <w:spacing w:before="240" w:after="0"/>
        <w:jc w:val="left"/>
        <w:rPr>
          <w:rFonts w:ascii="Times New Roman" w:hAnsi="Times New Roman"/>
          <w:sz w:val="20"/>
        </w:rPr>
      </w:pPr>
      <w:r>
        <w:rPr>
          <w:rFonts w:ascii="Times New Roman" w:hAnsi="Times New Roman"/>
          <w:sz w:val="20"/>
        </w:rPr>
        <w:t xml:space="preserve">(b) the liquidators shall cause the notice described in the Delaware Act to be mailed to each known creditor of and claimant against the Company in the manner described thereunder; </w:t>
      </w:r>
    </w:p>
    <w:p>
      <w:pPr>
        <w:pStyle w:val="TextBody"/>
        <w:spacing w:before="240" w:after="0"/>
        <w:jc w:val="left"/>
        <w:rPr>
          <w:rFonts w:ascii="Times New Roman" w:hAnsi="Times New Roman"/>
          <w:sz w:val="20"/>
        </w:rPr>
      </w:pPr>
      <w:r>
        <w:rPr>
          <w:rFonts w:ascii="Times New Roman" w:hAnsi="Times New Roman"/>
          <w:sz w:val="20"/>
        </w:rPr>
        <w:t xml:space="preserve">(c) the liquidators shall pay, satisfy or discharge from Company funds all of the debts, liabilities and obligations of the Company or otherwise make adequate provision for payment and discharge thereof (including, without limitation, the establishment of a cash fund for contingent liabilities in such amount and for such term as the liquidators may reasonably determine); and </w:t>
      </w:r>
    </w:p>
    <w:p>
      <w:pPr>
        <w:pStyle w:val="TextBody"/>
        <w:spacing w:before="240" w:after="0"/>
        <w:jc w:val="left"/>
        <w:rPr>
          <w:rFonts w:ascii="Times New Roman" w:hAnsi="Times New Roman"/>
          <w:sz w:val="20"/>
        </w:rPr>
      </w:pPr>
      <w:r>
        <w:rPr>
          <w:rFonts w:ascii="Times New Roman" w:hAnsi="Times New Roman"/>
          <w:sz w:val="20"/>
        </w:rPr>
        <w:t>(d) The balance, if any, of the Companys remaining assets shall be distributed to all Members in accordance with</w:t>
      </w:r>
      <w:r>
        <w:rPr>
          <w:rFonts w:ascii="Times New Roman" w:hAnsi="Times New Roman"/>
          <w:sz w:val="20"/>
          <w:u w:val="single"/>
        </w:rPr>
        <w:t xml:space="preserve"> Section 4.1(a)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distribution of cash or property to the Members in accordance with the provisions of this </w:t>
      </w:r>
      <w:r>
        <w:rPr>
          <w:rFonts w:ascii="Times New Roman" w:hAnsi="Times New Roman"/>
          <w:sz w:val="20"/>
          <w:u w:val="single"/>
        </w:rPr>
        <w:t>Section 10.2</w:t>
      </w:r>
      <w:r>
        <w:rPr>
          <w:rFonts w:ascii="Times New Roman" w:hAnsi="Times New Roman"/>
          <w:sz w:val="20"/>
        </w:rPr>
        <w:t xml:space="preserve"> and </w:t>
      </w:r>
      <w:r>
        <w:rPr>
          <w:rFonts w:ascii="Times New Roman" w:hAnsi="Times New Roman"/>
          <w:sz w:val="20"/>
          <w:u w:val="single"/>
        </w:rPr>
        <w:t>Section 10.3</w:t>
      </w:r>
      <w:r>
        <w:rPr>
          <w:rFonts w:ascii="Times New Roman" w:hAnsi="Times New Roman"/>
          <w:sz w:val="20"/>
        </w:rPr>
        <w:t xml:space="preserve"> constitutes a complete return to the Members of their Capital Contributions and a complete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distribution to the Members of their Company Interests and all of the Companys property and constitutes a compromise to which all Members have consented within the meaning of the Delaware Act. To the extent that a Member returns funds to the Company, it has no claim against any other Member for those funds. If any Members Capital Account is not equal to the amount to be distributed to such Member pursuant to </w:t>
      </w:r>
      <w:r>
        <w:rPr>
          <w:rFonts w:ascii="Times New Roman" w:hAnsi="Times New Roman"/>
          <w:sz w:val="20"/>
          <w:u w:val="single"/>
        </w:rPr>
        <w:t>Section 10.2</w:t>
      </w:r>
      <w:r>
        <w:rPr>
          <w:rFonts w:ascii="Times New Roman" w:hAnsi="Times New Roman"/>
          <w:sz w:val="20"/>
        </w:rPr>
        <w:t xml:space="preserve">, Net Profits and Net Losses for the Fiscal Year in which the Company is dissolved shall be allocated among the Members in such a manner as to cause, to the extent possible, each Members Capital Account to be equal to the amount to be distributed to such Member pursuant to </w:t>
      </w:r>
      <w:r>
        <w:rPr>
          <w:rFonts w:ascii="Times New Roman" w:hAnsi="Times New Roman"/>
          <w:sz w:val="20"/>
          <w:u w:val="single"/>
        </w:rPr>
        <w:t>Section 10.2</w:t>
      </w:r>
      <w:r>
        <w:rPr>
          <w:rFonts w:ascii="Times New Roman" w:hAnsi="Times New Roman"/>
          <w:sz w:val="20"/>
        </w:rPr>
        <w:t xml:space="preserve">.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Deferment; Distribution in Kind</w:t>
      </w:r>
      <w:r>
        <w:rPr>
          <w:rFonts w:ascii="Times New Roman" w:hAnsi="Times New Roman"/>
          <w:sz w:val="20"/>
        </w:rPr>
        <w:t xml:space="preserve">. Notwithstanding the provisions of </w:t>
      </w:r>
      <w:r>
        <w:rPr>
          <w:rFonts w:ascii="Times New Roman" w:hAnsi="Times New Roman"/>
          <w:sz w:val="20"/>
          <w:u w:val="single"/>
        </w:rPr>
        <w:t>Section 10.2</w:t>
      </w:r>
      <w:r>
        <w:rPr>
          <w:rFonts w:ascii="Times New Roman" w:hAnsi="Times New Roman"/>
          <w:sz w:val="20"/>
        </w:rPr>
        <w:t xml:space="preserve">, but subject to the order of priorities set forth therein, if upon dissolution of the Company the liquidators determine that an immediate sale of part or all of the Companys assets would be impractical or would result in a materially adverse economic effect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Times New Roman" w:hAnsi="Times New Roman"/>
          <w:sz w:val="20"/>
          <w:u w:val="single"/>
        </w:rPr>
        <w:t>Section 10.2</w:t>
      </w:r>
      <w:r>
        <w:rPr>
          <w:rFonts w:ascii="Times New Roman" w:hAnsi="Times New Roman"/>
          <w:sz w:val="20"/>
        </w:rPr>
        <w:t xml:space="preserve">, the liquidators may, in their sole discretion, distribute to the Members, in lieu of cash, either (a) all or any portion of such remaining Company assets in kind in accordance with the provisions of </w:t>
      </w:r>
      <w:r>
        <w:rPr>
          <w:rFonts w:ascii="Times New Roman" w:hAnsi="Times New Roman"/>
          <w:sz w:val="20"/>
          <w:u w:val="single"/>
        </w:rPr>
        <w:t>Section 10.2</w:t>
      </w:r>
      <w:r>
        <w:rPr>
          <w:rFonts w:ascii="Times New Roman" w:hAnsi="Times New Roman"/>
          <w:sz w:val="20"/>
        </w:rPr>
        <w:t xml:space="preserve">, (b) as tenants in common and in accordance with the provisions of </w:t>
      </w:r>
      <w:r>
        <w:rPr>
          <w:rFonts w:ascii="Times New Roman" w:hAnsi="Times New Roman"/>
          <w:sz w:val="20"/>
          <w:u w:val="single"/>
        </w:rPr>
        <w:t>Section 10.2</w:t>
      </w:r>
      <w:r>
        <w:rPr>
          <w:rFonts w:ascii="Times New Roman" w:hAnsi="Times New Roman"/>
          <w:sz w:val="20"/>
        </w:rPr>
        <w:t xml:space="preserve">,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Cancellation of Certificate</w:t>
      </w:r>
      <w:r>
        <w:rPr>
          <w:rFonts w:ascii="Times New Roman" w:hAnsi="Times New Roman"/>
          <w:sz w:val="20"/>
        </w:rPr>
        <w:t xml:space="preserve">. On completion of the distribution of Company assets as provided herein, the Company is 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hAnsi="Times New Roman"/>
          <w:sz w:val="20"/>
          <w:u w:val="single"/>
        </w:rPr>
        <w:t>Section 10.4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Reasonable Time for Winding Up</w:t>
      </w:r>
      <w:r>
        <w:rPr>
          <w:rFonts w:ascii="Times New Roman" w:hAnsi="Times New Roman"/>
          <w:sz w:val="20"/>
        </w:rPr>
        <w:t xml:space="preserve">. A reasonable time shall be allowed for the orderly winding up of the business and affairs of the Company and the liquidation of its assets pursuant to </w:t>
      </w:r>
      <w:r>
        <w:rPr>
          <w:rFonts w:ascii="Times New Roman" w:hAnsi="Times New Roman"/>
          <w:sz w:val="20"/>
          <w:u w:val="single"/>
        </w:rPr>
        <w:t>Sections</w:t>
      </w:r>
      <w:r>
        <w:rPr>
          <w:rFonts w:ascii="Times New Roman" w:hAnsi="Times New Roman"/>
          <w:sz w:val="20"/>
        </w:rPr>
        <w:t xml:space="preserve"> 10.2 and </w:t>
      </w:r>
      <w:r>
        <w:rPr>
          <w:rFonts w:ascii="Times New Roman" w:hAnsi="Times New Roman"/>
          <w:sz w:val="20"/>
          <w:u w:val="single"/>
        </w:rPr>
        <w:t>10.3</w:t>
      </w:r>
      <w:r>
        <w:rPr>
          <w:rFonts w:ascii="Times New Roman" w:hAnsi="Times New Roman"/>
          <w:sz w:val="20"/>
        </w:rPr>
        <w:t xml:space="preserve"> in order to minimize any losses otherwise attendant upon such winding up.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The Company shall terminate when all of the assets of the Company, after payment of or due provision for all debts, liabilities and obligations of the Company, shall have been distributed to the holders of Common Units in the manner provided for in this </w:t>
      </w:r>
      <w:r>
        <w:rPr>
          <w:rFonts w:ascii="Times New Roman" w:hAnsi="Times New Roman"/>
          <w:sz w:val="20"/>
          <w:u w:val="single"/>
        </w:rPr>
        <w:t>Article X</w:t>
      </w:r>
      <w:r>
        <w:rPr>
          <w:rFonts w:ascii="Times New Roman" w:hAnsi="Times New Roman"/>
          <w:sz w:val="20"/>
        </w:rPr>
        <w:t xml:space="preserve">, and the Certificate shall have been cancelled in the manner required by the Delaware Act.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w:t>
      </w:r>
      <w:r>
        <w:rPr>
          <w:rFonts w:ascii="Times New Roman" w:hAnsi="Times New Roman"/>
          <w:sz w:val="20"/>
        </w:rPr>
        <w:t xml:space="preserve"> </w:t>
      </w:r>
      <w:r>
        <w:rPr>
          <w:rFonts w:ascii="Times New Roman" w:hAnsi="Times New Roman"/>
          <w:b/>
          <w:sz w:val="20"/>
          <w:u w:val="single"/>
        </w:rPr>
        <w:t>Return of Capital</w:t>
      </w:r>
      <w:r>
        <w:rPr>
          <w:rFonts w:ascii="Times New Roman" w:hAnsi="Times New Roman"/>
          <w:sz w:val="20"/>
        </w:rPr>
        <w:t xml:space="preserve">. The liquidators shall not be personally liable for the return of Capital Contributions or any portion thereof to the Members (it being understood that any such return shall be made solely from Company assets).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w:t>
      </w:r>
      <w:r>
        <w:rPr>
          <w:rFonts w:ascii="Times New Roman" w:hAnsi="Times New Roman"/>
          <w:sz w:val="20"/>
        </w:rPr>
        <w:t xml:space="preserve"> </w:t>
      </w:r>
      <w:r>
        <w:rPr>
          <w:rFonts w:ascii="Times New Roman" w:hAnsi="Times New Roman"/>
          <w:b/>
          <w:sz w:val="20"/>
          <w:u w:val="single"/>
        </w:rPr>
        <w:t>Restrictions on Termination Transactions</w:t>
      </w:r>
      <w:r>
        <w:rPr>
          <w:rFonts w:ascii="Times New Roman" w:hAnsi="Times New Roman"/>
          <w:sz w:val="20"/>
        </w:rPr>
        <w:t xml:space="preserve">. The Managing Member shall not engage in, or cause or permit, a Termination Transaction, without the prior written consent of the Required Interest. If contemplated by any such consent of the Required Interest, the Managing Member may require, pursuant to Section 2.5 of the Exchange Agreement, any Member holding Common Units to participate in such Termination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Transaction by delivery of an Election of Exchange (which Election of Exchange shall be deemed delivered to the Company and the Managing Member without any action by such Member, and in any case shall be effective immediately prior to the consummation of such Termination Transaction (and, for the avoidance of doubt, shall be contingent upon such Termination Transaction and not be effective if such Termination Transaction is not consummated)), and all Members holding Common Units shall otherwise take all such actions reasonably requested by the Managing Members that are necessary, proper or advisable in connection with the implementation and consummation of any such Termination Transaction. </w:t>
      </w:r>
    </w:p>
    <w:p>
      <w:pPr>
        <w:pStyle w:val="TextBody"/>
        <w:spacing w:before="480" w:after="0"/>
        <w:jc w:val="center"/>
        <w:rPr>
          <w:rFonts w:ascii="Times New Roman" w:hAnsi="Times New Roman"/>
          <w:b/>
          <w:sz w:val="20"/>
        </w:rPr>
      </w:pPr>
      <w:r>
        <w:rPr>
          <w:rFonts w:ascii="Times New Roman" w:hAnsi="Times New Roman"/>
          <w:b/>
          <w:sz w:val="20"/>
        </w:rPr>
        <w:t xml:space="preserve">ARTICLE XI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LIABILITY AND INDEMNIFICATION </w:t>
      </w:r>
    </w:p>
    <w:p>
      <w:pPr>
        <w:pStyle w:val="TextBody"/>
        <w:spacing w:before="240" w:after="0"/>
        <w:jc w:val="left"/>
        <w:rPr>
          <w:rFonts w:ascii="Times New Roman" w:hAnsi="Times New Roman"/>
          <w:b/>
          <w:sz w:val="20"/>
        </w:rPr>
      </w:pPr>
      <w:r>
        <w:rPr>
          <w:rFonts w:ascii="Times New Roman" w:hAnsi="Times New Roman"/>
          <w:b/>
          <w:sz w:val="20"/>
        </w:rPr>
        <w:t xml:space="preserve">Section 11.1 </w:t>
      </w:r>
      <w:r>
        <w:rPr>
          <w:rFonts w:ascii="Times New Roman" w:hAnsi="Times New Roman"/>
          <w:b/>
          <w:sz w:val="20"/>
          <w:u w:val="single"/>
        </w:rPr>
        <w:t>Liability of Members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Delaware Act. </w:t>
      </w:r>
    </w:p>
    <w:p>
      <w:pPr>
        <w:pStyle w:val="TextBody"/>
        <w:spacing w:before="240" w:after="0"/>
        <w:jc w:val="left"/>
        <w:rPr>
          <w:rFonts w:ascii="Times New Roman" w:hAnsi="Times New Roman"/>
          <w:sz w:val="20"/>
        </w:rPr>
      </w:pPr>
      <w:r>
        <w:rPr>
          <w:rFonts w:ascii="Times New Roman" w:hAnsi="Times New Roman"/>
          <w:sz w:val="20"/>
        </w:rPr>
        <w:t xml:space="preserve">(b) This Agreement is not intended to, and does not, create or impose any duty (including any fiduciary duty) on any of the Members hereto in their capacity as a Member (including Bakkt Pubco in its capacity as a Member)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Member shall have the duty to act in accordance with the implied contractual covenant of good faith and fair dealing. </w:t>
      </w:r>
    </w:p>
    <w:p>
      <w:pPr>
        <w:pStyle w:val="TextBody"/>
        <w:spacing w:before="240" w:after="0"/>
        <w:jc w:val="left"/>
        <w:rPr>
          <w:rFonts w:ascii="Times New Roman" w:hAnsi="Times New Roman"/>
          <w:sz w:val="20"/>
        </w:rPr>
      </w:pPr>
      <w:r>
        <w:rPr>
          <w:rFonts w:ascii="Times New Roman" w:hAnsi="Times New Roman"/>
          <w:sz w:val="20"/>
        </w:rPr>
        <w:t xml:space="preserve">(c) To the extent that, at law or in equity, any Member (including Bakkt Pubco) has duties (including fiduciary duties) and liabilities relating thereto to the Company, to another Member or to another Person who is a party to or is otherwise bound by this Agreement, the Members (including Bakkt Pubco)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except as set forth in </w:t>
      </w:r>
      <w:r>
        <w:rPr>
          <w:rFonts w:ascii="Times New Roman" w:hAnsi="Times New Roman"/>
          <w:sz w:val="20"/>
          <w:u w:val="single"/>
        </w:rPr>
        <w:t>Section 6.1(b)</w:t>
      </w:r>
      <w:r>
        <w:rPr>
          <w:rFonts w:ascii="Times New Roman" w:hAnsi="Times New Roman"/>
          <w:sz w:val="20"/>
        </w:rPr>
        <w:t xml:space="preserve">, Bakkt Pubco) otherwise existing at law or in equity, are agreed by the Members to replace to that extent such other duties and liabilities of the Members relating thereto (including Bakkt Pubco). </w:t>
      </w:r>
    </w:p>
    <w:p>
      <w:pPr>
        <w:pStyle w:val="TextBody"/>
        <w:spacing w:before="240" w:after="0"/>
        <w:jc w:val="left"/>
        <w:rPr>
          <w:rFonts w:ascii="Times New Roman" w:hAnsi="Times New Roman"/>
          <w:sz w:val="20"/>
        </w:rPr>
      </w:pPr>
      <w:r>
        <w:rPr>
          <w:rFonts w:ascii="Times New Roman" w:hAnsi="Times New Roman"/>
          <w:sz w:val="20"/>
        </w:rPr>
        <w:t xml:space="preserve">(d) 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 </w:t>
      </w:r>
    </w:p>
    <w:p>
      <w:pPr>
        <w:pStyle w:val="TextBody"/>
        <w:spacing w:before="240" w:after="0"/>
        <w:jc w:val="left"/>
        <w:rPr>
          <w:rFonts w:ascii="Times New Roman" w:hAnsi="Times New Roman"/>
          <w:sz w:val="20"/>
        </w:rPr>
      </w:pPr>
      <w:r>
        <w:rPr>
          <w:rFonts w:ascii="Times New Roman" w:hAnsi="Times New Roman"/>
          <w:sz w:val="20"/>
        </w:rPr>
        <w:t xml:space="preserve">(e) Notwithstanding any other provision of this Agreement or other applicable provision of law or equity, whenever in this Agreement the Managing Member (including Bakkt Pubco) is permitted or required to make a decision (i) in its sole discretion or under a grant of similar authority or latitude, the Managing Member shall be entitled to consider only such interests and factors as it desires (subject to </w:t>
      </w:r>
      <w:r>
        <w:rPr>
          <w:rFonts w:ascii="Times New Roman" w:hAnsi="Times New Roman"/>
          <w:sz w:val="20"/>
          <w:u w:val="single"/>
        </w:rPr>
        <w:t>Section 6.1(b)</w:t>
      </w:r>
      <w:r>
        <w:rPr>
          <w:rFonts w:ascii="Times New Roman" w:hAnsi="Times New Roman"/>
          <w:sz w:val="20"/>
        </w:rPr>
        <w:t xml:space="preserve">), including its own interests, and shall, to the fullest extent permitted by applicable Law, have no duty or obligation to give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consideration to any interest of or factors affecting the Company or the Members, or (ii) in its good faith or under another expressed standard, the Managing Member shall act under such express standard and shall not be subject to any other or different standards.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Exculpation and Indemnification</w:t>
      </w:r>
      <w:r>
        <w:rPr>
          <w:rFonts w:ascii="Times New Roman" w:hAnsi="Times New Roman"/>
          <w:sz w:val="20"/>
        </w:rPr>
        <w:t>. To the fullest extent permitted by applicable Law, as the same exists or may hereafter be amended, the Company shall indemnify and hold harmless any Indemnitee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b/>
          <w:i/>
          <w:sz w:val="20"/>
        </w:rPr>
        <w:t>Proceeding</w:t>
      </w:r>
      <w:r>
        <w:rPr>
          <w:rFonts w:ascii="Times New Roman" w:hAnsi="Times New Roman"/>
          <w:sz w:val="20"/>
        </w:rPr>
        <w:t xml:space="preserve">) by reason of his or her or its status as an Indemnitee against all liability and loss suffered and expenses (including, without limitation, attorneys fees, judgments, fines and amounts paid in settlement) reasonably incurred by such Indemnitee in connection with such action, suit or Proceeding. The Company shall to the fullest extent not prohibited by applicable Law, pay the expenses (including attorneys fees) incurred by an Indemnitee in defending or otherwise participating in any Proceeding in advance of its final disposition; </w:t>
      </w:r>
      <w:r>
        <w:rPr>
          <w:rFonts w:ascii="Times New Roman" w:hAnsi="Times New Roman"/>
          <w:i/>
          <w:sz w:val="20"/>
        </w:rPr>
        <w:t>provided, 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hAnsi="Times New Roman"/>
          <w:sz w:val="20"/>
          <w:u w:val="single"/>
        </w:rPr>
        <w:t>Section 11.2(a)</w:t>
      </w:r>
      <w:r>
        <w:rPr>
          <w:rFonts w:ascii="Times New Roman" w:hAnsi="Times New Roman"/>
          <w:sz w:val="20"/>
        </w:rPr>
        <w:t xml:space="preserve"> or otherwise. Notwithstanding the foregoing provisions of this </w:t>
      </w:r>
      <w:r>
        <w:rPr>
          <w:rFonts w:ascii="Times New Roman" w:hAnsi="Times New Roman"/>
          <w:sz w:val="20"/>
          <w:u w:val="single"/>
        </w:rPr>
        <w:t>Section 11.2(a)</w:t>
      </w:r>
      <w:r>
        <w:rPr>
          <w:rFonts w:ascii="Times New Roman" w:hAnsi="Times New Roman"/>
          <w:sz w:val="20"/>
        </w:rPr>
        <w:t xml:space="preserve">, except for Proceedings to enforce rights to indemnification and advancement of expenses, the Company shall indemnify and advance expenses to an Indemnitee in connection with a Proceeding (or part thereof) initiated by such Indemnitee only if such Proceeding (or part thereof) was authorized by the Managing Member.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of Indemnitee to Bring Suit</w:t>
      </w:r>
      <w:r>
        <w:rPr>
          <w:rFonts w:ascii="Times New Roman" w:hAnsi="Times New Roman"/>
          <w:sz w:val="20"/>
        </w:rPr>
        <w:t xml:space="preserve">. If a claim for indemnification (following the final disposition of such Proceeding) or advancement of expenses under this Section 11.2 is not paid in full by the Company within (i) sixty (60) days after a written claim for indemnification has been received by the Company or (ii) twenty (20) days after a claim for an advancement of expenses has been received by the Company, such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the Indemnitee shall be entitled to be paid also the expense of prosecuting or defending such suit. bcvIn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w:t>
      </w:r>
      <w:r>
        <w:rPr>
          <w:rFonts w:ascii="Times New Roman" w:hAnsi="Times New Roman"/>
          <w:sz w:val="20"/>
          <w:u w:val="single"/>
        </w:rPr>
        <w:t>Article XI</w:t>
      </w:r>
      <w:r>
        <w:rPr>
          <w:rFonts w:ascii="Times New Roman" w:hAnsi="Times New Roman"/>
          <w:sz w:val="20"/>
        </w:rPr>
        <w:t xml:space="preserve"> or otherwise shall be on the Company.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Non-Exclusivity of Rights; Indemnification by Other Persons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 The provisions of indemnification to or the advancement of expenses and costs to any Indemnitee under this </w:t>
      </w:r>
      <w:r>
        <w:rPr>
          <w:rFonts w:ascii="Times New Roman" w:hAnsi="Times New Roman"/>
          <w:sz w:val="20"/>
          <w:u w:val="single"/>
        </w:rPr>
        <w:t>Article XI</w:t>
      </w:r>
      <w:r>
        <w:rPr>
          <w:rFonts w:ascii="Times New Roman" w:hAnsi="Times New Roman"/>
          <w:sz w:val="20"/>
        </w:rPr>
        <w:t xml:space="preserve">, or the entitlement of any Indemnitee to any indemnification or advancement of expenses and costs under this </w:t>
      </w:r>
      <w:r>
        <w:rPr>
          <w:rFonts w:ascii="Times New Roman" w:hAnsi="Times New Roman"/>
          <w:sz w:val="20"/>
          <w:u w:val="single"/>
        </w:rPr>
        <w:t>Article XI</w:t>
      </w:r>
      <w:r>
        <w:rPr>
          <w:rFonts w:ascii="Times New Roman" w:hAnsi="Times New Roman"/>
          <w:sz w:val="20"/>
        </w:rPr>
        <w:t xml:space="preserve">, shall not limit or restrict in any way the power of the Company to indemnity or advance expenses and costs to such Indemnitee in any way other than permitted by Law or be deemed to be exclusive of, or invalidate, any right to which any indemnitee seeking indemnification or advancement of expenses and costs may be entitled under any Law, agreement, vote of Members or otherwise, both as to action in the capacity in which such Indemnitee serves and as to action in any other capacity. </w:t>
      </w:r>
    </w:p>
    <w:p>
      <w:pPr>
        <w:pStyle w:val="TextBody"/>
        <w:spacing w:before="240" w:after="0"/>
        <w:jc w:val="left"/>
        <w:rPr>
          <w:rFonts w:ascii="Times New Roman" w:hAnsi="Times New Roman"/>
          <w:sz w:val="20"/>
        </w:rPr>
      </w:pPr>
      <w:r>
        <w:rPr>
          <w:rFonts w:ascii="Times New Roman" w:hAnsi="Times New Roman"/>
          <w:sz w:val="20"/>
        </w:rPr>
        <w:t xml:space="preserve">(ii) Given that certain Jointly Indemnifiable Claims may arise due to the service of the Indemnitee or other enterprise at the request of the Indemnitee-Related Entities (as defined below), the Company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hAnsi="Times New Roman"/>
          <w:sz w:val="20"/>
          <w:u w:val="single"/>
        </w:rPr>
        <w:t>Article XI</w:t>
      </w:r>
      <w:r>
        <w:rPr>
          <w:rFonts w:ascii="Times New Roman" w:hAnsi="Times New Roman"/>
          <w:sz w:val="20"/>
        </w:rPr>
        <w:t xml:space="preserve">, irrespective of any right of recovery the Indemnitee may have from the Indemnitee-Related Entities. Under no circumstance shall the Company be entitled to any right of subrogation against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contribution by the Indemnitee-Related Entities and no right of advancement, indemnification or recovery the Indemnitee may have from the Indemnitee-Related Entities shall reduce or otherwise alter the rights of the Indemnitee or the obligations of the Company under this </w:t>
      </w:r>
      <w:r>
        <w:rPr>
          <w:rFonts w:ascii="Times New Roman" w:hAnsi="Times New Roman"/>
          <w:sz w:val="20"/>
          <w:u w:val="single"/>
        </w:rPr>
        <w:t>Article XI</w:t>
      </w:r>
      <w:r>
        <w:rPr>
          <w:rFonts w:ascii="Times New Roman" w:hAnsi="Times New Roman"/>
          <w:sz w:val="20"/>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hAnsi="Times New Roman"/>
          <w:sz w:val="20"/>
          <w:u w:val="single"/>
        </w:rPr>
        <w:t>Section 11.2(c)(ii)</w:t>
      </w:r>
      <w:r>
        <w:rPr>
          <w:rFonts w:ascii="Times New Roman" w:hAnsi="Times New Roman"/>
          <w:sz w:val="20"/>
        </w:rPr>
        <w:t xml:space="preserve">, entitled to enforce this </w:t>
      </w:r>
      <w:r>
        <w:rPr>
          <w:rFonts w:ascii="Times New Roman" w:hAnsi="Times New Roman"/>
          <w:sz w:val="20"/>
          <w:u w:val="single"/>
        </w:rPr>
        <w:t>Section 11.2(c)(ii)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Rights</w:t>
      </w:r>
      <w:r>
        <w:rPr>
          <w:rFonts w:ascii="Times New Roman" w:hAnsi="Times New Roman"/>
          <w:sz w:val="20"/>
        </w:rPr>
        <w:t xml:space="preserve">. The rights conferred upon Indemnitees in this </w:t>
      </w:r>
      <w:r>
        <w:rPr>
          <w:rFonts w:ascii="Times New Roman" w:hAnsi="Times New Roman"/>
          <w:sz w:val="20"/>
          <w:u w:val="single"/>
        </w:rPr>
        <w:t>Article XI</w:t>
      </w:r>
      <w:r>
        <w:rPr>
          <w:rFonts w:ascii="Times New Roman" w:hAnsi="Times New Roman"/>
          <w:sz w:val="20"/>
        </w:rPr>
        <w:t xml:space="preserve"> shall continue as to an Indemnitee who has ceased to have status as an Indemnitee and shall inure to the benefit of the Indemnitees successors, heirs, executors and administrators. Any amendment, alteration or repeal of this </w:t>
      </w:r>
      <w:r>
        <w:rPr>
          <w:rFonts w:ascii="Times New Roman" w:hAnsi="Times New Roman"/>
          <w:sz w:val="20"/>
          <w:u w:val="single"/>
        </w:rPr>
        <w:t>Article XI</w:t>
      </w:r>
      <w:r>
        <w:rPr>
          <w:rFonts w:ascii="Times New Roman" w:hAnsi="Times New Roman"/>
          <w:sz w:val="20"/>
        </w:rPr>
        <w:t xml:space="preserve"> that adversely affects any right of an Indemnitee or its successors shall be prospective only (except to the extent such amendment or change in Law permits the Company to provide broader indemnification rights to all such parties on a retroactive basis than permitted prior thereto) and shall not limit, eliminate or impair any such right with respect to any proceedings involving any occurrence or alleged occurrence of any action or omission to act that took place prior to such amendment or repeal.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Insurance</w:t>
      </w:r>
      <w:r>
        <w:rPr>
          <w:rFonts w:ascii="Times New Roman" w:hAnsi="Times New Roman"/>
          <w:sz w:val="20"/>
        </w:rPr>
        <w:t xml:space="preserve">. The Company may purchase and maintain insurance, at its expense, on its own behalf or on behalf of any Person described in </w:t>
      </w:r>
      <w:r>
        <w:rPr>
          <w:rFonts w:ascii="Times New Roman" w:hAnsi="Times New Roman"/>
          <w:sz w:val="20"/>
          <w:u w:val="single"/>
        </w:rPr>
        <w:t>Section 11.2(a)</w:t>
      </w:r>
      <w:r>
        <w:rPr>
          <w:rFonts w:ascii="Times New Roman" w:hAnsi="Times New Roman"/>
          <w:sz w:val="20"/>
        </w:rPr>
        <w:t xml:space="preserve"> against any expense, liability or loss asserted against such Person, whether or not the Company would have the power to indemnify such Person against such expense, liability or loss under the provisions of this </w:t>
      </w:r>
      <w:r>
        <w:rPr>
          <w:rFonts w:ascii="Times New Roman" w:hAnsi="Times New Roman"/>
          <w:sz w:val="20"/>
          <w:u w:val="single"/>
        </w:rPr>
        <w:t>Section 11.2</w:t>
      </w:r>
      <w:r>
        <w:rPr>
          <w:rFonts w:ascii="Times New Roman" w:hAnsi="Times New Roman"/>
          <w:sz w:val="20"/>
        </w:rPr>
        <w:t xml:space="preserve"> or otherwise. </w:t>
      </w:r>
    </w:p>
    <w:p>
      <w:pPr>
        <w:pStyle w:val="TextBody"/>
        <w:spacing w:before="480" w:after="0"/>
        <w:jc w:val="center"/>
        <w:rPr>
          <w:rFonts w:ascii="Times New Roman" w:hAnsi="Times New Roman"/>
          <w:b/>
          <w:sz w:val="20"/>
        </w:rPr>
      </w:pPr>
      <w:r>
        <w:rPr>
          <w:rFonts w:ascii="Times New Roman" w:hAnsi="Times New Roman"/>
          <w:b/>
          <w:sz w:val="20"/>
        </w:rPr>
        <w:t xml:space="preserve">ARTICLE XII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GENERAL PROVISIONS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w:t>
      </w:r>
      <w:r>
        <w:rPr>
          <w:rFonts w:ascii="Times New Roman" w:hAnsi="Times New Roman"/>
          <w:sz w:val="20"/>
        </w:rPr>
        <w:t xml:space="preserve"> </w:t>
      </w:r>
      <w:r>
        <w:rPr>
          <w:rFonts w:ascii="Times New Roman" w:hAnsi="Times New Roman"/>
          <w:b/>
          <w:sz w:val="20"/>
          <w:u w:val="single"/>
        </w:rPr>
        <w:t>Amendments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This Agreement (including the Exhibits and Schedules hereto) may be amended, supplemented, waived or modified by the written consent of the (i) the Managing Member, and (ii) the Required Interest; </w:t>
      </w:r>
      <w:r>
        <w:rPr>
          <w:rFonts w:ascii="Times New Roman" w:hAnsi="Times New Roman"/>
          <w:i/>
          <w:sz w:val="20"/>
        </w:rPr>
        <w:t>provided</w:t>
      </w:r>
      <w:r>
        <w:rPr>
          <w:rFonts w:ascii="Times New Roman" w:hAnsi="Times New Roman"/>
          <w:sz w:val="20"/>
        </w:rPr>
        <w:t xml:space="preserve"> that no amendment, including any amendment effected by way of merger, consolidation or transfer of all or substantially all the assets of the Company, may adversely affect the rights of a holder of Common Units, as such, in a manner that is disproportionate to the effect on all other similarly situated holders of Common Units, without the consent of such holder (or, if there is more than one such holder that is so affected, without the consent of a majority in interest of such affected holders in accordance with their holdings of such Common Units).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 </w:t>
      </w:r>
    </w:p>
    <w:p>
      <w:pPr>
        <w:pStyle w:val="TextBody"/>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12.2</w:t>
      </w:r>
      <w:r>
        <w:rPr>
          <w:rFonts w:ascii="Times New Roman" w:hAnsi="Times New Roman"/>
          <w:sz w:val="20"/>
        </w:rPr>
        <w:t xml:space="preserve"> </w:t>
      </w:r>
      <w:r>
        <w:rPr>
          <w:rFonts w:ascii="Times New Roman" w:hAnsi="Times New Roman"/>
          <w:b/>
          <w:sz w:val="20"/>
          <w:u w:val="single"/>
        </w:rPr>
        <w:t>Confidentiality</w:t>
      </w:r>
      <w:r>
        <w:rPr>
          <w:rFonts w:ascii="Times New Roman" w:hAnsi="Times New Roman"/>
          <w:sz w:val="20"/>
        </w:rPr>
        <w:t>. Each Member recognizes and acknowledges that it has and may in the future receive certain confidential, non-public and proprietary information and trade secrets of the Company and its Subsidiaries, including, but not limited to, confidential information of the Company and its Subsidiaries regarding identifiable, specific and discrete business opportunities being pursued by the Company or its Subsidiaries (the </w:t>
      </w:r>
      <w:r>
        <w:rPr>
          <w:rFonts w:ascii="Times New Roman" w:hAnsi="Times New Roman"/>
          <w:b/>
          <w:i/>
          <w:sz w:val="20"/>
        </w:rPr>
        <w:t>Confidential Information</w:t>
      </w:r>
      <w:r>
        <w:rPr>
          <w:rFonts w:ascii="Times New Roman" w:hAnsi="Times New Roman"/>
          <w:sz w:val="20"/>
        </w:rPr>
        <w:t>). Except as otherwise consented to in writing by the Managing Member in its sole discretion, each Member (on behalf of itself, its Affiliates and each of their respective directors, officers, shareholders, partners, employees, agents and members (the </w:t>
      </w:r>
      <w:r>
        <w:rPr>
          <w:rFonts w:ascii="Times New Roman" w:hAnsi="Times New Roman"/>
          <w:b/>
          <w:i/>
          <w:sz w:val="20"/>
        </w:rPr>
        <w:t>Representatives</w:t>
      </w:r>
      <w:r>
        <w:rPr>
          <w:rFonts w:ascii="Times New Roman" w:hAnsi="Times New Roman"/>
          <w:sz w:val="20"/>
        </w:rPr>
        <w:t xml:space="preserve">)) agrees that it will not and will cause its respective Representatives not to, during or after the term of this Agreement, whether directly or indirectly through an Affiliate or otherwise, disclose Confidential Information to any Person for any reason or purpose whatsoever, except (i) to authorized directors, officers, Representatives, agents and employees of the Company or its Subsidiaries and as otherwise may be proper in the course of performing such Members obligations, or enforcing such Members rights, under this Agreement and the agreements expressly contemplated hereby; (ii) in connection with such Members or such Members Affiliates normal fundraising, marketing, informational or reporting activities, or to such Members (or any of its Affiliates) Affiliates, auditors, accountants, attorneys or other agents, in each case so long as the recipient is subject to a similar duty of confidentiality to such Member; (iii) subject to </w:t>
      </w:r>
      <w:r>
        <w:rPr>
          <w:rFonts w:ascii="Times New Roman" w:hAnsi="Times New Roman"/>
          <w:sz w:val="20"/>
          <w:u w:val="single"/>
        </w:rPr>
        <w:t>Article IX</w:t>
      </w:r>
      <w:r>
        <w:rPr>
          <w:rFonts w:ascii="Times New Roman" w:hAnsi="Times New Roman"/>
          <w:sz w:val="20"/>
        </w:rPr>
        <w:t xml:space="preserve">, to any bona fide prospective purchaser of the equity or assets of such Member or its Affiliates or the Common Units held by such Member, or prospective merger partner of such Member or its Affiliates; </w:t>
      </w:r>
      <w:r>
        <w:rPr>
          <w:rFonts w:ascii="Times New Roman" w:hAnsi="Times New Roman"/>
          <w:i/>
          <w:sz w:val="20"/>
        </w:rPr>
        <w:t>provided</w:t>
      </w:r>
      <w:r>
        <w:rPr>
          <w:rFonts w:ascii="Times New Roman" w:hAnsi="Times New Roman"/>
          <w:sz w:val="20"/>
        </w:rPr>
        <w:t xml:space="preserve"> that such purchaser or merger partner agrees to be bound by a customary confidentiality agreement with terms comparable to the terms of this </w:t>
      </w:r>
      <w:r>
        <w:rPr>
          <w:rFonts w:ascii="Times New Roman" w:hAnsi="Times New Roman"/>
          <w:sz w:val="20"/>
          <w:u w:val="single"/>
        </w:rPr>
        <w:t>Section 12.2</w:t>
      </w:r>
      <w:r>
        <w:rPr>
          <w:rFonts w:ascii="Times New Roman" w:hAnsi="Times New Roman"/>
          <w:sz w:val="20"/>
        </w:rPr>
        <w:t xml:space="preserve">; or (iv) as is required to be disclosed by order of a court of competent jurisdiction, administrative body or governmental body, or by subpoena, summons or legal process, or by Law, rule or regulation, including the requirements of any national stock exchange on which its shares may be listed; </w:t>
      </w:r>
      <w:r>
        <w:rPr>
          <w:rFonts w:ascii="Times New Roman" w:hAnsi="Times New Roman"/>
          <w:i/>
          <w:sz w:val="20"/>
        </w:rPr>
        <w:t>provided</w:t>
      </w:r>
      <w:r>
        <w:rPr>
          <w:rFonts w:ascii="Times New Roman" w:hAnsi="Times New Roman"/>
          <w:sz w:val="20"/>
        </w:rPr>
        <w:t xml:space="preserve"> that the Member required to make such disclosure pursuant to </w:t>
      </w:r>
      <w:r>
        <w:rPr>
          <w:rFonts w:ascii="Times New Roman" w:hAnsi="Times New Roman"/>
          <w:sz w:val="20"/>
          <w:u w:val="single"/>
        </w:rPr>
        <w:t>clause (iv)</w:t>
      </w:r>
      <w:r>
        <w:rPr>
          <w:rFonts w:ascii="Times New Roman" w:hAnsi="Times New Roman"/>
          <w:sz w:val="20"/>
        </w:rPr>
        <w:t xml:space="preserve"> above shall promptly notify the Company in writing of the existence, terms, and circumstances surrounding such required disclosure so that the Company may seek a protective order or other appropriate relief from the proper authority. The Member required to make such disclosure pursuant to </w:t>
      </w:r>
      <w:r>
        <w:rPr>
          <w:rFonts w:ascii="Times New Roman" w:hAnsi="Times New Roman"/>
          <w:sz w:val="20"/>
          <w:u w:val="single"/>
        </w:rPr>
        <w:t>clause (iv)</w:t>
      </w:r>
      <w:r>
        <w:rPr>
          <w:rFonts w:ascii="Times New Roman" w:hAnsi="Times New Roman"/>
          <w:sz w:val="20"/>
        </w:rPr>
        <w:t xml:space="preserve"> above shall also cooperate with the Company in seeking such order or other relief. If the Member required to make such disclosure pursuant to </w:t>
      </w:r>
      <w:r>
        <w:rPr>
          <w:rFonts w:ascii="Times New Roman" w:hAnsi="Times New Roman"/>
          <w:sz w:val="20"/>
          <w:u w:val="single"/>
        </w:rPr>
        <w:t>clause (iv)</w:t>
      </w:r>
      <w:r>
        <w:rPr>
          <w:rFonts w:ascii="Times New Roman" w:hAnsi="Times New Roman"/>
          <w:sz w:val="20"/>
        </w:rPr>
        <w:t xml:space="preserve"> above is nonetheless required to disclose the Companys Confidential Information, it will furnish only that portion of the Confidential Information that is legally required and will exercise all reasonable efforts to obtain reliable assurances that such Confidential Information will be treated confidentially to the extent possible. For purposes of this </w:t>
      </w:r>
      <w:r>
        <w:rPr>
          <w:rFonts w:ascii="Times New Roman" w:hAnsi="Times New Roman"/>
          <w:sz w:val="20"/>
          <w:u w:val="single"/>
        </w:rPr>
        <w:t>Section 12.2</w:t>
      </w:r>
      <w:r>
        <w:rPr>
          <w:rFonts w:ascii="Times New Roman" w:hAnsi="Times New Roman"/>
          <w:sz w:val="20"/>
        </w:rPr>
        <w:t>, the term </w:t>
      </w:r>
      <w:r>
        <w:rPr>
          <w:rFonts w:ascii="Times New Roman" w:hAnsi="Times New Roman"/>
          <w:b/>
          <w:i/>
          <w:sz w:val="20"/>
        </w:rPr>
        <w:t>Confidential Information</w:t>
      </w:r>
      <w:r>
        <w:rPr>
          <w:rFonts w:ascii="Times New Roman" w:hAnsi="Times New Roman"/>
          <w:sz w:val="20"/>
        </w:rPr>
        <w:t xml:space="preserve"> shall not include any information of which (x) such Person learns from a source other than the Company or its Subsidiaries, or any of their respective Representatives, employees, agents or other service providers, and in each case who is not known by such Person to be bound by a confidentiality obligation, (y) is disclosed in a prospectus or other documents for dissemination to the public or (z) is or has been independently developed or conceived by such Person without use of the Companys confidential information, as proved by documents and other competent evidence in the Persons possession. Nothing in this </w:t>
      </w:r>
      <w:r>
        <w:rPr>
          <w:rFonts w:ascii="Times New Roman" w:hAnsi="Times New Roman"/>
          <w:sz w:val="20"/>
          <w:u w:val="single"/>
        </w:rPr>
        <w:t>Section 12.2</w:t>
      </w:r>
      <w:r>
        <w:rPr>
          <w:rFonts w:ascii="Times New Roman" w:hAnsi="Times New Roman"/>
          <w:sz w:val="20"/>
        </w:rPr>
        <w:t xml:space="preserve"> shall (x) in any way limit or otherwise modify any confidentiality covenants entered into by any employee of the Company or its Subsidiaries pursuant to any other agreement entered into with the Company or any of its Subsidiaries, or (y) apply to or otherwise restrict the Managing Member, in its capacity as the Managing Member or as a Member. Notwithstanding anything to the contrary herein, (i) each Member may disclose Confidential Information to any federal, state, local or foreign regulatory or self-regulatory body, or any securities exchange or listing authority, as part of a routine audit not targeted at such Confidential Information without providing notice to any other party hereto and (ii) nothing herein shall prohibit a Member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 The Company may pursue any and all rights and remedies any of them may have to enforce the obligations of the Members under this </w:t>
      </w:r>
      <w:r>
        <w:rPr>
          <w:rFonts w:ascii="Times New Roman" w:hAnsi="Times New Roman"/>
          <w:sz w:val="20"/>
          <w:u w:val="single"/>
        </w:rPr>
        <w:t>Section 12.2</w:t>
      </w:r>
      <w:r>
        <w:rPr>
          <w:rFonts w:ascii="Times New Roman" w:hAnsi="Times New Roman"/>
          <w:sz w:val="20"/>
        </w:rPr>
        <w:t xml:space="preserve">, including seeking specific performance and/or immediate injunctive or other equitable relief from any court of competent jurisdiction (without the necessity of showing actual money damages, or posting any bond or other security) in order to enforce or prevent any violation of the provisions of this </w:t>
      </w:r>
      <w:r>
        <w:rPr>
          <w:rFonts w:ascii="Times New Roman" w:hAnsi="Times New Roman"/>
          <w:sz w:val="20"/>
          <w:u w:val="single"/>
        </w:rPr>
        <w:t>Section 12.2</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12.3</w:t>
      </w:r>
      <w:r>
        <w:rPr>
          <w:rFonts w:ascii="Times New Roman" w:hAnsi="Times New Roman"/>
          <w:sz w:val="20"/>
        </w:rPr>
        <w:t xml:space="preserve"> </w:t>
      </w:r>
      <w:r>
        <w:rPr>
          <w:rFonts w:ascii="Times New Roman" w:hAnsi="Times New Roman"/>
          <w:b/>
          <w:sz w:val="20"/>
          <w:u w:val="single"/>
        </w:rPr>
        <w:t>Title to Company Assets</w:t>
      </w:r>
      <w:r>
        <w:rPr>
          <w:rFonts w:ascii="Times New Roman" w:hAnsi="Times New Roman"/>
          <w:sz w:val="20"/>
        </w:rPr>
        <w:t xml:space="preserve">. Company assets shall be deemed to be owned by the Company as an entity, and no Member, individually or collectively, shall have any ownership interest in such Company assets or any portion thereof. Legal title to any or all Company assets may be held only in the name of the Company or a wholly owned Subsidiary of the Company. All Company assets shall be recorded as the property of the Company on its books and records, irrespective of the name in which legal title to such Company assets is held.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12.4</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demands or other communications to be given or delivered under or by reason of the provisions of this Agreement shall be in writing and shall be deemed to have been given or made when (a) delivered personally to the recipient, (b) facsimiled or electronically transmitted to the recipient if facsimiled or electronically transmitted before 5:00 p.m. local time of the recipient on a Business Day, and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(which shall, in the case of the Members, initially be the addresses set forth on the </w:t>
      </w:r>
      <w:r>
        <w:rPr>
          <w:rFonts w:ascii="Times New Roman" w:hAnsi="Times New Roman"/>
          <w:sz w:val="20"/>
          <w:u w:val="single"/>
        </w:rPr>
        <w:t>Schedule of Members</w:t>
      </w:r>
      <w:r>
        <w:rPr>
          <w:rFonts w:ascii="Times New Roman" w:hAnsi="Times New Roman"/>
          <w:sz w:val="20"/>
        </w:rPr>
        <w:t xml:space="preserve">), or to such other address or to the attention of such other Person as the recipient party has specified by prior written notice to the sending party. Any notice to the Managing Member or the Company shall be deemed given if received by the Company (attention: Company Secretary) at the principal office of the Company designated from time to time pursuant to </w:t>
      </w:r>
      <w:r>
        <w:rPr>
          <w:rFonts w:ascii="Times New Roman" w:hAnsi="Times New Roman"/>
          <w:sz w:val="20"/>
          <w:u w:val="single"/>
        </w:rPr>
        <w:t>Section 2.5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12.5</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their heirs, executors, administrators, successors, legal representatives and permitted assigns.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12.6</w:t>
      </w:r>
      <w:r>
        <w:rPr>
          <w:rFonts w:ascii="Times New Roman" w:hAnsi="Times New Roman"/>
          <w:sz w:val="20"/>
        </w:rPr>
        <w:t xml:space="preserve"> </w:t>
      </w:r>
      <w:r>
        <w:rPr>
          <w:rFonts w:ascii="Times New Roman" w:hAnsi="Times New Roman"/>
          <w:b/>
          <w:sz w:val="20"/>
          <w:u w:val="single"/>
        </w:rPr>
        <w:t>Creditors</w:t>
      </w:r>
      <w:r>
        <w:rPr>
          <w:rFonts w:ascii="Times New Roman" w:hAnsi="Times New Roman"/>
          <w:sz w:val="20"/>
        </w:rPr>
        <w:t xml:space="preserve">.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other than as a secured creditor.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12.7</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w:t>
      </w:r>
    </w:p>
    <w:p>
      <w:pPr>
        <w:pStyle w:val="TextBody"/>
        <w:spacing w:before="240" w:after="0"/>
        <w:jc w:val="left"/>
        <w:rPr>
          <w:rFonts w:ascii="Times New Roman" w:hAnsi="Times New Roman"/>
          <w:sz w:val="20"/>
        </w:rPr>
      </w:pPr>
      <w:r>
        <w:rPr>
          <w:rFonts w:ascii="Times New Roman" w:hAnsi="Times New Roman"/>
          <w:b/>
          <w:sz w:val="20"/>
        </w:rPr>
        <w:t xml:space="preserve">Section 12.8 </w:t>
      </w:r>
      <w:r>
        <w:rPr>
          <w:rFonts w:ascii="Times New Roman" w:hAnsi="Times New Roman"/>
          <w:b/>
          <w:sz w:val="20"/>
          <w:u w:val="single"/>
        </w:rPr>
        <w:t>Counterparts</w:t>
      </w:r>
      <w:r>
        <w:rPr>
          <w:rFonts w:ascii="Times New Roman" w:hAnsi="Times New Roman"/>
          <w:sz w:val="20"/>
        </w:rPr>
        <w:t xml:space="preserve">. This Agreement may be executed in separate counterparts, each of which will be an original and all of which together shall constitute one and the same agreement binding on all the parties hereto.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12.9</w:t>
      </w:r>
      <w:r>
        <w:rPr>
          <w:rFonts w:ascii="Times New Roman" w:hAnsi="Times New Roman"/>
          <w:sz w:val="20"/>
        </w:rPr>
        <w:t xml:space="preserve"> </w:t>
      </w:r>
      <w:r>
        <w:rPr>
          <w:rFonts w:ascii="Times New Roman" w:hAnsi="Times New Roman"/>
          <w:b/>
          <w:sz w:val="20"/>
          <w:u w:val="single"/>
        </w:rPr>
        <w:t>Governing Law; Waiver of Jury Trial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applicable to contracts executed in and to be performed in that state and without regard to any applicable conflicts of law. Notwithstanding the foregoing, the Federal Arbitration Act will govern the arbitration provisions of this Agreement. </w:t>
      </w:r>
    </w:p>
    <w:p>
      <w:pPr>
        <w:pStyle w:val="TextBody"/>
        <w:spacing w:before="240" w:after="0"/>
        <w:jc w:val="left"/>
        <w:rPr>
          <w:rFonts w:ascii="Times New Roman" w:hAnsi="Times New Roman"/>
          <w:sz w:val="20"/>
        </w:rPr>
      </w:pPr>
      <w:r>
        <w:rPr>
          <w:rFonts w:ascii="Times New Roman" w:hAnsi="Times New Roman"/>
          <w:sz w:val="20"/>
        </w:rPr>
        <w:t xml:space="preserve">(B) EACH PARTY HERETO HEREBY WAIVES ITS RIGHTS TO A JURY TRIAL OF ANY CLAIM OR CAUSE OF ACTION BASED UPON OR ARISING OUT OF THIS AGREEMENT, THE UNITS OR THE SUBJECT MATTER HEREOF.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12.10</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12.11</w:t>
      </w:r>
      <w:r>
        <w:rPr>
          <w:rFonts w:ascii="Times New Roman" w:hAnsi="Times New Roman"/>
          <w:sz w:val="20"/>
        </w:rPr>
        <w:t xml:space="preserve"> </w:t>
      </w:r>
      <w:r>
        <w:rPr>
          <w:rFonts w:ascii="Times New Roman" w:hAnsi="Times New Roman"/>
          <w:b/>
          <w:sz w:val="20"/>
          <w:u w:val="single"/>
        </w:rPr>
        <w:t>Further Action</w:t>
      </w:r>
      <w:r>
        <w:rPr>
          <w:rFonts w:ascii="Times New Roman" w:hAnsi="Times New Roman"/>
          <w:sz w:val="20"/>
        </w:rPr>
        <w:t xml:space="preserve">. The parties shall execute and deliver all documents, provide all information and take or refrain from taking such actions as may be necessary or appropriate to achieve the purposes of this Agreement. </w:t>
      </w:r>
    </w:p>
    <w:p>
      <w:pPr>
        <w:pStyle w:val="TextBody"/>
        <w:spacing w:before="240" w:after="0"/>
        <w:jc w:val="left"/>
        <w:rPr>
          <w:rFonts w:ascii="Times New Roman" w:hAnsi="Times New Roman"/>
          <w:sz w:val="20"/>
        </w:rPr>
      </w:pPr>
      <w:r>
        <w:rPr>
          <w:rFonts w:ascii="Times New Roman" w:hAnsi="Times New Roman"/>
          <w:b/>
          <w:sz w:val="20"/>
        </w:rPr>
        <w:t xml:space="preserve">Section 12.12 </w:t>
      </w:r>
      <w:r>
        <w:rPr>
          <w:rFonts w:ascii="Times New Roman" w:hAnsi="Times New Roman"/>
          <w:b/>
          <w:sz w:val="20"/>
          <w:u w:val="single"/>
        </w:rPr>
        <w:t>Delivery by Facsimile or Electronic Transmission</w:t>
      </w:r>
      <w:r>
        <w:rPr>
          <w:rFonts w:ascii="Times New Roman" w:hAnsi="Times New Roman"/>
          <w:sz w:val="20"/>
        </w:rPr>
        <w:t xml:space="preserve">.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12.13</w:t>
      </w:r>
      <w:r>
        <w:rPr>
          <w:rFonts w:ascii="Times New Roman" w:hAnsi="Times New Roman"/>
          <w:sz w:val="20"/>
        </w:rPr>
        <w:t xml:space="preserve"> </w:t>
      </w:r>
      <w:r>
        <w:rPr>
          <w:rFonts w:ascii="Times New Roman" w:hAnsi="Times New Roman"/>
          <w:b/>
          <w:sz w:val="20"/>
          <w:u w:val="single"/>
        </w:rPr>
        <w:t>Offset</w:t>
      </w:r>
      <w:r>
        <w:rPr>
          <w:rFonts w:ascii="Times New Roman" w:hAnsi="Times New Roman"/>
          <w:sz w:val="20"/>
        </w:rPr>
        <w:t xml:space="preserve">. Whenever the Company is to pay any sum to any Member or any Related Person thereof, any amounts that such Member or such Related Person owes to the Company which are not the subject of a good faith dispute may be deducted from that sum before payment as determined by the Managing Member.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12.14</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the Other Agreements, and those documents expressly referred to herein and therein (including, without limitation, the Stockholders Agreement, the Exchange Agreement and the Tax Receivable Agreement)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the Prior LLC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12.15</w:t>
      </w:r>
      <w:r>
        <w:rPr>
          <w:rFonts w:ascii="Times New Roman" w:hAnsi="Times New Roman"/>
          <w:sz w:val="20"/>
        </w:rPr>
        <w:t xml:space="preserve"> </w:t>
      </w:r>
      <w:r>
        <w:rPr>
          <w:rFonts w:ascii="Times New Roman" w:hAnsi="Times New Roman"/>
          <w:b/>
          <w:sz w:val="20"/>
          <w:u w:val="single"/>
        </w:rPr>
        <w:t>Remedies</w:t>
      </w:r>
      <w:r>
        <w:rPr>
          <w:rFonts w:ascii="Times New Roman" w:hAnsi="Times New Roman"/>
          <w:sz w:val="20"/>
        </w:rPr>
        <w:t xml:space="preserve">.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12.16</w:t>
      </w:r>
      <w:r>
        <w:rPr>
          <w:rFonts w:ascii="Times New Roman" w:hAnsi="Times New Roman"/>
          <w:sz w:val="20"/>
        </w:rPr>
        <w:t xml:space="preserve"> </w:t>
      </w:r>
      <w:r>
        <w:rPr>
          <w:rFonts w:ascii="Times New Roman" w:hAnsi="Times New Roman"/>
          <w:b/>
          <w:sz w:val="20"/>
          <w:u w:val="single"/>
        </w:rPr>
        <w:t>Descriptive Headings; Interpretation</w:t>
      </w:r>
      <w:r>
        <w:rPr>
          <w:rFonts w:ascii="Times New Roman" w:hAnsi="Times New Roman"/>
          <w:sz w:val="20"/>
        </w:rPr>
        <w:t xml:space="preserve">.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and shall be interpreted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without limitation. The use of the words or, either and any shall not be exclusive. The terms hereby, hereof, hereunder, and any similar terms as used in this Agreement shall refer to this Agreement.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A reference in this Agreement to $ or dollars is to U.S. dollars.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12.17</w:t>
      </w:r>
      <w:r>
        <w:rPr>
          <w:rFonts w:ascii="Times New Roman" w:hAnsi="Times New Roman"/>
          <w:sz w:val="20"/>
        </w:rPr>
        <w:t xml:space="preserve"> </w:t>
      </w:r>
      <w:r>
        <w:rPr>
          <w:rFonts w:ascii="Times New Roman" w:hAnsi="Times New Roman"/>
          <w:b/>
          <w:sz w:val="20"/>
          <w:u w:val="single"/>
        </w:rPr>
        <w:t>Attorneys</w:t>
      </w:r>
      <w:r>
        <w:rPr>
          <w:rFonts w:ascii="Times New Roman" w:hAnsi="Times New Roman"/>
          <w:sz w:val="20"/>
          <w:u w:val="single"/>
        </w:rPr>
        <w:t xml:space="preserve"> </w:t>
      </w:r>
      <w:r>
        <w:rPr>
          <w:rFonts w:ascii="Times New Roman" w:hAnsi="Times New Roman"/>
          <w:b/>
          <w:sz w:val="20"/>
          <w:u w:val="single"/>
        </w:rPr>
        <w:t>Fees</w:t>
      </w:r>
      <w:r>
        <w:rPr>
          <w:rFonts w:ascii="Times New Roman" w:hAnsi="Times New Roman"/>
          <w:sz w:val="20"/>
        </w:rPr>
        <w:t xml:space="preserve">. If any action, suit or proceeding is brought to enforce or interpret the terms of this Agreement or to protect the rights obtained hereunder, or to recover damages for breach of this Agreement, then, if successful in whole or in part in such action, the prevailing party or parties in such action, suit or proceeding shall be entitled to recover from the non-prevailing party or parties hereto any and all of the costs of suit and reasonable attorneys fees incurred by the prevailing party or parties in connection therewith, including attorneys fees on appeal, costs and disbursements, in addition to such other relief to which any such prevailing party or parties may be entitled.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12.18</w:t>
      </w:r>
      <w:r>
        <w:rPr>
          <w:rFonts w:ascii="Times New Roman" w:hAnsi="Times New Roman"/>
          <w:sz w:val="20"/>
        </w:rPr>
        <w:t xml:space="preserve"> </w:t>
      </w:r>
      <w:r>
        <w:rPr>
          <w:rFonts w:ascii="Times New Roman" w:hAnsi="Times New Roman"/>
          <w:b/>
          <w:sz w:val="20"/>
          <w:u w:val="single"/>
        </w:rPr>
        <w:t>Representation of the Company by Shearman</w:t>
      </w:r>
      <w:r>
        <w:rPr>
          <w:rFonts w:ascii="Times New Roman" w:hAnsi="Times New Roman"/>
          <w:sz w:val="20"/>
          <w:u w:val="single"/>
        </w:rPr>
        <w:t> </w:t>
      </w:r>
      <w:r>
        <w:rPr>
          <w:rFonts w:ascii="Times New Roman" w:hAnsi="Times New Roman"/>
          <w:b/>
          <w:sz w:val="20"/>
          <w:u w:val="single"/>
        </w:rPr>
        <w:t>&amp; Sterling LLP</w:t>
      </w:r>
      <w:r>
        <w:rPr>
          <w:rFonts w:ascii="Times New Roman" w:hAnsi="Times New Roman"/>
          <w:sz w:val="20"/>
        </w:rPr>
        <w:t>. The Members other than ICE (the </w:t>
      </w:r>
      <w:r>
        <w:rPr>
          <w:rFonts w:ascii="Times New Roman" w:hAnsi="Times New Roman"/>
          <w:b/>
          <w:i/>
          <w:sz w:val="20"/>
        </w:rPr>
        <w:t>Nonrepresented Members</w:t>
      </w:r>
      <w:r>
        <w:rPr>
          <w:rFonts w:ascii="Times New Roman" w:hAnsi="Times New Roman"/>
          <w:sz w:val="20"/>
        </w:rPr>
        <w:t xml:space="preserve">) each agree and acknowledge that: </w:t>
      </w:r>
    </w:p>
    <w:p>
      <w:pPr>
        <w:pStyle w:val="TextBody"/>
        <w:spacing w:before="240" w:after="0"/>
        <w:jc w:val="left"/>
        <w:rPr>
          <w:rFonts w:ascii="Times New Roman" w:hAnsi="Times New Roman"/>
          <w:sz w:val="20"/>
        </w:rPr>
      </w:pPr>
      <w:r>
        <w:rPr>
          <w:rFonts w:ascii="Times New Roman" w:hAnsi="Times New Roman"/>
          <w:sz w:val="20"/>
        </w:rPr>
        <w:t>(a) ICE and the Company have retained Shearman &amp; Sterling LLP (</w:t>
      </w:r>
      <w:r>
        <w:rPr>
          <w:rFonts w:ascii="Times New Roman" w:hAnsi="Times New Roman"/>
          <w:b/>
          <w:i/>
          <w:sz w:val="20"/>
        </w:rPr>
        <w:t>Shearman</w:t>
      </w:r>
      <w:r>
        <w:rPr>
          <w:rFonts w:ascii="Times New Roman" w:hAnsi="Times New Roman"/>
          <w:sz w:val="20"/>
        </w:rPr>
        <w:t xml:space="preserve">) in connection with the negotiation and execution of this Agreement, the Merger Agreement and the Transaction Documents. </w:t>
      </w:r>
    </w:p>
    <w:p>
      <w:pPr>
        <w:pStyle w:val="TextBody"/>
        <w:spacing w:before="240" w:after="0"/>
        <w:jc w:val="left"/>
        <w:rPr>
          <w:rFonts w:ascii="Times New Roman" w:hAnsi="Times New Roman"/>
          <w:sz w:val="20"/>
        </w:rPr>
      </w:pPr>
      <w:r>
        <w:rPr>
          <w:rFonts w:ascii="Times New Roman" w:hAnsi="Times New Roman"/>
          <w:sz w:val="20"/>
        </w:rPr>
        <w:t>(b) Shearman is not representing the Nonrepresented Members in connection with the negotiation and execution of the Transaction Documents or the management and operation of the Company and its Subsidiaries or any dispute that may arise between the Nonrepresented Members, on the one hand, and the Company, its Subsidiaries and/or ICE on the other (such matters together with any disputes which may arise in connection therewith are referred to as </w:t>
      </w:r>
      <w:r>
        <w:rPr>
          <w:rFonts w:ascii="Times New Roman" w:hAnsi="Times New Roman"/>
          <w:b/>
          <w:i/>
          <w:sz w:val="20"/>
        </w:rPr>
        <w:t>Company Legal Matters</w:t>
      </w:r>
      <w:r>
        <w:rPr>
          <w:rFonts w:ascii="Times New Roman" w:hAnsi="Times New Roman"/>
          <w:sz w:val="20"/>
        </w:rPr>
        <w:t xml:space="preserve">). Each Nonrepresented Member will, if he or she wishes legal counsel on a Company Legal Matter, retain his or her own independent legal counsel with respect thereto and will pay all fees and expenses of such independent legal counsel. </w:t>
      </w:r>
    </w:p>
    <w:p>
      <w:pPr>
        <w:pStyle w:val="TextBody"/>
        <w:spacing w:before="240" w:after="0"/>
        <w:jc w:val="left"/>
        <w:rPr>
          <w:rFonts w:ascii="Times New Roman" w:hAnsi="Times New Roman"/>
          <w:sz w:val="20"/>
        </w:rPr>
      </w:pPr>
      <w:r>
        <w:rPr>
          <w:rFonts w:ascii="Times New Roman" w:hAnsi="Times New Roman"/>
          <w:sz w:val="20"/>
        </w:rPr>
        <w:t xml:space="preserve">(c) Shearman may represent the Company and its Subsidiaries, or ICE in connection with any and all Company Legal Matters (including any dispute between the Company, its Subsidiaries, or ICE, on one hand, and the Nonrepresented Members, on the other) or other matters not related to the Company Legal Matters and, to the fullest extent permitted by applicable law and/or applicable rules of professional conduct, the Nonrepresented Members waive any present or future conflict of interest with Shearman regarding Company Legal Matters and all other matters.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12.19</w:t>
      </w:r>
      <w:r>
        <w:rPr>
          <w:rFonts w:ascii="Times New Roman" w:hAnsi="Times New Roman"/>
          <w:sz w:val="20"/>
        </w:rPr>
        <w:t xml:space="preserve"> </w:t>
      </w:r>
      <w:r>
        <w:rPr>
          <w:rFonts w:ascii="Times New Roman" w:hAnsi="Times New Roman"/>
          <w:b/>
          <w:sz w:val="20"/>
          <w:u w:val="single"/>
        </w:rPr>
        <w:t>Amendment and Restatement of Prior LLC Agreement</w:t>
      </w:r>
      <w:r>
        <w:rPr>
          <w:rFonts w:ascii="Times New Roman" w:hAnsi="Times New Roman"/>
          <w:sz w:val="20"/>
        </w:rPr>
        <w:t xml:space="preserve">. Pursuant to Section 16.1 of the Prior LLC Agreement, the Members constituting the Prior Member Requisite Consent hereby amend and restate the Prior LLC Agreement on behalf of all Members (as that term is defined in the Prior LLC Agreement) and replace the Prior LLC Agreement on behalf of all Members (as that term is defined in the Prior LLC Agreement) with this Agreement, and any Member (as that term is defined in the Prior LLC Agreement) who does not sign this Agreement shall be bound by the terms and conditions of this Agreement pursuant to Section 16.1 of the Prior LLC Agreement as if that Member (as that term is defined in the Prior LLC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had signed this Agreement. Furthermore, the Members constituting the Prior Member Requisite Consent, on behalf of all of the Members (as defined in the Prior LLC Agreement) acknowledge and agree that the </w:t>
      </w:r>
      <w:r>
        <w:rPr>
          <w:rFonts w:ascii="Times New Roman" w:hAnsi="Times New Roman"/>
          <w:sz w:val="20"/>
          <w:u w:val="single"/>
        </w:rPr>
        <w:t>Schedule of Members</w:t>
      </w:r>
      <w:r>
        <w:rPr>
          <w:rFonts w:ascii="Times New Roman" w:hAnsi="Times New Roman"/>
          <w:sz w:val="20"/>
        </w:rPr>
        <w:t xml:space="preserve"> to this Agreement will be based on the Final Merger Consideration Spreadsheet (as that term is defined in the Merger Agreement) with respect to the Members, which will be determinative absent manifest mathematical error, and each Member (as that term is defined in the Prior LLC Agreement) shall hold that number of Common Units set forth on such </w:t>
      </w:r>
      <w:r>
        <w:rPr>
          <w:rFonts w:ascii="Times New Roman" w:hAnsi="Times New Roman"/>
          <w:sz w:val="20"/>
          <w:u w:val="single"/>
        </w:rPr>
        <w:t>Schedule of Members</w:t>
      </w:r>
      <w:r>
        <w:rPr>
          <w:rFonts w:ascii="Times New Roman" w:hAnsi="Times New Roman"/>
          <w:sz w:val="20"/>
        </w:rPr>
        <w:t xml:space="preserve"> (in lieu of the number of Units (as defined in the Prior LLC Agreement) set forth in </w:t>
      </w:r>
      <w:r>
        <w:rPr>
          <w:rFonts w:ascii="Times New Roman" w:hAnsi="Times New Roman"/>
          <w:sz w:val="20"/>
          <w:u w:val="single"/>
        </w:rPr>
        <w:t>Schedule I</w:t>
      </w:r>
      <w:r>
        <w:rPr>
          <w:rFonts w:ascii="Times New Roman" w:hAnsi="Times New Roman"/>
          <w:sz w:val="20"/>
        </w:rPr>
        <w:t xml:space="preserve"> to the Prior LLC Agreement). </w:t>
      </w:r>
    </w:p>
    <w:p>
      <w:pPr>
        <w:pStyle w:val="TextBody"/>
        <w:spacing w:before="240" w:after="0"/>
        <w:jc w:val="center"/>
        <w:rPr>
          <w:rFonts w:ascii="Times New Roman" w:hAnsi="Times New Roman"/>
          <w:sz w:val="20"/>
        </w:rPr>
      </w:pPr>
      <w:r>
        <w:rPr>
          <w:rFonts w:ascii="Times New Roman" w:hAnsi="Times New Roman"/>
          <w:sz w:val="20"/>
        </w:rPr>
        <w:t xml:space="preserve">* *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Members and the Company have executed this Third Amended and Restated Limited Liability Company Agreement to be effective as of the Effective Date.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12"/>
        <w:gridCol w:w="109"/>
        <w:gridCol w:w="2961"/>
      </w:tblGrid>
      <w:tr>
        <w:trPr/>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96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BAKKT OPCO HOLDINGS, LLC</w:t>
            </w:r>
          </w:p>
        </w:tc>
      </w:tr>
      <w:tr>
        <w:trPr>
          <w:trHeight w:val="240" w:hRule="atLeast"/>
        </w:trPr>
        <w:tc>
          <w:tcPr>
            <w:tcW w:w="1012" w:type="dxa"/>
            <w:tcBorders/>
            <w:shd w:fill="auto" w:val="clear"/>
            <w:vAlign w:val="center"/>
          </w:tcPr>
          <w:p>
            <w:pPr>
              <w:pStyle w:val="TableContents"/>
              <w:spacing w:before="0" w:after="283"/>
              <w:rPr>
                <w:sz w:val="4"/>
                <w:szCs w:val="4"/>
              </w:rPr>
            </w:pPr>
            <w:r>
              <w:rPr>
                <w:sz w:val="4"/>
                <w:szCs w:val="4"/>
              </w:rPr>
            </w:r>
          </w:p>
        </w:tc>
        <w:tc>
          <w:tcPr>
            <w:tcW w:w="3070" w:type="dxa"/>
            <w:gridSpan w:val="2"/>
            <w:tcBorders/>
            <w:shd w:fill="auto" w:val="clear"/>
            <w:vAlign w:val="center"/>
          </w:tcPr>
          <w:p>
            <w:pPr>
              <w:pStyle w:val="TableContents"/>
              <w:spacing w:before="0" w:after="283"/>
              <w:rPr>
                <w:sz w:val="4"/>
                <w:szCs w:val="4"/>
              </w:rPr>
            </w:pPr>
            <w:r>
              <w:rPr>
                <w:sz w:val="4"/>
                <w:szCs w:val="4"/>
              </w:rPr>
            </w:r>
          </w:p>
        </w:tc>
      </w:tr>
      <w:tr>
        <w:trPr/>
        <w:tc>
          <w:tcPr>
            <w:tcW w:w="1012"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2961" w:type="dxa"/>
            <w:tcBorders>
              <w:bottom w:val="single" w:sz="2" w:space="0" w:color="000000"/>
            </w:tcBorders>
            <w:shd w:fill="auto" w:val="clear"/>
            <w:tcMar>
              <w:bottom w:w="28" w:type="dxa"/>
            </w:tcMar>
          </w:tcPr>
          <w:p>
            <w:pPr>
              <w:pStyle w:val="TableContents"/>
              <w:spacing w:before="0" w:after="283"/>
              <w:rPr/>
            </w:pPr>
            <w:r>
              <w:rPr/>
              <w:t> </w:t>
            </w:r>
          </w:p>
        </w:tc>
      </w:tr>
      <w:tr>
        <w:trPr/>
        <w:tc>
          <w:tcPr>
            <w:tcW w:w="1012"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296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1012"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2961"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12000" w:after="0"/>
        <w:jc w:val="center"/>
        <w:rPr>
          <w:rFonts w:ascii="Times New Roman" w:hAnsi="Times New Roman"/>
          <w:sz w:val="20"/>
        </w:rPr>
      </w:pPr>
      <w:r>
        <w:rPr>
          <w:rFonts w:ascii="Times New Roman" w:hAnsi="Times New Roman"/>
          <w:sz w:val="20"/>
        </w:rPr>
        <w:t xml:space="preserve">[Signature Page to Third Amended and Restated Limited Liability Company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Members and the Company have executed this Third Amended and Restated Limited Liability Company Agreement to be effective as of the Effective Date.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0"/>
        <w:gridCol w:w="371"/>
        <w:gridCol w:w="3341"/>
      </w:tblGrid>
      <w:tr>
        <w:trPr/>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334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MANAGING MEMBER: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12"/>
        <w:gridCol w:w="109"/>
        <w:gridCol w:w="2961"/>
      </w:tblGrid>
      <w:tr>
        <w:trPr/>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96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BAKKT HOLDINGS, INC.</w:t>
            </w:r>
          </w:p>
        </w:tc>
      </w:tr>
      <w:tr>
        <w:trPr>
          <w:trHeight w:val="240" w:hRule="atLeast"/>
        </w:trPr>
        <w:tc>
          <w:tcPr>
            <w:tcW w:w="1012" w:type="dxa"/>
            <w:tcBorders/>
            <w:shd w:fill="auto" w:val="clear"/>
            <w:vAlign w:val="center"/>
          </w:tcPr>
          <w:p>
            <w:pPr>
              <w:pStyle w:val="TableContents"/>
              <w:spacing w:before="0" w:after="283"/>
              <w:rPr>
                <w:sz w:val="4"/>
                <w:szCs w:val="4"/>
              </w:rPr>
            </w:pPr>
            <w:r>
              <w:rPr>
                <w:sz w:val="4"/>
                <w:szCs w:val="4"/>
              </w:rPr>
            </w:r>
          </w:p>
        </w:tc>
        <w:tc>
          <w:tcPr>
            <w:tcW w:w="3070" w:type="dxa"/>
            <w:gridSpan w:val="2"/>
            <w:tcBorders/>
            <w:shd w:fill="auto" w:val="clear"/>
            <w:vAlign w:val="center"/>
          </w:tcPr>
          <w:p>
            <w:pPr>
              <w:pStyle w:val="TableContents"/>
              <w:spacing w:before="0" w:after="283"/>
              <w:rPr>
                <w:sz w:val="4"/>
                <w:szCs w:val="4"/>
              </w:rPr>
            </w:pPr>
            <w:r>
              <w:rPr>
                <w:sz w:val="4"/>
                <w:szCs w:val="4"/>
              </w:rPr>
            </w:r>
          </w:p>
        </w:tc>
      </w:tr>
      <w:tr>
        <w:trPr/>
        <w:tc>
          <w:tcPr>
            <w:tcW w:w="1012"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2961" w:type="dxa"/>
            <w:tcBorders>
              <w:bottom w:val="single" w:sz="2" w:space="0" w:color="000000"/>
            </w:tcBorders>
            <w:shd w:fill="auto" w:val="clear"/>
            <w:tcMar>
              <w:bottom w:w="28" w:type="dxa"/>
            </w:tcMar>
          </w:tcPr>
          <w:p>
            <w:pPr>
              <w:pStyle w:val="TableContents"/>
              <w:spacing w:before="0" w:after="283"/>
              <w:rPr/>
            </w:pPr>
            <w:r>
              <w:rPr/>
              <w:t> </w:t>
            </w:r>
          </w:p>
        </w:tc>
      </w:tr>
      <w:tr>
        <w:trPr/>
        <w:tc>
          <w:tcPr>
            <w:tcW w:w="1012"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296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1012"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2961"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11000" w:after="0"/>
        <w:jc w:val="center"/>
        <w:rPr>
          <w:rFonts w:ascii="Times New Roman" w:hAnsi="Times New Roman"/>
          <w:sz w:val="20"/>
        </w:rPr>
      </w:pPr>
      <w:r>
        <w:rPr>
          <w:rFonts w:ascii="Times New Roman" w:hAnsi="Times New Roman"/>
          <w:sz w:val="20"/>
        </w:rPr>
        <w:t xml:space="preserve">[Signature Page to Third Amended and Restated Limited Liability Company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Members and the Company have executed this Third Amended and Restated Limited Liability Company Agreement to be effective as of the Effective Date.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876"/>
        <w:gridCol w:w="91"/>
        <w:gridCol w:w="3115"/>
      </w:tblGrid>
      <w:tr>
        <w:trPr/>
        <w:tc>
          <w:tcPr>
            <w:tcW w:w="87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11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MEMBER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4082" w:type="dxa"/>
            <w:gridSpan w:val="3"/>
            <w:tcBorders/>
            <w:shd w:fill="auto" w:val="clear"/>
          </w:tcPr>
          <w:p>
            <w:pPr>
              <w:pStyle w:val="TableContents"/>
              <w:spacing w:before="0" w:after="283"/>
              <w:rPr>
                <w:sz w:val="20"/>
                <w:u w:val="single"/>
              </w:rPr>
            </w:pPr>
            <w:r>
              <w:rPr>
                <w:sz w:val="20"/>
                <w:u w:val="single"/>
              </w:rPr>
              <w:t>Name of Member</w:t>
            </w:r>
          </w:p>
        </w:tc>
      </w:tr>
      <w:tr>
        <w:trPr>
          <w:trHeight w:val="240" w:hRule="atLeast"/>
        </w:trPr>
        <w:tc>
          <w:tcPr>
            <w:tcW w:w="876" w:type="dxa"/>
            <w:tcBorders/>
            <w:shd w:fill="auto" w:val="clear"/>
            <w:vAlign w:val="center"/>
          </w:tcPr>
          <w:p>
            <w:pPr>
              <w:pStyle w:val="TableContents"/>
              <w:spacing w:before="0" w:after="283"/>
              <w:rPr>
                <w:sz w:val="4"/>
                <w:szCs w:val="4"/>
              </w:rPr>
            </w:pPr>
            <w:r>
              <w:rPr>
                <w:sz w:val="4"/>
                <w:szCs w:val="4"/>
              </w:rPr>
            </w:r>
          </w:p>
        </w:tc>
        <w:tc>
          <w:tcPr>
            <w:tcW w:w="3206" w:type="dxa"/>
            <w:gridSpan w:val="2"/>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115" w:type="dxa"/>
            <w:tcBorders>
              <w:bottom w:val="single" w:sz="2" w:space="0" w:color="000000"/>
            </w:tcBorders>
            <w:shd w:fill="auto" w:val="clear"/>
            <w:tcMar>
              <w:bottom w:w="28" w:type="dxa"/>
            </w:tcMar>
          </w:tcPr>
          <w:p>
            <w:pPr>
              <w:pStyle w:val="TableContents"/>
              <w:spacing w:before="0" w:after="283"/>
              <w:rPr/>
            </w:pPr>
            <w:r>
              <w:rPr/>
              <w:t> </w:t>
            </w:r>
          </w:p>
        </w:tc>
      </w:tr>
      <w:tr>
        <w:trPr/>
        <w:tc>
          <w:tcPr>
            <w:tcW w:w="876"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11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876"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115"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11000" w:after="0"/>
        <w:jc w:val="center"/>
        <w:rPr>
          <w:rFonts w:ascii="Times New Roman" w:hAnsi="Times New Roman"/>
          <w:sz w:val="20"/>
        </w:rPr>
      </w:pPr>
      <w:r>
        <w:rPr>
          <w:rFonts w:ascii="Times New Roman" w:hAnsi="Times New Roman"/>
          <w:sz w:val="20"/>
        </w:rPr>
        <w:t xml:space="preserve">[Signature Page to Third Amended and Restated Limited Liability Company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bookmarkStart w:id="157" w:name="anj"/>
      <w:bookmarkEnd w:id="157"/>
      <w:r>
        <w:rPr>
          <w:rFonts w:ascii="Times New Roman" w:hAnsi="Times New Roman"/>
          <w:b/>
          <w:sz w:val="20"/>
        </w:rPr>
        <w:t xml:space="preserve">Annex J </w:t>
      </w:r>
    </w:p>
    <w:p>
      <w:pPr>
        <w:pStyle w:val="TextBody"/>
        <w:spacing w:before="240" w:after="0"/>
        <w:jc w:val="right"/>
        <w:rPr>
          <w:rFonts w:ascii="Times New Roman" w:hAnsi="Times New Roman"/>
          <w:b/>
          <w:sz w:val="20"/>
        </w:rPr>
      </w:pPr>
      <w:r>
        <w:rPr>
          <w:rFonts w:ascii="Times New Roman" w:hAnsi="Times New Roman"/>
          <w:b/>
          <w:sz w:val="20"/>
        </w:rPr>
        <w:t xml:space="preserve">EXECUTION VERSION </w:t>
      </w:r>
    </w:p>
    <w:p>
      <w:pPr>
        <w:pStyle w:val="TextBody"/>
        <w:spacing w:before="480" w:after="0"/>
        <w:jc w:val="center"/>
        <w:rPr>
          <w:rFonts w:ascii="Times New Roman" w:hAnsi="Times New Roman"/>
          <w:b/>
          <w:sz w:val="20"/>
        </w:rPr>
      </w:pPr>
      <w:bookmarkStart w:id="158" w:name="toc108105_53"/>
      <w:bookmarkEnd w:id="158"/>
      <w:r>
        <w:rPr>
          <w:rFonts w:ascii="Times New Roman" w:hAnsi="Times New Roman"/>
          <w:b/>
          <w:sz w:val="20"/>
        </w:rPr>
        <w:t xml:space="preserve">SUPPORT AGREEMENT </w:t>
      </w:r>
    </w:p>
    <w:p>
      <w:pPr>
        <w:pStyle w:val="TextBody"/>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being executed and delivered as of January 11, 2021, by and among (i) each member of Bakkt Opco (as defined below) delivering a signature page or joinder to this Agreement (each a </w:t>
      </w:r>
      <w:r>
        <w:rPr>
          <w:rFonts w:ascii="Times New Roman" w:hAnsi="Times New Roman"/>
          <w:sz w:val="20"/>
          <w:u w:val="single"/>
        </w:rPr>
        <w:t>Restricted Party</w:t>
      </w:r>
      <w:r>
        <w:rPr>
          <w:rFonts w:ascii="Times New Roman" w:hAnsi="Times New Roman"/>
          <w:sz w:val="20"/>
        </w:rPr>
        <w:t>) in favor of, and for the benefit of, VIH (as defined below), (ii) Bakkt Holdings, LLC, a Delaware limited liability company (together with its successors, including the surviving limited liability company in the Merger (as defined below), </w:t>
      </w:r>
      <w:r>
        <w:rPr>
          <w:rFonts w:ascii="Times New Roman" w:hAnsi="Times New Roman"/>
          <w:sz w:val="20"/>
          <w:u w:val="single"/>
        </w:rPr>
        <w:t>Bakkt Opco</w:t>
      </w:r>
      <w:r>
        <w:rPr>
          <w:rFonts w:ascii="Times New Roman" w:hAnsi="Times New Roman"/>
          <w:sz w:val="20"/>
        </w:rPr>
        <w:t>), and (iii) VPC Impact Acquisition Holdings, a Cayman Islands exempted company (together with its successors, including the resulting Delaware corporation after the consummation of the Domestication (as defined below), </w:t>
      </w:r>
      <w:r>
        <w:rPr>
          <w:rFonts w:ascii="Times New Roman" w:hAnsi="Times New Roman"/>
          <w:sz w:val="20"/>
          <w:u w:val="single"/>
        </w:rPr>
        <w:t>VIH</w:t>
      </w:r>
      <w:r>
        <w:rPr>
          <w:rFonts w:ascii="Times New Roman" w:hAnsi="Times New Roman"/>
          <w:sz w:val="20"/>
        </w:rPr>
        <w:t xml:space="preserve">). Each capitalized term used and not otherwise defined herein has the meaning ascribed to such term in the Merger Agreement (as defined below).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WHEREAS, pursuant to the terms and subject to the conditions of that certain Agreement and Plan of Merger, dated as of January 11, 2021 (the </w:t>
      </w:r>
      <w:r>
        <w:rPr>
          <w:rFonts w:ascii="Times New Roman" w:hAnsi="Times New Roman"/>
          <w:sz w:val="20"/>
          <w:u w:val="single"/>
        </w:rPr>
        <w:t>Merger Agreement</w:t>
      </w:r>
      <w:r>
        <w:rPr>
          <w:rFonts w:ascii="Times New Roman" w:hAnsi="Times New Roman"/>
          <w:sz w:val="20"/>
        </w:rPr>
        <w:t>), by and among VIH, Bakkt Opco and Pylon Merger Company LLC, a Delaware limited liability company and wholly owned subsidiary of VIH (</w:t>
      </w:r>
      <w:r>
        <w:rPr>
          <w:rFonts w:ascii="Times New Roman" w:hAnsi="Times New Roman"/>
          <w:sz w:val="20"/>
          <w:u w:val="single"/>
        </w:rPr>
        <w:t>Merger Sub</w:t>
      </w:r>
      <w:r>
        <w:rPr>
          <w:rFonts w:ascii="Times New Roman" w:hAnsi="Times New Roman"/>
          <w:sz w:val="20"/>
        </w:rPr>
        <w:t>), among other matters, (i) VIH will domesticate as a Delaware corporation to be named Bakkt Holdings, Inc. (</w:t>
      </w:r>
      <w:r>
        <w:rPr>
          <w:rFonts w:ascii="Times New Roman" w:hAnsi="Times New Roman"/>
          <w:sz w:val="20"/>
          <w:u w:val="single"/>
        </w:rPr>
        <w:t>Bakkt Holdco</w:t>
      </w:r>
      <w:r>
        <w:rPr>
          <w:rFonts w:ascii="Times New Roman" w:hAnsi="Times New Roman"/>
          <w:sz w:val="20"/>
        </w:rPr>
        <w:t>) in accordance with the applicable provisions of the Companies Law (2020 Revision) of the Cayman Islands and the General Corporation Law of the State of Delaware, and (ii) immediately following the domestication, Merger Sub will merge with and into Bakkt Opco (the </w:t>
      </w:r>
      <w:r>
        <w:rPr>
          <w:rFonts w:ascii="Times New Roman" w:hAnsi="Times New Roman"/>
          <w:sz w:val="20"/>
          <w:u w:val="single"/>
        </w:rPr>
        <w:t>Merger</w:t>
      </w:r>
      <w:r>
        <w:rPr>
          <w:rFonts w:ascii="Times New Roman" w:hAnsi="Times New Roman"/>
          <w:sz w:val="20"/>
        </w:rPr>
        <w:t xml:space="preserve">), with Bakkt Opco continuing as the surviving limited liability company and a subsidiary of Bakkt Holdco; </w:t>
      </w:r>
    </w:p>
    <w:p>
      <w:pPr>
        <w:pStyle w:val="TextBody"/>
        <w:spacing w:before="240" w:after="0"/>
        <w:jc w:val="left"/>
        <w:rPr>
          <w:rFonts w:ascii="Times New Roman" w:hAnsi="Times New Roman"/>
          <w:sz w:val="20"/>
        </w:rPr>
      </w:pPr>
      <w:r>
        <w:rPr>
          <w:rFonts w:ascii="Times New Roman" w:hAnsi="Times New Roman"/>
          <w:sz w:val="20"/>
        </w:rPr>
        <w:t>WHEREAS, as of the date of each Restricted Partys execution of or joinder to this Agreement, such Restricted Party is the record holder, and the beneficial (as such term is defined in Rule 13d-3 under the Exchange Act, which meaning shall apply for all purposes of this Agreement whenever the term beneficial or beneficially is used) owner of, and has full voting power over, the number of Class A Voting Units, Class B Voting Units and Class C Voting Units of Bakkt Opco (the </w:t>
      </w:r>
      <w:r>
        <w:rPr>
          <w:rFonts w:ascii="Times New Roman" w:hAnsi="Times New Roman"/>
          <w:sz w:val="20"/>
          <w:u w:val="single"/>
        </w:rPr>
        <w:t>Bakkt Opco Units</w:t>
      </w:r>
      <w:r>
        <w:rPr>
          <w:rFonts w:ascii="Times New Roman" w:hAnsi="Times New Roman"/>
          <w:sz w:val="20"/>
        </w:rPr>
        <w:t>) set forth on such Restricted Partys signature page or joinder hereto (the </w:t>
      </w:r>
      <w:r>
        <w:rPr>
          <w:rFonts w:ascii="Times New Roman" w:hAnsi="Times New Roman"/>
          <w:sz w:val="20"/>
          <w:u w:val="single"/>
        </w:rPr>
        <w:t>Subject Bakkt Opco Units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each Restricted Party acknowledges that, as a condition and material inducement to VIHs and Merger Subs willingness to enter into the Merger Agreement, VIH has required that Restricted Parties holding in the aggregate sufficient Bakkt Opco Units in order to approve the applicable Transactions (including, without limitation, the Merger) promptly (but in any event within seven (7) days) after the execution and delivery of the Merger Agreement execute or join this Agreement and the written consent attached hereto as </w:t>
      </w:r>
      <w:r>
        <w:rPr>
          <w:rFonts w:ascii="Times New Roman" w:hAnsi="Times New Roman"/>
          <w:sz w:val="20"/>
          <w:u w:val="single"/>
        </w:rPr>
        <w:t>Annex A</w:t>
      </w:r>
      <w:r>
        <w:rPr>
          <w:rFonts w:ascii="Times New Roman" w:hAnsi="Times New Roman"/>
          <w:sz w:val="20"/>
        </w:rPr>
        <w:t xml:space="preserve"> (the </w:t>
      </w:r>
      <w:r>
        <w:rPr>
          <w:rFonts w:ascii="Times New Roman" w:hAnsi="Times New Roman"/>
          <w:sz w:val="20"/>
          <w:u w:val="single"/>
        </w:rPr>
        <w:t>Written Consent</w:t>
      </w:r>
      <w:r>
        <w:rPr>
          <w:rFonts w:ascii="Times New Roman" w:hAnsi="Times New Roman"/>
          <w:sz w:val="20"/>
        </w:rPr>
        <w:t xml:space="preserve">), and, in order to induce VIH and Merger Sub to enter into the Merger Agreement and consummate the Merger and the other transactions contemplated by the Merger Agreement, such Restricted Party is willing to enter into this Agreement; </w:t>
      </w:r>
    </w:p>
    <w:p>
      <w:pPr>
        <w:pStyle w:val="TextBody"/>
        <w:spacing w:before="240" w:after="0"/>
        <w:jc w:val="left"/>
        <w:rPr>
          <w:rFonts w:ascii="Times New Roman" w:hAnsi="Times New Roman"/>
          <w:sz w:val="20"/>
        </w:rPr>
      </w:pPr>
      <w:r>
        <w:rPr>
          <w:rFonts w:ascii="Times New Roman" w:hAnsi="Times New Roman"/>
          <w:sz w:val="20"/>
        </w:rPr>
        <w:t xml:space="preserve">WHEREAS, VIH desires that each Restricted Party agree, and each Restricted Party is willing to agree, subject to the limitations herein, not to Transfer (as defined below) any of the Subject Bakkt Opco Units, and to enter into the Written Consent and otherwise vote the Subject Bakkt Opco Units in a manner so as to facilitate consummation of the Merger and the other transactions contemplated by the Merger Agreement, and to undertake certain additional obligations pursuant to this Agreement; and </w:t>
      </w:r>
    </w:p>
    <w:p>
      <w:pPr>
        <w:pStyle w:val="TextBody"/>
        <w:spacing w:before="240" w:after="0"/>
        <w:jc w:val="left"/>
        <w:rPr>
          <w:rFonts w:ascii="Times New Roman" w:hAnsi="Times New Roman"/>
          <w:sz w:val="20"/>
        </w:rPr>
      </w:pPr>
      <w:r>
        <w:rPr>
          <w:rFonts w:ascii="Times New Roman" w:hAnsi="Times New Roman"/>
          <w:sz w:val="20"/>
        </w:rPr>
        <w:t xml:space="preserve">WHEREAS, Intercontinental Exchange Holdings, Inc. has executed the Written Consent and is delivering the Written Consent to VIH and Bakkt Opco simultaneously with its execution and delivery of this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are hereby acknowledged and accepted, VIH, Bakkt Opco and each Restricted Party, intending to be legally bound,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1 </w:t>
      </w:r>
    </w:p>
    <w:p>
      <w:pPr>
        <w:pStyle w:val="TextBody"/>
        <w:spacing w:before="240" w:after="0"/>
        <w:jc w:val="center"/>
        <w:rPr>
          <w:rFonts w:ascii="Times New Roman" w:hAnsi="Times New Roman"/>
          <w:b/>
          <w:sz w:val="20"/>
        </w:rPr>
      </w:pPr>
      <w:r>
        <w:rPr>
          <w:rFonts w:ascii="Times New Roman" w:hAnsi="Times New Roman"/>
          <w:b/>
          <w:sz w:val="20"/>
        </w:rPr>
        <w:t xml:space="preserve">VOTING AND TRANSFER OF SHARES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Voting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Subject to the terms of this Agreement, each Restricted Party irrevocably and unconditionally agrees, during the period beginning on the date of this Agreement or such Restricted Partys joinder to this Agreement, as applicable, and ending on the Expiration Date (as defined below) (the </w:t>
      </w:r>
      <w:r>
        <w:rPr>
          <w:rFonts w:ascii="Times New Roman" w:hAnsi="Times New Roman"/>
          <w:sz w:val="20"/>
          <w:u w:val="single"/>
        </w:rPr>
        <w:t>Applicable Period</w:t>
      </w:r>
      <w:r>
        <w:rPr>
          <w:rFonts w:ascii="Times New Roman" w:hAnsi="Times New Roman"/>
          <w:sz w:val="20"/>
        </w:rPr>
        <w:t>), at each meeting of the members of Bakkt Opco (a </w:t>
      </w:r>
      <w:r>
        <w:rPr>
          <w:rFonts w:ascii="Times New Roman" w:hAnsi="Times New Roman"/>
          <w:sz w:val="20"/>
          <w:u w:val="single"/>
        </w:rPr>
        <w:t>Meeting</w:t>
      </w:r>
      <w:r>
        <w:rPr>
          <w:rFonts w:ascii="Times New Roman" w:hAnsi="Times New Roman"/>
          <w:sz w:val="20"/>
        </w:rPr>
        <w:t>) and at each adjournment or postponement thereof, and in connection with each action or approval by consent in writing of the members of Bakkt Opco (a </w:t>
      </w:r>
      <w:r>
        <w:rPr>
          <w:rFonts w:ascii="Times New Roman" w:hAnsi="Times New Roman"/>
          <w:sz w:val="20"/>
          <w:u w:val="single"/>
        </w:rPr>
        <w:t>Consent Solicitation</w:t>
      </w:r>
      <w:r>
        <w:rPr>
          <w:rFonts w:ascii="Times New Roman" w:hAnsi="Times New Roman"/>
          <w:sz w:val="20"/>
        </w:rPr>
        <w:t xml:space="preserve">), to cause to be present in person or represented by proxy and to vote or cause to be voted (or express consent or dissent in writing, as applicable) the Subject Bakkt Opco Units of such Restricted Party that are entitled to vote (or express consent or dissent in writing, as applicable), in each case as follows: </w:t>
      </w:r>
    </w:p>
    <w:p>
      <w:pPr>
        <w:pStyle w:val="TextBody"/>
        <w:spacing w:before="120" w:after="0"/>
        <w:jc w:val="left"/>
        <w:rPr>
          <w:rFonts w:ascii="Times New Roman" w:hAnsi="Times New Roman"/>
          <w:sz w:val="20"/>
        </w:rPr>
      </w:pPr>
      <w:r>
        <w:rPr>
          <w:rFonts w:ascii="Times New Roman" w:hAnsi="Times New Roman"/>
          <w:sz w:val="20"/>
        </w:rPr>
        <w:t xml:space="preserve">(i) in favor of any proposal for members of Bakkt Opco to approve and adopt the Merger Agreement and the other Transaction Documents (including, without limitation, the Surviving Company LLC Agreement) and the transactions contemplated thereby, including the Merger, in accordance with the terms thereof; </w:t>
      </w:r>
    </w:p>
    <w:p>
      <w:pPr>
        <w:pStyle w:val="TextBody"/>
        <w:spacing w:before="120" w:after="0"/>
        <w:jc w:val="left"/>
        <w:rPr>
          <w:rFonts w:ascii="Times New Roman" w:hAnsi="Times New Roman"/>
          <w:sz w:val="20"/>
        </w:rPr>
      </w:pPr>
      <w:r>
        <w:rPr>
          <w:rFonts w:ascii="Times New Roman" w:hAnsi="Times New Roman"/>
          <w:sz w:val="20"/>
        </w:rPr>
        <w:t xml:space="preserve">(ii) in favor of any proposal to adjourn a Meeting at which there is a proposal for members of Bakkt Opco to approve and adopt the Merger Agreement and the other Transaction Documents (including, without limitation, the Surviving Company LLC Agreement) and the transactions contemplated thereby, including the Merger, to a later date if there are not sufficient votes to approve and adopt the Merger Agreement and the other Transaction Documents (including, without limitation, the Surviving Company LLC Agreement) and the transactions contemplated thereby, including the Merger, or if there are not sufficient Bakkt Opco Units present in person or represented by proxy at such Meeting to constitute a quorum; </w:t>
      </w:r>
    </w:p>
    <w:p>
      <w:pPr>
        <w:pStyle w:val="TextBody"/>
        <w:spacing w:before="120" w:after="0"/>
        <w:jc w:val="left"/>
        <w:rPr>
          <w:rFonts w:ascii="Times New Roman" w:hAnsi="Times New Roman"/>
          <w:sz w:val="20"/>
        </w:rPr>
      </w:pPr>
      <w:r>
        <w:rPr>
          <w:rFonts w:ascii="Times New Roman" w:hAnsi="Times New Roman"/>
          <w:sz w:val="20"/>
        </w:rPr>
        <w:t xml:space="preserve">(iii) against any proposal providing for an Alternative Transaction or the adoption of an agreement to enter into an Alternative Transaction; </w:t>
      </w:r>
    </w:p>
    <w:p>
      <w:pPr>
        <w:pStyle w:val="TextBody"/>
        <w:spacing w:before="120" w:after="0"/>
        <w:jc w:val="left"/>
        <w:rPr>
          <w:rFonts w:ascii="Times New Roman" w:hAnsi="Times New Roman"/>
          <w:sz w:val="20"/>
        </w:rPr>
      </w:pPr>
      <w:r>
        <w:rPr>
          <w:rFonts w:ascii="Times New Roman" w:hAnsi="Times New Roman"/>
          <w:sz w:val="20"/>
        </w:rPr>
        <w:t xml:space="preserve">(iv) against any proposal for any amendment or modification of Bakkt Opcos current Organizational Documents that would change the voting rights of any Bakkt Opco Units or the number of votes required to approve any proposal, including the vote required to approve and adopt the Merger Agreement and the other Transaction Documents, and the transactions contemplated thereby, including the Merger (provided that this </w:t>
      </w:r>
      <w:r>
        <w:rPr>
          <w:rFonts w:ascii="Times New Roman" w:hAnsi="Times New Roman"/>
          <w:sz w:val="20"/>
          <w:u w:val="single"/>
        </w:rPr>
        <w:t>clause (iv)</w:t>
      </w:r>
      <w:r>
        <w:rPr>
          <w:rFonts w:ascii="Times New Roman" w:hAnsi="Times New Roman"/>
          <w:sz w:val="20"/>
        </w:rPr>
        <w:t xml:space="preserve"> shall not prevent the approval and adoption of the Surviving Company LLC Agreement to the extent such Surviving Company LLC Agreement is to take effect at Closing); and </w:t>
      </w:r>
    </w:p>
    <w:p>
      <w:pPr>
        <w:pStyle w:val="TextBody"/>
        <w:spacing w:before="120" w:after="0"/>
        <w:jc w:val="left"/>
        <w:rPr>
          <w:rFonts w:ascii="Times New Roman" w:hAnsi="Times New Roman"/>
          <w:sz w:val="20"/>
        </w:rPr>
      </w:pPr>
      <w:r>
        <w:rPr>
          <w:rFonts w:ascii="Times New Roman" w:hAnsi="Times New Roman"/>
          <w:sz w:val="20"/>
        </w:rPr>
        <w:t xml:space="preserve">(v) against any action, transaction or agreement that (A) would result in a breach of any Bakkt Fundamental Representations or (B) would reasonably be expected to prevent, delay or impair consummation of the Transactions in any material respect. </w:t>
      </w:r>
    </w:p>
    <w:p>
      <w:pPr>
        <w:pStyle w:val="TextBody"/>
        <w:spacing w:before="120" w:after="0"/>
        <w:jc w:val="left"/>
        <w:rPr>
          <w:rFonts w:ascii="Times New Roman" w:hAnsi="Times New Roman"/>
          <w:sz w:val="20"/>
        </w:rPr>
      </w:pPr>
      <w:r>
        <w:rPr>
          <w:rFonts w:ascii="Times New Roman" w:hAnsi="Times New Roman"/>
          <w:sz w:val="20"/>
        </w:rPr>
        <w:t xml:space="preserve">(b) Any vote required to be cast or consent or dissent in writing required to be expressed pursuant to this </w:t>
      </w:r>
      <w:r>
        <w:rPr>
          <w:rFonts w:ascii="Times New Roman" w:hAnsi="Times New Roman"/>
          <w:sz w:val="20"/>
          <w:u w:val="single"/>
        </w:rPr>
        <w:t>Section 1.01</w:t>
      </w:r>
      <w:r>
        <w:rPr>
          <w:rFonts w:ascii="Times New Roman" w:hAnsi="Times New Roman"/>
          <w:sz w:val="20"/>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any Restricted Party (or entitles any proxy of such Restricted Party) to convert, exercise or exchange any options, warrants or convertible securities in order to obtain any underlying Bakkt Opco Units.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 Each Restricted Party agrees not to enter into any commitment, agreement, understanding or similar arrangement with any Person to vote or give voting instructions or express consent or dissent in writing in any manner inconsistent with the terms of this </w:t>
      </w:r>
      <w:r>
        <w:rPr>
          <w:rFonts w:ascii="Times New Roman" w:hAnsi="Times New Roman"/>
          <w:sz w:val="20"/>
          <w:u w:val="single"/>
        </w:rPr>
        <w:t>Section 1.01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 Transfers</w:t>
      </w:r>
      <w:r>
        <w:rPr>
          <w:rFonts w:ascii="Times New Roman" w:hAnsi="Times New Roman"/>
          <w:sz w:val="20"/>
        </w:rPr>
        <w:t xml:space="preserve">. During the Applicable Period, each Restricted Party shall not, directly or indirectly: (a) sell, convey, assign, transfer (including by succession or otherwise by operation of Law), exchange, pledge, hypothecate or otherwise encumber or dispose of any Subject Bakkt Opco Units (or any right, title or interest therein) or any rights to acquire any securities or Equity Interests of Bakkt Opco; (b) deposit any Subject Bakkt Opco Units or any rights to acquire any securities or Equity Interests of Bakkt Opco into a voting trust or enter into a voting agreement or any other arrangement with respect to any Subject Bakkt Opco Units or any rights to acquire any securities or Equity Interests of Bakkt Opco or grant or purport to grant any proxy or power of attorney with respect thereto which, in any case, would be inconsistent with or interfere with its obligations hereunder; (c) enter into any contract, option, call or other arrangement or undertaking, whether or not in writing, with respect to the sale, conveyance, assignment, transfer, exchange, pledge, hypothecation or other encumbrance or disposition, or limitation on the voting rights, of any Subject Bakkt Opco Units (or any right, title or interest therein) or any rights to acquire any securities or Equity Interests of Bakkt Opco which, in any case, would be inconsistent with or interfere with its obligations hereunder (including, without limitation, </w:t>
      </w:r>
      <w:r>
        <w:rPr>
          <w:rFonts w:ascii="Times New Roman" w:hAnsi="Times New Roman"/>
          <w:sz w:val="20"/>
          <w:u w:val="single"/>
        </w:rPr>
        <w:t>clause (a)</w:t>
      </w:r>
      <w:r>
        <w:rPr>
          <w:rFonts w:ascii="Times New Roman" w:hAnsi="Times New Roman"/>
          <w:sz w:val="20"/>
        </w:rPr>
        <w:t xml:space="preserve"> of this </w:t>
      </w:r>
      <w:r>
        <w:rPr>
          <w:rFonts w:ascii="Times New Roman" w:hAnsi="Times New Roman"/>
          <w:sz w:val="20"/>
          <w:u w:val="single"/>
        </w:rPr>
        <w:t>Section 1.02</w:t>
      </w:r>
      <w:r>
        <w:rPr>
          <w:rFonts w:ascii="Times New Roman" w:hAnsi="Times New Roman"/>
          <w:sz w:val="20"/>
        </w:rPr>
        <w:t xml:space="preserve">); (d) otherwise grant any Liens on any Subject Bakkt Opco Units (other than applicable restrictions on transfer under U.S. state or federal securities or blue sky Laws) or (e) commit or agree to take any of the foregoing actions (any action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a </w:t>
      </w:r>
      <w:r>
        <w:rPr>
          <w:rFonts w:ascii="Times New Roman" w:hAnsi="Times New Roman"/>
          <w:sz w:val="20"/>
          <w:u w:val="single"/>
        </w:rPr>
        <w:t>Transfer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Transfers between any Restricted Party and any Affiliate of such Restricted Party so long as, prior to and as a condition to the effectiveness of any such Transfer, such Affiliate executes and delivers to VIH a joinder to this Agreement in the form attached hereto as </w:t>
      </w:r>
      <w:r>
        <w:rPr>
          <w:rFonts w:ascii="Times New Roman" w:hAnsi="Times New Roman"/>
          <w:sz w:val="20"/>
          <w:u w:val="single"/>
        </w:rPr>
        <w:t>Annex B</w:t>
      </w:r>
      <w:r>
        <w:rPr>
          <w:rFonts w:ascii="Times New Roman" w:hAnsi="Times New Roman"/>
          <w:sz w:val="20"/>
        </w:rPr>
        <w:t xml:space="preserve">. Any Transfer or action in violation of this </w:t>
      </w:r>
      <w:r>
        <w:rPr>
          <w:rFonts w:ascii="Times New Roman" w:hAnsi="Times New Roman"/>
          <w:sz w:val="20"/>
          <w:u w:val="single"/>
        </w:rPr>
        <w:t>Section 1.02</w:t>
      </w:r>
      <w:r>
        <w:rPr>
          <w:rFonts w:ascii="Times New Roman" w:hAnsi="Times New Roman"/>
          <w:sz w:val="20"/>
        </w:rPr>
        <w:t xml:space="preserve"> shall be void </w:t>
      </w:r>
      <w:r>
        <w:rPr>
          <w:rFonts w:ascii="Times New Roman" w:hAnsi="Times New Roman"/>
          <w:i/>
          <w:sz w:val="20"/>
        </w:rPr>
        <w:t>ab initio</w:t>
      </w:r>
      <w:r>
        <w:rPr>
          <w:rFonts w:ascii="Times New Roman" w:hAnsi="Times New Roman"/>
          <w:sz w:val="20"/>
        </w:rPr>
        <w:t xml:space="preserve">. If any involuntary Transfer of any Subject Bakkt Opco Units occurs, the transferee (and all transferees and subsequent transferees of such transferee) shall take and hold such Subject Bakkt Opco Units subject to all of the restrictions, liabilities and rights under this Agreement, which shall continue in full force and effect during the Applicable Period. </w:t>
      </w:r>
    </w:p>
    <w:p>
      <w:pPr>
        <w:pStyle w:val="TextBody"/>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Stop Transfer</w:t>
      </w:r>
      <w:r>
        <w:rPr>
          <w:rFonts w:ascii="Times New Roman" w:hAnsi="Times New Roman"/>
          <w:sz w:val="20"/>
        </w:rPr>
        <w:t xml:space="preserve">. No Restricted Party shall request that Bakkt Opco register any transfer of any certificate or other uncertificated interest representing any Subject Bakkt Opco Units made in violation of the restrictions set forth in </w:t>
      </w:r>
      <w:r>
        <w:rPr>
          <w:rFonts w:ascii="Times New Roman" w:hAnsi="Times New Roman"/>
          <w:sz w:val="20"/>
          <w:u w:val="single"/>
        </w:rPr>
        <w:t>Section 1.02</w:t>
      </w:r>
      <w:r>
        <w:rPr>
          <w:rFonts w:ascii="Times New Roman" w:hAnsi="Times New Roman"/>
          <w:sz w:val="20"/>
        </w:rPr>
        <w:t xml:space="preserve"> during the Applicable Period. </w:t>
      </w:r>
    </w:p>
    <w:p>
      <w:pPr>
        <w:pStyle w:val="TextBody"/>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Waiver of Appraisal Rights</w:t>
      </w:r>
      <w:r>
        <w:rPr>
          <w:rFonts w:ascii="Times New Roman" w:hAnsi="Times New Roman"/>
          <w:sz w:val="20"/>
        </w:rPr>
        <w:t>. Each Restricted Party hereby agrees not to assert, exercise or perfect, directly or indirectly, and hereby irrevocably and unconditionally waives, any appraisal rights that such Restricted Party may be entitled to under applicable Law (including under the DLLCA or otherwise) with respect to the Merger or the other transactions contemplated by the Merger Agreement (collectively, </w:t>
      </w:r>
      <w:r>
        <w:rPr>
          <w:rFonts w:ascii="Times New Roman" w:hAnsi="Times New Roman"/>
          <w:sz w:val="20"/>
          <w:u w:val="single"/>
        </w:rPr>
        <w:t>Appraisal Rights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Public Announcements; Filings;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Each Restricted Party (and such Restricted Partys controlled Affiliates) shall not issue any press release or make any other public announcement or public statement (a </w:t>
      </w:r>
      <w:r>
        <w:rPr>
          <w:rFonts w:ascii="Times New Roman" w:hAnsi="Times New Roman"/>
          <w:sz w:val="20"/>
          <w:u w:val="single"/>
        </w:rPr>
        <w:t>Public Communication</w:t>
      </w:r>
      <w:r>
        <w:rPr>
          <w:rFonts w:ascii="Times New Roman" w:hAnsi="Times New Roman"/>
          <w:sz w:val="20"/>
        </w:rPr>
        <w:t xml:space="preserve">) with respect to this Agreement, the Merger Agreement, the other Transaction Documents or the transactions contemplated by this Agreement, the Merger Agreement or the other Transaction Documents, without the prior written consent of VIH and Bakkt Opco, except (i) as required by applicable Law or court process, in which case such Restricted Party shall use its reasonable efforts to provide VIH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VIH and Bakkt Opco; </w:t>
      </w:r>
      <w:r>
        <w:rPr>
          <w:rFonts w:ascii="Times New Roman" w:hAnsi="Times New Roman"/>
          <w:sz w:val="20"/>
          <w:u w:val="single"/>
        </w:rPr>
        <w:t>provided</w:t>
      </w:r>
      <w:r>
        <w:rPr>
          <w:rFonts w:ascii="Times New Roman" w:hAnsi="Times New Roman"/>
          <w:sz w:val="20"/>
        </w:rPr>
        <w:t xml:space="preserve">, that the foregoing shall not apply to any disclosure required to be made by such Restricted Party to a Governmental Authority so long as such disclosure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consistent with the terms of this Agreement and the Merger Agreement and the disclosures made by Bakkt Opco and VIH pursuant to the terms of the Merger Agreement. Notwithstanding anything to the contrary in this </w:t>
      </w:r>
      <w:r>
        <w:rPr>
          <w:rFonts w:ascii="Times New Roman" w:hAnsi="Times New Roman"/>
          <w:sz w:val="20"/>
          <w:u w:val="single"/>
        </w:rPr>
        <w:t>Section 1.05(a)</w:t>
      </w:r>
      <w:r>
        <w:rPr>
          <w:rFonts w:ascii="Times New Roman" w:hAnsi="Times New Roman"/>
          <w:sz w:val="20"/>
        </w:rPr>
        <w:t xml:space="preserve">, any member of the board of managers or an officer of Bakkt Opco, in his or her capacity as a member of the board of managers or an officer of Bakkt Opco, may make public statements in such capacity to the extent permitted under the Merger Agreement. </w:t>
      </w:r>
    </w:p>
    <w:p>
      <w:pPr>
        <w:pStyle w:val="TextBody"/>
        <w:spacing w:before="120" w:after="0"/>
        <w:jc w:val="left"/>
        <w:rPr>
          <w:rFonts w:ascii="Times New Roman" w:hAnsi="Times New Roman"/>
          <w:sz w:val="20"/>
        </w:rPr>
      </w:pPr>
      <w:r>
        <w:rPr>
          <w:rFonts w:ascii="Times New Roman" w:hAnsi="Times New Roman"/>
          <w:sz w:val="20"/>
        </w:rPr>
        <w:t>(b) Each Restricted Party hereby (i) consents to and authorizes Bakkt Opco and VIH to publish and disclose in any disclosure required by the SEC and in the proxy statement prepared by VIH and filed with the SEC relating to the VIH Shareholder Meeting (the </w:t>
      </w:r>
      <w:r>
        <w:rPr>
          <w:rFonts w:ascii="Times New Roman" w:hAnsi="Times New Roman"/>
          <w:sz w:val="20"/>
          <w:u w:val="single"/>
        </w:rPr>
        <w:t>Proxy Statement</w:t>
      </w:r>
      <w:r>
        <w:rPr>
          <w:rFonts w:ascii="Times New Roman" w:hAnsi="Times New Roman"/>
          <w:sz w:val="20"/>
        </w:rPr>
        <w:t>) such Restricted Partys identity and ownership of Subject Bakkt Opco Units (including the number of Subject Bakkt Opco Units owned by such Restricted Party solely to the extent that such information is required to be disclosed by applicable Law) and such Restricted Partys obligations under this Agreement (the </w:t>
      </w:r>
      <w:r>
        <w:rPr>
          <w:rFonts w:ascii="Times New Roman" w:hAnsi="Times New Roman"/>
          <w:sz w:val="20"/>
          <w:u w:val="single"/>
        </w:rPr>
        <w:t>Restricted Party Information</w:t>
      </w:r>
      <w:r>
        <w:rPr>
          <w:rFonts w:ascii="Times New Roman" w:hAnsi="Times New Roman"/>
          <w:sz w:val="20"/>
        </w:rPr>
        <w:t xml:space="preserve">), (ii) consents to the filing of this Agreement to the extent required by applicable Law to be filed with the SEC or any Governmental Authority relating to the Merger, and (iii) agrees to reasonably cooperate with VIH in connection with such filings, including providing such Restricted Party Information reasonably requested by VIH. VIH shall use its reasonable best efforts to provide each Restricted Party with a reasonable opportunity to review and comment on any Restricted Party Information of such Restricted Party included in such disclosure in advance of its filing. As promptly as practicable, each Restricted Party shall notify VIH of any required corrections with respect to any Restricted Party Information supplied by such Restricted Party, if and to the extent such Restricted Party becomes aware that any such Restricted Party Information shall have become false or misleading in any material respect. </w:t>
      </w:r>
    </w:p>
    <w:p>
      <w:pPr>
        <w:pStyle w:val="TextBody"/>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No Solicitation</w:t>
      </w:r>
      <w:r>
        <w:rPr>
          <w:rFonts w:ascii="Times New Roman" w:hAnsi="Times New Roman"/>
          <w:sz w:val="20"/>
        </w:rPr>
        <w:t>. Each Restricted Party acknowledges that such Restricted Party has read Section 5.11 (</w:t>
      </w:r>
      <w:r>
        <w:rPr>
          <w:rFonts w:ascii="Times New Roman" w:hAnsi="Times New Roman"/>
          <w:i/>
          <w:sz w:val="20"/>
        </w:rPr>
        <w:t>No Solicitation</w:t>
      </w:r>
      <w:r>
        <w:rPr>
          <w:rFonts w:ascii="Times New Roman" w:hAnsi="Times New Roman"/>
          <w:sz w:val="20"/>
        </w:rPr>
        <w:t xml:space="preserve">) of the Merger Agreement. In addition, each Restricted Party, solely in such Restricted Partys capacity as an equity holder of Bakkt Opco, agrees not to, directly or indirectly, take any action that would violate Section 5.11 of the Merger Agreement if such Restricted Party were deemed a Representative of Bakkt Opco for purposes of Section 5.11 of the Merger Agreement; </w:t>
      </w:r>
      <w:r>
        <w:rPr>
          <w:rFonts w:ascii="Times New Roman" w:hAnsi="Times New Roman"/>
          <w:sz w:val="20"/>
          <w:u w:val="single"/>
        </w:rPr>
        <w:t>provided</w:t>
      </w:r>
      <w:r>
        <w:rPr>
          <w:rFonts w:ascii="Times New Roman" w:hAnsi="Times New Roman"/>
          <w:sz w:val="20"/>
        </w:rPr>
        <w:t xml:space="preserve">, the foregoing shall not serve to limit or restrict any actions taken by such Restricted Party in any capacity other than as an equity holder of Bakkt Opco, to the extent such actions are in compliance with or required under Section 5.11 of the Merger Agreement. </w:t>
      </w:r>
    </w:p>
    <w:p>
      <w:pPr>
        <w:pStyle w:val="TextBody"/>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No Agreement as Director or Officer</w:t>
      </w:r>
      <w:r>
        <w:rPr>
          <w:rFonts w:ascii="Times New Roman" w:hAnsi="Times New Roman"/>
          <w:sz w:val="20"/>
        </w:rPr>
        <w:t xml:space="preserve">. Each Restricted Party is entering into this Agreement solely in such Restricted Partys capacity as record or beneficial owner of the Subject Bakkt Opco Units and nothing herein is intended to or shall limit or affect any actions taken by such Restricted Party or any employee, officer, director (or person performing similar functions), partner or other Affiliate (including, for this purpose, any appointee or representative of such Restricted Party to the board of managers of Bakkt Opco or as an officer of Bakkt Opco) of such Restricted Party, solely in his or her capacity as a member of the board of managers or an officer of Bakkt Opco (or a Subsidiary of Bakkt Opco) or other fiduciary capacity for the Bakkt Equity Holders. </w:t>
      </w:r>
    </w:p>
    <w:p>
      <w:pPr>
        <w:pStyle w:val="TextBody"/>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Acquisition of Additional Bakkt Opco Units</w:t>
      </w:r>
      <w:r>
        <w:rPr>
          <w:rFonts w:ascii="Times New Roman" w:hAnsi="Times New Roman"/>
          <w:sz w:val="20"/>
        </w:rPr>
        <w:t xml:space="preserve">. Each Restricted Party shall promptly (and in any event within two (2) Business Days) notify VIH of the number of any additional Bakkt Opco Units or other Equity Interests of Bakkt Opco with respect to which such Restricted Party becomes the holder of record or acquires beneficial ownership, if any, after the execution of this Agreement and before the Expiration Date, which Bakkt Opco Units or other Equity Interests of Bakkt Opco shall, for the avoidance of doubt, automatically become Subject Bakkt Opco Units in accordance with </w:t>
      </w:r>
      <w:r>
        <w:rPr>
          <w:rFonts w:ascii="Times New Roman" w:hAnsi="Times New Roman"/>
          <w:sz w:val="20"/>
          <w:u w:val="single"/>
        </w:rPr>
        <w:t>Section 1.01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Existing Rights; Merger Consideration; Confidentiality; No Litigation</w:t>
      </w:r>
      <w:r>
        <w:rPr>
          <w:rFonts w:ascii="Times New Roman" w:hAnsi="Times New Roman"/>
          <w:sz w:val="20"/>
        </w:rPr>
        <w:t xml:space="preserve">. Each Restricted Party hereby: </w:t>
      </w:r>
    </w:p>
    <w:p>
      <w:pPr>
        <w:pStyle w:val="TextBody"/>
        <w:spacing w:before="120" w:after="0"/>
        <w:jc w:val="left"/>
        <w:rPr>
          <w:rFonts w:ascii="Times New Roman" w:hAnsi="Times New Roman"/>
          <w:sz w:val="20"/>
        </w:rPr>
      </w:pPr>
      <w:r>
        <w:rPr>
          <w:rFonts w:ascii="Times New Roman" w:hAnsi="Times New Roman"/>
          <w:sz w:val="20"/>
        </w:rPr>
        <w:t xml:space="preserve">(a) waives any preemptive rights, rights of first refusal, rights of first offer or similar rights that such Restricted Party may have under the Organizational Documents of Bakkt Opco or any other Contract by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between such Restricted Party and Bakkt Opco, in each case, that would be triggered by the consummation of the Transactions (including under Sections 7.6 or Article XI of the Bakkt Opco LLC Agreement, but not, for the avoidance of doubt, any transaction arising following the Expiration Date); </w:t>
      </w:r>
    </w:p>
    <w:p>
      <w:pPr>
        <w:pStyle w:val="TextBody"/>
        <w:spacing w:before="120" w:after="0"/>
        <w:jc w:val="left"/>
        <w:rPr>
          <w:rFonts w:ascii="Times New Roman" w:hAnsi="Times New Roman"/>
          <w:sz w:val="20"/>
        </w:rPr>
      </w:pPr>
      <w:r>
        <w:rPr>
          <w:rFonts w:ascii="Times New Roman" w:hAnsi="Times New Roman"/>
          <w:sz w:val="20"/>
        </w:rPr>
        <w:t xml:space="preserve">(b) expressly acknowledges and agrees that the Merger Consideration and such Restricted Partys respective allocation of Merger Consideration shall be determined pursuant to and in the manner prescribed by the terms of the Merger Agreement, as shall be calculated and set forth on the Final Merger Consideration Spreadsheet (as defined in the Merger Agreement), and, irrevocably waives and discharges any and all claims and causes of action (whether at law or in equity) that such Restricted Party may have at any time against Bakkt Opco, Merger Sub, Surviving Company, VIH, Bakkt Pubco or any of their respective Subsidiaries or Affiliates, or any of their respective directors, officers, employees, agents, members, managers, investment managers, partners, agents, investors, principals, representatives, predecessors, successors and assigns with respect to the Merger Consideration and such Restricted Partys respective allocation of the Merger Consideration, other than any claim or cause of action alleging that such Restricted Partys allocation of the Merger Consideration was not determined pursuant to and in the manner prescribed by the Merger Agreement; </w:t>
      </w:r>
    </w:p>
    <w:p>
      <w:pPr>
        <w:pStyle w:val="TextBody"/>
        <w:spacing w:before="120" w:after="0"/>
        <w:jc w:val="left"/>
        <w:rPr>
          <w:rFonts w:ascii="Times New Roman" w:hAnsi="Times New Roman"/>
          <w:sz w:val="20"/>
        </w:rPr>
      </w:pPr>
      <w:r>
        <w:rPr>
          <w:rFonts w:ascii="Times New Roman" w:hAnsi="Times New Roman"/>
          <w:sz w:val="20"/>
        </w:rPr>
        <w:t>(c) acknowledges and agrees that all confidential, proprietary and non-public information or documents of or pertaining to Bakkt Opco, Merger Sub, Surviving Company, VIH, Bakkt Pubco and/or any Subsidiary of any of the foregoing that is received by such Restricted Party or its Representatives in connection with the transactions contemplated hereby or contemplated by the Merger Agreement or other Transaction Documents shall be deemed Confidential Information for purposes of (and subject to any applicable exceptions or other limitations of) Section 16.3 (</w:t>
      </w:r>
      <w:r>
        <w:rPr>
          <w:rFonts w:ascii="Times New Roman" w:hAnsi="Times New Roman"/>
          <w:i/>
          <w:sz w:val="20"/>
        </w:rPr>
        <w:t>Confidentiality</w:t>
      </w:r>
      <w:r>
        <w:rPr>
          <w:rFonts w:ascii="Times New Roman" w:hAnsi="Times New Roman"/>
          <w:sz w:val="20"/>
        </w:rPr>
        <w:t xml:space="preserve">) of the Bakkt Opco LLC Agreement </w:t>
      </w:r>
      <w:r>
        <w:rPr>
          <w:rFonts w:ascii="Times New Roman" w:hAnsi="Times New Roman"/>
          <w:b/>
          <w:sz w:val="20"/>
        </w:rPr>
        <w:t>(</w:t>
      </w:r>
      <w:r>
        <w:rPr>
          <w:rFonts w:ascii="Times New Roman" w:hAnsi="Times New Roman"/>
          <w:sz w:val="20"/>
        </w:rPr>
        <w:t>solely for any period of time prior to the Effective Time</w:t>
      </w:r>
      <w:r>
        <w:rPr>
          <w:rFonts w:ascii="Times New Roman" w:hAnsi="Times New Roman"/>
          <w:b/>
          <w:sz w:val="20"/>
        </w:rPr>
        <w:t>)</w:t>
      </w:r>
      <w:r>
        <w:rPr>
          <w:rFonts w:ascii="Times New Roman" w:hAnsi="Times New Roman"/>
          <w:sz w:val="20"/>
        </w:rPr>
        <w:t xml:space="preserve"> and Section 12.2 (</w:t>
      </w:r>
      <w:r>
        <w:rPr>
          <w:rFonts w:ascii="Times New Roman" w:hAnsi="Times New Roman"/>
          <w:i/>
          <w:sz w:val="20"/>
        </w:rPr>
        <w:t>Confidentiality</w:t>
      </w:r>
      <w:r>
        <w:rPr>
          <w:rFonts w:ascii="Times New Roman" w:hAnsi="Times New Roman"/>
          <w:sz w:val="20"/>
        </w:rPr>
        <w:t xml:space="preserve">) of the Surviving Company LLC Agreement (solely for any period of time after the Effective Time); and </w:t>
      </w:r>
    </w:p>
    <w:p>
      <w:pPr>
        <w:pStyle w:val="TextBody"/>
        <w:spacing w:before="120" w:after="0"/>
        <w:jc w:val="left"/>
        <w:rPr>
          <w:rFonts w:ascii="Times New Roman" w:hAnsi="Times New Roman"/>
          <w:sz w:val="20"/>
        </w:rPr>
      </w:pPr>
      <w:r>
        <w:rPr>
          <w:rFonts w:ascii="Times New Roman" w:hAnsi="Times New Roman"/>
          <w:sz w:val="20"/>
        </w:rPr>
        <w:t xml:space="preserve">(d) agrees not to commence, maintain or participate in, or intentionally facilitate, assist or encourage, and agrees to take all actions necessary to opt out of any class in any class action with respect to, any claim, suit, proceeding or cause of action, in law or in equity, in any court or before any Governmental Authority challenging the validity of, or seeking to enjoin or delay the operation of, any provision of this Agreement or the Merger Agreement or any of the transactions contemplated thereby (including any claim seeking to enjoin or delay the consummation of the Merger, but not, for the avoidance of doubt, any transaction arising following the Expiration Date);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notwithstanding the foregoing, nothing in this </w:t>
      </w:r>
      <w:r>
        <w:rPr>
          <w:rFonts w:ascii="Times New Roman" w:hAnsi="Times New Roman"/>
          <w:sz w:val="20"/>
          <w:u w:val="single"/>
        </w:rPr>
        <w:t>Section 1.09</w:t>
      </w:r>
      <w:r>
        <w:rPr>
          <w:rFonts w:ascii="Times New Roman" w:hAnsi="Times New Roman"/>
          <w:sz w:val="20"/>
        </w:rPr>
        <w:t xml:space="preserve"> shall be deemed to prohibit any Restricted Party from enforcing (x) such Restricted Partys rights under this Agreement or any other Transaction Document to which such Restricted Party is a party or (y) such Restricted Partys right to receive the Merger Consideration in accordance with the terms thereof. </w:t>
      </w:r>
    </w:p>
    <w:p>
      <w:pPr>
        <w:pStyle w:val="TextBody"/>
        <w:spacing w:before="480" w:after="0"/>
        <w:jc w:val="center"/>
        <w:rPr>
          <w:rFonts w:ascii="Times New Roman" w:hAnsi="Times New Roman"/>
          <w:b/>
          <w:sz w:val="20"/>
        </w:rPr>
      </w:pPr>
      <w:r>
        <w:rPr>
          <w:rFonts w:ascii="Times New Roman" w:hAnsi="Times New Roman"/>
          <w:b/>
          <w:sz w:val="20"/>
        </w:rPr>
        <w:t xml:space="preserve">ARTICLE 2 </w:t>
      </w:r>
    </w:p>
    <w:p>
      <w:pPr>
        <w:pStyle w:val="TextBody"/>
        <w:spacing w:before="240" w:after="0"/>
        <w:jc w:val="center"/>
        <w:rPr>
          <w:rFonts w:ascii="Times New Roman" w:hAnsi="Times New Roman"/>
          <w:b/>
          <w:sz w:val="20"/>
        </w:rPr>
      </w:pPr>
      <w:r>
        <w:rPr>
          <w:rFonts w:ascii="Times New Roman" w:hAnsi="Times New Roman"/>
          <w:b/>
          <w:sz w:val="20"/>
        </w:rPr>
        <w:t xml:space="preserve">REPRESENTATIONS AND WARRANTIES OF THE RESTRICTED PARTIES </w:t>
      </w:r>
    </w:p>
    <w:p>
      <w:pPr>
        <w:pStyle w:val="TextBody"/>
        <w:spacing w:before="240" w:after="0"/>
        <w:jc w:val="left"/>
        <w:rPr>
          <w:rFonts w:ascii="Times New Roman" w:hAnsi="Times New Roman"/>
          <w:sz w:val="20"/>
        </w:rPr>
      </w:pPr>
      <w:r>
        <w:rPr>
          <w:rFonts w:ascii="Times New Roman" w:hAnsi="Times New Roman"/>
          <w:sz w:val="20"/>
        </w:rPr>
        <w:t xml:space="preserve">Each Restricted Party hereby represents and warrants to VIH as follows (severally and not jointly), except for </w:t>
      </w:r>
      <w:r>
        <w:rPr>
          <w:rFonts w:ascii="Times New Roman" w:hAnsi="Times New Roman"/>
          <w:sz w:val="20"/>
          <w:u w:val="single"/>
        </w:rPr>
        <w:t>Section 2.06</w:t>
      </w:r>
      <w:r>
        <w:rPr>
          <w:rFonts w:ascii="Times New Roman" w:hAnsi="Times New Roman"/>
          <w:sz w:val="20"/>
        </w:rPr>
        <w:t xml:space="preserve">, which representation and warranty shall solely be made by the Majority Bakkt Equity Holder to VIH: </w:t>
      </w:r>
    </w:p>
    <w:p>
      <w:pPr>
        <w:pStyle w:val="TextBody"/>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Organization; Authorization</w:t>
      </w:r>
      <w:r>
        <w:rPr>
          <w:rFonts w:ascii="Times New Roman" w:hAnsi="Times New Roman"/>
          <w:sz w:val="20"/>
        </w:rPr>
        <w:t xml:space="preserve">. (a) Such Restricted Party is a legal entity duly organized, validly existing and in good standing under the Laws of such Restricted Partys jurisdiction of organization, (b) such Restricted Party has all requisite corporate or similar power and authority and has taken all corporate or similar action necessary in order to execute and deliver this Agreement, to perform such Restricted Partys obligations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this Agreement and to consummate the transactions contemplated by this Agreement, and (c) no approval by any holder of such Restricted Partys Equity Interests is necessary to approve this Agreement. This Agreement has been duly executed and delivered by such Restricted Party and this Agreement constitutes a valid and binding agreement of such Restricted Party enforceable against such Restricted Party in accordance with its terms, subject to the Enforcement Exceptions. </w:t>
      </w:r>
    </w:p>
    <w:p>
      <w:pPr>
        <w:pStyle w:val="TextBody"/>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No Violations; Certain Contracts</w:t>
      </w:r>
      <w:r>
        <w:rPr>
          <w:rFonts w:ascii="Times New Roman" w:hAnsi="Times New Roman"/>
          <w:sz w:val="20"/>
        </w:rPr>
        <w:t xml:space="preserve">. The execution, delivery and performance of this Agreement by such Restricted Party does not, and the consummation of the transactions contemplated by this Agreement by such Restricted Party shall not, constitute or result in (i) a breach or violation of, or a default under, the Organizational Documents of such Restricted Party, if applicable, or (ii) with or without notice, lapse of time or both, a breach or violation of, a termination (or right of termination) of or default under, the creation or acceleration of any obligations under or the creation of any Lien on any of the Subject Bakkt Opco Units of such Restricted Party, pursuant to, any Contract binding upon such Restricted Party or under any Law to which such Restricted Party is subject, except, in each case, as would not, individually or in the aggregate, reasonably be expected to prevent, delay or impair the ability of such Restricted Party to perform its obligations under this Agreement or consummate the transactions contemplated by the Agreement. </w:t>
      </w:r>
    </w:p>
    <w:p>
      <w:pPr>
        <w:pStyle w:val="TextBody"/>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Litigation</w:t>
      </w:r>
      <w:r>
        <w:rPr>
          <w:rFonts w:ascii="Times New Roman" w:hAnsi="Times New Roman"/>
          <w:sz w:val="20"/>
        </w:rPr>
        <w:t xml:space="preserve">. As of the date of this Agreement, except as would not, individually or in the aggregate, reasonably be expected to prevent, delay or impair the ability of such Restricted Party to perform its obligations under this Agreement or to consummate the transactions contemplated by this Agreement, (a) there are no Actions pending or, to the knowledge of such Restricted Party, threatened against such Restricted Party or any of its Affiliates and (b) neither such Restricted Party nor any of its Affiliates is a party to or subject to the provisions of any judgment, order, writ, injunction, decree or award of any Governmental Authority. </w:t>
      </w:r>
    </w:p>
    <w:p>
      <w:pPr>
        <w:pStyle w:val="TextBody"/>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Ownership of Company Stock; Voting Power</w:t>
      </w:r>
      <w:r>
        <w:rPr>
          <w:rFonts w:ascii="Times New Roman" w:hAnsi="Times New Roman"/>
          <w:sz w:val="20"/>
        </w:rPr>
        <w:t>. Such Restricted Partys signature page or joinder hereto correctly sets forth the number of such Restricted Partys Subject Bakkt Opco Units as of the date of this Agreement and, other than such Subject Bakkt Opco Units, as of the date of this Agreement, there are no Equity Interests of Bakkt Opco (or any Equity Interests convertible, exercisable or exchangeable for, or rights to purchase or acquire, any Equity Interests of Bakkt Opco) held of record or beneficially owned by such Restricted Party or in respect of which such Restricted Party has full voting power. Such Restricted Party is the record holder and beneficial owner of all of its Subject Bakkt Opco Units and has, and shall have throughout the Applicable Period, full voting power and power of disposition with respect to all such Subject Bakkt Opco Units free and clear of any liens, claims, proxies, voting trusts or agreements, options or any other encumbrances or restrictions on title, transfer or exercise of any rights of an equity holder in respect of such Subject Bakkt Opco Units (collectively, </w:t>
      </w:r>
      <w:r>
        <w:rPr>
          <w:rFonts w:ascii="Times New Roman" w:hAnsi="Times New Roman"/>
          <w:sz w:val="20"/>
          <w:u w:val="single"/>
        </w:rPr>
        <w:t>Encumbrances</w:t>
      </w:r>
      <w:r>
        <w:rPr>
          <w:rFonts w:ascii="Times New Roman" w:hAnsi="Times New Roman"/>
          <w:sz w:val="20"/>
        </w:rPr>
        <w:t xml:space="preserve">), except for any such encumbrances that (a) may be imposed pursuant to (i) this Agreement, (ii) any applicable restrictions on transfer under U.S. state or federal securities or blue sky Laws, or (iii) Bakkt Opcos Organizational Documents or (b) would not, individually or in the aggregate, reasonably be expected to prevent, delay or impair the ability of such Restricted Party to perform its obligations under this Agreement or to consummate the transactions contemplated by this Agreement. No Person has any contractual or other right or obligation to purchase or otherwise acquire any of such Restricted Partys Subject Bakkt Opco Units other than pursuant to the Merger Agreement or as set forth in Bakkt Opcos Organizational Documents. </w:t>
      </w:r>
    </w:p>
    <w:p>
      <w:pPr>
        <w:pStyle w:val="TextBody"/>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Reliance</w:t>
      </w:r>
      <w:r>
        <w:rPr>
          <w:rFonts w:ascii="Times New Roman" w:hAnsi="Times New Roman"/>
          <w:sz w:val="20"/>
        </w:rPr>
        <w:t xml:space="preserve">. Such Restricted Party understands and acknowledges that VIH and Merger Sub are relying upon such Restricted Partys execution, delivery and performance of this Agreement and upon the representations and warranties and covenants of such Restricted Party contained in this Agreement. </w:t>
      </w:r>
    </w:p>
    <w:p>
      <w:pPr>
        <w:pStyle w:val="TextBody"/>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Finders Fees</w:t>
      </w:r>
      <w:r>
        <w:rPr>
          <w:rFonts w:ascii="Times New Roman" w:hAnsi="Times New Roman"/>
          <w:sz w:val="20"/>
        </w:rPr>
        <w:t xml:space="preserve">. Solely in respect of the Majority Bakkt Equity Holder (and no other Restricted Party), no agent, broker, investment banker, finder or other intermediary is or shall be entitled to any fee or commission or reimbursement of expenses from VIH or any of its Affiliates or Bakkt Opco or any of 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Subsidiaries in respect of this Agreement based upon any arrangement or agreement made by or on behalf of the Majority Bakkt Equity Holder. For the avoidance of doubt, no arrangement or agreement with any agent, broker, investment banker, finder or other intermediary specified in Section 3.18 of the Merger Agreement or of the Bakkt Disclosure Letter shall be deemed to have been made by or on behalf of the Majority Bakkt Equity Holder. </w:t>
      </w:r>
    </w:p>
    <w:p>
      <w:pPr>
        <w:pStyle w:val="TextBody"/>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made by such Restricted Party in this </w:t>
      </w:r>
      <w:r>
        <w:rPr>
          <w:rFonts w:ascii="Times New Roman" w:hAnsi="Times New Roman"/>
          <w:sz w:val="20"/>
          <w:u w:val="single"/>
        </w:rPr>
        <w:t>Article 2</w:t>
      </w:r>
      <w:r>
        <w:rPr>
          <w:rFonts w:ascii="Times New Roman" w:hAnsi="Times New Roman"/>
          <w:sz w:val="20"/>
        </w:rPr>
        <w:t xml:space="preserve">, neither such Restricted Party nor any other Person makes any express or implied representation or warranty to VIH on behalf of such Restricted Party in connection with this Agreement or the transactions expressly contemplated by this Agreement, and such Restricted Party expressly disclaims any such other representations or warranties. Such Restricted Party acknowledges and agrees that VIH has not made and is not making any express or implied representation or warranty to such Restricted Party in connection with this Agreement or the transactions expressly contemplated by this Agreement, except as provided in </w:t>
      </w:r>
      <w:r>
        <w:rPr>
          <w:rFonts w:ascii="Times New Roman" w:hAnsi="Times New Roman"/>
          <w:sz w:val="20"/>
          <w:u w:val="single"/>
        </w:rPr>
        <w:t>Article 3</w:t>
      </w:r>
      <w:r>
        <w:rPr>
          <w:rFonts w:ascii="Times New Roman" w:hAnsi="Times New Roman"/>
          <w:sz w:val="20"/>
        </w:rPr>
        <w:t xml:space="preserve">, and that such Restricted Party is not relying and has not relied upon any express or implied representation or warranty of VIH in connection with this Agreement or the transactions expressly contemplated by this Agreement, except for the representations and warranties in </w:t>
      </w:r>
      <w:r>
        <w:rPr>
          <w:rFonts w:ascii="Times New Roman" w:hAnsi="Times New Roman"/>
          <w:sz w:val="20"/>
          <w:u w:val="single"/>
        </w:rPr>
        <w:t>Article 3</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3 </w:t>
      </w:r>
    </w:p>
    <w:p>
      <w:pPr>
        <w:pStyle w:val="TextBody"/>
        <w:spacing w:before="240" w:after="0"/>
        <w:jc w:val="center"/>
        <w:rPr>
          <w:rFonts w:ascii="Times New Roman" w:hAnsi="Times New Roman"/>
          <w:b/>
          <w:sz w:val="20"/>
        </w:rPr>
      </w:pPr>
      <w:r>
        <w:rPr>
          <w:rFonts w:ascii="Times New Roman" w:hAnsi="Times New Roman"/>
          <w:b/>
          <w:sz w:val="20"/>
        </w:rPr>
        <w:t xml:space="preserve">REPRESENTATIONS AND WARRANTIES OF VIH </w:t>
      </w:r>
    </w:p>
    <w:p>
      <w:pPr>
        <w:pStyle w:val="TextBody"/>
        <w:spacing w:before="240" w:after="0"/>
        <w:jc w:val="left"/>
        <w:rPr>
          <w:rFonts w:ascii="Times New Roman" w:hAnsi="Times New Roman"/>
          <w:sz w:val="20"/>
        </w:rPr>
      </w:pPr>
      <w:r>
        <w:rPr>
          <w:rFonts w:ascii="Times New Roman" w:hAnsi="Times New Roman"/>
          <w:sz w:val="20"/>
        </w:rPr>
        <w:t xml:space="preserve">VIH represents and warrants to each Restricted Party as follows: </w:t>
      </w:r>
    </w:p>
    <w:p>
      <w:pPr>
        <w:pStyle w:val="TextBody"/>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w:t>
      </w:r>
      <w:r>
        <w:rPr>
          <w:rFonts w:ascii="Times New Roman" w:hAnsi="Times New Roman"/>
          <w:sz w:val="20"/>
        </w:rPr>
        <w:t xml:space="preserve">. VIH is a Cayman Islands exempted company, validly existing and in good standing under the Laws of the Cayman Islands. </w:t>
      </w:r>
    </w:p>
    <w:p>
      <w:pPr>
        <w:pStyle w:val="TextBody"/>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Corporate Authority</w:t>
      </w:r>
      <w:r>
        <w:rPr>
          <w:rFonts w:ascii="Times New Roman" w:hAnsi="Times New Roman"/>
          <w:sz w:val="20"/>
        </w:rPr>
        <w:t xml:space="preserve">. VIH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VIHs Equity Interests is necessary to approve this Agreement. This Agreement has been duly executed and delivered by VIH and constitutes a valid and binding agreement of VIH enforceable against VIH in accordance with its terms, subject to the Enforcement Exceptions. </w:t>
      </w:r>
    </w:p>
    <w:p>
      <w:pPr>
        <w:pStyle w:val="TextBody"/>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made by VIH in this </w:t>
      </w:r>
      <w:r>
        <w:rPr>
          <w:rFonts w:ascii="Times New Roman" w:hAnsi="Times New Roman"/>
          <w:sz w:val="20"/>
          <w:u w:val="single"/>
        </w:rPr>
        <w:t>Article 3</w:t>
      </w:r>
      <w:r>
        <w:rPr>
          <w:rFonts w:ascii="Times New Roman" w:hAnsi="Times New Roman"/>
          <w:sz w:val="20"/>
        </w:rPr>
        <w:t xml:space="preserve">, neither VIH nor any other Person makes any express or implied representation or warranty to any Restricted Party in connection with this Agreement or the transactions expressly contemplated by this Agreement, and VIH expressly disclaims any such other representations or warranties. VIH acknowledges and agrees that none of the Restricted Parties have made or are making any express or implied representation or warranty to VIH in connection with this Agreement or the transactions expressly contemplated by this Agreement, except as provided in </w:t>
      </w:r>
      <w:r>
        <w:rPr>
          <w:rFonts w:ascii="Times New Roman" w:hAnsi="Times New Roman"/>
          <w:sz w:val="20"/>
          <w:u w:val="single"/>
        </w:rPr>
        <w:t>Article 2</w:t>
      </w:r>
      <w:r>
        <w:rPr>
          <w:rFonts w:ascii="Times New Roman" w:hAnsi="Times New Roman"/>
          <w:sz w:val="20"/>
        </w:rPr>
        <w:t xml:space="preserve">, and that VIH is not relying or has not relied upon any express or implied representation or warranty in connection with this Agreement or the transactions expressly contemplated by this Agreement, except for the representations and warranties in </w:t>
      </w:r>
      <w:r>
        <w:rPr>
          <w:rFonts w:ascii="Times New Roman" w:hAnsi="Times New Roman"/>
          <w:sz w:val="20"/>
          <w:u w:val="single"/>
        </w:rPr>
        <w:t>Article 2</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4 </w:t>
      </w:r>
    </w:p>
    <w:p>
      <w:pPr>
        <w:pStyle w:val="TextBody"/>
        <w:spacing w:before="240" w:after="0"/>
        <w:jc w:val="center"/>
        <w:rPr>
          <w:rFonts w:ascii="Times New Roman" w:hAnsi="Times New Roman"/>
          <w:b/>
          <w:sz w:val="20"/>
        </w:rPr>
      </w:pPr>
      <w:r>
        <w:rPr>
          <w:rFonts w:ascii="Times New Roman" w:hAnsi="Times New Roman"/>
          <w:b/>
          <w:sz w:val="20"/>
        </w:rPr>
        <w:t xml:space="preserve">GENERAL PROVISIONS </w:t>
      </w:r>
    </w:p>
    <w:p>
      <w:pPr>
        <w:pStyle w:val="TextBody"/>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Termination</w:t>
      </w:r>
      <w:r>
        <w:rPr>
          <w:rFonts w:ascii="Times New Roman" w:hAnsi="Times New Roman"/>
          <w:sz w:val="20"/>
        </w:rPr>
        <w:t xml:space="preserve">. This Agreement, including the voting agreements contemplated by this Agreement, shall automatically be terminated at the earliest to occur of: (a) the Effective Time; (b)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termination of the Merger Agreement pursuant to Article VIII (</w:t>
      </w:r>
      <w:r>
        <w:rPr>
          <w:rFonts w:ascii="Times New Roman" w:hAnsi="Times New Roman"/>
          <w:i/>
          <w:sz w:val="20"/>
        </w:rPr>
        <w:t>Termination</w:t>
      </w:r>
      <w:r>
        <w:rPr>
          <w:rFonts w:ascii="Times New Roman" w:hAnsi="Times New Roman"/>
          <w:sz w:val="20"/>
        </w:rPr>
        <w:t xml:space="preserve">) thereof; and (c) the effective date of a written agreement duly executed and delivered by VIH and each Restricted Party terminating this Agreement (the date and time at which the earliest of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occurs being,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any termination pursuant to </w:t>
      </w:r>
      <w:r>
        <w:rPr>
          <w:rFonts w:ascii="Times New Roman" w:hAnsi="Times New Roman"/>
          <w:sz w:val="20"/>
          <w:u w:val="single"/>
        </w:rPr>
        <w:t>clause (a)</w:t>
      </w:r>
      <w:r>
        <w:rPr>
          <w:rFonts w:ascii="Times New Roman" w:hAnsi="Times New Roman"/>
          <w:sz w:val="20"/>
        </w:rPr>
        <w:t xml:space="preserve"> of this sentence, </w:t>
      </w:r>
      <w:r>
        <w:rPr>
          <w:rFonts w:ascii="Times New Roman" w:hAnsi="Times New Roman"/>
          <w:sz w:val="20"/>
          <w:u w:val="single"/>
        </w:rPr>
        <w:t>Section 1.05</w:t>
      </w:r>
      <w:r>
        <w:rPr>
          <w:rFonts w:ascii="Times New Roman" w:hAnsi="Times New Roman"/>
          <w:sz w:val="20"/>
        </w:rPr>
        <w:t xml:space="preserve"> (</w:t>
      </w:r>
      <w:r>
        <w:rPr>
          <w:rFonts w:ascii="Times New Roman" w:hAnsi="Times New Roman"/>
          <w:i/>
          <w:sz w:val="20"/>
        </w:rPr>
        <w:t>Public Announcements; Filings; Disclosures</w:t>
      </w:r>
      <w:r>
        <w:rPr>
          <w:rFonts w:ascii="Times New Roman" w:hAnsi="Times New Roman"/>
          <w:sz w:val="20"/>
        </w:rPr>
        <w:t xml:space="preserve">), </w:t>
      </w:r>
      <w:r>
        <w:rPr>
          <w:rFonts w:ascii="Times New Roman" w:hAnsi="Times New Roman"/>
          <w:sz w:val="20"/>
          <w:u w:val="single"/>
        </w:rPr>
        <w:t>Section 1.09</w:t>
      </w:r>
      <w:r>
        <w:rPr>
          <w:rFonts w:ascii="Times New Roman" w:hAnsi="Times New Roman"/>
          <w:sz w:val="20"/>
        </w:rPr>
        <w:t xml:space="preserve"> (</w:t>
      </w:r>
      <w:r>
        <w:rPr>
          <w:rFonts w:ascii="Times New Roman" w:hAnsi="Times New Roman"/>
          <w:i/>
          <w:sz w:val="20"/>
        </w:rPr>
        <w:t>Existing Rights; Merger Consideration; Confidentiality; No Litigation</w:t>
      </w:r>
      <w:r>
        <w:rPr>
          <w:rFonts w:ascii="Times New Roman" w:hAnsi="Times New Roman"/>
          <w:sz w:val="20"/>
        </w:rPr>
        <w:t xml:space="preserve">), and this </w:t>
      </w:r>
      <w:r>
        <w:rPr>
          <w:rFonts w:ascii="Times New Roman" w:hAnsi="Times New Roman"/>
          <w:sz w:val="20"/>
          <w:u w:val="single"/>
        </w:rPr>
        <w:t>Article 4</w:t>
      </w:r>
      <w:r>
        <w:rPr>
          <w:rFonts w:ascii="Times New Roman" w:hAnsi="Times New Roman"/>
          <w:sz w:val="20"/>
        </w:rPr>
        <w:t xml:space="preserve"> shall survive such termination. Nothing set forth in this </w:t>
      </w:r>
      <w:r>
        <w:rPr>
          <w:rFonts w:ascii="Times New Roman" w:hAnsi="Times New Roman"/>
          <w:sz w:val="20"/>
          <w:u w:val="single"/>
        </w:rPr>
        <w:t>Section 4.01</w:t>
      </w:r>
      <w:r>
        <w:rPr>
          <w:rFonts w:ascii="Times New Roman" w:hAnsi="Times New Roman"/>
          <w:sz w:val="20"/>
        </w:rPr>
        <w:t xml:space="preserve"> or elsewhere in this Agreement 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 </w:t>
      </w:r>
    </w:p>
    <w:p>
      <w:pPr>
        <w:pStyle w:val="TextBody"/>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Notices</w:t>
      </w:r>
      <w:r>
        <w:rPr>
          <w:rFonts w:ascii="Times New Roman" w:hAnsi="Times New Roman"/>
          <w:sz w:val="20"/>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hAnsi="Times New Roman"/>
          <w:sz w:val="20"/>
          <w:u w:val="single"/>
        </w:rPr>
        <w:t>Section 4.02</w:t>
      </w:r>
      <w:r>
        <w:rPr>
          <w:rFonts w:ascii="Times New Roman" w:hAnsi="Times New Roman"/>
          <w:sz w:val="20"/>
        </w:rPr>
        <w:t xml:space="preserve"> within two (2) Business Days thereafter) if sent during normal business hours of the recipient, and on the next Business Day if sent after normal business hours of the recipient or (d) on the third (3rd) Business Day after the date mailed, by certified or registered mail, return receipt requested, postage prepaid. Such communications must be sent to the respective parties by such party at the following addresses (or at such other address for a party as shall be specified in a notice given in accordance with this </w:t>
      </w:r>
      <w:r>
        <w:rPr>
          <w:rFonts w:ascii="Times New Roman" w:hAnsi="Times New Roman"/>
          <w:sz w:val="20"/>
          <w:u w:val="single"/>
        </w:rPr>
        <w:t>Section 4.02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u w:val="single"/>
        </w:rPr>
        <w:t>If to VIH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VPC Impact Acquisition Holdings </w:t>
      </w:r>
    </w:p>
    <w:p>
      <w:pPr>
        <w:pStyle w:val="TextBody"/>
        <w:spacing w:before="0" w:after="0"/>
        <w:jc w:val="left"/>
        <w:rPr>
          <w:rFonts w:ascii="Times New Roman" w:hAnsi="Times New Roman"/>
          <w:sz w:val="20"/>
        </w:rPr>
      </w:pPr>
      <w:r>
        <w:rPr>
          <w:rFonts w:ascii="Times New Roman" w:hAnsi="Times New Roman"/>
          <w:sz w:val="20"/>
        </w:rPr>
        <w:t xml:space="preserve">150 North Riverside Plaza, Suite 5200 </w:t>
      </w:r>
    </w:p>
    <w:p>
      <w:pPr>
        <w:pStyle w:val="TextBody"/>
        <w:spacing w:before="0" w:after="0"/>
        <w:jc w:val="left"/>
        <w:rPr>
          <w:rFonts w:ascii="Times New Roman" w:hAnsi="Times New Roman"/>
          <w:sz w:val="20"/>
        </w:rPr>
      </w:pPr>
      <w:r>
        <w:rPr>
          <w:rFonts w:ascii="Times New Roman" w:hAnsi="Times New Roman"/>
          <w:sz w:val="20"/>
        </w:rPr>
        <w:t xml:space="preserve">Chicago, Illinois 60606 </w:t>
      </w:r>
    </w:p>
    <w:p>
      <w:pPr>
        <w:pStyle w:val="TextBody"/>
        <w:spacing w:before="0" w:after="0"/>
        <w:jc w:val="left"/>
        <w:rPr>
          <w:rFonts w:ascii="Times New Roman" w:hAnsi="Times New Roman"/>
          <w:sz w:val="20"/>
        </w:rPr>
      </w:pPr>
      <w:r>
        <w:rPr>
          <w:rFonts w:ascii="Times New Roman" w:hAnsi="Times New Roman"/>
          <w:sz w:val="20"/>
        </w:rPr>
        <w:t xml:space="preserve">Attn: Scott R. Zemnick </w:t>
      </w:r>
    </w:p>
    <w:p>
      <w:pPr>
        <w:pStyle w:val="TextBody"/>
        <w:spacing w:before="0" w:after="0"/>
        <w:jc w:val="left"/>
        <w:rPr>
          <w:rFonts w:ascii="Times New Roman" w:hAnsi="Times New Roman"/>
          <w:sz w:val="20"/>
        </w:rPr>
      </w:pPr>
      <w:r>
        <w:rPr>
          <w:rFonts w:ascii="Times New Roman" w:hAnsi="Times New Roman"/>
          <w:sz w:val="20"/>
        </w:rPr>
        <w:t xml:space="preserve">Facsimile: (312) 701-0794 </w:t>
      </w:r>
    </w:p>
    <w:p>
      <w:pPr>
        <w:pStyle w:val="TextBody"/>
        <w:spacing w:before="0" w:after="0"/>
        <w:jc w:val="left"/>
        <w:rPr>
          <w:rFonts w:ascii="Times New Roman" w:hAnsi="Times New Roman"/>
          <w:sz w:val="20"/>
        </w:rPr>
      </w:pPr>
      <w:r>
        <w:rPr>
          <w:rFonts w:ascii="Times New Roman" w:hAnsi="Times New Roman"/>
          <w:sz w:val="20"/>
        </w:rPr>
        <w:t xml:space="preserve">Email: szemnick@vpcadvisors.com </w:t>
      </w:r>
    </w:p>
    <w:p>
      <w:pPr>
        <w:pStyle w:val="TextBody"/>
        <w:spacing w:before="120" w:after="0"/>
        <w:jc w:val="left"/>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White &amp; Case LLP </w:t>
      </w:r>
    </w:p>
    <w:p>
      <w:pPr>
        <w:pStyle w:val="TextBody"/>
        <w:spacing w:before="0" w:after="0"/>
        <w:jc w:val="left"/>
        <w:rPr>
          <w:rFonts w:ascii="Times New Roman" w:hAnsi="Times New Roman"/>
          <w:sz w:val="20"/>
        </w:rPr>
      </w:pPr>
      <w:r>
        <w:rPr>
          <w:rFonts w:ascii="Times New Roman" w:hAnsi="Times New Roman"/>
          <w:sz w:val="20"/>
        </w:rPr>
        <w:t xml:space="preserve">111 South Wacker Drive, Suite 5100 </w:t>
      </w:r>
    </w:p>
    <w:p>
      <w:pPr>
        <w:pStyle w:val="TextBody"/>
        <w:spacing w:before="0" w:after="0"/>
        <w:jc w:val="left"/>
        <w:rPr>
          <w:rFonts w:ascii="Times New Roman" w:hAnsi="Times New Roman"/>
          <w:sz w:val="20"/>
        </w:rPr>
      </w:pPr>
      <w:r>
        <w:rPr>
          <w:rFonts w:ascii="Times New Roman" w:hAnsi="Times New Roman"/>
          <w:sz w:val="20"/>
        </w:rPr>
        <w:t xml:space="preserve">Chicago, Illinois 60606 </w:t>
      </w:r>
    </w:p>
    <w:p>
      <w:pPr>
        <w:pStyle w:val="TextBody"/>
        <w:spacing w:before="0" w:after="0"/>
        <w:jc w:val="left"/>
        <w:rPr>
          <w:rFonts w:ascii="Times New Roman" w:hAnsi="Times New Roman"/>
          <w:sz w:val="20"/>
        </w:rPr>
      </w:pPr>
      <w:r>
        <w:rPr>
          <w:rFonts w:ascii="Times New Roman" w:hAnsi="Times New Roman"/>
          <w:sz w:val="20"/>
        </w:rPr>
        <w:t xml:space="preserve">Attn: Raymond Bogenrief </w:t>
      </w:r>
    </w:p>
    <w:p>
      <w:pPr>
        <w:pStyle w:val="TextBody"/>
        <w:spacing w:before="0" w:after="0"/>
        <w:jc w:val="left"/>
        <w:rPr>
          <w:rFonts w:ascii="Times New Roman" w:hAnsi="Times New Roman"/>
          <w:sz w:val="20"/>
        </w:rPr>
      </w:pPr>
      <w:r>
        <w:rPr>
          <w:rFonts w:ascii="Times New Roman" w:hAnsi="Times New Roman"/>
          <w:sz w:val="20"/>
        </w:rPr>
        <w:t xml:space="preserve">Facsimile: (312) 881-5450 </w:t>
      </w:r>
    </w:p>
    <w:p>
      <w:pPr>
        <w:pStyle w:val="TextBody"/>
        <w:spacing w:before="0" w:after="0"/>
        <w:jc w:val="left"/>
        <w:rPr>
          <w:rFonts w:ascii="Times New Roman" w:hAnsi="Times New Roman"/>
          <w:sz w:val="20"/>
        </w:rPr>
      </w:pPr>
      <w:r>
        <w:rPr>
          <w:rFonts w:ascii="Times New Roman" w:hAnsi="Times New Roman"/>
          <w:sz w:val="20"/>
        </w:rPr>
        <w:t xml:space="preserve">Email: Raymond.Bogenrief@whitecase.com </w:t>
      </w:r>
    </w:p>
    <w:p>
      <w:pPr>
        <w:pStyle w:val="TextBody"/>
        <w:spacing w:before="240" w:after="0"/>
        <w:jc w:val="left"/>
        <w:rPr>
          <w:rFonts w:ascii="Times New Roman" w:hAnsi="Times New Roman"/>
          <w:sz w:val="20"/>
        </w:rPr>
      </w:pPr>
      <w:r>
        <w:rPr>
          <w:rFonts w:ascii="Times New Roman" w:hAnsi="Times New Roman"/>
          <w:sz w:val="20"/>
        </w:rPr>
        <w:t xml:space="preserve">If to a Restricted Party, to such Restricted Partys address set forth on its signature page or joinder hereto. </w:t>
      </w:r>
    </w:p>
    <w:p>
      <w:pPr>
        <w:pStyle w:val="TextBody"/>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Miscellaneous</w:t>
      </w:r>
      <w:r>
        <w:rPr>
          <w:rFonts w:ascii="Times New Roman" w:hAnsi="Times New Roman"/>
          <w:sz w:val="20"/>
        </w:rPr>
        <w:t xml:space="preserve">. Section 9.2 </w:t>
      </w:r>
      <w:r>
        <w:rPr>
          <w:rFonts w:ascii="Times New Roman" w:hAnsi="Times New Roman"/>
          <w:i/>
          <w:sz w:val="20"/>
        </w:rPr>
        <w:t>(Trust Account Waiver)</w:t>
      </w:r>
      <w:r>
        <w:rPr>
          <w:rFonts w:ascii="Times New Roman" w:hAnsi="Times New Roman"/>
          <w:sz w:val="20"/>
        </w:rPr>
        <w:t xml:space="preserve"> and Article XI </w:t>
      </w:r>
      <w:r>
        <w:rPr>
          <w:rFonts w:ascii="Times New Roman" w:hAnsi="Times New Roman"/>
          <w:i/>
          <w:sz w:val="20"/>
        </w:rPr>
        <w:t>(General)</w:t>
      </w:r>
      <w:r>
        <w:rPr>
          <w:rFonts w:ascii="Times New Roman" w:hAnsi="Times New Roman"/>
          <w:sz w:val="20"/>
        </w:rPr>
        <w:t xml:space="preserve">, other than Sections 11.1 </w:t>
      </w:r>
      <w:r>
        <w:rPr>
          <w:rFonts w:ascii="Times New Roman" w:hAnsi="Times New Roman"/>
          <w:i/>
          <w:sz w:val="20"/>
        </w:rPr>
        <w:t>(Notices)</w:t>
      </w:r>
      <w:r>
        <w:rPr>
          <w:rFonts w:ascii="Times New Roman" w:hAnsi="Times New Roman"/>
          <w:sz w:val="20"/>
        </w:rPr>
        <w:t xml:space="preserve"> and 11.5 </w:t>
      </w:r>
      <w:r>
        <w:rPr>
          <w:rFonts w:ascii="Times New Roman" w:hAnsi="Times New Roman"/>
          <w:i/>
          <w:sz w:val="20"/>
        </w:rPr>
        <w:t>(Expenses and Fees)</w:t>
      </w:r>
      <w:r>
        <w:rPr>
          <w:rFonts w:ascii="Times New Roman" w:hAnsi="Times New Roman"/>
          <w:sz w:val="20"/>
        </w:rPr>
        <w:t xml:space="preserve">, of the Merger Agreement shall apply to this Agreement </w:t>
      </w:r>
      <w:r>
        <w:rPr>
          <w:rFonts w:ascii="Times New Roman" w:hAnsi="Times New Roman"/>
          <w:i/>
          <w:sz w:val="20"/>
        </w:rPr>
        <w:t>mutatis mutandis</w:t>
      </w:r>
      <w:r>
        <w:rPr>
          <w:rFonts w:ascii="Times New Roman" w:hAnsi="Times New Roman"/>
          <w:sz w:val="20"/>
        </w:rPr>
        <w:t xml:space="preserve">. </w:t>
      </w:r>
    </w:p>
    <w:p>
      <w:pPr>
        <w:pStyle w:val="TextBody"/>
        <w:spacing w:before="1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duly executed and delivered this Agreement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89"/>
        <w:gridCol w:w="60"/>
        <w:gridCol w:w="3333"/>
      </w:tblGrid>
      <w:tr>
        <w:trPr/>
        <w:tc>
          <w:tcPr>
            <w:tcW w:w="6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b/>
              </w:rPr>
            </w:pPr>
            <w:r>
              <w:rPr>
                <w:b/>
                <w:u w:val="single"/>
              </w:rPr>
              <w:t>RESTRICTED PARTY</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INTERCONTINENTAL EXCHANGE</w:t>
            </w:r>
          </w:p>
          <w:p>
            <w:pPr>
              <w:pStyle w:val="TableContents"/>
              <w:spacing w:before="0" w:after="20"/>
              <w:rPr>
                <w:rFonts w:ascii="Times New Roman" w:hAnsi="Times New Roman"/>
                <w:b/>
                <w:sz w:val="20"/>
              </w:rPr>
            </w:pPr>
            <w:r>
              <w:rPr>
                <w:rFonts w:ascii="Times New Roman" w:hAnsi="Times New Roman"/>
                <w:b/>
                <w:sz w:val="20"/>
              </w:rPr>
              <w:t>HOLDINGS, INC.</w:t>
            </w:r>
          </w:p>
        </w:tc>
      </w:tr>
      <w:tr>
        <w:trPr>
          <w:trHeight w:val="240" w:hRule="atLeast"/>
        </w:trPr>
        <w:tc>
          <w:tcPr>
            <w:tcW w:w="689" w:type="dxa"/>
            <w:tcBorders/>
            <w:shd w:fill="auto" w:val="clear"/>
            <w:vAlign w:val="center"/>
          </w:tcPr>
          <w:p>
            <w:pPr>
              <w:pStyle w:val="TableContents"/>
              <w:spacing w:before="0" w:after="283"/>
              <w:rPr>
                <w:sz w:val="4"/>
                <w:szCs w:val="4"/>
              </w:rPr>
            </w:pPr>
            <w:r>
              <w:rPr>
                <w:sz w:val="4"/>
                <w:szCs w:val="4"/>
              </w:rPr>
            </w:r>
          </w:p>
        </w:tc>
        <w:tc>
          <w:tcPr>
            <w:tcW w:w="3393" w:type="dxa"/>
            <w:gridSpan w:val="2"/>
            <w:tcBorders/>
            <w:shd w:fill="auto" w:val="clear"/>
            <w:vAlign w:val="center"/>
          </w:tcPr>
          <w:p>
            <w:pPr>
              <w:pStyle w:val="TableContents"/>
              <w:spacing w:before="0" w:after="283"/>
              <w:rPr>
                <w:sz w:val="4"/>
                <w:szCs w:val="4"/>
              </w:rPr>
            </w:pPr>
            <w:r>
              <w:rPr>
                <w:sz w:val="4"/>
                <w:szCs w:val="4"/>
              </w:rPr>
            </w:r>
          </w:p>
        </w:tc>
      </w:tr>
      <w:tr>
        <w:trPr/>
        <w:tc>
          <w:tcPr>
            <w:tcW w:w="689"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3"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Andrew Surdykowski</w:t>
            </w:r>
          </w:p>
        </w:tc>
      </w:tr>
      <w:tr>
        <w:trPr/>
        <w:tc>
          <w:tcPr>
            <w:tcW w:w="689"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3" w:type="dxa"/>
            <w:tcBorders/>
            <w:shd w:fill="auto" w:val="clear"/>
          </w:tcPr>
          <w:p>
            <w:pPr>
              <w:pStyle w:val="TableContents"/>
              <w:spacing w:before="0" w:after="283"/>
              <w:rPr/>
            </w:pPr>
            <w:r>
              <w:rPr/>
              <w:t>Andrew Surdykowski</w:t>
            </w:r>
          </w:p>
        </w:tc>
      </w:tr>
      <w:tr>
        <w:trPr/>
        <w:tc>
          <w:tcPr>
            <w:tcW w:w="689"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3" w:type="dxa"/>
            <w:tcBorders/>
            <w:shd w:fill="auto" w:val="clear"/>
          </w:tcPr>
          <w:p>
            <w:pPr>
              <w:pStyle w:val="TableContents"/>
              <w:spacing w:before="0" w:after="283"/>
              <w:rPr/>
            </w:pPr>
            <w:r>
              <w:rPr/>
              <w:t>General Counsel</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Number &amp; Type of Subject Bakkt Opco Units:</w:t>
            </w:r>
          </w:p>
          <w:p>
            <w:pPr>
              <w:pStyle w:val="TableContents"/>
              <w:spacing w:before="0" w:after="0"/>
              <w:rPr>
                <w:rFonts w:ascii="Times New Roman" w:hAnsi="Times New Roman"/>
                <w:sz w:val="20"/>
              </w:rPr>
            </w:pPr>
            <w:r>
              <w:rPr>
                <w:rFonts w:ascii="Times New Roman" w:hAnsi="Times New Roman"/>
                <w:sz w:val="20"/>
              </w:rPr>
              <w:t>400,000,000 Class A Voting Units</w:t>
            </w:r>
          </w:p>
          <w:p>
            <w:pPr>
              <w:pStyle w:val="TableContents"/>
              <w:spacing w:before="0" w:after="0"/>
              <w:rPr>
                <w:rFonts w:ascii="Times New Roman" w:hAnsi="Times New Roman"/>
                <w:sz w:val="20"/>
              </w:rPr>
            </w:pPr>
            <w:r>
              <w:rPr>
                <w:rFonts w:ascii="Times New Roman" w:hAnsi="Times New Roman"/>
                <w:sz w:val="20"/>
              </w:rPr>
              <w:t>115,000,000 Class B Voting Units</w:t>
            </w:r>
          </w:p>
          <w:p>
            <w:pPr>
              <w:pStyle w:val="TableContents"/>
              <w:spacing w:before="0" w:after="0"/>
              <w:rPr>
                <w:rFonts w:ascii="Times New Roman" w:hAnsi="Times New Roman"/>
                <w:sz w:val="20"/>
              </w:rPr>
            </w:pPr>
            <w:r>
              <w:rPr>
                <w:rFonts w:ascii="Times New Roman" w:hAnsi="Times New Roman"/>
                <w:sz w:val="20"/>
              </w:rPr>
              <w:t>237,327,456 Class C Voting Units</w:t>
            </w:r>
          </w:p>
          <w:p>
            <w:pPr>
              <w:pStyle w:val="TableContents"/>
              <w:spacing w:before="0" w:after="0"/>
              <w:rPr/>
            </w:pPr>
            <w:r>
              <w:rPr/>
              <w:t> </w:t>
            </w:r>
          </w:p>
          <w:p>
            <w:pPr>
              <w:pStyle w:val="TableContents"/>
              <w:spacing w:before="0" w:after="0"/>
              <w:rPr>
                <w:rFonts w:ascii="Times New Roman" w:hAnsi="Times New Roman"/>
                <w:sz w:val="20"/>
                <w:u w:val="single"/>
              </w:rPr>
            </w:pPr>
            <w:r>
              <w:rPr>
                <w:rFonts w:ascii="Times New Roman" w:hAnsi="Times New Roman"/>
                <w:sz w:val="20"/>
                <w:u w:val="single"/>
              </w:rPr>
              <w:t>Address for Notices:</w:t>
            </w:r>
          </w:p>
          <w:p>
            <w:pPr>
              <w:pStyle w:val="TableContents"/>
              <w:spacing w:before="0" w:after="0"/>
              <w:rPr>
                <w:rFonts w:ascii="Times New Roman" w:hAnsi="Times New Roman"/>
                <w:sz w:val="20"/>
              </w:rPr>
            </w:pPr>
            <w:r>
              <w:rPr>
                <w:rFonts w:ascii="Times New Roman" w:hAnsi="Times New Roman"/>
                <w:sz w:val="20"/>
              </w:rPr>
              <w:t>Intercontinental Exchange Holdings, Inc.</w:t>
            </w:r>
          </w:p>
          <w:p>
            <w:pPr>
              <w:pStyle w:val="TableContents"/>
              <w:spacing w:before="0" w:after="0"/>
              <w:rPr>
                <w:rFonts w:ascii="Times New Roman" w:hAnsi="Times New Roman"/>
                <w:sz w:val="20"/>
              </w:rPr>
            </w:pPr>
            <w:r>
              <w:rPr>
                <w:rFonts w:ascii="Times New Roman" w:hAnsi="Times New Roman"/>
                <w:sz w:val="20"/>
              </w:rPr>
              <w:t>5660 New Northside Drive</w:t>
            </w:r>
          </w:p>
          <w:p>
            <w:pPr>
              <w:pStyle w:val="TableContents"/>
              <w:spacing w:before="0" w:after="0"/>
              <w:rPr>
                <w:rFonts w:ascii="Times New Roman" w:hAnsi="Times New Roman"/>
                <w:sz w:val="20"/>
              </w:rPr>
            </w:pPr>
            <w:r>
              <w:rPr>
                <w:rFonts w:ascii="Times New Roman" w:hAnsi="Times New Roman"/>
                <w:sz w:val="20"/>
              </w:rPr>
              <w:t>Atlanta, Georgia 30328</w:t>
            </w:r>
          </w:p>
          <w:p>
            <w:pPr>
              <w:pStyle w:val="TableContents"/>
              <w:spacing w:before="0" w:after="0"/>
              <w:rPr>
                <w:rFonts w:ascii="Times New Roman" w:hAnsi="Times New Roman"/>
                <w:sz w:val="20"/>
              </w:rPr>
            </w:pPr>
            <w:r>
              <w:rPr>
                <w:rFonts w:ascii="Times New Roman" w:hAnsi="Times New Roman"/>
                <w:sz w:val="20"/>
              </w:rPr>
              <w:t>Attention: General Counsel</w:t>
            </w:r>
          </w:p>
          <w:p>
            <w:pPr>
              <w:pStyle w:val="TableContents"/>
              <w:spacing w:before="0" w:after="20"/>
              <w:rPr>
                <w:rFonts w:ascii="Times New Roman" w:hAnsi="Times New Roman"/>
                <w:sz w:val="20"/>
              </w:rPr>
            </w:pPr>
            <w:r>
              <w:rPr>
                <w:rFonts w:ascii="Times New Roman" w:hAnsi="Times New Roman"/>
                <w:sz w:val="20"/>
              </w:rPr>
              <w:t>Email: legal-notices@theice.com</w:t>
            </w:r>
          </w:p>
        </w:tc>
      </w:tr>
    </w:tbl>
    <w:p>
      <w:pPr>
        <w:pStyle w:val="TextBody"/>
        <w:spacing w:before="7000" w:after="0"/>
        <w:jc w:val="center"/>
        <w:rPr>
          <w:rFonts w:ascii="Times New Roman" w:hAnsi="Times New Roman"/>
          <w:i/>
          <w:sz w:val="20"/>
        </w:rPr>
      </w:pPr>
      <w:r>
        <w:rPr>
          <w:rFonts w:ascii="Times New Roman" w:hAnsi="Times New Roman"/>
          <w:i/>
          <w:sz w:val="20"/>
        </w:rPr>
        <w:t xml:space="preserve">[Signature Page to Support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duly executed and delivered this Agreement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95"/>
        <w:gridCol w:w="60"/>
        <w:gridCol w:w="3327"/>
      </w:tblGrid>
      <w:tr>
        <w:trPr/>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b/>
              </w:rPr>
            </w:pPr>
            <w:r>
              <w:rPr>
                <w:b/>
                <w:u w:val="single"/>
              </w:rPr>
              <w:t>VIH</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b/>
              </w:rPr>
            </w:pPr>
            <w:r>
              <w:rPr>
                <w:b/>
              </w:rPr>
              <w:t>VPC IMPACT ACQUISITION HOLDINGS</w:t>
            </w:r>
          </w:p>
        </w:tc>
      </w:tr>
      <w:tr>
        <w:trPr>
          <w:trHeight w:val="240" w:hRule="atLeast"/>
        </w:trPr>
        <w:tc>
          <w:tcPr>
            <w:tcW w:w="695" w:type="dxa"/>
            <w:tcBorders/>
            <w:shd w:fill="auto" w:val="clear"/>
            <w:vAlign w:val="center"/>
          </w:tcPr>
          <w:p>
            <w:pPr>
              <w:pStyle w:val="TableContents"/>
              <w:spacing w:before="0" w:after="283"/>
              <w:rPr>
                <w:sz w:val="4"/>
                <w:szCs w:val="4"/>
              </w:rPr>
            </w:pPr>
            <w:r>
              <w:rPr>
                <w:sz w:val="4"/>
                <w:szCs w:val="4"/>
              </w:rPr>
            </w:r>
          </w:p>
        </w:tc>
        <w:tc>
          <w:tcPr>
            <w:tcW w:w="3387"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2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Gordon Watson</w:t>
            </w:r>
          </w:p>
        </w:tc>
      </w:tr>
      <w:tr>
        <w:trPr/>
        <w:tc>
          <w:tcPr>
            <w:tcW w:w="69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27" w:type="dxa"/>
            <w:tcBorders/>
            <w:shd w:fill="auto" w:val="clear"/>
          </w:tcPr>
          <w:p>
            <w:pPr>
              <w:pStyle w:val="TableContents"/>
              <w:spacing w:before="0" w:after="283"/>
              <w:rPr/>
            </w:pPr>
            <w:r>
              <w:rPr/>
              <w:t>Gordon Watson</w:t>
            </w:r>
          </w:p>
        </w:tc>
      </w:tr>
      <w:tr>
        <w:trPr/>
        <w:tc>
          <w:tcPr>
            <w:tcW w:w="69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27" w:type="dxa"/>
            <w:tcBorders/>
            <w:shd w:fill="auto" w:val="clear"/>
          </w:tcPr>
          <w:p>
            <w:pPr>
              <w:pStyle w:val="TableContents"/>
              <w:spacing w:before="0" w:after="283"/>
              <w:rPr/>
            </w:pPr>
            <w:r>
              <w:rPr/>
              <w:t>President and Chief Executive Officer</w:t>
            </w:r>
          </w:p>
        </w:tc>
      </w:tr>
    </w:tbl>
    <w:p>
      <w:pPr>
        <w:pStyle w:val="TextBody"/>
        <w:spacing w:before="10000" w:after="0"/>
        <w:jc w:val="center"/>
        <w:rPr>
          <w:rFonts w:ascii="Times New Roman" w:hAnsi="Times New Roman"/>
          <w:i/>
          <w:sz w:val="20"/>
        </w:rPr>
      </w:pPr>
      <w:r>
        <w:rPr>
          <w:rFonts w:ascii="Times New Roman" w:hAnsi="Times New Roman"/>
          <w:i/>
          <w:sz w:val="20"/>
        </w:rPr>
        <w:t xml:space="preserve">[Signature Page to Support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duly executed and delivered this Agreement as of the date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BAKKT OPCO</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LLC</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Marc DAnnunzio</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Marc DAnnunzio</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General Counsel</w:t>
            </w:r>
          </w:p>
        </w:tc>
      </w:tr>
    </w:tbl>
    <w:p>
      <w:pPr>
        <w:pStyle w:val="TextBody"/>
        <w:spacing w:before="10000" w:after="0"/>
        <w:jc w:val="center"/>
        <w:rPr>
          <w:rFonts w:ascii="Times New Roman" w:hAnsi="Times New Roman"/>
          <w:i/>
          <w:sz w:val="20"/>
        </w:rPr>
      </w:pPr>
      <w:r>
        <w:rPr>
          <w:rFonts w:ascii="Times New Roman" w:hAnsi="Times New Roman"/>
          <w:i/>
          <w:sz w:val="20"/>
        </w:rPr>
        <w:t xml:space="preserve">[Signature Page to Support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ANNEX A </w:t>
      </w:r>
    </w:p>
    <w:p>
      <w:pPr>
        <w:pStyle w:val="TextBody"/>
        <w:spacing w:before="240" w:after="0"/>
        <w:jc w:val="center"/>
        <w:rPr>
          <w:rFonts w:ascii="Times New Roman" w:hAnsi="Times New Roman"/>
          <w:b/>
          <w:sz w:val="20"/>
        </w:rPr>
      </w:pPr>
      <w:r>
        <w:rPr>
          <w:rFonts w:ascii="Times New Roman" w:hAnsi="Times New Roman"/>
          <w:b/>
          <w:sz w:val="20"/>
        </w:rPr>
        <w:t xml:space="preserve">WRITTEN CONSENT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FINAL FORM </w:t>
      </w:r>
    </w:p>
    <w:p>
      <w:pPr>
        <w:pStyle w:val="TextBody"/>
        <w:spacing w:before="480" w:after="0"/>
        <w:jc w:val="center"/>
        <w:rPr>
          <w:rFonts w:ascii="Times New Roman" w:hAnsi="Times New Roman"/>
          <w:b/>
          <w:sz w:val="20"/>
        </w:rPr>
      </w:pPr>
      <w:r>
        <w:rPr>
          <w:rFonts w:ascii="Times New Roman" w:hAnsi="Times New Roman"/>
          <w:b/>
          <w:sz w:val="20"/>
        </w:rPr>
        <w:t xml:space="preserve">BAKKT HOLDINGS, LLC </w:t>
      </w:r>
    </w:p>
    <w:p>
      <w:pPr>
        <w:pStyle w:val="TextBody"/>
        <w:spacing w:before="240" w:after="0"/>
        <w:jc w:val="center"/>
        <w:rPr>
          <w:rFonts w:ascii="Times New Roman" w:hAnsi="Times New Roman"/>
          <w:b/>
          <w:sz w:val="20"/>
        </w:rPr>
      </w:pPr>
      <w:r>
        <w:rPr>
          <w:rFonts w:ascii="Times New Roman" w:hAnsi="Times New Roman"/>
          <w:b/>
          <w:sz w:val="20"/>
        </w:rPr>
        <w:t xml:space="preserve">ACTION BY WRITTEN CONSENT OF </w:t>
      </w:r>
    </w:p>
    <w:p>
      <w:pPr>
        <w:pStyle w:val="TextBody"/>
        <w:spacing w:before="0" w:after="0"/>
        <w:jc w:val="center"/>
        <w:rPr>
          <w:rFonts w:ascii="Times New Roman" w:hAnsi="Times New Roman"/>
          <w:b/>
          <w:sz w:val="20"/>
        </w:rPr>
      </w:pPr>
      <w:r>
        <w:rPr>
          <w:rFonts w:ascii="Times New Roman" w:hAnsi="Times New Roman"/>
          <w:b/>
          <w:sz w:val="20"/>
        </w:rPr>
        <w:t xml:space="preserve">THE MEMBERS IN LIEU OF MEETING </w:t>
      </w:r>
    </w:p>
    <w:p>
      <w:pPr>
        <w:pStyle w:val="TextBody"/>
        <w:spacing w:before="240" w:after="0"/>
        <w:jc w:val="left"/>
        <w:rPr>
          <w:rFonts w:ascii="Times New Roman" w:hAnsi="Times New Roman"/>
          <w:sz w:val="20"/>
        </w:rPr>
      </w:pPr>
      <w:r>
        <w:rPr>
          <w:rFonts w:ascii="Times New Roman" w:hAnsi="Times New Roman"/>
          <w:sz w:val="20"/>
        </w:rPr>
        <w:t>Reference is made to the Second Amended and Restated Limited Liability Company Agreement of BAKKT HOLDINGS, LLC, a Delaware limited liability company (the </w:t>
      </w:r>
      <w:r>
        <w:rPr>
          <w:rFonts w:ascii="Times New Roman" w:hAnsi="Times New Roman"/>
          <w:sz w:val="20"/>
          <w:u w:val="single"/>
        </w:rPr>
        <w:t>Company</w:t>
      </w:r>
      <w:r>
        <w:rPr>
          <w:rFonts w:ascii="Times New Roman" w:hAnsi="Times New Roman"/>
          <w:sz w:val="20"/>
        </w:rPr>
        <w:t>), dated February 28, 2020, by and among the Company and its members (the </w:t>
      </w:r>
      <w:r>
        <w:rPr>
          <w:rFonts w:ascii="Times New Roman" w:hAnsi="Times New Roman"/>
          <w:sz w:val="20"/>
          <w:u w:val="single"/>
        </w:rPr>
        <w:t>Existing LLC Agreement</w:t>
      </w:r>
      <w:r>
        <w:rPr>
          <w:rFonts w:ascii="Times New Roman" w:hAnsi="Times New Roman"/>
          <w:sz w:val="20"/>
        </w:rPr>
        <w:t xml:space="preserve">). Capitalized terms used herein but not otherwise defined have the meaning ascribed to such terms in the Existing LLC Agreement. </w:t>
      </w:r>
    </w:p>
    <w:p>
      <w:pPr>
        <w:pStyle w:val="TextBody"/>
        <w:spacing w:before="240" w:after="0"/>
        <w:jc w:val="left"/>
        <w:rPr>
          <w:rFonts w:ascii="Times New Roman" w:hAnsi="Times New Roman"/>
          <w:sz w:val="20"/>
        </w:rPr>
      </w:pPr>
      <w:r>
        <w:rPr>
          <w:rFonts w:ascii="Times New Roman" w:hAnsi="Times New Roman"/>
          <w:sz w:val="20"/>
        </w:rPr>
        <w:t>In accordance with Section 18-302 of the Delaware Limited Liability Company Act (the </w:t>
      </w:r>
      <w:r>
        <w:rPr>
          <w:rFonts w:ascii="Times New Roman" w:hAnsi="Times New Roman"/>
          <w:sz w:val="20"/>
          <w:u w:val="single"/>
        </w:rPr>
        <w:t>DLLCA</w:t>
      </w:r>
      <w:r>
        <w:rPr>
          <w:rFonts w:ascii="Times New Roman" w:hAnsi="Times New Roman"/>
          <w:sz w:val="20"/>
        </w:rPr>
        <w:t>) and the Existing LLC Agreement, the undersigned Members, constituting the holders of the Companys outstanding Units (as defined in the Existing LLC Agreement) having not less than the minimum number of votes that would be necessary to authorize or take such action at a meeting at which all Units entitled to vote thereon were present and voted, including (i) the holders of a majority of the outstanding Voting Units, consenting or voting (as the case may be) together as a single class, (ii) the holders of a majority of the outstanding Class A Voting Units, Class B Voting Units and Class C Voting Units, each consenting or voting (as the case may be) as separate classes, and (iii) the Minority Investors holding a majority of the outstanding Minority Investor Units, consenting or voting (as the case may be) together as a single class (collectively, the </w:t>
      </w:r>
      <w:r>
        <w:rPr>
          <w:rFonts w:ascii="Times New Roman" w:hAnsi="Times New Roman"/>
          <w:sz w:val="20"/>
          <w:u w:val="single"/>
        </w:rPr>
        <w:t>Requisite Consent</w:t>
      </w:r>
      <w:r>
        <w:rPr>
          <w:rFonts w:ascii="Times New Roman" w:hAnsi="Times New Roman"/>
          <w:sz w:val="20"/>
        </w:rPr>
        <w:t xml:space="preserve">), hereby approve the following actions and consent to the adoption of, and do hereby adopt, the recitals and resolutions set forth on </w:t>
      </w:r>
      <w:r>
        <w:rPr>
          <w:rFonts w:ascii="Times New Roman" w:hAnsi="Times New Roman"/>
          <w:b/>
          <w:sz w:val="20"/>
          <w:u w:val="single"/>
        </w:rPr>
        <w:t>Annex</w:t>
      </w:r>
      <w:r>
        <w:rPr>
          <w:rFonts w:ascii="Times New Roman" w:hAnsi="Times New Roman"/>
          <w:sz w:val="20"/>
          <w:u w:val="single"/>
        </w:rPr>
        <w:t> </w:t>
      </w:r>
      <w:r>
        <w:rPr>
          <w:rFonts w:ascii="Times New Roman" w:hAnsi="Times New Roman"/>
          <w:b/>
          <w:sz w:val="20"/>
          <w:u w:val="single"/>
        </w:rPr>
        <w:t>I</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rPr>
        <w:t xml:space="preserve">This written consent may be executed in counterparts, each of which shall constitute an original and all of which together shall constitute one instrument. This written consent shall be effective upon execution of the Members holding not less than the minimum number of Units required to constitute the Requisite Consent. Additional parties hereto nonetheless may be added after the effectiveness hereof. A copy of this written consent that is signed and delivered by facsimile, telecopy, email or other electronic transmission shall constitute an original, executed written consent. </w:t>
      </w:r>
    </w:p>
    <w:p>
      <w:pPr>
        <w:pStyle w:val="TextBody"/>
        <w:spacing w:before="5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2000" w:type="pct"/>
        <w:jc w:val="right"/>
        <w:tblInd w:w="0" w:type="dxa"/>
        <w:tblCellMar>
          <w:top w:w="0" w:type="dxa"/>
          <w:left w:w="0" w:type="dxa"/>
          <w:bottom w:w="0" w:type="dxa"/>
          <w:right w:w="0" w:type="dxa"/>
        </w:tblCellMar>
      </w:tblPr>
      <w:tblGrid>
        <w:gridCol w:w="1131"/>
        <w:gridCol w:w="110"/>
        <w:gridCol w:w="2841"/>
      </w:tblGrid>
      <w:tr>
        <w:trPr/>
        <w:tc>
          <w:tcPr>
            <w:tcW w:w="113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MEMBER: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INTERCONTINENTAL EXCHANGE HOLDINGS, INC.</w:t>
            </w:r>
          </w:p>
        </w:tc>
      </w:tr>
      <w:tr>
        <w:trPr>
          <w:trHeight w:val="240" w:hRule="atLeast"/>
        </w:trPr>
        <w:tc>
          <w:tcPr>
            <w:tcW w:w="1131"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r>
      <w:tr>
        <w:trPr/>
        <w:tc>
          <w:tcPr>
            <w:tcW w:w="1131" w:type="dxa"/>
            <w:tcBorders/>
            <w:shd w:fill="auto" w:val="clear"/>
          </w:tcPr>
          <w:p>
            <w:pPr>
              <w:pStyle w:val="TableContents"/>
              <w:spacing w:before="0" w:after="283"/>
              <w:rPr/>
            </w:pPr>
            <w:r>
              <w:rPr/>
              <w:t>By:</w:t>
            </w:r>
          </w:p>
        </w:tc>
        <w:tc>
          <w:tcPr>
            <w:tcW w:w="110" w:type="dxa"/>
            <w:tcBorders/>
            <w:shd w:fill="auto" w:val="clear"/>
            <w:vAlign w:val="bottom"/>
          </w:tcPr>
          <w:p>
            <w:pPr>
              <w:pStyle w:val="TableContents"/>
              <w:spacing w:before="0" w:after="283"/>
              <w:rPr/>
            </w:pPr>
            <w:r>
              <w:rPr/>
              <w:t> </w:t>
            </w:r>
          </w:p>
        </w:tc>
        <w:tc>
          <w:tcPr>
            <w:tcW w:w="2841" w:type="dxa"/>
            <w:tcBorders/>
            <w:shd w:fill="auto" w:val="clear"/>
          </w:tcPr>
          <w:p>
            <w:pPr>
              <w:pStyle w:val="TableContents"/>
              <w:pBdr>
                <w:bottom w:val="single" w:sz="2" w:space="1" w:color="000000"/>
              </w:pBdr>
              <w:spacing w:before="0" w:after="20"/>
              <w:rPr/>
            </w:pPr>
            <w:r>
              <w:rPr/>
              <w:t>             </w:t>
            </w:r>
          </w:p>
        </w:tc>
      </w:tr>
      <w:tr>
        <w:trPr>
          <w:trHeight w:val="120" w:hRule="atLeast"/>
        </w:trPr>
        <w:tc>
          <w:tcPr>
            <w:tcW w:w="1131"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r>
      <w:tr>
        <w:trPr/>
        <w:tc>
          <w:tcPr>
            <w:tcW w:w="1131" w:type="dxa"/>
            <w:tcBorders/>
            <w:shd w:fill="auto" w:val="clear"/>
          </w:tcPr>
          <w:p>
            <w:pPr>
              <w:pStyle w:val="TableContents"/>
              <w:spacing w:before="0" w:after="283"/>
              <w:rPr/>
            </w:pPr>
            <w:r>
              <w:rPr/>
              <w:t>Name:</w:t>
            </w:r>
          </w:p>
        </w:tc>
        <w:tc>
          <w:tcPr>
            <w:tcW w:w="110" w:type="dxa"/>
            <w:tcBorders/>
            <w:shd w:fill="auto" w:val="clear"/>
            <w:vAlign w:val="bottom"/>
          </w:tcPr>
          <w:p>
            <w:pPr>
              <w:pStyle w:val="TableContents"/>
              <w:spacing w:before="0" w:after="283"/>
              <w:rPr/>
            </w:pPr>
            <w:r>
              <w:rPr/>
              <w:t> </w:t>
            </w:r>
          </w:p>
        </w:tc>
        <w:tc>
          <w:tcPr>
            <w:tcW w:w="2841" w:type="dxa"/>
            <w:tcBorders/>
            <w:shd w:fill="auto" w:val="clear"/>
          </w:tcPr>
          <w:p>
            <w:pPr>
              <w:pStyle w:val="TableContents"/>
              <w:pBdr>
                <w:bottom w:val="single" w:sz="2" w:space="1" w:color="000000"/>
              </w:pBdr>
              <w:spacing w:before="0" w:after="20"/>
              <w:rPr/>
            </w:pPr>
            <w:r>
              <w:rPr/>
              <w:t> </w:t>
            </w:r>
          </w:p>
        </w:tc>
      </w:tr>
      <w:tr>
        <w:trPr>
          <w:trHeight w:val="120" w:hRule="atLeast"/>
        </w:trPr>
        <w:tc>
          <w:tcPr>
            <w:tcW w:w="1131"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r>
      <w:tr>
        <w:trPr/>
        <w:tc>
          <w:tcPr>
            <w:tcW w:w="1131" w:type="dxa"/>
            <w:tcBorders/>
            <w:shd w:fill="auto" w:val="clear"/>
          </w:tcPr>
          <w:p>
            <w:pPr>
              <w:pStyle w:val="TableContents"/>
              <w:spacing w:before="0" w:after="283"/>
              <w:rPr/>
            </w:pPr>
            <w:r>
              <w:rPr/>
              <w:t>Title:</w:t>
            </w:r>
          </w:p>
        </w:tc>
        <w:tc>
          <w:tcPr>
            <w:tcW w:w="110" w:type="dxa"/>
            <w:tcBorders/>
            <w:shd w:fill="auto" w:val="clear"/>
            <w:vAlign w:val="bottom"/>
          </w:tcPr>
          <w:p>
            <w:pPr>
              <w:pStyle w:val="TableContents"/>
              <w:spacing w:before="0" w:after="283"/>
              <w:rPr/>
            </w:pPr>
            <w:r>
              <w:rPr/>
              <w:t> </w:t>
            </w:r>
          </w:p>
        </w:tc>
        <w:tc>
          <w:tcPr>
            <w:tcW w:w="2841" w:type="dxa"/>
            <w:tcBorders/>
            <w:shd w:fill="auto" w:val="clear"/>
          </w:tcPr>
          <w:p>
            <w:pPr>
              <w:pStyle w:val="TableContents"/>
              <w:pBdr>
                <w:bottom w:val="single" w:sz="2" w:space="1" w:color="000000"/>
              </w:pBdr>
              <w:spacing w:before="0" w:after="20"/>
              <w:rPr/>
            </w:pPr>
            <w:r>
              <w:rPr/>
              <w:t> </w:t>
            </w:r>
          </w:p>
        </w:tc>
      </w:tr>
      <w:tr>
        <w:trPr>
          <w:trHeight w:val="120" w:hRule="atLeast"/>
        </w:trPr>
        <w:tc>
          <w:tcPr>
            <w:tcW w:w="1131"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r>
      <w:tr>
        <w:trPr/>
        <w:tc>
          <w:tcPr>
            <w:tcW w:w="1131" w:type="dxa"/>
            <w:tcBorders/>
            <w:shd w:fill="auto" w:val="clear"/>
          </w:tcPr>
          <w:p>
            <w:pPr>
              <w:pStyle w:val="TableContents"/>
              <w:spacing w:before="0" w:after="283"/>
              <w:rPr/>
            </w:pPr>
            <w:r>
              <w:rPr/>
              <w:t>Date:</w:t>
            </w:r>
          </w:p>
        </w:tc>
        <w:tc>
          <w:tcPr>
            <w:tcW w:w="110" w:type="dxa"/>
            <w:tcBorders/>
            <w:shd w:fill="auto" w:val="clear"/>
            <w:vAlign w:val="bottom"/>
          </w:tcPr>
          <w:p>
            <w:pPr>
              <w:pStyle w:val="TableContents"/>
              <w:spacing w:before="0" w:after="283"/>
              <w:rPr/>
            </w:pPr>
            <w:r>
              <w:rPr/>
              <w:t> </w:t>
            </w:r>
          </w:p>
        </w:tc>
        <w:tc>
          <w:tcPr>
            <w:tcW w:w="2841" w:type="dxa"/>
            <w:tcBorders/>
            <w:shd w:fill="auto" w:val="clear"/>
          </w:tcPr>
          <w:p>
            <w:pPr>
              <w:pStyle w:val="TableContents"/>
              <w:pBdr>
                <w:bottom w:val="single" w:sz="2" w:space="1" w:color="000000"/>
              </w:pBdr>
              <w:spacing w:before="0" w:after="20"/>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b/>
                <w:sz w:val="20"/>
              </w:rPr>
            </w:pPr>
            <w:r>
              <w:rPr>
                <w:rFonts w:ascii="Times New Roman" w:hAnsi="Times New Roman"/>
                <w:b/>
                <w:sz w:val="20"/>
              </w:rPr>
              <w:t>MEMBER:</w:t>
            </w:r>
          </w:p>
          <w:p>
            <w:pPr>
              <w:pStyle w:val="TableContents"/>
              <w:spacing w:before="0" w:after="20"/>
              <w:rPr/>
            </w:pPr>
            <w:r>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lineRule="atLeast" w:line="141" w:before="0" w:after="40"/>
              <w:rPr/>
            </w:pPr>
            <w:r>
              <w:rPr/>
              <w:t> </w:t>
            </w:r>
          </w:p>
          <w:p>
            <w:pPr>
              <w:pStyle w:val="TableContents"/>
              <w:spacing w:before="0" w:after="20"/>
              <w:rPr>
                <w:rFonts w:ascii="Times New Roman" w:hAnsi="Times New Roman"/>
                <w:sz w:val="20"/>
              </w:rPr>
            </w:pPr>
            <w:r>
              <w:rPr>
                <w:rFonts w:ascii="Times New Roman" w:hAnsi="Times New Roman"/>
                <w:sz w:val="20"/>
              </w:rPr>
              <w:t>Print Member Name</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w:t>
            </w:r>
            <w:r>
              <w:rPr>
                <w:u w:val="single"/>
              </w:rPr>
              <w:t xml:space="preserve">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Name: </w:t>
            </w:r>
            <w:r>
              <w:rPr>
                <w:u w:val="single"/>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Title (if applicable): </w:t>
            </w:r>
            <w:r>
              <w:rPr>
                <w:u w:val="single"/>
              </w:rPr>
              <w:t>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Date: </w:t>
            </w:r>
            <w:r>
              <w:rPr>
                <w:u w:val="single"/>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ANNEX I </w:t>
      </w:r>
    </w:p>
    <w:p>
      <w:pPr>
        <w:pStyle w:val="TextBody"/>
        <w:spacing w:before="480" w:after="0"/>
        <w:jc w:val="center"/>
        <w:rPr>
          <w:rFonts w:ascii="Times New Roman" w:hAnsi="Times New Roman"/>
          <w:b/>
          <w:sz w:val="20"/>
        </w:rPr>
      </w:pPr>
      <w:r>
        <w:rPr>
          <w:rFonts w:ascii="Times New Roman" w:hAnsi="Times New Roman"/>
          <w:b/>
          <w:sz w:val="20"/>
        </w:rPr>
        <w:t xml:space="preserve">BAKKT HOLDINGS, LLC </w:t>
      </w:r>
    </w:p>
    <w:p>
      <w:pPr>
        <w:pStyle w:val="TextBody"/>
        <w:spacing w:before="240" w:after="0"/>
        <w:jc w:val="center"/>
        <w:rPr>
          <w:rFonts w:ascii="Times New Roman" w:hAnsi="Times New Roman"/>
          <w:b/>
          <w:sz w:val="20"/>
        </w:rPr>
      </w:pPr>
      <w:r>
        <w:rPr>
          <w:rFonts w:ascii="Times New Roman" w:hAnsi="Times New Roman"/>
          <w:b/>
          <w:sz w:val="20"/>
        </w:rPr>
        <w:t xml:space="preserve">ACTION BY WRITTEN CONSENT OF </w:t>
      </w:r>
    </w:p>
    <w:p>
      <w:pPr>
        <w:pStyle w:val="TextBody"/>
        <w:spacing w:before="0" w:after="0"/>
        <w:jc w:val="center"/>
        <w:rPr>
          <w:rFonts w:ascii="Times New Roman" w:hAnsi="Times New Roman"/>
          <w:b/>
          <w:sz w:val="20"/>
        </w:rPr>
      </w:pPr>
      <w:r>
        <w:rPr>
          <w:rFonts w:ascii="Times New Roman" w:hAnsi="Times New Roman"/>
          <w:b/>
          <w:sz w:val="20"/>
        </w:rPr>
        <w:t xml:space="preserve">THE MEMBERS IN LIEU OF MEETING </w:t>
      </w:r>
    </w:p>
    <w:p>
      <w:pPr>
        <w:pStyle w:val="TextBody"/>
        <w:spacing w:before="240" w:after="0"/>
        <w:jc w:val="left"/>
        <w:rPr>
          <w:rFonts w:ascii="Times New Roman" w:hAnsi="Times New Roman"/>
          <w:b/>
          <w:sz w:val="20"/>
        </w:rPr>
      </w:pPr>
      <w:r>
        <w:rPr>
          <w:rFonts w:ascii="Times New Roman" w:hAnsi="Times New Roman"/>
          <w:b/>
          <w:sz w:val="20"/>
          <w:u w:val="single"/>
        </w:rPr>
        <w:t>APPROVAL OF MERGER, MERGER AGREEMENT AND RELATED MATTERS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Companys Board of Managers (the </w:t>
      </w:r>
      <w:r>
        <w:rPr>
          <w:rFonts w:ascii="Times New Roman" w:hAnsi="Times New Roman"/>
          <w:sz w:val="20"/>
          <w:u w:val="single"/>
        </w:rPr>
        <w:t>Board</w:t>
      </w:r>
      <w:r>
        <w:rPr>
          <w:rFonts w:ascii="Times New Roman" w:hAnsi="Times New Roman"/>
          <w:sz w:val="20"/>
        </w:rPr>
        <w:t>) has approved, and the Company has entered into, that certain Agreement and Plan of Merger, by and among VPC Impact Acquisition Holdings, a publicly listed Cayman Islands exempted company (</w:t>
      </w:r>
      <w:r>
        <w:rPr>
          <w:rFonts w:ascii="Times New Roman" w:hAnsi="Times New Roman"/>
          <w:sz w:val="20"/>
          <w:u w:val="single"/>
        </w:rPr>
        <w:t>VIH</w:t>
      </w:r>
      <w:r>
        <w:rPr>
          <w:rFonts w:ascii="Times New Roman" w:hAnsi="Times New Roman"/>
          <w:sz w:val="20"/>
        </w:rPr>
        <w:t>), Pylon Merger Company LLC, a Delaware limited liability company and wholly owned subsidiary of VIH (</w:t>
      </w:r>
      <w:r>
        <w:rPr>
          <w:rFonts w:ascii="Times New Roman" w:hAnsi="Times New Roman"/>
          <w:sz w:val="20"/>
          <w:u w:val="single"/>
        </w:rPr>
        <w:t>Merger Sub</w:t>
      </w:r>
      <w:r>
        <w:rPr>
          <w:rFonts w:ascii="Times New Roman" w:hAnsi="Times New Roman"/>
          <w:sz w:val="20"/>
        </w:rPr>
        <w:t xml:space="preserve">), and the Company, a copy of which is attached hereto as </w:t>
      </w:r>
      <w:r>
        <w:rPr>
          <w:rFonts w:ascii="Times New Roman" w:hAnsi="Times New Roman"/>
          <w:b/>
          <w:sz w:val="20"/>
          <w:u w:val="single"/>
        </w:rPr>
        <w:t>Exhibit A</w:t>
      </w:r>
      <w:r>
        <w:rPr>
          <w:rFonts w:ascii="Times New Roman" w:hAnsi="Times New Roman"/>
          <w:sz w:val="20"/>
        </w:rPr>
        <w:t xml:space="preserve"> (together with its exhibits, schedules and appendices, the </w:t>
      </w:r>
      <w:r>
        <w:rPr>
          <w:rFonts w:ascii="Times New Roman" w:hAnsi="Times New Roman"/>
          <w:sz w:val="20"/>
          <w:u w:val="single"/>
        </w:rPr>
        <w:t>Merger Agreement</w:t>
      </w:r>
      <w:r>
        <w:rPr>
          <w:rFonts w:ascii="Times New Roman" w:hAnsi="Times New Roman"/>
          <w:sz w:val="20"/>
        </w:rPr>
        <w:t>), pursuant to which Merger Sub would merge with and into the Company (the </w:t>
      </w:r>
      <w:r>
        <w:rPr>
          <w:rFonts w:ascii="Times New Roman" w:hAnsi="Times New Roman"/>
          <w:sz w:val="20"/>
          <w:u w:val="single"/>
        </w:rPr>
        <w:t>Merger</w:t>
      </w:r>
      <w:r>
        <w:rPr>
          <w:rFonts w:ascii="Times New Roman" w:hAnsi="Times New Roman"/>
          <w:sz w:val="20"/>
        </w:rPr>
        <w:t>), with the Company being the surviving limited liability company (the </w:t>
      </w:r>
      <w:r>
        <w:rPr>
          <w:rFonts w:ascii="Times New Roman" w:hAnsi="Times New Roman"/>
          <w:sz w:val="20"/>
          <w:u w:val="single"/>
        </w:rPr>
        <w:t>Surviving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prior to the Merger, VIH would domesticate as a Delaware corporation to be named Bakkt Holdings, Inc. (</w:t>
      </w:r>
      <w:r>
        <w:rPr>
          <w:rFonts w:ascii="Times New Roman" w:hAnsi="Times New Roman"/>
          <w:sz w:val="20"/>
          <w:u w:val="single"/>
        </w:rPr>
        <w:t>Bakkt Pubco</w:t>
      </w:r>
      <w:r>
        <w:rPr>
          <w:rFonts w:ascii="Times New Roman" w:hAnsi="Times New Roman"/>
          <w:sz w:val="20"/>
        </w:rPr>
        <w:t>) (the </w:t>
      </w:r>
      <w:r>
        <w:rPr>
          <w:rFonts w:ascii="Times New Roman" w:hAnsi="Times New Roman"/>
          <w:sz w:val="20"/>
          <w:u w:val="single"/>
        </w:rPr>
        <w:t>Domestication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consummation of the transactions contemplated by the Merger Agreement (the </w:t>
      </w:r>
      <w:r>
        <w:rPr>
          <w:rFonts w:ascii="Times New Roman" w:hAnsi="Times New Roman"/>
          <w:sz w:val="20"/>
          <w:u w:val="single"/>
        </w:rPr>
        <w:t>Closing</w:t>
      </w:r>
      <w:r>
        <w:rPr>
          <w:rFonts w:ascii="Times New Roman" w:hAnsi="Times New Roman"/>
          <w:sz w:val="20"/>
        </w:rPr>
        <w:t>), Bakkt Pubco and the Company would implement a structure (the </w:t>
      </w:r>
      <w:r>
        <w:rPr>
          <w:rFonts w:ascii="Times New Roman" w:hAnsi="Times New Roman"/>
          <w:sz w:val="20"/>
          <w:u w:val="single"/>
        </w:rPr>
        <w:t>Up-C Structure</w:t>
      </w:r>
      <w:r>
        <w:rPr>
          <w:rFonts w:ascii="Times New Roman" w:hAnsi="Times New Roman"/>
          <w:sz w:val="20"/>
        </w:rPr>
        <w:t xml:space="preserve">) in which the business of the Company, as the Surviving Company, would continue to be conducted as a limited liability company with Bakkt Pubco being admitted and designated as the managing member of the Company for purposes of the </w:t>
      </w:r>
      <w:r>
        <w:rPr>
          <w:rFonts w:ascii="Times New Roman" w:hAnsi="Times New Roman"/>
          <w:sz w:val="20"/>
          <w:u w:val="single"/>
        </w:rPr>
        <w:t>DLLCA</w:t>
      </w:r>
      <w:r>
        <w:rPr>
          <w:rFonts w:ascii="Times New Roman" w:hAnsi="Times New Roman"/>
          <w:sz w:val="20"/>
        </w:rPr>
        <w:t xml:space="preserve">, and the Companys existing capital structure consisting of different existing classes of outstanding units would be replaced with a new class of units, the Surviving Company Common Units (as defined below); </w:t>
      </w:r>
    </w:p>
    <w:p>
      <w:pPr>
        <w:pStyle w:val="TextBody"/>
        <w:spacing w:before="240" w:after="0"/>
        <w:jc w:val="left"/>
        <w:rPr>
          <w:rFonts w:ascii="Times New Roman" w:hAnsi="Times New Roman"/>
          <w:sz w:val="20"/>
        </w:rPr>
      </w:pPr>
      <w:r>
        <w:rPr>
          <w:rFonts w:ascii="Times New Roman" w:hAnsi="Times New Roman"/>
          <w:b/>
          <w:sz w:val="20"/>
        </w:rPr>
        <w:t>WHEREA</w:t>
      </w:r>
      <w:r>
        <w:rPr>
          <w:rFonts w:ascii="Times New Roman" w:hAnsi="Times New Roman"/>
          <w:sz w:val="20"/>
        </w:rPr>
        <w:t>S, subject to the obtainment of the consent of the members constituting the Requisite Consent and the satisfaction or waiver of the conditions to Closing set forth in the Merger Agreement, the Merger would become effective at such time as a certificate of merger is filed with the Office of the Secretary of State of the State of Delaware in accordance with the applicable provisions of the DLLCA and the Merger Agreement (such time, the </w:t>
      </w:r>
      <w:r>
        <w:rPr>
          <w:rFonts w:ascii="Times New Roman" w:hAnsi="Times New Roman"/>
          <w:sz w:val="20"/>
          <w:u w:val="single"/>
        </w:rPr>
        <w:t>Effective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at the Effective Time, all issued and outstanding units of limited liability company interests of the Company, including the Class A Voting Units, the Class B Voting Units, the Class C Voting Units and the Incentive Units, but excluding the Participation Units (collectively, the </w:t>
      </w:r>
      <w:r>
        <w:rPr>
          <w:rFonts w:ascii="Times New Roman" w:hAnsi="Times New Roman"/>
          <w:sz w:val="20"/>
          <w:u w:val="single"/>
        </w:rPr>
        <w:t>Bakkt Interests</w:t>
      </w:r>
      <w:r>
        <w:rPr>
          <w:rFonts w:ascii="Times New Roman" w:hAnsi="Times New Roman"/>
          <w:sz w:val="20"/>
        </w:rPr>
        <w:t>) held by a member of the Company (other than Bakkt Interests held by the Company or any of its subsidiaries) would be converted into the right to receive from the Surviving Company and from Bakkt Pubco, respectively, a number of Common Units of the Surviving Company (the </w:t>
      </w:r>
      <w:r>
        <w:rPr>
          <w:rFonts w:ascii="Times New Roman" w:hAnsi="Times New Roman"/>
          <w:sz w:val="20"/>
          <w:u w:val="single"/>
        </w:rPr>
        <w:t>Surviving Company Common Units</w:t>
      </w:r>
      <w:r>
        <w:rPr>
          <w:rFonts w:ascii="Times New Roman" w:hAnsi="Times New Roman"/>
          <w:sz w:val="20"/>
        </w:rPr>
        <w:t>) and a number of shares of Class V common stock of Bakkt Pubco (</w:t>
      </w:r>
      <w:r>
        <w:rPr>
          <w:rFonts w:ascii="Times New Roman" w:hAnsi="Times New Roman"/>
          <w:sz w:val="20"/>
          <w:u w:val="single"/>
        </w:rPr>
        <w:t>Bakkt Pubco Class V Shares</w:t>
      </w:r>
      <w:r>
        <w:rPr>
          <w:rFonts w:ascii="Times New Roman" w:hAnsi="Times New Roman"/>
          <w:sz w:val="20"/>
        </w:rPr>
        <w:t xml:space="preserve">), in each case, determined in accordance with the terms of the Merger Agreement and the Existing LLC Agreement (as defined below); </w:t>
      </w:r>
    </w:p>
    <w:p>
      <w:pPr>
        <w:pStyle w:val="TextBody"/>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Incentive Units and Participation Units would be subject to the treatment, including vesting terms, set forth in the Merger Agreement;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Domestication, the Class A ordinary shares of VIH (</w:t>
      </w:r>
      <w:r>
        <w:rPr>
          <w:rFonts w:ascii="Times New Roman" w:hAnsi="Times New Roman"/>
          <w:sz w:val="20"/>
          <w:u w:val="single"/>
        </w:rPr>
        <w:t>VIH Class A Shares</w:t>
      </w:r>
      <w:r>
        <w:rPr>
          <w:rFonts w:ascii="Times New Roman" w:hAnsi="Times New Roman"/>
          <w:sz w:val="20"/>
        </w:rPr>
        <w:t>) would be converted into shares of Class A common stock of Bakkt Pubco (</w:t>
      </w:r>
      <w:r>
        <w:rPr>
          <w:rFonts w:ascii="Times New Roman" w:hAnsi="Times New Roman"/>
          <w:sz w:val="20"/>
          <w:u w:val="single"/>
        </w:rPr>
        <w:t>Bakkt Pubco Class A Shares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execution and delivery of the Merger Agreement by the parties thereto, VIH would enter into subscription agreements with certain accredited investors, substantially in the form attached hereto as </w:t>
      </w:r>
      <w:r>
        <w:rPr>
          <w:rFonts w:ascii="Times New Roman" w:hAnsi="Times New Roman"/>
          <w:b/>
          <w:sz w:val="20"/>
          <w:u w:val="single"/>
        </w:rPr>
        <w:t>Exhibit B</w:t>
      </w:r>
      <w:r>
        <w:rPr>
          <w:rFonts w:ascii="Times New Roman" w:hAnsi="Times New Roman"/>
          <w:sz w:val="20"/>
        </w:rPr>
        <w:t xml:space="preserve"> (the </w:t>
      </w:r>
      <w:r>
        <w:rPr>
          <w:rFonts w:ascii="Times New Roman" w:hAnsi="Times New Roman"/>
          <w:sz w:val="20"/>
          <w:u w:val="single"/>
        </w:rPr>
        <w:t>Subscription Agreement</w:t>
      </w:r>
      <w:r>
        <w:rPr>
          <w:rFonts w:ascii="Times New Roman" w:hAnsi="Times New Roman"/>
          <w:sz w:val="20"/>
        </w:rPr>
        <w:t>), pursuant to which such investors would subscribe for VIH Class A Shares, and such VIH Class A Shares would be purchased concurrently with, and be automatically converted to Bakkt Pubco Class A Shares in connection with, the Domestication (the </w:t>
      </w:r>
      <w:r>
        <w:rPr>
          <w:rFonts w:ascii="Times New Roman" w:hAnsi="Times New Roman"/>
          <w:sz w:val="20"/>
          <w:u w:val="single"/>
        </w:rPr>
        <w:t>PIPE Financing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Intercontinental Exchange Holdings, Inc. (</w:t>
      </w:r>
      <w:r>
        <w:rPr>
          <w:rFonts w:ascii="Times New Roman" w:hAnsi="Times New Roman"/>
          <w:sz w:val="20"/>
          <w:u w:val="single"/>
        </w:rPr>
        <w:t>ICE Holdings</w:t>
      </w:r>
      <w:r>
        <w:rPr>
          <w:rFonts w:ascii="Times New Roman" w:hAnsi="Times New Roman"/>
          <w:sz w:val="20"/>
        </w:rPr>
        <w:t>) is a wholly owned subsidiary of Intercontinental Exchange, Inc. (</w:t>
      </w:r>
      <w:r>
        <w:rPr>
          <w:rFonts w:ascii="Times New Roman" w:hAnsi="Times New Roman"/>
          <w:sz w:val="20"/>
          <w:u w:val="single"/>
        </w:rPr>
        <w:t>ICE</w:t>
      </w:r>
      <w:r>
        <w:rPr>
          <w:rFonts w:ascii="Times New Roman" w:hAnsi="Times New Roman"/>
          <w:sz w:val="20"/>
        </w:rPr>
        <w:t xml:space="preserve">), presently owns approximately 90% of the issued and outstanding voting units of the Company, and two of the members of the Companys Board are members of the Board of Directors of ICESharon Bowen and Thomas Noonanand Jeffrey Sprecher serves as both a member of the Companys Board and as an officer and director of ICE;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Goldfinch Co-Invest I GP, LP and Goldfinch Co-Invest I IP LP (collectively, </w:t>
      </w:r>
      <w:r>
        <w:rPr>
          <w:rFonts w:ascii="Times New Roman" w:hAnsi="Times New Roman"/>
          <w:sz w:val="20"/>
          <w:u w:val="single"/>
        </w:rPr>
        <w:t>Goldfinch</w:t>
      </w:r>
      <w:r>
        <w:rPr>
          <w:rFonts w:ascii="Times New Roman" w:hAnsi="Times New Roman"/>
          <w:sz w:val="20"/>
        </w:rPr>
        <w:t xml:space="preserve">) presently owns Class B Voting Units and Class C Voting Units of the Company, and Sean Collins, a managing director and affiliate of Goldfinch, serves as a member of the Companys Board;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ICE Holdings (or an affiliate thereof) and Goldfinch would subscribe for up to an aggregate of $55,000,000 of the VIH Class A Shares offered in the PIPE Financing (the </w:t>
      </w:r>
      <w:r>
        <w:rPr>
          <w:rFonts w:ascii="Times New Roman" w:hAnsi="Times New Roman"/>
          <w:sz w:val="20"/>
          <w:u w:val="single"/>
        </w:rPr>
        <w:t>Investment Subscription</w:t>
      </w:r>
      <w:r>
        <w:rPr>
          <w:rFonts w:ascii="Times New Roman" w:hAnsi="Times New Roman"/>
          <w:sz w:val="20"/>
        </w:rPr>
        <w:t>), in each case, pursuant to the terms of a Subscription Agreement (collectively, the </w:t>
      </w:r>
      <w:r>
        <w:rPr>
          <w:rFonts w:ascii="Times New Roman" w:hAnsi="Times New Roman"/>
          <w:sz w:val="20"/>
          <w:u w:val="single"/>
        </w:rPr>
        <w:t>Subscription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the Companys members, other than ICE Holdings and Goldfinch, will be offered the opportunity to participate in the PIPE Financing by purchasing its </w:t>
      </w:r>
      <w:r>
        <w:rPr>
          <w:rFonts w:ascii="Times New Roman" w:hAnsi="Times New Roman"/>
          <w:i/>
          <w:sz w:val="20"/>
        </w:rPr>
        <w:t>pro rata</w:t>
      </w:r>
      <w:r>
        <w:rPr>
          <w:rFonts w:ascii="Times New Roman" w:hAnsi="Times New Roman"/>
          <w:sz w:val="20"/>
        </w:rPr>
        <w:t xml:space="preserve"> share of the Investment Subscription, which amount will be deducted from the portion of the Investment Subscription to be subscribed by ICE Holdings;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result of the Subscription, the Domestication, the Merger and the Up-C Structure, immediately following the Closing, each member of the Company would hold Surviving Company Common Units in the Company and Bakkt Pubco Class V Shares and, in the case of each such member participating in the PIPE Financing, Bakkt Pubco Class A Shares;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Closing, Bakkt Pubco, the Company and its members would enter into an Exchange Agreement substantially in the form attached hereto as </w:t>
      </w:r>
      <w:r>
        <w:rPr>
          <w:rFonts w:ascii="Times New Roman" w:hAnsi="Times New Roman"/>
          <w:b/>
          <w:sz w:val="20"/>
          <w:u w:val="single"/>
        </w:rPr>
        <w:t>Exhibit C</w:t>
      </w:r>
      <w:r>
        <w:rPr>
          <w:rFonts w:ascii="Times New Roman" w:hAnsi="Times New Roman"/>
          <w:sz w:val="20"/>
        </w:rPr>
        <w:t xml:space="preserve"> (the </w:t>
      </w:r>
      <w:r>
        <w:rPr>
          <w:rFonts w:ascii="Times New Roman" w:hAnsi="Times New Roman"/>
          <w:sz w:val="20"/>
          <w:u w:val="single"/>
        </w:rPr>
        <w:t>Exchange Agreement</w:t>
      </w:r>
      <w:r>
        <w:rPr>
          <w:rFonts w:ascii="Times New Roman" w:hAnsi="Times New Roman"/>
          <w:sz w:val="20"/>
        </w:rPr>
        <w:t>), to provide a mechanism for the exchange of one or more </w:t>
      </w:r>
      <w:r>
        <w:rPr>
          <w:rFonts w:ascii="Times New Roman" w:hAnsi="Times New Roman"/>
          <w:sz w:val="20"/>
          <w:u w:val="single"/>
        </w:rPr>
        <w:t>Paired Interests</w:t>
      </w:r>
      <w:r>
        <w:rPr>
          <w:rFonts w:ascii="Times New Roman" w:hAnsi="Times New Roman"/>
          <w:sz w:val="20"/>
        </w:rPr>
        <w:t xml:space="preserve"> (defined as one Surviving Company Common Unit and one Bakkt Pubco Class V Share) for Bakkt Pubco Class A Shares or the Cash Amount (as defined in the Exchange Agreement), in each case, on the terms and subject to the conditions set forth in the Exchange Agreement; </w:t>
      </w:r>
    </w:p>
    <w:p>
      <w:pPr>
        <w:pStyle w:val="TextBody"/>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Closing, Bakkt Pubco, the members of the Company, and VIH Impact Acquisition Holdings Sponsor, LLC, a Delaware limited liability company (</w:t>
      </w:r>
      <w:r>
        <w:rPr>
          <w:rFonts w:ascii="Times New Roman" w:hAnsi="Times New Roman"/>
          <w:sz w:val="20"/>
          <w:u w:val="single"/>
        </w:rPr>
        <w:t>VIH Sponsor</w:t>
      </w:r>
      <w:r>
        <w:rPr>
          <w:rFonts w:ascii="Times New Roman" w:hAnsi="Times New Roman"/>
          <w:sz w:val="20"/>
        </w:rPr>
        <w:t xml:space="preserve">), would enter into a Registration Rights Agreement substantially in the form attached hereto as </w:t>
      </w:r>
      <w:r>
        <w:rPr>
          <w:rFonts w:ascii="Times New Roman" w:hAnsi="Times New Roman"/>
          <w:b/>
          <w:sz w:val="20"/>
          <w:u w:val="single"/>
        </w:rPr>
        <w:t>Exhibit D</w:t>
      </w:r>
      <w:r>
        <w:rPr>
          <w:rFonts w:ascii="Times New Roman" w:hAnsi="Times New Roman"/>
          <w:sz w:val="20"/>
        </w:rPr>
        <w:t xml:space="preserve"> (the </w:t>
      </w:r>
      <w:r>
        <w:rPr>
          <w:rFonts w:ascii="Times New Roman" w:hAnsi="Times New Roman"/>
          <w:sz w:val="20"/>
          <w:u w:val="single"/>
        </w:rPr>
        <w:t>Registration Rights Agreement</w:t>
      </w:r>
      <w:r>
        <w:rPr>
          <w:rFonts w:ascii="Times New Roman" w:hAnsi="Times New Roman"/>
          <w:sz w:val="20"/>
        </w:rPr>
        <w:t xml:space="preserve">), to provide certain registration rights in connection with Bakkt Pubco Class A Shares that may held by the stockholders of Bakkt Pubco;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by virtue of the Exchange Agreement and the Registration Rights Agreement, the members of the Company would, after a six-month lock-up period following the Closing, have the means to exchange their Surviving Company Common Units and Bakkt Pubco Class V Shares for publicly traded Bakkt Pubco Class A Shares;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material inducement to VIHs and Merger Subs willingness to enter into the Merger Agreement, VIH requires that certain members of the Company execute and deliver to VIH and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promptly following the signing of the Merger Agreement, a Support Agreement substantially in the form attached hereto as </w:t>
      </w:r>
      <w:r>
        <w:rPr>
          <w:rFonts w:ascii="Times New Roman" w:hAnsi="Times New Roman"/>
          <w:b/>
          <w:sz w:val="20"/>
          <w:u w:val="single"/>
        </w:rPr>
        <w:t>Exhibit E</w:t>
      </w:r>
      <w:r>
        <w:rPr>
          <w:rFonts w:ascii="Times New Roman" w:hAnsi="Times New Roman"/>
          <w:sz w:val="20"/>
        </w:rPr>
        <w:t xml:space="preserve"> (the </w:t>
      </w:r>
      <w:r>
        <w:rPr>
          <w:rFonts w:ascii="Times New Roman" w:hAnsi="Times New Roman"/>
          <w:sz w:val="20"/>
          <w:u w:val="single"/>
        </w:rPr>
        <w:t>Support Agreement</w:t>
      </w:r>
      <w:r>
        <w:rPr>
          <w:rFonts w:ascii="Times New Roman" w:hAnsi="Times New Roman"/>
          <w:sz w:val="20"/>
        </w:rPr>
        <w:t xml:space="preserve">), pursuant to which such members of the Company would agree to, among other things, (a) vote or cause to be voted the Bakkt Interests held by each of them in favor of the Merger and against any competing transaction, (b) certain restrictions on the transfer of such Bakkt Interests prior to the Closing, and (c) certain restrictions on public announcements relating to the Merger and the other transactions contemplated by the Merger Agreement;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Closing, Bakkt Pubco, VIH Sponsor and the members of the Company would enter into a Stockholders Agreement substantially in the form attached hereto as </w:t>
      </w:r>
      <w:r>
        <w:rPr>
          <w:rFonts w:ascii="Times New Roman" w:hAnsi="Times New Roman"/>
          <w:b/>
          <w:sz w:val="20"/>
          <w:u w:val="single"/>
        </w:rPr>
        <w:t>Exhibit F</w:t>
      </w:r>
      <w:r>
        <w:rPr>
          <w:rFonts w:ascii="Times New Roman" w:hAnsi="Times New Roman"/>
          <w:sz w:val="20"/>
        </w:rPr>
        <w:t xml:space="preserve"> (the </w:t>
      </w:r>
      <w:r>
        <w:rPr>
          <w:rFonts w:ascii="Times New Roman" w:hAnsi="Times New Roman"/>
          <w:sz w:val="20"/>
          <w:u w:val="single"/>
        </w:rPr>
        <w:t>Stockholders Agreement</w:t>
      </w:r>
      <w:r>
        <w:rPr>
          <w:rFonts w:ascii="Times New Roman" w:hAnsi="Times New Roman"/>
          <w:sz w:val="20"/>
        </w:rPr>
        <w:t xml:space="preserve">), setting forth certain understandings among the parties thereto with respect to certain governance matters and certain lock-up periods applicable to transfers of the equity securities in the Company and Bakkt Pubco held by the parties thereto;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Closing, to support the deconsolidation of the Company from ICEs financial statements, Bakkt Pubco and ICE Holdings would enter into a Voting Agreement substantially in the form attached hereto as </w:t>
      </w:r>
      <w:r>
        <w:rPr>
          <w:rFonts w:ascii="Times New Roman" w:hAnsi="Times New Roman"/>
          <w:b/>
          <w:sz w:val="20"/>
          <w:u w:val="single"/>
        </w:rPr>
        <w:t>Exhibit G</w:t>
      </w:r>
      <w:r>
        <w:rPr>
          <w:rFonts w:ascii="Times New Roman" w:hAnsi="Times New Roman"/>
          <w:sz w:val="20"/>
        </w:rPr>
        <w:t xml:space="preserve"> (the </w:t>
      </w:r>
      <w:r>
        <w:rPr>
          <w:rFonts w:ascii="Times New Roman" w:hAnsi="Times New Roman"/>
          <w:sz w:val="20"/>
          <w:u w:val="single"/>
        </w:rPr>
        <w:t>Voting Agreement</w:t>
      </w:r>
      <w:r>
        <w:rPr>
          <w:rFonts w:ascii="Times New Roman" w:hAnsi="Times New Roman"/>
          <w:sz w:val="20"/>
        </w:rPr>
        <w:t xml:space="preserve">), requiring ICE Holdings to vote, on any matter submitted to a vote or consent of the stockholders of Bakkt Pubco after the Closing for so long as ICE Holdings owns a majority of the outstanding shares of Bakkt Pubco, any shares of common stock of Bakkt Pubco owned by ICE Holdings in excess of 30% of the outstanding shares of Bakkt Pubco, in the same percentages, for and against the relevant matter, as the shares voted by all stockholders other than ICE Holdings (rather than in its discretion);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Closing, Bakkt Pubco and the members of the Company would enter into a Tax Receivable Agreement substantially in the form attached hereto as </w:t>
      </w:r>
      <w:r>
        <w:rPr>
          <w:rFonts w:ascii="Times New Roman" w:hAnsi="Times New Roman"/>
          <w:b/>
          <w:sz w:val="20"/>
          <w:u w:val="single"/>
        </w:rPr>
        <w:t>Exhibit H</w:t>
      </w:r>
      <w:r>
        <w:rPr>
          <w:rFonts w:ascii="Times New Roman" w:hAnsi="Times New Roman"/>
          <w:sz w:val="20"/>
        </w:rPr>
        <w:t xml:space="preserve">, pursuant to which the parties thereto would agree to certain arrangements with respect to the effect of basis adjustments and imputed interest on the liability for taxes of Bakkt Pubco;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permit the transactions contemplated by the Merger Agreement, including the Up-C Structure, the Existing LLC Agreement would be amended and restated in its entirety by a Third Amended and Restated Limited Liability Company Agreement substantially in the form attached hereto as </w:t>
      </w:r>
      <w:r>
        <w:rPr>
          <w:rFonts w:ascii="Times New Roman" w:hAnsi="Times New Roman"/>
          <w:b/>
          <w:sz w:val="20"/>
          <w:u w:val="single"/>
        </w:rPr>
        <w:t>Exhibit I</w:t>
      </w:r>
      <w:r>
        <w:rPr>
          <w:rFonts w:ascii="Times New Roman" w:hAnsi="Times New Roman"/>
          <w:sz w:val="20"/>
        </w:rPr>
        <w:t xml:space="preserve"> (the </w:t>
      </w:r>
      <w:r>
        <w:rPr>
          <w:rFonts w:ascii="Times New Roman" w:hAnsi="Times New Roman"/>
          <w:sz w:val="20"/>
          <w:u w:val="single"/>
        </w:rPr>
        <w:t>Surviving Company LLC Agreement</w:t>
      </w:r>
      <w:r>
        <w:rPr>
          <w:rFonts w:ascii="Times New Roman" w:hAnsi="Times New Roman"/>
          <w:sz w:val="20"/>
        </w:rPr>
        <w:t xml:space="preserve">), effective at the Closing;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having considered factors it deemed relevant, has unanimously (i) determined that the Merger Agreement, the Merger and the other transactions contemplated by the Merger Agreement are fair to, advisable and in the best interests of the Company and its members, (ii) approved the Merger Agreement and the other transactions contemplated thereby and declared the Merger Agreement advisable; (iii) recommended that the members vote in favor of the approval and adoption of the Merger Agreement and Merger, and (iv) approved the Surviving Company LLC Agreement and the transactions contemplated thereby, including the Up-C Structure;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above-signed members, including the members constituting the Requisite Consent, desire to (i) approve and adopt the Merger and Merger Agreement, (ii) approve and adopt the establishment of the Up-C Structure and the Surviving Company Agreement, and (iii) the allocation and calculation of the Merger Consideration (as defined in the Merger Agreement) in the manner prescribed by the Merger Agreement and set forth on the Final Merger Consideration Spreadsheet (as defined in the Merger Agreement). </w:t>
      </w:r>
    </w:p>
    <w:p>
      <w:pPr>
        <w:pStyle w:val="TextBody"/>
        <w:spacing w:before="240" w:after="0"/>
        <w:jc w:val="left"/>
        <w:rPr>
          <w:rFonts w:ascii="Times New Roman" w:hAnsi="Times New Roman"/>
          <w:b/>
          <w:sz w:val="20"/>
        </w:rPr>
      </w:pPr>
      <w:r>
        <w:rPr>
          <w:rFonts w:ascii="Times New Roman" w:hAnsi="Times New Roman"/>
          <w:b/>
          <w:sz w:val="20"/>
        </w:rPr>
        <w:t xml:space="preserve">NOW, THEREFORE, BE IT </w:t>
      </w:r>
    </w:p>
    <w:p>
      <w:pPr>
        <w:pStyle w:val="TextBody"/>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Merger Agreement, together with the exhibits thereto and any other documents or agreements to be executed or delivered in connection therewith, and the terms and conditions set forth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Merger Agreement and the transactions contemplated thereby, including the Merger, be, and hereby are, adopted and approved in all respects by the above-signed members, which includes the members constituting the Requisite Consent, </w:t>
      </w:r>
      <w:r>
        <w:rPr>
          <w:rFonts w:ascii="Times New Roman" w:hAnsi="Times New Roman"/>
          <w:i/>
          <w:sz w:val="20"/>
        </w:rPr>
        <w:t>provided, however</w:t>
      </w:r>
      <w:r>
        <w:rPr>
          <w:rFonts w:ascii="Times New Roman" w:hAnsi="Times New Roman"/>
          <w:sz w:val="20"/>
        </w:rPr>
        <w:t xml:space="preserve">, that such approval shall be of no further force or effect following any termination of the Merger Agreement in accordance with its terms; and further </w:t>
      </w:r>
    </w:p>
    <w:p>
      <w:pPr>
        <w:pStyle w:val="TextBody"/>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Surviving Company LLC Agreement, and the terms and conditions set forth in the Surviving Company LLC Agreement and the transactions contemplated thereby, including the Up-C Structure, be, and hereby are, adopted and approved in all respects by the above-signed members, which includes the members constituting the Requisite Consent; and further </w:t>
      </w:r>
    </w:p>
    <w:p>
      <w:pPr>
        <w:pStyle w:val="TextBody"/>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allocation of the Merger Consideration, to consist of 208,200,000 shares of Bakkt Pubco Class A Shares, to the holders of Bakkt Interests pursuant to and in the manner prescribed by the Merger Agreement, as shall be calculated and set forth on the Final Merger Consideration Spreadsheet, is hereby adopted and approved in all respects by the above-signed members, which includes the members constituting the Requisite Consent (provided that, for the avoidance of doubt, and notwithstanding the method of allocating the Merger Consideration, the Merger shall not be deemed to constitute a Liquidity Event within the meaning of the Existing LLC Agreement); and further </w:t>
      </w:r>
    </w:p>
    <w:p>
      <w:pPr>
        <w:pStyle w:val="TextBody"/>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the above-signed Members, including the members constituting the Requisite Consent, acknowledge and agree that the Final Merger Consideration Spreadsheet (as defined in the Merger Agreement) to be prepared by the Company, in consultation with the Companys senior management and advisors, shall be determinative of the amount of Merger Consideration (as defined in the Merger Agreement) to be received by each member, absent manifest mathematical error. </w:t>
      </w:r>
    </w:p>
    <w:p>
      <w:pPr>
        <w:pStyle w:val="TextBody"/>
        <w:spacing w:before="240" w:after="0"/>
        <w:jc w:val="center"/>
        <w:rPr>
          <w:rFonts w:ascii="Times New Roman" w:hAnsi="Times New Roman"/>
          <w:sz w:val="20"/>
        </w:rPr>
      </w:pPr>
      <w:r>
        <w:rPr>
          <w:rFonts w:ascii="Times New Roman" w:hAnsi="Times New Roman"/>
          <w:sz w:val="20"/>
        </w:rPr>
        <w:t xml:space="preserve">*   *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MERGER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spacing w:before="240" w:after="0"/>
        <w:jc w:val="center"/>
        <w:rPr>
          <w:rFonts w:ascii="Times New Roman" w:hAnsi="Times New Roman"/>
          <w:b/>
          <w:sz w:val="20"/>
        </w:rPr>
      </w:pPr>
      <w:r>
        <w:rPr>
          <w:rFonts w:ascii="Times New Roman" w:hAnsi="Times New Roman"/>
          <w:b/>
          <w:sz w:val="20"/>
        </w:rPr>
        <w:t xml:space="preserve">FORM OF SUBSCRIPTION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spacing w:before="240" w:after="0"/>
        <w:jc w:val="center"/>
        <w:rPr>
          <w:rFonts w:ascii="Times New Roman" w:hAnsi="Times New Roman"/>
          <w:b/>
          <w:sz w:val="20"/>
        </w:rPr>
      </w:pPr>
      <w:r>
        <w:rPr>
          <w:rFonts w:ascii="Times New Roman" w:hAnsi="Times New Roman"/>
          <w:b/>
          <w:sz w:val="20"/>
        </w:rPr>
        <w:t xml:space="preserve">FORM OF EXCHANGE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spacing w:before="240" w:after="0"/>
        <w:jc w:val="center"/>
        <w:rPr>
          <w:rFonts w:ascii="Times New Roman" w:hAnsi="Times New Roman"/>
          <w:b/>
          <w:sz w:val="20"/>
        </w:rPr>
      </w:pPr>
      <w:r>
        <w:rPr>
          <w:rFonts w:ascii="Times New Roman" w:hAnsi="Times New Roman"/>
          <w:b/>
          <w:sz w:val="20"/>
        </w:rPr>
        <w:t xml:space="preserve">FORM OF REGISTRATION RIGHTS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spacing w:before="240" w:after="0"/>
        <w:jc w:val="center"/>
        <w:rPr>
          <w:rFonts w:ascii="Times New Roman" w:hAnsi="Times New Roman"/>
          <w:b/>
          <w:sz w:val="20"/>
        </w:rPr>
      </w:pPr>
      <w:r>
        <w:rPr>
          <w:rFonts w:ascii="Times New Roman" w:hAnsi="Times New Roman"/>
          <w:b/>
          <w:sz w:val="20"/>
        </w:rPr>
        <w:t xml:space="preserve">FORM OF SUPPORT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spacing w:before="240" w:after="0"/>
        <w:jc w:val="center"/>
        <w:rPr>
          <w:rFonts w:ascii="Times New Roman" w:hAnsi="Times New Roman"/>
          <w:b/>
          <w:sz w:val="20"/>
        </w:rPr>
      </w:pPr>
      <w:r>
        <w:rPr>
          <w:rFonts w:ascii="Times New Roman" w:hAnsi="Times New Roman"/>
          <w:b/>
          <w:sz w:val="20"/>
        </w:rPr>
        <w:t xml:space="preserve">FORM OF STOCKHOLDERS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spacing w:before="240" w:after="0"/>
        <w:jc w:val="center"/>
        <w:rPr>
          <w:rFonts w:ascii="Times New Roman" w:hAnsi="Times New Roman"/>
          <w:b/>
          <w:sz w:val="20"/>
        </w:rPr>
      </w:pPr>
      <w:r>
        <w:rPr>
          <w:rFonts w:ascii="Times New Roman" w:hAnsi="Times New Roman"/>
          <w:b/>
          <w:sz w:val="20"/>
        </w:rPr>
        <w:t xml:space="preserve">FORM OF VOTING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H </w:t>
      </w:r>
    </w:p>
    <w:p>
      <w:pPr>
        <w:pStyle w:val="TextBody"/>
        <w:spacing w:before="240" w:after="0"/>
        <w:jc w:val="center"/>
        <w:rPr>
          <w:rFonts w:ascii="Times New Roman" w:hAnsi="Times New Roman"/>
          <w:b/>
          <w:sz w:val="20"/>
        </w:rPr>
      </w:pPr>
      <w:r>
        <w:rPr>
          <w:rFonts w:ascii="Times New Roman" w:hAnsi="Times New Roman"/>
          <w:b/>
          <w:sz w:val="20"/>
        </w:rPr>
        <w:t xml:space="preserve">FORM OF TAX RECEIVABLE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I </w:t>
      </w:r>
    </w:p>
    <w:p>
      <w:pPr>
        <w:pStyle w:val="TextBody"/>
        <w:spacing w:before="240" w:after="0"/>
        <w:jc w:val="center"/>
        <w:rPr>
          <w:rFonts w:ascii="Times New Roman" w:hAnsi="Times New Roman"/>
          <w:b/>
          <w:sz w:val="20"/>
        </w:rPr>
      </w:pPr>
      <w:r>
        <w:rPr>
          <w:rFonts w:ascii="Times New Roman" w:hAnsi="Times New Roman"/>
          <w:b/>
          <w:sz w:val="20"/>
        </w:rPr>
        <w:t xml:space="preserve">FORM OF SURVIVING COMPANY AGREEMENT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ANNEX B </w:t>
      </w:r>
    </w:p>
    <w:p>
      <w:pPr>
        <w:pStyle w:val="TextBody"/>
        <w:spacing w:before="240" w:after="0"/>
        <w:jc w:val="center"/>
        <w:rPr>
          <w:rFonts w:ascii="Times New Roman" w:hAnsi="Times New Roman"/>
          <w:b/>
          <w:sz w:val="20"/>
        </w:rPr>
      </w:pPr>
      <w:r>
        <w:rPr>
          <w:rFonts w:ascii="Times New Roman" w:hAnsi="Times New Roman"/>
          <w:b/>
          <w:sz w:val="20"/>
        </w:rPr>
        <w:t xml:space="preserve">FORM OF JOINDER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JOINDER AGREEMENT </w:t>
      </w:r>
    </w:p>
    <w:p>
      <w:pPr>
        <w:pStyle w:val="TextBody"/>
        <w:spacing w:before="240" w:after="0"/>
        <w:jc w:val="left"/>
        <w:rPr>
          <w:rFonts w:ascii="Times New Roman" w:hAnsi="Times New Roman"/>
          <w:sz w:val="20"/>
        </w:rPr>
      </w:pPr>
      <w:r>
        <w:rPr>
          <w:rFonts w:ascii="Times New Roman" w:hAnsi="Times New Roman"/>
          <w:sz w:val="20"/>
        </w:rPr>
        <w:t>This Joinder Agreement (this </w:t>
      </w:r>
      <w:r>
        <w:rPr>
          <w:rFonts w:ascii="Times New Roman" w:hAnsi="Times New Roman"/>
          <w:sz w:val="20"/>
          <w:u w:val="single"/>
        </w:rPr>
        <w:t>Joinder Agreement</w:t>
      </w:r>
      <w:r>
        <w:rPr>
          <w:rFonts w:ascii="Times New Roman" w:hAnsi="Times New Roman"/>
          <w:sz w:val="20"/>
        </w:rPr>
        <w:t>) is made as of the date written below by the undersigned (the </w:t>
      </w:r>
      <w:r>
        <w:rPr>
          <w:rFonts w:ascii="Times New Roman" w:hAnsi="Times New Roman"/>
          <w:sz w:val="20"/>
          <w:u w:val="single"/>
        </w:rPr>
        <w:t>Joining Party</w:t>
      </w:r>
      <w:r>
        <w:rPr>
          <w:rFonts w:ascii="Times New Roman" w:hAnsi="Times New Roman"/>
          <w:sz w:val="20"/>
        </w:rPr>
        <w:t>) in accordance with the Support Agreement, dated as of January 11, 2021 (the </w:t>
      </w:r>
      <w:r>
        <w:rPr>
          <w:rFonts w:ascii="Times New Roman" w:hAnsi="Times New Roman"/>
          <w:sz w:val="20"/>
          <w:u w:val="single"/>
        </w:rPr>
        <w:t>Support Agreement</w:t>
      </w:r>
      <w:r>
        <w:rPr>
          <w:rFonts w:ascii="Times New Roman" w:hAnsi="Times New Roman"/>
          <w:sz w:val="20"/>
        </w:rPr>
        <w:t>), by and among VPC Impact Acquisition Holdings, a Cayman Islands exempted company (together with its successors, including the resulting Delaware corporation after the consummation of the Domestication), Bakkt Holdings, LLC (together with its successors, including the surviving limited liability company in the Merger, </w:t>
      </w:r>
      <w:r>
        <w:rPr>
          <w:rFonts w:ascii="Times New Roman" w:hAnsi="Times New Roman"/>
          <w:sz w:val="20"/>
          <w:u w:val="single"/>
        </w:rPr>
        <w:t>Bakkt Opco</w:t>
      </w:r>
      <w:r>
        <w:rPr>
          <w:rFonts w:ascii="Times New Roman" w:hAnsi="Times New Roman"/>
          <w:sz w:val="20"/>
        </w:rPr>
        <w:t xml:space="preserve">), and the members of Bakkt Opco party thereto, as the same may be amended, supplemented or otherwise modified from time to time. Capitalized terms used herein and not otherwise defined shall have the meaning ascribed to them in the Support Agreement. </w:t>
      </w:r>
    </w:p>
    <w:p>
      <w:pPr>
        <w:pStyle w:val="TextBody"/>
        <w:spacing w:before="240" w:after="0"/>
        <w:jc w:val="left"/>
        <w:rPr>
          <w:rFonts w:ascii="Times New Roman" w:hAnsi="Times New Roman"/>
          <w:sz w:val="20"/>
        </w:rPr>
      </w:pPr>
      <w:r>
        <w:rPr>
          <w:rFonts w:ascii="Times New Roman" w:hAnsi="Times New Roman"/>
          <w:sz w:val="20"/>
        </w:rPr>
        <w:t xml:space="preserve">The Joining Party hereby acknowledges, agrees and confirms that, by its execution of this Joinder Agreement, the Joining Party shall be deemed to be a party to, and a Restricted Party under, the Support Agreement as of the date hereof and shall have all of the rights and obligations of a Restricted Party as if it had executed the Support Agreement. The Joining Party hereby ratifies, as of the date hereof, and agrees to be bound by, all of the terms, provisions and conditions contained in the Support Agreement. </w:t>
      </w:r>
    </w:p>
    <w:p>
      <w:pPr>
        <w:pStyle w:val="TextBody"/>
        <w:spacing w:before="240" w:after="0"/>
        <w:jc w:val="left"/>
        <w:rPr>
          <w:rFonts w:ascii="Times New Roman" w:hAnsi="Times New Roman"/>
          <w:sz w:val="20"/>
        </w:rPr>
      </w:pPr>
      <w:r>
        <w:rPr>
          <w:rFonts w:ascii="Times New Roman" w:hAnsi="Times New Roman"/>
          <w:sz w:val="20"/>
        </w:rPr>
        <w:t xml:space="preserve">IN WITNESS WHEREOF, the undersigned has duly executed this Joinder Agreement as of the date written below. </w:t>
      </w:r>
    </w:p>
    <w:p>
      <w:pPr>
        <w:pStyle w:val="TextBody"/>
        <w:spacing w:before="360" w:after="0"/>
        <w:jc w:val="left"/>
        <w:rPr>
          <w:rFonts w:ascii="Times New Roman" w:hAnsi="Times New Roman"/>
          <w:sz w:val="20"/>
        </w:rPr>
      </w:pPr>
      <w:r>
        <w:rPr>
          <w:rFonts w:ascii="Times New Roman" w:hAnsi="Times New Roman"/>
          <w:sz w:val="20"/>
        </w:rPr>
        <w:t xml:space="preserve">Date: ___________________,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923"/>
        <w:gridCol w:w="86"/>
        <w:gridCol w:w="3073"/>
      </w:tblGrid>
      <w:tr>
        <w:trPr/>
        <w:tc>
          <w:tcPr>
            <w:tcW w:w="923"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307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pPr>
            <w:r>
              <w:rPr/>
              <w:t xml:space="preserve">                      </w:t>
            </w:r>
          </w:p>
        </w:tc>
      </w:tr>
      <w:tr>
        <w:trPr>
          <w:trHeight w:val="240" w:hRule="atLeast"/>
        </w:trPr>
        <w:tc>
          <w:tcPr>
            <w:tcW w:w="923" w:type="dxa"/>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923" w:type="dxa"/>
            <w:tcBorders/>
            <w:shd w:fill="auto" w:val="clear"/>
            <w:vAlign w:val="bottom"/>
          </w:tcPr>
          <w:p>
            <w:pPr>
              <w:pStyle w:val="TableContents"/>
              <w:spacing w:before="0" w:after="283"/>
              <w:rPr/>
            </w:pPr>
            <w:r>
              <w:rPr/>
              <w:t>By:</w:t>
            </w:r>
          </w:p>
        </w:tc>
        <w:tc>
          <w:tcPr>
            <w:tcW w:w="86" w:type="dxa"/>
            <w:tcBorders/>
            <w:shd w:fill="auto" w:val="clear"/>
            <w:vAlign w:val="bottom"/>
          </w:tcPr>
          <w:p>
            <w:pPr>
              <w:pStyle w:val="TableContents"/>
              <w:spacing w:before="0" w:after="283"/>
              <w:rPr/>
            </w:pPr>
            <w:r>
              <w:rPr/>
              <w:t> </w:t>
            </w:r>
          </w:p>
        </w:tc>
        <w:tc>
          <w:tcPr>
            <w:tcW w:w="3073" w:type="dxa"/>
            <w:tcBorders/>
            <w:shd w:fill="auto" w:val="clear"/>
            <w:vAlign w:val="bottom"/>
          </w:tcPr>
          <w:p>
            <w:pPr>
              <w:pStyle w:val="TableContents"/>
              <w:pBdr>
                <w:bottom w:val="single" w:sz="2" w:space="1" w:color="000000"/>
              </w:pBdr>
              <w:spacing w:before="0" w:after="20"/>
              <w:rPr/>
            </w:pPr>
            <w:r>
              <w:rPr/>
              <w:t>                 </w:t>
            </w:r>
          </w:p>
        </w:tc>
      </w:tr>
      <w:tr>
        <w:trPr/>
        <w:tc>
          <w:tcPr>
            <w:tcW w:w="923" w:type="dxa"/>
            <w:tcBorders/>
            <w:shd w:fill="auto" w:val="clear"/>
            <w:vAlign w:val="bottom"/>
          </w:tcPr>
          <w:p>
            <w:pPr>
              <w:pStyle w:val="TableContents"/>
              <w:spacing w:before="0" w:after="283"/>
              <w:rPr/>
            </w:pPr>
            <w:r>
              <w:rPr/>
              <w:t>Name:</w:t>
            </w:r>
          </w:p>
        </w:tc>
        <w:tc>
          <w:tcPr>
            <w:tcW w:w="86" w:type="dxa"/>
            <w:tcBorders/>
            <w:shd w:fill="auto" w:val="clear"/>
            <w:vAlign w:val="bottom"/>
          </w:tcPr>
          <w:p>
            <w:pPr>
              <w:pStyle w:val="TableContents"/>
              <w:spacing w:before="0" w:after="283"/>
              <w:rPr/>
            </w:pPr>
            <w:r>
              <w:rPr/>
              <w:t> </w:t>
            </w:r>
          </w:p>
        </w:tc>
        <w:tc>
          <w:tcPr>
            <w:tcW w:w="3073" w:type="dxa"/>
            <w:tcBorders/>
            <w:shd w:fill="auto" w:val="clear"/>
            <w:vAlign w:val="bottom"/>
          </w:tcPr>
          <w:p>
            <w:pPr>
              <w:pStyle w:val="TableContents"/>
              <w:spacing w:before="0" w:after="283"/>
              <w:rPr>
                <w:sz w:val="4"/>
                <w:szCs w:val="4"/>
              </w:rPr>
            </w:pPr>
            <w:r>
              <w:rPr>
                <w:sz w:val="4"/>
                <w:szCs w:val="4"/>
              </w:rPr>
            </w:r>
          </w:p>
        </w:tc>
      </w:tr>
      <w:tr>
        <w:trPr/>
        <w:tc>
          <w:tcPr>
            <w:tcW w:w="923" w:type="dxa"/>
            <w:tcBorders/>
            <w:shd w:fill="auto" w:val="clear"/>
            <w:vAlign w:val="bottom"/>
          </w:tcPr>
          <w:p>
            <w:pPr>
              <w:pStyle w:val="TableContents"/>
              <w:spacing w:before="0" w:after="283"/>
              <w:rPr/>
            </w:pPr>
            <w:r>
              <w:rPr/>
              <w:t>Title:</w:t>
            </w:r>
          </w:p>
        </w:tc>
        <w:tc>
          <w:tcPr>
            <w:tcW w:w="86" w:type="dxa"/>
            <w:tcBorders/>
            <w:shd w:fill="auto" w:val="clear"/>
            <w:vAlign w:val="bottom"/>
          </w:tcPr>
          <w:p>
            <w:pPr>
              <w:pStyle w:val="TableContents"/>
              <w:spacing w:before="0" w:after="283"/>
              <w:rPr/>
            </w:pPr>
            <w:r>
              <w:rPr/>
              <w:t> </w:t>
            </w:r>
          </w:p>
        </w:tc>
        <w:tc>
          <w:tcPr>
            <w:tcW w:w="307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Address for Notices: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pBdr>
                <w:bottom w:val="single" w:sz="2" w:space="1" w:color="000000"/>
              </w:pBdr>
              <w:spacing w:before="0" w:after="20"/>
              <w:rPr/>
            </w:pPr>
            <w:r>
              <w:rPr/>
              <w:t xml:space="preserve">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923" w:type="dxa"/>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923" w:type="dxa"/>
            <w:tcBorders/>
            <w:shd w:fill="auto" w:val="clear"/>
            <w:vAlign w:val="bottom"/>
          </w:tcPr>
          <w:p>
            <w:pPr>
              <w:pStyle w:val="TableContents"/>
              <w:spacing w:before="0" w:after="283"/>
              <w:rPr/>
            </w:pPr>
            <w:r>
              <w:rPr/>
              <w:t>Attn:</w:t>
            </w:r>
          </w:p>
        </w:tc>
        <w:tc>
          <w:tcPr>
            <w:tcW w:w="86" w:type="dxa"/>
            <w:tcBorders/>
            <w:shd w:fill="auto" w:val="clear"/>
            <w:vAlign w:val="bottom"/>
          </w:tcPr>
          <w:p>
            <w:pPr>
              <w:pStyle w:val="TableContents"/>
              <w:spacing w:before="0" w:after="283"/>
              <w:rPr/>
            </w:pPr>
            <w:r>
              <w:rPr/>
              <w:t> </w:t>
            </w:r>
          </w:p>
        </w:tc>
        <w:tc>
          <w:tcPr>
            <w:tcW w:w="3073" w:type="dxa"/>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923" w:type="dxa"/>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923" w:type="dxa"/>
            <w:tcBorders/>
            <w:shd w:fill="auto" w:val="clear"/>
            <w:vAlign w:val="bottom"/>
          </w:tcPr>
          <w:p>
            <w:pPr>
              <w:pStyle w:val="TableContents"/>
              <w:spacing w:before="0" w:after="283"/>
              <w:rPr/>
            </w:pPr>
            <w:r>
              <w:rPr/>
              <w:t>Facsimile:</w:t>
            </w:r>
          </w:p>
        </w:tc>
        <w:tc>
          <w:tcPr>
            <w:tcW w:w="86" w:type="dxa"/>
            <w:tcBorders/>
            <w:shd w:fill="auto" w:val="clear"/>
            <w:vAlign w:val="bottom"/>
          </w:tcPr>
          <w:p>
            <w:pPr>
              <w:pStyle w:val="TableContents"/>
              <w:spacing w:before="0" w:after="283"/>
              <w:rPr/>
            </w:pPr>
            <w:r>
              <w:rPr/>
              <w:t> </w:t>
            </w:r>
          </w:p>
        </w:tc>
        <w:tc>
          <w:tcPr>
            <w:tcW w:w="3073" w:type="dxa"/>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923" w:type="dxa"/>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923" w:type="dxa"/>
            <w:tcBorders/>
            <w:shd w:fill="auto" w:val="clear"/>
            <w:vAlign w:val="bottom"/>
          </w:tcPr>
          <w:p>
            <w:pPr>
              <w:pStyle w:val="TableContents"/>
              <w:spacing w:before="0" w:after="283"/>
              <w:rPr/>
            </w:pPr>
            <w:r>
              <w:rPr/>
              <w:t>Email:</w:t>
            </w:r>
          </w:p>
        </w:tc>
        <w:tc>
          <w:tcPr>
            <w:tcW w:w="86" w:type="dxa"/>
            <w:tcBorders/>
            <w:shd w:fill="auto" w:val="clear"/>
            <w:vAlign w:val="bottom"/>
          </w:tcPr>
          <w:p>
            <w:pPr>
              <w:pStyle w:val="TableContents"/>
              <w:spacing w:before="0" w:after="283"/>
              <w:rPr/>
            </w:pPr>
            <w:r>
              <w:rPr/>
              <w:t> </w:t>
            </w:r>
          </w:p>
        </w:tc>
        <w:tc>
          <w:tcPr>
            <w:tcW w:w="3073" w:type="dxa"/>
            <w:tcBorders/>
            <w:shd w:fill="auto" w:val="clear"/>
            <w:vAlign w:val="bottom"/>
          </w:tcPr>
          <w:p>
            <w:pPr>
              <w:pStyle w:val="TableContents"/>
              <w:pBdr>
                <w:bottom w:val="single" w:sz="2" w:space="1" w:color="000000"/>
              </w:pBdr>
              <w:spacing w:before="0" w:after="20"/>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civil fraud or the consequences of committing a crime. Following the Business Combination, the Proposed Certificate of Incorporation and the Proposed By-Laws will provide for indemnification of its officers and directors to the maximum extent permitted by law, including for any liability incurred in their capacities as such, except through their own actual fraud or willful default. VIH has purchased a policy of directors and officers liability insurance that insures its officers and directors against the cost of defense, settlement or payment of a judgment in some circumstances and insures VIH against its obligations to indemnify its officers and directors.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VIH pursuant to the foregoing provisions, VIH has been informed that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spacing w:before="120" w:after="0"/>
        <w:jc w:val="left"/>
        <w:rPr>
          <w:rFonts w:ascii="Times New Roman" w:hAnsi="Times New Roman"/>
          <w:sz w:val="20"/>
        </w:rPr>
      </w:pPr>
      <w:r>
        <w:rPr>
          <w:rFonts w:ascii="Times New Roman" w:hAnsi="Times New Roman"/>
          <w:sz w:val="20"/>
        </w:rPr>
        <w:t xml:space="preserve">(a) The following exhibits are filed as part of this registration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94"/>
        <w:gridCol w:w="600"/>
        <w:gridCol w:w="8811"/>
      </w:tblGrid>
      <w:tr>
        <w:trPr/>
        <w:tc>
          <w:tcPr>
            <w:tcW w:w="79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8811" w:type="dxa"/>
            <w:tcBorders/>
            <w:shd w:fill="auto" w:val="clear"/>
            <w:vAlign w:val="center"/>
          </w:tcPr>
          <w:p>
            <w:pPr>
              <w:pStyle w:val="TableContents"/>
              <w:spacing w:before="0" w:after="283"/>
              <w:rPr>
                <w:sz w:val="4"/>
                <w:szCs w:val="4"/>
              </w:rPr>
            </w:pPr>
            <w:r>
              <w:rPr>
                <w:sz w:val="4"/>
                <w:szCs w:val="4"/>
              </w:rPr>
            </w:r>
          </w:p>
        </w:tc>
      </w:tr>
      <w:tr>
        <w:trPr/>
        <w:tc>
          <w:tcPr>
            <w:tcW w:w="794"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No.</w:t>
            </w:r>
          </w:p>
        </w:tc>
        <w:tc>
          <w:tcPr>
            <w:tcW w:w="600" w:type="dxa"/>
            <w:tcBorders/>
            <w:shd w:fill="auto" w:val="clear"/>
            <w:vAlign w:val="bottom"/>
          </w:tcPr>
          <w:p>
            <w:pPr>
              <w:pStyle w:val="TableContents"/>
              <w:spacing w:before="0" w:after="283"/>
              <w:rPr/>
            </w:pPr>
            <w:r>
              <w:rPr/>
              <w:t>  </w:t>
            </w:r>
          </w:p>
        </w:tc>
        <w:tc>
          <w:tcPr>
            <w:tcW w:w="881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2.1**</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w:anchor="anacov1">
              <w:r>
                <w:rPr>
                  <w:rStyle w:val="InternetLink"/>
                </w:rPr>
                <w:t xml:space="preserve">Agreement and Plan of Merger, dated January 11, 2021, by and among VIH, Merger Sub, and Bakkt (included as </w:t>
              </w:r>
            </w:hyperlink>
            <w:hyperlink w:anchor="anacov1">
              <w:r>
                <w:rPr>
                  <w:rStyle w:val="InternetLink"/>
                  <w:i/>
                </w:rPr>
                <w:t>Annex A-1</w:t>
              </w:r>
            </w:hyperlink>
            <w:hyperlink w:anchor="anacov1">
              <w:r>
                <w:rPr>
                  <w:rStyle w:val="InternetLink"/>
                </w:rPr>
                <w:t xml:space="preserve"> to the proxy statement/prospectus).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2.2</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w:anchor="ii108105_a2">
              <w:r>
                <w:rPr>
                  <w:rStyle w:val="InternetLink"/>
                </w:rPr>
                <w:t xml:space="preserve">Amendment to Agreement and Plan of Merger, dated March 30, 2021 by and among VIH, Merger Sub, and Bakkt (included as </w:t>
              </w:r>
            </w:hyperlink>
            <w:hyperlink w:anchor="ii108105_a2">
              <w:r>
                <w:rPr>
                  <w:rStyle w:val="InternetLink"/>
                  <w:i/>
                </w:rPr>
                <w:t>Annex A-2</w:t>
              </w:r>
            </w:hyperlink>
            <w:hyperlink w:anchor="ii108105_a2">
              <w:r>
                <w:rPr>
                  <w:rStyle w:val="InternetLink"/>
                </w:rPr>
                <w:t xml:space="preserve"> to this proxy statement/prospectus).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3.1</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r:id="rId14">
              <w:r>
                <w:rPr>
                  <w:rStyle w:val="InternetLink"/>
                </w:rPr>
                <w:t xml:space="preserve">Memorandum and Articles of Association of VIH (incorporated by reference to Exhibit 3.1 of VIHs Form 8-K (001-39544), filed with the SEC on September 28, 2020).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3.2</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w:anchor="anb1">
              <w:r>
                <w:rPr>
                  <w:rStyle w:val="InternetLink"/>
                </w:rPr>
                <w:t xml:space="preserve">Form of Certificate of Incorporation of the Company (included as </w:t>
              </w:r>
            </w:hyperlink>
            <w:hyperlink w:anchor="anb1">
              <w:r>
                <w:rPr>
                  <w:rStyle w:val="InternetLink"/>
                  <w:i/>
                </w:rPr>
                <w:t>Annex B-1</w:t>
              </w:r>
            </w:hyperlink>
            <w:hyperlink w:anchor="anb1">
              <w:r>
                <w:rPr>
                  <w:rStyle w:val="InternetLink"/>
                </w:rPr>
                <w:t xml:space="preserve"> to the proxy statement/prospectus).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3.3</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w:anchor="anb2">
              <w:r>
                <w:rPr>
                  <w:rStyle w:val="InternetLink"/>
                </w:rPr>
                <w:t xml:space="preserve">Form of By-Laws of the Company (included as </w:t>
              </w:r>
            </w:hyperlink>
            <w:hyperlink w:anchor="anb2">
              <w:r>
                <w:rPr>
                  <w:rStyle w:val="InternetLink"/>
                  <w:i/>
                </w:rPr>
                <w:t>Annex B-2</w:t>
              </w:r>
            </w:hyperlink>
            <w:hyperlink w:anchor="anb2">
              <w:r>
                <w:rPr>
                  <w:rStyle w:val="InternetLink"/>
                </w:rPr>
                <w:t xml:space="preserve"> to the proxy statement/prospectus).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4.1</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r:id="rId15">
              <w:r>
                <w:rPr>
                  <w:rStyle w:val="InternetLink"/>
                </w:rPr>
                <w:t xml:space="preserve">Specimen Unit Certificate of VIH (incorporated by reference to Exhibit 4.1 of VIHs Form S-1 (File No. 333-248619), filed with the SEC on September 16, 2020).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4.2</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r:id="rId16">
              <w:r>
                <w:rPr>
                  <w:rStyle w:val="InternetLink"/>
                </w:rPr>
                <w:t xml:space="preserve">Specimen VIH Class A Ordinary Share Certificate of VIH (incorporated by reference to Exhibit 4.2 of VIHs Form S-1 (File No. 333-248619), filed with the SEC on September 16, 2020).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4.3</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r:id="rId17">
              <w:r>
                <w:rPr>
                  <w:rStyle w:val="InternetLink"/>
                </w:rPr>
                <w:t xml:space="preserve">Specimen Warrant Certificate of VIH (incorporated by reference to Exhibit 4.3 of VIHs Form S-1 (File No. 333-248619), filed with the SEC on September 16, 2020).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4.4</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r:id="rId18">
              <w:r>
                <w:rPr>
                  <w:rStyle w:val="InternetLink"/>
                </w:rPr>
                <w:t xml:space="preserve">Warrant Agreement, dated September 22, 2020, by and between VIH and Continental Stock Transfer  &amp; Trust Company, as warrant agent (incorporated by reference to Exhibit 4.1 of VIHs Form 8-K (File No.  001-39544), filed with the SEC on September 28, 2020).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5.1</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w:anchor="d108105dex51.htm">
              <w:r>
                <w:rPr>
                  <w:rStyle w:val="InternetLink"/>
                </w:rPr>
                <w:t xml:space="preserve">Opinion of White &amp; Case LLP.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  </w:t>
            </w:r>
            <w:r>
              <w:rPr/>
              <w:t>8.1</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w:anchor="d108105dex81.htm">
              <w:r>
                <w:rPr>
                  <w:rStyle w:val="InternetLink"/>
                </w:rPr>
                <w:t xml:space="preserve">Tax Opinion of White &amp; Case LLP. </w:t>
              </w:r>
            </w:hyperlink>
          </w:p>
        </w:tc>
      </w:tr>
      <w:tr>
        <w:trPr>
          <w:trHeight w:val="120" w:hRule="atLeast"/>
        </w:trPr>
        <w:tc>
          <w:tcPr>
            <w:tcW w:w="794" w:type="dxa"/>
            <w:tcBorders/>
            <w:shd w:fill="auto" w:val="clear"/>
            <w:vAlign w:val="center"/>
          </w:tcPr>
          <w:p>
            <w:pPr>
              <w:pStyle w:val="TableContents"/>
              <w:spacing w:before="0" w:after="283"/>
              <w:rPr>
                <w:sz w:val="4"/>
                <w:szCs w:val="4"/>
              </w:rPr>
            </w:pPr>
            <w:r>
              <w:rPr>
                <w:sz w:val="4"/>
                <w:szCs w:val="4"/>
              </w:rPr>
            </w:r>
          </w:p>
        </w:tc>
        <w:tc>
          <w:tcPr>
            <w:tcW w:w="9411" w:type="dxa"/>
            <w:gridSpan w:val="2"/>
            <w:tcBorders/>
            <w:shd w:fill="auto" w:val="clear"/>
            <w:vAlign w:val="center"/>
          </w:tcPr>
          <w:p>
            <w:pPr>
              <w:pStyle w:val="TableContents"/>
              <w:spacing w:before="0" w:after="283"/>
              <w:rPr>
                <w:sz w:val="4"/>
                <w:szCs w:val="4"/>
              </w:rPr>
            </w:pPr>
            <w:r>
              <w:rPr>
                <w:sz w:val="4"/>
                <w:szCs w:val="4"/>
              </w:rPr>
            </w:r>
          </w:p>
        </w:tc>
      </w:tr>
      <w:tr>
        <w:trPr/>
        <w:tc>
          <w:tcPr>
            <w:tcW w:w="794" w:type="dxa"/>
            <w:tcBorders/>
            <w:shd w:fill="auto" w:val="clear"/>
          </w:tcPr>
          <w:p>
            <w:pPr>
              <w:pStyle w:val="TableContents"/>
              <w:spacing w:before="0" w:after="283"/>
              <w:rPr/>
            </w:pPr>
            <w:r>
              <w:rPr/>
              <w:t>10.1</w:t>
            </w:r>
          </w:p>
        </w:tc>
        <w:tc>
          <w:tcPr>
            <w:tcW w:w="600" w:type="dxa"/>
            <w:tcBorders/>
            <w:shd w:fill="auto" w:val="clear"/>
            <w:vAlign w:val="bottom"/>
          </w:tcPr>
          <w:p>
            <w:pPr>
              <w:pStyle w:val="TableContents"/>
              <w:spacing w:before="0" w:after="283"/>
              <w:rPr/>
            </w:pPr>
            <w:r>
              <w:rPr/>
              <w:t>  </w:t>
            </w:r>
          </w:p>
        </w:tc>
        <w:tc>
          <w:tcPr>
            <w:tcW w:w="8811" w:type="dxa"/>
            <w:tcBorders/>
            <w:shd w:fill="auto" w:val="clear"/>
          </w:tcPr>
          <w:p>
            <w:pPr>
              <w:pStyle w:val="TableContents"/>
              <w:spacing w:before="0" w:after="283"/>
              <w:rPr/>
            </w:pPr>
            <w:hyperlink r:id="rId19">
              <w:r>
                <w:rPr>
                  <w:rStyle w:val="InternetLink"/>
                </w:rPr>
                <w:t xml:space="preserve">Letter Agreement, dated September  22, 2020, by and among VIH, its executive officers, its directors and the Sponsor (incorporated by reference to Exhibit 10.1 of VIHs Form 8-K (File No.  001-39544), filed with the SEC on September 28, 2020).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57"/>
        <w:gridCol w:w="412"/>
        <w:gridCol w:w="8736"/>
      </w:tblGrid>
      <w:tr>
        <w:trPr/>
        <w:tc>
          <w:tcPr>
            <w:tcW w:w="1057"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8736" w:type="dxa"/>
            <w:tcBorders/>
            <w:shd w:fill="auto" w:val="clear"/>
            <w:vAlign w:val="center"/>
          </w:tcPr>
          <w:p>
            <w:pPr>
              <w:pStyle w:val="TableContents"/>
              <w:spacing w:before="0" w:after="283"/>
              <w:rPr>
                <w:sz w:val="4"/>
                <w:szCs w:val="4"/>
              </w:rPr>
            </w:pPr>
            <w:r>
              <w:rPr>
                <w:sz w:val="4"/>
                <w:szCs w:val="4"/>
              </w:rPr>
            </w:r>
          </w:p>
        </w:tc>
      </w:tr>
      <w:tr>
        <w:trPr/>
        <w:tc>
          <w:tcPr>
            <w:tcW w:w="1057"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No.</w:t>
            </w:r>
          </w:p>
        </w:tc>
        <w:tc>
          <w:tcPr>
            <w:tcW w:w="412" w:type="dxa"/>
            <w:tcBorders/>
            <w:shd w:fill="auto" w:val="clear"/>
            <w:vAlign w:val="bottom"/>
          </w:tcPr>
          <w:p>
            <w:pPr>
              <w:pStyle w:val="TableContents"/>
              <w:spacing w:before="0" w:after="283"/>
              <w:rPr/>
            </w:pPr>
            <w:r>
              <w:rPr/>
              <w:t>  </w:t>
            </w:r>
          </w:p>
        </w:tc>
        <w:tc>
          <w:tcPr>
            <w:tcW w:w="873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10.2</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icov">
              <w:r>
                <w:rPr>
                  <w:rStyle w:val="InternetLink"/>
                </w:rPr>
                <w:t xml:space="preserve">Form of Bakkt Opco Third Amended and Restated Limited Liability Company Agreement, by and among Bakkt Opco and the Bakkt Equity Holders (included as </w:t>
              </w:r>
            </w:hyperlink>
            <w:hyperlink w:anchor="anicov">
              <w:r>
                <w:rPr>
                  <w:rStyle w:val="InternetLink"/>
                  <w:i/>
                </w:rPr>
                <w:t>Annex I</w:t>
              </w:r>
            </w:hyperlink>
            <w:hyperlink w:anchor="anicov">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10.3</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d">
              <w:r>
                <w:rPr>
                  <w:rStyle w:val="InternetLink"/>
                </w:rPr>
                <w:t xml:space="preserve">Form of Exchange Agreement, by and among the Company, Bakkt Opco and the other parties thereto (included as </w:t>
              </w:r>
            </w:hyperlink>
            <w:hyperlink w:anchor="and">
              <w:r>
                <w:rPr>
                  <w:rStyle w:val="InternetLink"/>
                  <w:i/>
                </w:rPr>
                <w:t>Annex D</w:t>
              </w:r>
            </w:hyperlink>
            <w:hyperlink w:anchor="and">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10.4</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gcov">
              <w:r>
                <w:rPr>
                  <w:rStyle w:val="InternetLink"/>
                </w:rPr>
                <w:t xml:space="preserve">Form of Tax Receivable Agreement, by and among the Company and the other parties thereto (included as </w:t>
              </w:r>
            </w:hyperlink>
            <w:hyperlink w:anchor="angcov">
              <w:r>
                <w:rPr>
                  <w:rStyle w:val="InternetLink"/>
                  <w:i/>
                </w:rPr>
                <w:t>Annex G</w:t>
              </w:r>
            </w:hyperlink>
            <w:hyperlink w:anchor="angcov">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10.5</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e">
              <w:r>
                <w:rPr>
                  <w:rStyle w:val="InternetLink"/>
                </w:rPr>
                <w:t xml:space="preserve">Form of Registration Rights Agreement, by and among the Company, the Bakkt Equity Holders and the Sponsor (included as </w:t>
              </w:r>
            </w:hyperlink>
            <w:hyperlink w:anchor="ane">
              <w:r>
                <w:rPr>
                  <w:rStyle w:val="InternetLink"/>
                  <w:i/>
                </w:rPr>
                <w:t>Annex E</w:t>
              </w:r>
            </w:hyperlink>
            <w:hyperlink w:anchor="ane">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10.6</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h">
              <w:r>
                <w:rPr>
                  <w:rStyle w:val="InternetLink"/>
                </w:rPr>
                <w:t xml:space="preserve">Form of Voting Agreement, by and between the Company and ICE (included as </w:t>
              </w:r>
            </w:hyperlink>
            <w:hyperlink w:anchor="anh">
              <w:r>
                <w:rPr>
                  <w:rStyle w:val="InternetLink"/>
                  <w:i/>
                </w:rPr>
                <w:t>Annex H</w:t>
              </w:r>
            </w:hyperlink>
            <w:hyperlink w:anchor="anh">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10.7</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f">
              <w:r>
                <w:rPr>
                  <w:rStyle w:val="InternetLink"/>
                </w:rPr>
                <w:t xml:space="preserve">Form of Stockholders Agreement of the Company, by and among the Company, the Bakkt Equity Holders and the Sponsor (included as </w:t>
              </w:r>
            </w:hyperlink>
            <w:hyperlink w:anchor="anf">
              <w:r>
                <w:rPr>
                  <w:rStyle w:val="InternetLink"/>
                  <w:i/>
                </w:rPr>
                <w:t>Annex F</w:t>
              </w:r>
            </w:hyperlink>
            <w:hyperlink w:anchor="anf">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10.8+</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c">
              <w:r>
                <w:rPr>
                  <w:rStyle w:val="InternetLink"/>
                </w:rPr>
                <w:t xml:space="preserve">Form of Bakkt Pubco Equity Incentive Plan (included as </w:t>
              </w:r>
            </w:hyperlink>
            <w:hyperlink w:anchor="anc">
              <w:r>
                <w:rPr>
                  <w:rStyle w:val="InternetLink"/>
                  <w:i/>
                </w:rPr>
                <w:t>Annex C</w:t>
              </w:r>
            </w:hyperlink>
            <w:hyperlink w:anchor="anc">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10.9</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anj">
              <w:r>
                <w:rPr>
                  <w:rStyle w:val="InternetLink"/>
                </w:rPr>
                <w:t xml:space="preserve">Support Agreement, dated as of January 11, 2021, by and among Bakkt, VIH, ICE and the other parties thereto (included as </w:t>
              </w:r>
            </w:hyperlink>
            <w:hyperlink w:anchor="anj">
              <w:r>
                <w:rPr>
                  <w:rStyle w:val="InternetLink"/>
                  <w:i/>
                </w:rPr>
                <w:t>Annex J</w:t>
              </w:r>
            </w:hyperlink>
            <w:hyperlink w:anchor="anj">
              <w:r>
                <w:rPr>
                  <w:rStyle w:val="InternetLink"/>
                </w:rPr>
                <w:t xml:space="preserve"> to the proxy statement/prospectus).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10.10</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r:id="rId20">
              <w:r>
                <w:rPr>
                  <w:rStyle w:val="InternetLink"/>
                </w:rPr>
                <w:t xml:space="preserve">Amendment to the Letter Agreement, dated as of January  11, 2021, by and among VIH, its executive officers, its directors, the Sponsor and Bakkt (incorporated by reference to Exhibit 10.3 of VIHs Form 8-K (File No.  001-39544), filed with the SEC on January 11, 2021).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10.11</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r:id="rId21">
              <w:r>
                <w:rPr>
                  <w:rStyle w:val="InternetLink"/>
                </w:rPr>
                <w:t xml:space="preserve">Form of Subscription Agreement between VIH and the PIPE Investors, dated January 11, 2021 (incorporated by reference to Exhibit  10.1 of VIHs Form 8-K (File No. 001-39544), filed with the SEC on January 11, 2021).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21.1*</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r>
              <w:rPr/>
              <w:t>List of Subsidiaries of the Company.</w:t>
            </w:r>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23.1</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231.htm">
              <w:r>
                <w:rPr>
                  <w:rStyle w:val="InternetLink"/>
                </w:rPr>
                <w:t xml:space="preserve">Consent of Ernst &amp; Young LLP for Bakkt.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23.2</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51.htm">
              <w:r>
                <w:rPr>
                  <w:rStyle w:val="InternetLink"/>
                </w:rPr>
                <w:t xml:space="preserve">Consent of White &amp; Case LLP (included as part of Exhibit 5.1 hereto).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23.3</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81.htm">
              <w:r>
                <w:rPr>
                  <w:rStyle w:val="InternetLink"/>
                </w:rPr>
                <w:t xml:space="preserve">Consent of White &amp; Case LLP (included as part of Exhibit 8.1 hereto).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23.4</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234.htm">
              <w:r>
                <w:rPr>
                  <w:rStyle w:val="InternetLink"/>
                </w:rPr>
                <w:t xml:space="preserve">Consent of WithumSmith+Brown, PC for VIH.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23.5</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235.htm">
              <w:r>
                <w:rPr>
                  <w:rStyle w:val="InternetLink"/>
                </w:rPr>
                <w:t xml:space="preserve">Consent of Bennett Thrasher LLP for Bridge2 Solutions.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24.1*</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ii">
              <w:r>
                <w:rPr>
                  <w:rStyle w:val="InternetLink"/>
                </w:rPr>
                <w:t xml:space="preserve">Power of Attorney (contained on the signature page to the initial filing of this registration statement).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99.1*</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r>
              <w:rPr/>
              <w:t>Form of Preliminary Proxy Card.</w:t>
            </w:r>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99.2</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992.htm">
              <w:r>
                <w:rPr>
                  <w:rStyle w:val="InternetLink"/>
                </w:rPr>
                <w:t xml:space="preserve">Consent of Gavin Michael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99.3</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993.htm">
              <w:r>
                <w:rPr>
                  <w:rStyle w:val="InternetLink"/>
                </w:rPr>
                <w:t xml:space="preserve">Consent of Michelle Goldberg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99.4</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hyperlink w:anchor="d108105dex994.htm">
              <w:r>
                <w:rPr>
                  <w:rStyle w:val="InternetLink"/>
                </w:rPr>
                <w:t xml:space="preserve">Consent of David C. Clifton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99.5</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0"/>
              <w:rPr/>
            </w:pPr>
            <w:hyperlink w:anchor="d108105dex995.htm">
              <w:r>
                <w:rPr>
                  <w:rStyle w:val="InternetLink"/>
                  <w:rFonts w:ascii="Times New Roman" w:hAnsi="Times New Roman"/>
                  <w:sz w:val="20"/>
                </w:rPr>
                <w:t xml:space="preserve">Consent of Kristyn Cook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99.6</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0"/>
              <w:rPr/>
            </w:pPr>
            <w:hyperlink w:anchor="d108105dex996.htm">
              <w:r>
                <w:rPr>
                  <w:rStyle w:val="InternetLink"/>
                  <w:rFonts w:ascii="Times New Roman" w:hAnsi="Times New Roman"/>
                  <w:sz w:val="20"/>
                </w:rPr>
                <w:t xml:space="preserve">Consent of Sean Collins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99.7</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0"/>
              <w:rPr/>
            </w:pPr>
            <w:hyperlink w:anchor="d108105dex997.htm">
              <w:r>
                <w:rPr>
                  <w:rStyle w:val="InternetLink"/>
                  <w:rFonts w:ascii="Times New Roman" w:hAnsi="Times New Roman"/>
                  <w:sz w:val="20"/>
                </w:rPr>
                <w:t xml:space="preserve">Consent of Andrew A. Main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99.8</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0"/>
              <w:rPr/>
            </w:pPr>
            <w:hyperlink w:anchor="d108105dex998.htm">
              <w:r>
                <w:rPr>
                  <w:rStyle w:val="InternetLink"/>
                  <w:rFonts w:ascii="Times New Roman" w:hAnsi="Times New Roman"/>
                  <w:sz w:val="20"/>
                </w:rPr>
                <w:t xml:space="preserve">Consent of Richard Lumb to be Named as a Director. </w:t>
              </w:r>
            </w:hyperlink>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101.INS*</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r>
              <w:rPr/>
              <w:t>XBRL Instance Document</w:t>
            </w:r>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101.SCH*</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r>
              <w:rPr/>
              <w:t>XBRL Taxonomy Extension Schema Document</w:t>
            </w:r>
          </w:p>
        </w:tc>
      </w:tr>
      <w:tr>
        <w:trPr>
          <w:trHeight w:val="120" w:hRule="atLeast"/>
        </w:trPr>
        <w:tc>
          <w:tcPr>
            <w:tcW w:w="1057" w:type="dxa"/>
            <w:tcBorders/>
            <w:shd w:fill="auto" w:val="clear"/>
            <w:vAlign w:val="center"/>
          </w:tcPr>
          <w:p>
            <w:pPr>
              <w:pStyle w:val="TableContents"/>
              <w:spacing w:before="0" w:after="283"/>
              <w:rPr>
                <w:sz w:val="4"/>
                <w:szCs w:val="4"/>
              </w:rPr>
            </w:pPr>
            <w:r>
              <w:rPr>
                <w:sz w:val="4"/>
                <w:szCs w:val="4"/>
              </w:rPr>
            </w:r>
          </w:p>
        </w:tc>
        <w:tc>
          <w:tcPr>
            <w:tcW w:w="9148" w:type="dxa"/>
            <w:gridSpan w:val="2"/>
            <w:tcBorders/>
            <w:shd w:fill="auto" w:val="clear"/>
            <w:vAlign w:val="center"/>
          </w:tcPr>
          <w:p>
            <w:pPr>
              <w:pStyle w:val="TableContents"/>
              <w:spacing w:before="0" w:after="283"/>
              <w:rPr>
                <w:sz w:val="4"/>
                <w:szCs w:val="4"/>
              </w:rPr>
            </w:pPr>
            <w:r>
              <w:rPr>
                <w:sz w:val="4"/>
                <w:szCs w:val="4"/>
              </w:rPr>
            </w:r>
          </w:p>
        </w:tc>
      </w:tr>
      <w:tr>
        <w:trPr/>
        <w:tc>
          <w:tcPr>
            <w:tcW w:w="1057" w:type="dxa"/>
            <w:tcBorders/>
            <w:shd w:fill="auto" w:val="clear"/>
          </w:tcPr>
          <w:p>
            <w:pPr>
              <w:pStyle w:val="TableContents"/>
              <w:spacing w:before="0" w:after="283"/>
              <w:rPr/>
            </w:pPr>
            <w:r>
              <w:rPr/>
              <w:t>101.CAL*</w:t>
            </w:r>
          </w:p>
        </w:tc>
        <w:tc>
          <w:tcPr>
            <w:tcW w:w="412" w:type="dxa"/>
            <w:tcBorders/>
            <w:shd w:fill="auto" w:val="clear"/>
            <w:vAlign w:val="bottom"/>
          </w:tcPr>
          <w:p>
            <w:pPr>
              <w:pStyle w:val="TableContents"/>
              <w:spacing w:before="0" w:after="283"/>
              <w:rPr/>
            </w:pPr>
            <w:r>
              <w:rPr/>
              <w:t>  </w:t>
            </w:r>
          </w:p>
        </w:tc>
        <w:tc>
          <w:tcPr>
            <w:tcW w:w="8736" w:type="dxa"/>
            <w:tcBorders/>
            <w:shd w:fill="auto" w:val="clear"/>
          </w:tcPr>
          <w:p>
            <w:pPr>
              <w:pStyle w:val="TableContents"/>
              <w:spacing w:before="0" w:after="283"/>
              <w:rPr/>
            </w:pPr>
            <w:r>
              <w:rPr/>
              <w:t>XBRL Taxonomy Extension Calculation Linkbase Document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88"/>
        <w:gridCol w:w="415"/>
        <w:gridCol w:w="8702"/>
      </w:tblGrid>
      <w:tr>
        <w:trPr/>
        <w:tc>
          <w:tcPr>
            <w:tcW w:w="108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8702" w:type="dxa"/>
            <w:tcBorders/>
            <w:shd w:fill="auto" w:val="clear"/>
            <w:vAlign w:val="center"/>
          </w:tcPr>
          <w:p>
            <w:pPr>
              <w:pStyle w:val="TableContents"/>
              <w:spacing w:before="0" w:after="283"/>
              <w:rPr>
                <w:sz w:val="4"/>
                <w:szCs w:val="4"/>
              </w:rPr>
            </w:pPr>
            <w:r>
              <w:rPr>
                <w:sz w:val="4"/>
                <w:szCs w:val="4"/>
              </w:rPr>
            </w:r>
          </w:p>
        </w:tc>
      </w:tr>
      <w:tr>
        <w:trPr/>
        <w:tc>
          <w:tcPr>
            <w:tcW w:w="1088"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No.</w:t>
            </w:r>
          </w:p>
        </w:tc>
        <w:tc>
          <w:tcPr>
            <w:tcW w:w="415" w:type="dxa"/>
            <w:tcBorders/>
            <w:shd w:fill="auto" w:val="clear"/>
            <w:vAlign w:val="bottom"/>
          </w:tcPr>
          <w:p>
            <w:pPr>
              <w:pStyle w:val="TableContents"/>
              <w:spacing w:before="0" w:after="283"/>
              <w:rPr/>
            </w:pPr>
            <w:r>
              <w:rPr/>
              <w:t>  </w:t>
            </w:r>
          </w:p>
        </w:tc>
        <w:tc>
          <w:tcPr>
            <w:tcW w:w="870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088" w:type="dxa"/>
            <w:tcBorders/>
            <w:shd w:fill="auto" w:val="clear"/>
            <w:vAlign w:val="center"/>
          </w:tcPr>
          <w:p>
            <w:pPr>
              <w:pStyle w:val="TableContents"/>
              <w:spacing w:before="0" w:after="283"/>
              <w:rPr>
                <w:sz w:val="4"/>
                <w:szCs w:val="4"/>
              </w:rPr>
            </w:pPr>
            <w:r>
              <w:rPr>
                <w:sz w:val="4"/>
                <w:szCs w:val="4"/>
              </w:rPr>
            </w:r>
          </w:p>
        </w:tc>
        <w:tc>
          <w:tcPr>
            <w:tcW w:w="9117" w:type="dxa"/>
            <w:gridSpan w:val="2"/>
            <w:tcBorders/>
            <w:shd w:fill="auto" w:val="clear"/>
            <w:vAlign w:val="center"/>
          </w:tcPr>
          <w:p>
            <w:pPr>
              <w:pStyle w:val="TableContents"/>
              <w:spacing w:before="0" w:after="283"/>
              <w:rPr>
                <w:sz w:val="4"/>
                <w:szCs w:val="4"/>
              </w:rPr>
            </w:pPr>
            <w:r>
              <w:rPr>
                <w:sz w:val="4"/>
                <w:szCs w:val="4"/>
              </w:rPr>
            </w:r>
          </w:p>
        </w:tc>
      </w:tr>
      <w:tr>
        <w:trPr/>
        <w:tc>
          <w:tcPr>
            <w:tcW w:w="1088" w:type="dxa"/>
            <w:tcBorders/>
            <w:shd w:fill="auto" w:val="clear"/>
          </w:tcPr>
          <w:p>
            <w:pPr>
              <w:pStyle w:val="TableContents"/>
              <w:spacing w:before="0" w:after="283"/>
              <w:rPr/>
            </w:pPr>
            <w:r>
              <w:rPr/>
              <w:t>101.DEF*</w:t>
            </w:r>
          </w:p>
        </w:tc>
        <w:tc>
          <w:tcPr>
            <w:tcW w:w="415" w:type="dxa"/>
            <w:tcBorders/>
            <w:shd w:fill="auto" w:val="clear"/>
            <w:vAlign w:val="bottom"/>
          </w:tcPr>
          <w:p>
            <w:pPr>
              <w:pStyle w:val="TableContents"/>
              <w:spacing w:before="0" w:after="283"/>
              <w:rPr/>
            </w:pPr>
            <w:r>
              <w:rPr/>
              <w:t>  </w:t>
            </w:r>
          </w:p>
        </w:tc>
        <w:tc>
          <w:tcPr>
            <w:tcW w:w="8702" w:type="dxa"/>
            <w:tcBorders/>
            <w:shd w:fill="auto" w:val="clear"/>
          </w:tcPr>
          <w:p>
            <w:pPr>
              <w:pStyle w:val="TableContents"/>
              <w:spacing w:before="0" w:after="283"/>
              <w:rPr/>
            </w:pPr>
            <w:r>
              <w:rPr/>
              <w:t>XBRL Taxonomy Extension Definition Linkbase Document</w:t>
            </w:r>
          </w:p>
        </w:tc>
      </w:tr>
      <w:tr>
        <w:trPr>
          <w:trHeight w:val="120" w:hRule="atLeast"/>
        </w:trPr>
        <w:tc>
          <w:tcPr>
            <w:tcW w:w="1088" w:type="dxa"/>
            <w:tcBorders/>
            <w:shd w:fill="auto" w:val="clear"/>
            <w:vAlign w:val="center"/>
          </w:tcPr>
          <w:p>
            <w:pPr>
              <w:pStyle w:val="TableContents"/>
              <w:spacing w:before="0" w:after="283"/>
              <w:rPr>
                <w:sz w:val="4"/>
                <w:szCs w:val="4"/>
              </w:rPr>
            </w:pPr>
            <w:r>
              <w:rPr>
                <w:sz w:val="4"/>
                <w:szCs w:val="4"/>
              </w:rPr>
            </w:r>
          </w:p>
        </w:tc>
        <w:tc>
          <w:tcPr>
            <w:tcW w:w="9117" w:type="dxa"/>
            <w:gridSpan w:val="2"/>
            <w:tcBorders/>
            <w:shd w:fill="auto" w:val="clear"/>
            <w:vAlign w:val="center"/>
          </w:tcPr>
          <w:p>
            <w:pPr>
              <w:pStyle w:val="TableContents"/>
              <w:spacing w:before="0" w:after="283"/>
              <w:rPr>
                <w:sz w:val="4"/>
                <w:szCs w:val="4"/>
              </w:rPr>
            </w:pPr>
            <w:r>
              <w:rPr>
                <w:sz w:val="4"/>
                <w:szCs w:val="4"/>
              </w:rPr>
            </w:r>
          </w:p>
        </w:tc>
      </w:tr>
      <w:tr>
        <w:trPr/>
        <w:tc>
          <w:tcPr>
            <w:tcW w:w="1088" w:type="dxa"/>
            <w:tcBorders/>
            <w:shd w:fill="auto" w:val="clear"/>
          </w:tcPr>
          <w:p>
            <w:pPr>
              <w:pStyle w:val="TableContents"/>
              <w:spacing w:before="0" w:after="283"/>
              <w:rPr/>
            </w:pPr>
            <w:r>
              <w:rPr/>
              <w:t>101.LAB*</w:t>
            </w:r>
          </w:p>
        </w:tc>
        <w:tc>
          <w:tcPr>
            <w:tcW w:w="415" w:type="dxa"/>
            <w:tcBorders/>
            <w:shd w:fill="auto" w:val="clear"/>
            <w:vAlign w:val="bottom"/>
          </w:tcPr>
          <w:p>
            <w:pPr>
              <w:pStyle w:val="TableContents"/>
              <w:spacing w:before="0" w:after="283"/>
              <w:rPr/>
            </w:pPr>
            <w:r>
              <w:rPr/>
              <w:t>  </w:t>
            </w:r>
          </w:p>
        </w:tc>
        <w:tc>
          <w:tcPr>
            <w:tcW w:w="8702" w:type="dxa"/>
            <w:tcBorders/>
            <w:shd w:fill="auto" w:val="clear"/>
          </w:tcPr>
          <w:p>
            <w:pPr>
              <w:pStyle w:val="TableContents"/>
              <w:spacing w:before="0" w:after="283"/>
              <w:rPr/>
            </w:pPr>
            <w:r>
              <w:rPr/>
              <w:t>XBRL Taxonomy Extension Label Linkbase Document</w:t>
            </w:r>
          </w:p>
        </w:tc>
      </w:tr>
      <w:tr>
        <w:trPr>
          <w:trHeight w:val="120" w:hRule="atLeast"/>
        </w:trPr>
        <w:tc>
          <w:tcPr>
            <w:tcW w:w="1088" w:type="dxa"/>
            <w:tcBorders/>
            <w:shd w:fill="auto" w:val="clear"/>
            <w:vAlign w:val="center"/>
          </w:tcPr>
          <w:p>
            <w:pPr>
              <w:pStyle w:val="TableContents"/>
              <w:spacing w:before="0" w:after="283"/>
              <w:rPr>
                <w:sz w:val="4"/>
                <w:szCs w:val="4"/>
              </w:rPr>
            </w:pPr>
            <w:r>
              <w:rPr>
                <w:sz w:val="4"/>
                <w:szCs w:val="4"/>
              </w:rPr>
            </w:r>
          </w:p>
        </w:tc>
        <w:tc>
          <w:tcPr>
            <w:tcW w:w="9117" w:type="dxa"/>
            <w:gridSpan w:val="2"/>
            <w:tcBorders/>
            <w:shd w:fill="auto" w:val="clear"/>
            <w:vAlign w:val="center"/>
          </w:tcPr>
          <w:p>
            <w:pPr>
              <w:pStyle w:val="TableContents"/>
              <w:spacing w:before="0" w:after="283"/>
              <w:rPr>
                <w:sz w:val="4"/>
                <w:szCs w:val="4"/>
              </w:rPr>
            </w:pPr>
            <w:r>
              <w:rPr>
                <w:sz w:val="4"/>
                <w:szCs w:val="4"/>
              </w:rPr>
            </w:r>
          </w:p>
        </w:tc>
      </w:tr>
      <w:tr>
        <w:trPr/>
        <w:tc>
          <w:tcPr>
            <w:tcW w:w="1088" w:type="dxa"/>
            <w:tcBorders/>
            <w:shd w:fill="auto" w:val="clear"/>
          </w:tcPr>
          <w:p>
            <w:pPr>
              <w:pStyle w:val="TableContents"/>
              <w:spacing w:before="0" w:after="283"/>
              <w:rPr/>
            </w:pPr>
            <w:r>
              <w:rPr/>
              <w:t>101.PRE*</w:t>
            </w:r>
          </w:p>
        </w:tc>
        <w:tc>
          <w:tcPr>
            <w:tcW w:w="415" w:type="dxa"/>
            <w:tcBorders/>
            <w:shd w:fill="auto" w:val="clear"/>
            <w:vAlign w:val="bottom"/>
          </w:tcPr>
          <w:p>
            <w:pPr>
              <w:pStyle w:val="TableContents"/>
              <w:spacing w:before="0" w:after="283"/>
              <w:rPr/>
            </w:pPr>
            <w:r>
              <w:rPr/>
              <w:t>  </w:t>
            </w:r>
          </w:p>
        </w:tc>
        <w:tc>
          <w:tcPr>
            <w:tcW w:w="8702" w:type="dxa"/>
            <w:tcBorders/>
            <w:shd w:fill="auto" w:val="clear"/>
          </w:tcPr>
          <w:p>
            <w:pPr>
              <w:pStyle w:val="TableContents"/>
              <w:spacing w:before="0" w:after="283"/>
              <w:rPr/>
            </w:pPr>
            <w:r>
              <w:rPr/>
              <w:t>XBRL Taxonomy Extension Presentation Linkbase Document</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Indicates a management or compensatory plan.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schedules and similar attachments to this Exhibit have been omitted in accordance with Item 601(a)(5) of Regulation S-K. VIH agrees to furnish supplementally a copy of any omitted exhibit or schedule to the SEC upon its request. </w:t>
            </w:r>
          </w:p>
        </w:tc>
      </w:tr>
    </w:tbl>
    <w:p>
      <w:pPr>
        <w:pStyle w:val="TextBody"/>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spacing w:before="120" w:after="0"/>
        <w:jc w:val="left"/>
        <w:rPr>
          <w:rFonts w:ascii="Times New Roman" w:hAnsi="Times New Roman"/>
          <w:sz w:val="20"/>
        </w:rPr>
      </w:pPr>
      <w:r>
        <w:rPr>
          <w:rFonts w:ascii="Times New Roman" w:hAnsi="Times New Roman"/>
          <w:sz w:val="20"/>
        </w:rPr>
        <w:t xml:space="preserve">The undersigned registrant hereby undertakes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w:t>
            </w:r>
            <w:r>
              <w:rPr>
                <w:rFonts w:ascii="Times New Roman" w:hAnsi="Times New Roman"/>
                <w:b/>
                <w:sz w:val="20"/>
              </w:rPr>
              <w:t>Calculation of Registration Fee</w:t>
            </w:r>
            <w:r>
              <w:rPr>
                <w:rFonts w:ascii="Times New Roman" w:hAnsi="Times New Roman"/>
                <w:sz w:val="20"/>
              </w:rPr>
              <w:t xml:space="preserve"> table in the effective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6"/>
        <w:gridCol w:w="408"/>
        <w:gridCol w:w="8881"/>
      </w:tblGrid>
      <w:tr>
        <w:trPr/>
        <w:tc>
          <w:tcPr>
            <w:tcW w:w="9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(iv)</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(6)</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(8)</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registrant hereby undertakes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9" w:name="ii"/>
      <w:bookmarkEnd w:id="159"/>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Chicago, State of Illinois on March 31,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95"/>
        <w:gridCol w:w="60"/>
        <w:gridCol w:w="3327"/>
      </w:tblGrid>
      <w:tr>
        <w:trPr/>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VPC IMPACT ACQUISITION HOLDINGS</w:t>
            </w:r>
          </w:p>
        </w:tc>
      </w:tr>
      <w:tr>
        <w:trPr>
          <w:trHeight w:val="240" w:hRule="atLeast"/>
        </w:trPr>
        <w:tc>
          <w:tcPr>
            <w:tcW w:w="695" w:type="dxa"/>
            <w:tcBorders/>
            <w:shd w:fill="auto" w:val="clear"/>
            <w:vAlign w:val="center"/>
          </w:tcPr>
          <w:p>
            <w:pPr>
              <w:pStyle w:val="TableContents"/>
              <w:spacing w:before="0" w:after="283"/>
              <w:rPr>
                <w:sz w:val="4"/>
                <w:szCs w:val="4"/>
              </w:rPr>
            </w:pPr>
            <w:r>
              <w:rPr>
                <w:sz w:val="4"/>
                <w:szCs w:val="4"/>
              </w:rPr>
            </w:r>
          </w:p>
        </w:tc>
        <w:tc>
          <w:tcPr>
            <w:tcW w:w="3387"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27" w:type="dxa"/>
            <w:tcBorders>
              <w:bottom w:val="single" w:sz="2" w:space="0" w:color="000000"/>
            </w:tcBorders>
            <w:shd w:fill="auto" w:val="clear"/>
            <w:tcMar>
              <w:bottom w:w="28" w:type="dxa"/>
            </w:tcMar>
          </w:tcPr>
          <w:p>
            <w:pPr>
              <w:pStyle w:val="TableContents"/>
              <w:spacing w:before="0" w:after="283"/>
              <w:rPr/>
            </w:pPr>
            <w:r>
              <w:rPr/>
              <w:t>/s/ John Martin</w:t>
            </w:r>
          </w:p>
        </w:tc>
      </w:tr>
      <w:tr>
        <w:trPr/>
        <w:tc>
          <w:tcPr>
            <w:tcW w:w="69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27" w:type="dxa"/>
            <w:tcBorders/>
            <w:shd w:fill="auto" w:val="clear"/>
            <w:vAlign w:val="bottom"/>
          </w:tcPr>
          <w:p>
            <w:pPr>
              <w:pStyle w:val="TableContents"/>
              <w:spacing w:before="0" w:after="283"/>
              <w:rPr/>
            </w:pPr>
            <w:r>
              <w:rPr/>
              <w:t>John Martin</w:t>
            </w:r>
          </w:p>
        </w:tc>
      </w:tr>
      <w:tr>
        <w:trPr/>
        <w:tc>
          <w:tcPr>
            <w:tcW w:w="69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27" w:type="dxa"/>
            <w:tcBorders/>
            <w:shd w:fill="auto" w:val="clear"/>
            <w:vAlign w:val="bottom"/>
          </w:tcPr>
          <w:p>
            <w:pPr>
              <w:pStyle w:val="TableContents"/>
              <w:spacing w:before="0" w:after="283"/>
              <w:rPr/>
            </w:pPr>
            <w:r>
              <w:rPr/>
              <w:t>Chief Executive Officer</w:t>
            </w:r>
          </w:p>
        </w:tc>
      </w:tr>
    </w:tbl>
    <w:p>
      <w:pPr>
        <w:pStyle w:val="TextBody"/>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each of John Martin, Gordon Watson and Olibia Stamatoglou his or her true and lawful attorney-in-fact, with full power of substitution and resubstitution for him and in his name, place and stead, in any and all capacities to sign any and all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776"/>
        <w:gridCol w:w="101"/>
        <w:gridCol w:w="4389"/>
        <w:gridCol w:w="102"/>
        <w:gridCol w:w="1837"/>
      </w:tblGrid>
      <w:tr>
        <w:trPr/>
        <w:tc>
          <w:tcPr>
            <w:tcW w:w="377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38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377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01" w:type="dxa"/>
            <w:tcBorders/>
            <w:shd w:fill="auto" w:val="clear"/>
            <w:vAlign w:val="bottom"/>
          </w:tcPr>
          <w:p>
            <w:pPr>
              <w:pStyle w:val="TableContents"/>
              <w:spacing w:before="0" w:after="283"/>
              <w:rPr/>
            </w:pPr>
            <w:r>
              <w:rPr/>
              <w:t> </w:t>
            </w:r>
          </w:p>
        </w:tc>
        <w:tc>
          <w:tcPr>
            <w:tcW w:w="438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102" w:type="dxa"/>
            <w:tcBorders/>
            <w:shd w:fill="auto" w:val="clear"/>
            <w:vAlign w:val="bottom"/>
          </w:tcPr>
          <w:p>
            <w:pPr>
              <w:pStyle w:val="TableContents"/>
              <w:spacing w:before="0" w:after="283"/>
              <w:rPr/>
            </w:pPr>
            <w:r>
              <w:rPr/>
              <w:t> </w:t>
            </w:r>
          </w:p>
        </w:tc>
        <w:tc>
          <w:tcPr>
            <w:tcW w:w="183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John Martin</w:t>
            </w:r>
          </w:p>
          <w:p>
            <w:pPr>
              <w:pStyle w:val="TableContents"/>
              <w:spacing w:before="0" w:after="20"/>
              <w:rPr>
                <w:rFonts w:ascii="Times New Roman" w:hAnsi="Times New Roman"/>
                <w:sz w:val="20"/>
              </w:rPr>
            </w:pPr>
            <w:r>
              <w:rPr>
                <w:rFonts w:ascii="Times New Roman" w:hAnsi="Times New Roman"/>
                <w:sz w:val="20"/>
              </w:rPr>
              <w:t>John Martin</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and Chairman</w:t>
            </w:r>
          </w:p>
          <w:p>
            <w:pPr>
              <w:pStyle w:val="TableContents"/>
              <w:spacing w:before="0" w:after="20"/>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March 31, 2021</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Gordon Watson</w:t>
            </w:r>
          </w:p>
          <w:p>
            <w:pPr>
              <w:pStyle w:val="TableContents"/>
              <w:spacing w:before="0" w:after="20"/>
              <w:rPr>
                <w:rFonts w:ascii="Times New Roman" w:hAnsi="Times New Roman"/>
                <w:sz w:val="20"/>
              </w:rPr>
            </w:pPr>
            <w:r>
              <w:rPr>
                <w:rFonts w:ascii="Times New Roman" w:hAnsi="Times New Roman"/>
                <w:sz w:val="20"/>
              </w:rPr>
              <w:t>Gordon Watson</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rPr/>
            </w:pPr>
            <w:r>
              <w:rPr/>
              <w:t>Chief Operating Officer and President</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March 31, 2021</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Olibia Stamatoglou</w:t>
            </w:r>
          </w:p>
          <w:p>
            <w:pPr>
              <w:pStyle w:val="TableContents"/>
              <w:spacing w:before="0" w:after="20"/>
              <w:rPr>
                <w:rFonts w:ascii="Times New Roman" w:hAnsi="Times New Roman"/>
                <w:sz w:val="20"/>
              </w:rPr>
            </w:pPr>
            <w:r>
              <w:rPr>
                <w:rFonts w:ascii="Times New Roman" w:hAnsi="Times New Roman"/>
                <w:sz w:val="20"/>
              </w:rPr>
              <w:t>Olibia Stamatoglou</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March 31, 2021</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Adrienne Harris</w:t>
            </w:r>
          </w:p>
          <w:p>
            <w:pPr>
              <w:pStyle w:val="TableContents"/>
              <w:spacing w:before="0" w:after="20"/>
              <w:rPr>
                <w:rFonts w:ascii="Times New Roman" w:hAnsi="Times New Roman"/>
                <w:sz w:val="20"/>
              </w:rPr>
            </w:pPr>
            <w:r>
              <w:rPr>
                <w:rFonts w:ascii="Times New Roman" w:hAnsi="Times New Roman"/>
                <w:sz w:val="20"/>
              </w:rPr>
              <w:t>Adrienne Harris</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March 31, 2021</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Kai Schmitz</w:t>
            </w:r>
          </w:p>
          <w:p>
            <w:pPr>
              <w:pStyle w:val="TableContents"/>
              <w:spacing w:before="0" w:after="20"/>
              <w:rPr>
                <w:rFonts w:ascii="Times New Roman" w:hAnsi="Times New Roman"/>
                <w:sz w:val="20"/>
              </w:rPr>
            </w:pPr>
            <w:r>
              <w:rPr>
                <w:rFonts w:ascii="Times New Roman" w:hAnsi="Times New Roman"/>
                <w:sz w:val="20"/>
              </w:rPr>
              <w:t>Kai Schmitz</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March 31, 2021</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Kurt Summers</w:t>
            </w:r>
          </w:p>
          <w:p>
            <w:pPr>
              <w:pStyle w:val="TableContents"/>
              <w:spacing w:before="0" w:after="20"/>
              <w:rPr>
                <w:rFonts w:ascii="Times New Roman" w:hAnsi="Times New Roman"/>
                <w:sz w:val="20"/>
              </w:rPr>
            </w:pPr>
            <w:r>
              <w:rPr>
                <w:rFonts w:ascii="Times New Roman" w:hAnsi="Times New Roman"/>
                <w:sz w:val="20"/>
              </w:rPr>
              <w:t>Kurt Summers</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March 31, 2021</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TextBody"/>
        <w:spacing w:before="0" w:after="0"/>
        <w:jc w:val="right"/>
        <w:rPr>
          <w:rFonts w:ascii="Times New Roman" w:hAnsi="Times New Roman"/>
          <w:b/>
          <w:sz w:val="20"/>
        </w:rPr>
      </w:pPr>
      <w:bookmarkStart w:id="160" w:name="d108105dex51.htm"/>
      <w:bookmarkStart w:id="161" w:name="ksd108105dex51"/>
      <w:bookmarkEnd w:id="160"/>
      <w:bookmarkEnd w:id="161"/>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right"/>
        <w:rPr/>
      </w:pPr>
      <w:r>
        <w:rPr/>
        <w:drawing>
          <wp:inline distT="0" distB="0" distL="0" distR="0">
            <wp:extent cx="1552575" cy="276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1552575" cy="27622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12"/>
        <w:gridCol w:w="120"/>
        <w:gridCol w:w="5073"/>
      </w:tblGrid>
      <w:tr>
        <w:trPr/>
        <w:tc>
          <w:tcPr>
            <w:tcW w:w="50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March 31, 2021</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VPC Impact Acquisition Holdings</w:t>
            </w:r>
          </w:p>
          <w:p>
            <w:pPr>
              <w:pStyle w:val="TableContents"/>
              <w:spacing w:before="0" w:after="0"/>
              <w:rPr>
                <w:rFonts w:ascii="Times New Roman" w:hAnsi="Times New Roman"/>
                <w:sz w:val="20"/>
              </w:rPr>
            </w:pPr>
            <w:r>
              <w:rPr>
                <w:rFonts w:ascii="Times New Roman" w:hAnsi="Times New Roman"/>
                <w:sz w:val="20"/>
              </w:rPr>
              <w:t>150 North Riverside Plaza, Ste. 5200</w:t>
            </w:r>
          </w:p>
          <w:p>
            <w:pPr>
              <w:pStyle w:val="TableContents"/>
              <w:spacing w:before="0" w:after="20"/>
              <w:rPr>
                <w:rFonts w:ascii="Times New Roman" w:hAnsi="Times New Roman"/>
                <w:sz w:val="20"/>
              </w:rPr>
            </w:pPr>
            <w:r>
              <w:rPr>
                <w:rFonts w:ascii="Times New Roman" w:hAnsi="Times New Roman"/>
                <w:sz w:val="20"/>
              </w:rPr>
              <w:t>Chicago, IL 60606</w:t>
            </w:r>
          </w:p>
        </w:tc>
        <w:tc>
          <w:tcPr>
            <w:tcW w:w="12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jc w:val="right"/>
              <w:rPr/>
            </w:pPr>
            <w:r>
              <w:rPr/>
              <w:drawing>
                <wp:inline distT="0" distB="0" distL="0" distR="0">
                  <wp:extent cx="1562100" cy="82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3"/>
                          <a:stretch>
                            <a:fillRect/>
                          </a:stretch>
                        </pic:blipFill>
                        <pic:spPr bwMode="auto">
                          <a:xfrm>
                            <a:off x="0" y="0"/>
                            <a:ext cx="1562100" cy="828675"/>
                          </a:xfrm>
                          <a:prstGeom prst="rect">
                            <a:avLst/>
                          </a:prstGeom>
                        </pic:spPr>
                      </pic:pic>
                    </a:graphicData>
                  </a:graphic>
                </wp:inline>
              </w:drawing>
            </w:r>
            <w:r>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We have acted as New York counsel to VPC Impact Acquisition Holdings, a Cayman Islands exempted company (VIH or the Company), in connection with the preparation and filing by VIH of a registration statement on Form S-4 (the Registration Statement, which term does not include any other document or agreement whether or not specifically referred to or incorporated by reference therein or attached as an exhibit or schedule thereto), including the proxy statement/prospectus forming a part thereof, with the U.S. Securities and Exchange Commission (the Commission) relating to, among other things, (1) the merger of Pylon Merger Company LLC, a Delaware limited liability company and direct wholly owned subsidiary of VIH, with and into Bakkt Holdings, LLC (which will be renamed Bakkt Opco Holdings, LLC prior to the consummation of the Business Combination (as defined below), Bakkt), a Delaware limited liability company (the Merger, and, together with the Domestication (as defined below), the Business Combination), with Bakkt surviving the Merger as a subsidiary of Bakkt Pubco (as defined below), pursuant to the terms of the Agreement and Plan of Merger, dated as of January 11, 2021, by and among VIH, Pylon Merger Company LLC and Bakkt (as amended from time to time, the Merger Agreement) and (2) the other transactions contemplated by the Merger Agreement and documents related thereto. In connection with the Business Combination, VIH will change its name to Bakkt Holdings, Inc. Unless otherwise indicated, each capitalized term used herein has the meaning ascribed to it in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Immediately prior to the consummation of the Merger, VIH intends to effect a deregistration under the Cayman Islands Companies Act (2020 Revision) and a domestication under Section 388 of the Delaware General Corporation Law (DGCL), pursuant to which VIHs jurisdiction of incorporation will be changed from the Cayman Islands to the State of Delaware (the Domestication) and, in connection therewith, the Company will file the Certificate of Domestication (as defined below) simultaneously with the Certificate of Incorporation (as defined below), in each case, in respect of the Company with the Secretary of State of the State of Delaware (the Delaware Secretary of State). In this opinion, we refer to the Company following effectiveness of the Domestication as Bakkt Pubco. </w:t>
      </w:r>
    </w:p>
    <w:p>
      <w:pPr>
        <w:pStyle w:val="TextBody"/>
        <w:spacing w:before="240" w:after="0"/>
        <w:jc w:val="left"/>
        <w:rPr>
          <w:rFonts w:ascii="Times New Roman" w:hAnsi="Times New Roman"/>
          <w:sz w:val="20"/>
        </w:rPr>
      </w:pPr>
      <w:r>
        <w:rPr>
          <w:rFonts w:ascii="Times New Roman" w:hAnsi="Times New Roman"/>
          <w:sz w:val="20"/>
        </w:rPr>
        <w:t xml:space="preserve">Upon the Certificate of Domestication and the Certificate of Incorporation becoming effective under Section 103 of the DGCL (the Effective Time), among other things, pursuant to the Plan of Domestication (as defined below): (a) each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redeemed for cash in an amount equal to the Redemption Price); (c) each VIH Class B Ordinary Share issued and outstanding immediately prior to the Domestication will be automatically converted into one Bakkt Pubco Class A Share; (d) each VIH Warrant will be automatically converted into a redeemable warrant exercisable for one Bakkt Pubco Class A Share on the same terms as the VIH Warrants; and (e) each Private Placement Warrant issued and outstanding prior to the Domestication will be automatically converted into a warrant exercisable for one Bakkt Pubco Class A Share on the terms and subject to the conditions set forth in the applicable warrant agreement.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52575" cy="276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4"/>
                    <a:stretch>
                      <a:fillRect/>
                    </a:stretch>
                  </pic:blipFill>
                  <pic:spPr bwMode="auto">
                    <a:xfrm>
                      <a:off x="0" y="0"/>
                      <a:ext cx="1552575" cy="276225"/>
                    </a:xfrm>
                    <a:prstGeom prst="rect">
                      <a:avLst/>
                    </a:prstGeom>
                  </pic:spPr>
                </pic:pic>
              </a:graphicData>
            </a:graphic>
          </wp:inline>
        </w:drawing>
      </w:r>
      <w:r>
        <w:rPr/>
        <w:t xml:space="preserve"> </w:t>
      </w:r>
    </w:p>
    <w:p>
      <w:pPr>
        <w:pStyle w:val="TextBody"/>
        <w:spacing w:before="20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This opinion letter is rendered in accordance with the requirements of Item 601(b)(5) of Regulation SK under the Securities Act of 1933, as amended (the Securities Act), and no opinion is expressed herein as to any other matter pertaining to the contents of the Registration Statement or related proxy statement/prospectus, any proxy statement/prospectus filed pursuant to Rule 424(b) with respect thereto, other than as expressly stated herein with respect to the issue of the VIH Shares, the VIH Warrants and the Private Placement Warrants. </w:t>
      </w:r>
    </w:p>
    <w:p>
      <w:pPr>
        <w:pStyle w:val="TextBody"/>
        <w:spacing w:before="240" w:after="0"/>
        <w:jc w:val="left"/>
        <w:rPr>
          <w:rFonts w:ascii="Times New Roman" w:hAnsi="Times New Roman"/>
          <w:sz w:val="20"/>
        </w:rPr>
      </w:pPr>
      <w:r>
        <w:rPr>
          <w:rFonts w:ascii="Times New Roman" w:hAnsi="Times New Roman"/>
          <w:sz w:val="20"/>
        </w:rPr>
        <w:t xml:space="preserve">In connection with our opinions expressed below, we have examined originals or copies certified to our satisfaction of the following documents and such other documents, certificates and other statements of government officials and corporate officers of VIH as we deemed necessary for the purposes of the opinions set forth in this opinion letter:,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Merger Agreement, filed as Exhibit 2.1 to the Registration Statement, as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of certificate of incorporation of the Company to become effective upon consummation of the Business Combination, filed as Exhibit 3.2 (the Certificate of Incorporation);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(d)</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of bylaws of the Company to become effective upon consummation of the Business Combination, filed as Exhibit 3.3 (the Bylaws);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of Certificate of Domestication, to be filed with the Delaware Secretary of State (the Certificate of Domestication);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(f)</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of Warrant certificate (included in the Warrant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(g)</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executed copy of the Warrant Agreement, dated September 22, 2020, between the Company and Continental Stock Transfer &amp; Trust Company, as warrant agent;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(h)</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resolutions of the Board of Directors of the Company, dated January 8, 2021 and March 30, 2021, relating to, among other things, the Registration Statement, the Merger and the Domestication. </w:t>
            </w:r>
          </w:p>
        </w:tc>
      </w:tr>
    </w:tbl>
    <w:p>
      <w:pPr>
        <w:pStyle w:val="TextBody"/>
        <w:spacing w:before="240" w:after="0"/>
        <w:jc w:val="left"/>
        <w:rPr>
          <w:rFonts w:ascii="Times New Roman" w:hAnsi="Times New Roman"/>
          <w:sz w:val="20"/>
        </w:rPr>
      </w:pPr>
      <w:r>
        <w:rPr>
          <w:rFonts w:ascii="Times New Roman" w:hAnsi="Times New Roman"/>
          <w:sz w:val="20"/>
        </w:rPr>
        <w:t xml:space="preserve">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52575" cy="276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1552575" cy="276225"/>
                    </a:xfrm>
                    <a:prstGeom prst="rect">
                      <a:avLst/>
                    </a:prstGeom>
                  </pic:spPr>
                </pic:pic>
              </a:graphicData>
            </a:graphic>
          </wp:inline>
        </w:drawing>
      </w:r>
      <w:r>
        <w:rPr/>
        <w:t xml:space="preserve"> </w:t>
      </w:r>
    </w:p>
    <w:p>
      <w:pPr>
        <w:pStyle w:val="TextBody"/>
        <w:spacing w:before="20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In addition to the foregoing, for the purpose of rendering our opinions as expressed herein, we have assumed that: </w:t>
      </w:r>
    </w:p>
    <w:p>
      <w:pPr>
        <w:pStyle w:val="TextBody"/>
        <w:spacing w:before="240" w:after="0"/>
        <w:jc w:val="left"/>
        <w:rPr>
          <w:rFonts w:ascii="Times New Roman" w:hAnsi="Times New Roman"/>
          <w:sz w:val="20"/>
        </w:rPr>
      </w:pPr>
      <w:r>
        <w:rPr>
          <w:rFonts w:ascii="Times New Roman" w:hAnsi="Times New Roman"/>
          <w:sz w:val="20"/>
        </w:rPr>
        <w:t xml:space="preserve">1.    Prior to effecting the Domestication: (i) the Registration Statement, as finally amended (including all necessary post-effective amendments), will have become effective under the Securities Act; (ii) the shareholders of the Company will have approved, among other things, the Merger Agreement and the Domestication, the Business Combination, including the Certificate of Incorporation and Bylaws, and that all conditions precedent to the closing of the Business Combination have been satisfied or will have been satisfied or otherwise waived; and (iii) all other necessary action will have been taken under the applicable laws of the Cayman Islands to authorize, approve and permit the Domestication, and any and all consents, approvals and authorizations from applicable Cayman Islands and other governmental and regulatory authorities required to authorize and permit the Domestication will have been obtained; </w:t>
      </w:r>
    </w:p>
    <w:p>
      <w:pPr>
        <w:pStyle w:val="TextBody"/>
        <w:spacing w:before="240" w:after="0"/>
        <w:jc w:val="left"/>
        <w:rPr>
          <w:rFonts w:ascii="Times New Roman" w:hAnsi="Times New Roman"/>
          <w:sz w:val="20"/>
        </w:rPr>
      </w:pPr>
      <w:r>
        <w:rPr>
          <w:rFonts w:ascii="Times New Roman" w:hAnsi="Times New Roman"/>
          <w:sz w:val="20"/>
        </w:rPr>
        <w:t xml:space="preserve">2.    The Certificate of Domestication, in the form attached as Exhibit 3.4 to the Registration Statement, without alteration or amendment (other than identifying the appropriate date), will be duly authorized and executed and thereafter be duly filed with the Delaware Secretary of State in accordance with Sections 103 and 388 of the DGCL, that no other certificate or document, other than the Certificate of Incorporation, has been, or prior to the filing of the Certificate of Domestication will be, filed by or in respect of the Company with the Delaware Secretary of State and that the Company will pay any fees and other charges required to be paid in connection with the filing of the Certificate of Domestication; </w:t>
      </w:r>
    </w:p>
    <w:p>
      <w:pPr>
        <w:pStyle w:val="TextBody"/>
        <w:spacing w:before="240" w:after="0"/>
        <w:jc w:val="left"/>
        <w:rPr>
          <w:rFonts w:ascii="Times New Roman" w:hAnsi="Times New Roman"/>
          <w:sz w:val="20"/>
        </w:rPr>
      </w:pPr>
      <w:r>
        <w:rPr>
          <w:rFonts w:ascii="Times New Roman" w:hAnsi="Times New Roman"/>
          <w:sz w:val="20"/>
        </w:rPr>
        <w:t xml:space="preserve">3.    The Certificate of Incorporation, in the form filed as Exhibit 3.2 to the Registration Statement, without alteration or amendment (other than identifying the appropriate date), will be duly authorized and executed and thereafter be duly filed with the Delaware Secretary of State and have become effective in accordance with Sections 103 and 388 of the DGCL, that no other certificate or document, other than the Certificate of Domestication, has been, or prior to the filing of the Certificate of Incorporation will be, filed by or in respect of the Company with the Delaware Secretary of State and that the Company will pay any fees and other charges required to be paid in connection with the filing of the Certificate of Incorporation; and </w:t>
      </w:r>
    </w:p>
    <w:p>
      <w:pPr>
        <w:pStyle w:val="TextBody"/>
        <w:spacing w:before="240" w:after="0"/>
        <w:jc w:val="left"/>
        <w:rPr>
          <w:rFonts w:ascii="Times New Roman" w:hAnsi="Times New Roman"/>
          <w:sz w:val="20"/>
        </w:rPr>
      </w:pPr>
      <w:r>
        <w:rPr>
          <w:rFonts w:ascii="Times New Roman" w:hAnsi="Times New Roman"/>
          <w:sz w:val="20"/>
        </w:rPr>
        <w:t xml:space="preserve">4.    The Bylaws, in the form attached as Exhibit 3.3 to the Registration Statement, without alteration or amendment (other than identifying the appropriate date), will become effective upon the Effective Time. </w:t>
      </w:r>
    </w:p>
    <w:p>
      <w:pPr>
        <w:pStyle w:val="TextBody"/>
        <w:spacing w:before="240" w:after="0"/>
        <w:jc w:val="left"/>
        <w:rPr>
          <w:rFonts w:ascii="Times New Roman" w:hAnsi="Times New Roman"/>
          <w:sz w:val="20"/>
        </w:rPr>
      </w:pPr>
      <w:r>
        <w:rPr>
          <w:rFonts w:ascii="Times New Roman" w:hAnsi="Times New Roman"/>
          <w:sz w:val="20"/>
        </w:rPr>
        <w:t xml:space="preserve">Based upon the foregoing assumptions and the assumptions set forth below, and subject to the qualifications and limitations stated herein, having considered such questions of law as we have deemed necessary as a basis for the opinions expressed below, we are of the opinion that: </w:t>
      </w:r>
    </w:p>
    <w:p>
      <w:pPr>
        <w:pStyle w:val="TextBody"/>
        <w:spacing w:before="240" w:after="0"/>
        <w:jc w:val="left"/>
        <w:rPr>
          <w:rFonts w:ascii="Times New Roman" w:hAnsi="Times New Roman"/>
          <w:sz w:val="20"/>
        </w:rPr>
      </w:pPr>
      <w:r>
        <w:rPr>
          <w:rFonts w:ascii="Times New Roman" w:hAnsi="Times New Roman"/>
          <w:sz w:val="20"/>
        </w:rPr>
        <w:t xml:space="preserve">1.    Upon the Effective Time, pursuant to the Merger Agreement, each issued and outstanding Class A ordinary share of VIH will convert automatically into one share of Bakkt Pubco Class A common stock that will have been duly authorized by all requisite corporate action on the part of Bakkt Pubco under the DGCL and that will be validly issued, fully paid and nonassessable.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52575" cy="276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6"/>
                    <a:stretch>
                      <a:fillRect/>
                    </a:stretch>
                  </pic:blipFill>
                  <pic:spPr bwMode="auto">
                    <a:xfrm>
                      <a:off x="0" y="0"/>
                      <a:ext cx="1552575" cy="276225"/>
                    </a:xfrm>
                    <a:prstGeom prst="rect">
                      <a:avLst/>
                    </a:prstGeom>
                  </pic:spPr>
                </pic:pic>
              </a:graphicData>
            </a:graphic>
          </wp:inline>
        </w:drawing>
      </w:r>
      <w:r>
        <w:rPr/>
        <w:t xml:space="preserve"> </w:t>
      </w:r>
    </w:p>
    <w:p>
      <w:pPr>
        <w:pStyle w:val="TextBody"/>
        <w:spacing w:before="20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2.    Upon the Effective Time, pursuant to the Merger Agreement, each issued and outstanding Class B ordinary share of VIH will convert automatically into one share of Bakkt Pubco Class A common stock that will have been duly authorized by all requisite corporate action on the part of Bakkt Pubco under the DGCL and that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3.    Upon the Effective Time, pursuant to the Merger Agreement, each issued and outstanding VIH Warrant will become one Bakkt Pubco Warrant that will have been duly authorized by all requisite corporate action on the part of Bakkt Pubco under the DGCL and will constitute valid and binding obligations of Bakkt Pubco, enforceable against Bakkt Pubco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in equity or at law). </w:t>
      </w:r>
    </w:p>
    <w:p>
      <w:pPr>
        <w:pStyle w:val="TextBody"/>
        <w:spacing w:before="240" w:after="0"/>
        <w:jc w:val="left"/>
        <w:rPr>
          <w:rFonts w:ascii="Times New Roman" w:hAnsi="Times New Roman"/>
          <w:sz w:val="20"/>
        </w:rPr>
      </w:pPr>
      <w:r>
        <w:rPr>
          <w:rFonts w:ascii="Times New Roman" w:hAnsi="Times New Roman"/>
          <w:sz w:val="20"/>
        </w:rPr>
        <w:t xml:space="preserve">4.    Upon the Effective Time, pursuant to the Merger Agreement, each issued and outstanding Private Placement Warrant of VIH will become one Bakkt Pubco warrant that will have been duly authorized by all requisite corporate action on the part of Bakkt Pubco under the DGCL and will constitute valid and binding obligations of Bakkt Pubco, enforceable against Bakkt Pubco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in equity or at law). </w:t>
      </w:r>
    </w:p>
    <w:p>
      <w:pPr>
        <w:pStyle w:val="TextBody"/>
        <w:spacing w:before="240" w:after="0"/>
        <w:jc w:val="left"/>
        <w:rPr>
          <w:rFonts w:ascii="Times New Roman" w:hAnsi="Times New Roman"/>
          <w:sz w:val="20"/>
        </w:rPr>
      </w:pPr>
      <w:r>
        <w:rPr>
          <w:rFonts w:ascii="Times New Roman" w:hAnsi="Times New Roman"/>
          <w:sz w:val="20"/>
        </w:rPr>
        <w:t xml:space="preserve">5.    Upon the Effective Time, the shares of Bakkt Pubco Class A common stock issuable upon exercise of the Bakkt Pubco Warrants that will have been duly authorized by all requisite corporate action on the part of Bakkt Pubco under the DGCL, will be duly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The opinions stated herein are subject to the following qualifications: </w:t>
      </w:r>
    </w:p>
    <w:p>
      <w:pPr>
        <w:pStyle w:val="TextBody"/>
        <w:spacing w:before="240" w:after="0"/>
        <w:jc w:val="left"/>
        <w:rPr>
          <w:rFonts w:ascii="Times New Roman" w:hAnsi="Times New Roman"/>
          <w:sz w:val="20"/>
        </w:rPr>
      </w:pPr>
      <w:r>
        <w:rPr>
          <w:rFonts w:ascii="Times New Roman" w:hAnsi="Times New Roman"/>
          <w:sz w:val="20"/>
        </w:rPr>
        <w:t xml:space="preserve">(a)    we do not express any opinion with respect to any law, rule or regulation that is applicable to any party to the Merger Agreement or any Warrant certificate or Warrant Agreement or the transactions contemplated thereby solely because such law, rule or regulation is part of a regulatory regime applicable to any such party or any of its affiliates as a result of the specific assets or business operations of such party or such affiliates; </w:t>
      </w:r>
    </w:p>
    <w:p>
      <w:pPr>
        <w:pStyle w:val="TextBody"/>
        <w:spacing w:before="240" w:after="0"/>
        <w:jc w:val="left"/>
        <w:rPr>
          <w:rFonts w:ascii="Times New Roman" w:hAnsi="Times New Roman"/>
          <w:sz w:val="20"/>
        </w:rPr>
      </w:pPr>
      <w:r>
        <w:rPr>
          <w:rFonts w:ascii="Times New Roman" w:hAnsi="Times New Roman"/>
          <w:sz w:val="20"/>
        </w:rPr>
        <w:t xml:space="preserve">(b)    we do not express any opinion with respect to the enforceability of any provision contained in any Warrant certificate or Warrant Agreement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 and </w:t>
      </w:r>
    </w:p>
    <w:p>
      <w:pPr>
        <w:pStyle w:val="TextBody"/>
        <w:spacing w:before="240" w:after="0"/>
        <w:jc w:val="left"/>
        <w:rPr>
          <w:rFonts w:ascii="Times New Roman" w:hAnsi="Times New Roman"/>
          <w:sz w:val="20"/>
        </w:rPr>
      </w:pPr>
      <w:r>
        <w:rPr>
          <w:rFonts w:ascii="Times New Roman" w:hAnsi="Times New Roman"/>
          <w:sz w:val="20"/>
        </w:rPr>
        <w:t xml:space="preserve">(c)    we have assumed that Continental Stock Transfer &amp; Trust Company has the power, corporate or other, to enter into and perform all obligations under the Warrant Agreement and have also assumed due authorization by all requisite action, corporate or other, and the execution and delivery by Continental Stock Transfer &amp; Trust Company of the Warrant Agreement and that the Warrant Agreement constitutes the valid and binding obligation of Continental Stock Transfer &amp; Trust Company, enforceable against Continental Stock Transfer &amp; Trust Company in accordance with its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52575" cy="276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7"/>
                    <a:stretch>
                      <a:fillRect/>
                    </a:stretch>
                  </pic:blipFill>
                  <pic:spPr bwMode="auto">
                    <a:xfrm>
                      <a:off x="0" y="0"/>
                      <a:ext cx="1552575" cy="276225"/>
                    </a:xfrm>
                    <a:prstGeom prst="rect">
                      <a:avLst/>
                    </a:prstGeom>
                  </pic:spPr>
                </pic:pic>
              </a:graphicData>
            </a:graphic>
          </wp:inline>
        </w:drawing>
      </w:r>
      <w:r>
        <w:rPr/>
        <w:t xml:space="preserve"> </w:t>
      </w:r>
    </w:p>
    <w:p>
      <w:pPr>
        <w:pStyle w:val="TextBody"/>
        <w:spacing w:before="20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VIH is a Cayman Islands exempted company that will be redomesticated as a Delaware corporation pursuant to the Domestication, and we have not considered, and we express no opinion as to, any law other than the DGCL. </w:t>
      </w:r>
    </w:p>
    <w:p>
      <w:pPr>
        <w:pStyle w:val="TextBody"/>
        <w:spacing w:before="240" w:after="0"/>
        <w:jc w:val="left"/>
        <w:rPr>
          <w:rFonts w:ascii="Times New Roman" w:hAnsi="Times New Roman"/>
          <w:sz w:val="20"/>
        </w:rPr>
      </w:pPr>
      <w:r>
        <w:rPr>
          <w:rFonts w:ascii="Times New Roman" w:hAnsi="Times New Roman"/>
          <w:sz w:val="20"/>
        </w:rPr>
        <w:t xml:space="preserve">This opinion letter is for your benefit in connection with the Registration Statement and may be relied upon by you and by persons entitled to rely upon it pursuant to the applicable provisions of the Securities Act. This opinion letter is provided solely in connection with the issuance of the common stock and warrants registered pursuant to the Registration Statement, and is not to be relied upon for any other purpose. </w:t>
      </w:r>
    </w:p>
    <w:p>
      <w:pPr>
        <w:pStyle w:val="TextBody"/>
        <w:spacing w:before="240" w:after="0"/>
        <w:jc w:val="left"/>
        <w:rPr>
          <w:rFonts w:ascii="Times New Roman" w:hAnsi="Times New Roman"/>
          <w:sz w:val="20"/>
        </w:rPr>
      </w:pPr>
      <w:r>
        <w:rPr>
          <w:rFonts w:ascii="Times New Roman" w:hAnsi="Times New Roman"/>
          <w:sz w:val="20"/>
        </w:rPr>
        <w:t xml:space="preserve">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and to the reference to our firm as counsel for the Company that has passed on the validity of the securities to be issued in connection with the Domestication,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Securities and Exchange Commission thereunder.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240" w:after="0"/>
        <w:jc w:val="left"/>
        <w:rPr>
          <w:rFonts w:ascii="Times New Roman" w:hAnsi="Times New Roman"/>
          <w:sz w:val="20"/>
        </w:rPr>
      </w:pPr>
      <w:r>
        <w:rPr>
          <w:rFonts w:ascii="Times New Roman" w:hAnsi="Times New Roman"/>
          <w:sz w:val="20"/>
        </w:rPr>
        <w:t xml:space="preserve">White &amp; Case LLP </w:t>
      </w:r>
    </w:p>
    <w:p>
      <w:pPr>
        <w:pStyle w:val="TextBody"/>
        <w:spacing w:before="240" w:after="0"/>
        <w:jc w:val="left"/>
        <w:rPr>
          <w:rFonts w:ascii="Times New Roman" w:hAnsi="Times New Roman"/>
          <w:sz w:val="20"/>
        </w:rPr>
      </w:pPr>
      <w:r>
        <w:rPr>
          <w:rFonts w:ascii="Times New Roman" w:hAnsi="Times New Roman"/>
          <w:sz w:val="20"/>
        </w:rPr>
        <w:t xml:space="preserve">/s/ White &amp; Case LLP </w:t>
      </w:r>
    </w:p>
    <w:p>
      <w:pPr>
        <w:pStyle w:val="TextBody"/>
        <w:spacing w:before="240" w:after="0"/>
        <w:jc w:val="left"/>
        <w:rPr>
          <w:rFonts w:ascii="Times New Roman" w:hAnsi="Times New Roman"/>
          <w:b/>
          <w:sz w:val="20"/>
        </w:rPr>
      </w:pPr>
      <w:r>
        <w:rPr>
          <w:rFonts w:ascii="Times New Roman" w:hAnsi="Times New Roman"/>
          <w:b/>
          <w:sz w:val="20"/>
        </w:rPr>
        <w:t xml:space="preserve">JR:EMS:EA:SB:BM:PD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TextBody"/>
        <w:spacing w:before="0" w:after="0"/>
        <w:jc w:val="right"/>
        <w:rPr>
          <w:rFonts w:ascii="Times New Roman" w:hAnsi="Times New Roman"/>
          <w:b/>
          <w:sz w:val="20"/>
        </w:rPr>
      </w:pPr>
      <w:bookmarkStart w:id="162" w:name="d108105dex81.htm"/>
      <w:bookmarkStart w:id="163" w:name="ksd108105dex81"/>
      <w:bookmarkEnd w:id="162"/>
      <w:bookmarkEnd w:id="163"/>
      <w:r>
        <w:rPr>
          <w:rFonts w:ascii="Times New Roman" w:hAnsi="Times New Roman"/>
          <w:b/>
          <w:sz w:val="20"/>
        </w:rPr>
        <w:t xml:space="preserve">Exhibit 8.1 </w:t>
      </w:r>
    </w:p>
    <w:p>
      <w:pPr>
        <w:pStyle w:val="TextBody"/>
        <w:spacing w:before="0" w:after="0"/>
        <w:jc w:val="left"/>
        <w:rPr/>
      </w:pPr>
      <w:r>
        <w:rPr/>
        <w:t> </w:t>
      </w:r>
    </w:p>
    <w:p>
      <w:pPr>
        <w:pStyle w:val="TextBody"/>
        <w:spacing w:before="0" w:after="0"/>
        <w:jc w:val="right"/>
        <w:rPr/>
      </w:pPr>
      <w:r>
        <w:rPr/>
        <w:drawing>
          <wp:inline distT="0" distB="0" distL="0" distR="0">
            <wp:extent cx="1533525" cy="266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8"/>
                    <a:stretch>
                      <a:fillRect/>
                    </a:stretch>
                  </pic:blipFill>
                  <pic:spPr bwMode="auto">
                    <a:xfrm>
                      <a:off x="0" y="0"/>
                      <a:ext cx="1533525" cy="266700"/>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28"/>
        <w:gridCol w:w="120"/>
        <w:gridCol w:w="5057"/>
      </w:tblGrid>
      <w:tr>
        <w:trPr/>
        <w:tc>
          <w:tcPr>
            <w:tcW w:w="50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57" w:type="dxa"/>
            <w:tcBorders/>
            <w:shd w:fill="auto" w:val="clear"/>
            <w:vAlign w:val="center"/>
          </w:tcPr>
          <w:p>
            <w:pPr>
              <w:pStyle w:val="TableContents"/>
              <w:spacing w:before="0" w:after="283"/>
              <w:rPr>
                <w:sz w:val="4"/>
                <w:szCs w:val="4"/>
              </w:rPr>
            </w:pPr>
            <w:r>
              <w:rPr>
                <w:sz w:val="4"/>
                <w:szCs w:val="4"/>
              </w:rPr>
            </w:r>
          </w:p>
        </w:tc>
      </w:tr>
      <w:tr>
        <w:trPr/>
        <w:tc>
          <w:tcPr>
            <w:tcW w:w="502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March 31, 2021</w:t>
            </w:r>
          </w:p>
          <w:p>
            <w:pPr>
              <w:pStyle w:val="TableContents"/>
              <w:spacing w:before="0" w:after="0"/>
              <w:rPr>
                <w:rFonts w:ascii="Times New Roman" w:hAnsi="Times New Roman"/>
                <w:sz w:val="20"/>
              </w:rPr>
            </w:pPr>
            <w:r>
              <w:rPr>
                <w:rFonts w:ascii="Times New Roman" w:hAnsi="Times New Roman"/>
                <w:sz w:val="20"/>
              </w:rPr>
              <w:t>VPC Impact Acquisition Holdings</w:t>
            </w:r>
          </w:p>
          <w:p>
            <w:pPr>
              <w:pStyle w:val="TableContents"/>
              <w:spacing w:before="0" w:after="0"/>
              <w:rPr>
                <w:rFonts w:ascii="Times New Roman" w:hAnsi="Times New Roman"/>
                <w:sz w:val="20"/>
              </w:rPr>
            </w:pPr>
            <w:r>
              <w:rPr>
                <w:rFonts w:ascii="Times New Roman" w:hAnsi="Times New Roman"/>
                <w:sz w:val="20"/>
              </w:rPr>
              <w:t>150 North Riverside Plaza, Suite 5200</w:t>
            </w:r>
          </w:p>
          <w:p>
            <w:pPr>
              <w:pStyle w:val="TableContents"/>
              <w:spacing w:before="0" w:after="0"/>
              <w:rPr>
                <w:rFonts w:ascii="Times New Roman" w:hAnsi="Times New Roman"/>
                <w:sz w:val="20"/>
              </w:rPr>
            </w:pPr>
            <w:r>
              <w:rPr>
                <w:rFonts w:ascii="Times New Roman" w:hAnsi="Times New Roman"/>
                <w:sz w:val="20"/>
              </w:rPr>
              <w:t>Chicago, IL 60606</w:t>
            </w:r>
          </w:p>
          <w:p>
            <w:pPr>
              <w:pStyle w:val="TableContents"/>
              <w:spacing w:before="0" w:after="20"/>
              <w:rPr>
                <w:rFonts w:ascii="Times New Roman" w:hAnsi="Times New Roman"/>
                <w:sz w:val="20"/>
              </w:rPr>
            </w:pPr>
            <w:r>
              <w:rPr>
                <w:rFonts w:ascii="Times New Roman" w:hAnsi="Times New Roman"/>
                <w:sz w:val="20"/>
              </w:rPr>
              <w:t>Ladies and Gentlemen:</w:t>
            </w:r>
          </w:p>
        </w:tc>
        <w:tc>
          <w:tcPr>
            <w:tcW w:w="120" w:type="dxa"/>
            <w:tcBorders/>
            <w:shd w:fill="auto" w:val="clear"/>
            <w:vAlign w:val="bottom"/>
          </w:tcPr>
          <w:p>
            <w:pPr>
              <w:pStyle w:val="TableContents"/>
              <w:spacing w:before="0" w:after="283"/>
              <w:rPr/>
            </w:pPr>
            <w:r>
              <w:rPr/>
              <w:t>  </w:t>
            </w:r>
          </w:p>
        </w:tc>
        <w:tc>
          <w:tcPr>
            <w:tcW w:w="5057" w:type="dxa"/>
            <w:tcBorders/>
            <w:shd w:fill="auto" w:val="clear"/>
            <w:vAlign w:val="bottom"/>
          </w:tcPr>
          <w:p>
            <w:pPr>
              <w:pStyle w:val="TableContents"/>
              <w:spacing w:before="0" w:after="283"/>
              <w:jc w:val="right"/>
              <w:rPr/>
            </w:pPr>
            <w:r>
              <w:rPr/>
              <w:drawing>
                <wp:inline distT="0" distB="0" distL="0" distR="0">
                  <wp:extent cx="1524000" cy="838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9"/>
                          <a:stretch>
                            <a:fillRect/>
                          </a:stretch>
                        </pic:blipFill>
                        <pic:spPr bwMode="auto">
                          <a:xfrm>
                            <a:off x="0" y="0"/>
                            <a:ext cx="1524000" cy="838200"/>
                          </a:xfrm>
                          <a:prstGeom prst="rect">
                            <a:avLst/>
                          </a:prstGeom>
                        </pic:spPr>
                      </pic:pic>
                    </a:graphicData>
                  </a:graphic>
                </wp:inline>
              </w:drawing>
            </w:r>
            <w:r>
              <w:rPr/>
              <w:t xml:space="preserve"> </w:t>
            </w:r>
          </w:p>
        </w:tc>
      </w:tr>
    </w:tbl>
    <w:p>
      <w:pPr>
        <w:pStyle w:val="TextBody"/>
        <w:spacing w:before="240" w:after="0"/>
        <w:jc w:val="left"/>
        <w:rPr>
          <w:rFonts w:ascii="Times New Roman" w:hAnsi="Times New Roman"/>
          <w:sz w:val="20"/>
        </w:rPr>
      </w:pPr>
      <w:r>
        <w:rPr>
          <w:rFonts w:ascii="Times New Roman" w:hAnsi="Times New Roman"/>
          <w:sz w:val="20"/>
        </w:rPr>
        <w:t>We have acted as United States counsel to VPC Impact Acquisition Holdings, a Cayman Islands exempted company (the </w:t>
      </w:r>
      <w:r>
        <w:rPr>
          <w:rFonts w:ascii="Times New Roman" w:hAnsi="Times New Roman"/>
          <w:b/>
          <w:sz w:val="20"/>
        </w:rPr>
        <w:t>Company</w:t>
      </w:r>
      <w:r>
        <w:rPr>
          <w:rFonts w:ascii="Times New Roman" w:hAnsi="Times New Roman"/>
          <w:sz w:val="20"/>
        </w:rPr>
        <w:t>), in connection with the transactions contemplated by the agreement and plan of merger, dated January 11, 2021 as amended from time to time, (the </w:t>
      </w:r>
      <w:r>
        <w:rPr>
          <w:rFonts w:ascii="Times New Roman" w:hAnsi="Times New Roman"/>
          <w:b/>
          <w:sz w:val="20"/>
        </w:rPr>
        <w:t>Merger Agreement</w:t>
      </w:r>
      <w:r>
        <w:rPr>
          <w:rFonts w:ascii="Times New Roman" w:hAnsi="Times New Roman"/>
          <w:sz w:val="20"/>
        </w:rPr>
        <w:t>), by and among the Company, Pylon Merger Company LLC and Bakkt Holdings, LLC, pursuant to which the Company will be domesticated as a Delaware corporation, and Pylon Merger Company LLC will merge with and into Bakkt Holdings, LLC with Bakkt Holdings, LLC surviving the merger (the </w:t>
      </w:r>
      <w:r>
        <w:rPr>
          <w:rFonts w:ascii="Times New Roman" w:hAnsi="Times New Roman"/>
          <w:b/>
          <w:sz w:val="20"/>
        </w:rPr>
        <w:t>Business Combination</w:t>
      </w:r>
      <w:r>
        <w:rPr>
          <w:rFonts w:ascii="Times New Roman" w:hAnsi="Times New Roman"/>
          <w:sz w:val="20"/>
        </w:rPr>
        <w:t>). Reference is made to the Registration Statement on Form S-4 of the Company, including the proxy statement/prospectus forming a part thereof (as amended or supplemented through the date hereof, the </w:t>
      </w:r>
      <w:r>
        <w:rPr>
          <w:rFonts w:ascii="Times New Roman" w:hAnsi="Times New Roman"/>
          <w:b/>
          <w:sz w:val="20"/>
        </w:rPr>
        <w:t>Registration Statement</w:t>
      </w:r>
      <w:r>
        <w:rPr>
          <w:rFonts w:ascii="Times New Roman" w:hAnsi="Times New Roman"/>
          <w:sz w:val="20"/>
        </w:rPr>
        <w:t xml:space="preserve">), relating to the Business Combination. Capitalized terms used but not defined herein have the meaning given to such terms in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In rendering this opinion, we have examined originals or copies, certified or otherwise identified to our satisfaction, of such agreements and other documents as we have deemed necessary or appropriate and we have made such investigations of law as we have deemed appropriate as a basis for the opinion expressed below. In our examination, we have assumed, without independent verification, (i) the authenticity and accuracy of all documents reviewed by us (including the conformity to original documents of all documents submitted to us as email, fax or photostatic copies and the authenticity of such original documents), (ii) that the signatures on all documents examined by us are genuine and have been duly authorized, and such documents reflect all material terms of the agreement between the parties to such documents, (iii) that the parties to such documents have complied and will comply with the terms thereof, and that such documents are enforceable in accordance with their respective terms, (iv) that such documents have been duly authorized by, have been duly executed and delivered by, and constitute (to the extent containing contractual or other obligations) legal, valid, binding and enforceable obligations of, all parties to such documents, (v) all of the parties to such documents are duly organized, validly existing, and have power and authority (corporate, partnership, or other) to execute, deliver, and perform the obligations in such documents and (vi) that the transactions provided for by each agreement were and will be carried out in accordance with their terms. In rendering our opinion we have made no independent investigation of the facts referred to herein and have relied for the purpose of rendering this opinion exclusively on those facts that have been provided to us by you and your agents, which we assume have been, and will continue to be, true. </w:t>
      </w:r>
      <w:r>
        <w:br w:type="page"/>
      </w:r>
    </w:p>
    <w:p>
      <w:pPr>
        <w:pStyle w:val="HorizontalLine"/>
        <w:pBdr>
          <w:bottom w:val="double" w:sz="6" w:space="0" w:color="808080"/>
        </w:pBdr>
        <w:rPr/>
      </w:pPr>
      <w:r>
        <w:rPr/>
      </w:r>
    </w:p>
    <w:p>
      <w:pPr>
        <w:pStyle w:val="TextBody"/>
        <w:pBdr>
          <w:bottom w:val="single" w:sz="16"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right"/>
        <w:rPr/>
      </w:pPr>
      <w:r>
        <w:rPr/>
        <w:drawing>
          <wp:inline distT="0" distB="0" distL="0" distR="0">
            <wp:extent cx="1533525" cy="2667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0"/>
                    <a:stretch>
                      <a:fillRect/>
                    </a:stretch>
                  </pic:blipFill>
                  <pic:spPr bwMode="auto">
                    <a:xfrm>
                      <a:off x="0" y="0"/>
                      <a:ext cx="1533525" cy="266700"/>
                    </a:xfrm>
                    <a:prstGeom prst="rect">
                      <a:avLst/>
                    </a:prstGeom>
                  </pic:spPr>
                </pic:pic>
              </a:graphicData>
            </a:graphic>
          </wp:inline>
        </w:drawing>
      </w:r>
      <w:r>
        <w:rPr/>
        <w:t xml:space="preserve"> </w:t>
      </w:r>
    </w:p>
    <w:p>
      <w:pPr>
        <w:pStyle w:val="TextBody"/>
        <w:spacing w:before="360" w:after="0"/>
        <w:jc w:val="left"/>
        <w:rPr>
          <w:rFonts w:ascii="Times New Roman" w:hAnsi="Times New Roman"/>
          <w:sz w:val="20"/>
        </w:rPr>
      </w:pPr>
      <w:r>
        <w:rPr>
          <w:rFonts w:ascii="Times New Roman" w:hAnsi="Times New Roman"/>
          <w:sz w:val="20"/>
        </w:rPr>
        <w:t xml:space="preserve">March 31, 2021 </w:t>
      </w:r>
    </w:p>
    <w:p>
      <w:pPr>
        <w:pStyle w:val="TextBody"/>
        <w:spacing w:before="120" w:after="0"/>
        <w:jc w:val="left"/>
        <w:rPr>
          <w:rFonts w:ascii="Times New Roman" w:hAnsi="Times New Roman"/>
          <w:sz w:val="20"/>
        </w:rPr>
      </w:pPr>
      <w:r>
        <w:rPr>
          <w:rFonts w:ascii="Times New Roman" w:hAnsi="Times New Roman"/>
          <w:sz w:val="20"/>
        </w:rPr>
        <w:t xml:space="preserve">The opinion set forth below is based upon the Internal Revenue Code of 1986, as amended, the U.S. Treasury Regulations promulgated thereunder, administrative rulings, judicial decisions, and other applicable authorities, all as available and in effect on the date hereof. The statutory provisions, regulations, and interpretations upon which our opinion is based are subject to change, and any such change could apply retroactively. There can be no assurance that positions contrary to those stated in our opinion will not be asserted by the Internal Revenue Service (IRS) and (as customary in transactions of this type) no rulings will be obtained from the IRS regarding the U.S. federal income tax consequences of the Business Combination or otherwise in connection with the transactions effected pursuant to the Merger Agreement (and any other documents or agreements executed in connection with the transactions contemplated thereunder). 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 </w:t>
      </w:r>
    </w:p>
    <w:p>
      <w:pPr>
        <w:pStyle w:val="TextBody"/>
        <w:spacing w:before="240" w:after="0"/>
        <w:jc w:val="left"/>
        <w:rPr>
          <w:rFonts w:ascii="Times New Roman" w:hAnsi="Times New Roman"/>
          <w:sz w:val="20"/>
        </w:rPr>
      </w:pPr>
      <w:r>
        <w:rPr>
          <w:rFonts w:ascii="Times New Roman" w:hAnsi="Times New Roman"/>
          <w:sz w:val="20"/>
        </w:rPr>
        <w:t>Based upon and subject to the foregoing, and subject to the qualifications, assumptions and limitations contained therein, the statements in the Registration Statement set forth under the caption </w:t>
      </w:r>
      <w:r>
        <w:rPr>
          <w:rFonts w:ascii="Times New Roman" w:hAnsi="Times New Roman"/>
          <w:i/>
          <w:sz w:val="20"/>
        </w:rPr>
        <w:t>U.S. Federal Income Tax Considerations</w:t>
      </w:r>
      <w:r>
        <w:rPr>
          <w:rFonts w:ascii="Times New Roman" w:hAnsi="Times New Roman"/>
          <w:sz w:val="20"/>
        </w:rPr>
        <w:t xml:space="preserve">, to the extent that they constitute descriptions or summaries of U.S. federal income tax law or legal conclusions with respect thereto, are accurate in all material respects.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/s/ White &amp; Case LLP</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TextBody"/>
        <w:spacing w:before="0" w:after="0"/>
        <w:jc w:val="right"/>
        <w:rPr>
          <w:rFonts w:ascii="Times New Roman" w:hAnsi="Times New Roman"/>
          <w:b/>
          <w:sz w:val="20"/>
        </w:rPr>
      </w:pPr>
      <w:bookmarkStart w:id="164" w:name="d108105dex231.htm"/>
      <w:bookmarkStart w:id="165" w:name="ksd108105dex231"/>
      <w:bookmarkEnd w:id="164"/>
      <w:bookmarkEnd w:id="165"/>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31, 2021, with respect to the consolidated financial statements of Bakkt Holdings, LLC and subsidiaries included in the Proxy Statement of VPC Impact Acquisition Holdings that is made a part of the Registration Statement (Form S-4) and related Prospectus of VPC Impact Acquisition Holdings for the registration of 42,437,543 shares of its class A common stock, which includes the shares issuable upon the exercise of 16,516,041 warrants to purchase shares of its class A common stock.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Atlanta, Georgia </w:t>
      </w:r>
    </w:p>
    <w:p>
      <w:pPr>
        <w:pStyle w:val="TextBody"/>
        <w:spacing w:before="0" w:after="0"/>
        <w:jc w:val="left"/>
        <w:rPr>
          <w:rFonts w:ascii="Times New Roman" w:hAnsi="Times New Roman"/>
          <w:sz w:val="20"/>
        </w:rPr>
      </w:pPr>
      <w:r>
        <w:rPr>
          <w:rFonts w:ascii="Times New Roman" w:hAnsi="Times New Roman"/>
          <w:sz w:val="20"/>
        </w:rPr>
        <w:t xml:space="preserve">March 31, 2021 </w:t>
      </w:r>
      <w:r>
        <w:br w:type="page"/>
      </w:r>
    </w:p>
    <w:p>
      <w:pPr>
        <w:pStyle w:val="TextBody"/>
        <w:spacing w:before="0" w:after="0"/>
        <w:jc w:val="right"/>
        <w:rPr>
          <w:rFonts w:ascii="Times New Roman" w:hAnsi="Times New Roman"/>
          <w:b/>
          <w:sz w:val="20"/>
        </w:rPr>
      </w:pPr>
      <w:bookmarkStart w:id="166" w:name="d108105dex234.htm"/>
      <w:bookmarkStart w:id="167" w:name="ksd108105dex234"/>
      <w:bookmarkEnd w:id="166"/>
      <w:bookmarkEnd w:id="167"/>
      <w:r>
        <w:rPr>
          <w:rFonts w:ascii="Times New Roman" w:hAnsi="Times New Roman"/>
          <w:b/>
          <w:sz w:val="20"/>
        </w:rPr>
        <w:t xml:space="preserve">Exhibit 23.4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use in this Prospectus constituting a part of this Registration Statement on Form S-4 of our report dated March 30, 2021, relating to the financial statement of VPC Impact Acquisition Holdings Corp., which is contained in that Prospectus. We also consent the reference to our Firm under the caption Experts in the Prospectus. </w:t>
      </w:r>
    </w:p>
    <w:p>
      <w:pPr>
        <w:pStyle w:val="TextBody"/>
        <w:spacing w:before="36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168" w:name="d108105dex235.htm"/>
      <w:bookmarkStart w:id="169" w:name="ksd108105dex235"/>
      <w:bookmarkEnd w:id="168"/>
      <w:bookmarkEnd w:id="169"/>
      <w:r>
        <w:rPr>
          <w:rFonts w:ascii="Times New Roman" w:hAnsi="Times New Roman"/>
          <w:b/>
          <w:sz w:val="20"/>
        </w:rPr>
        <w:t xml:space="preserve">Exhibit 23.5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CONSENT OF INDEPENDENT AUDITOR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inclusion of our report dated March 31, 2021 on the consolidated financial statements of B2S Holdings, Inc. and Subsidiaries as of and for the year ended December 31, 2019 by reference in this Registration Statement on Form S-4 of VPC Impact Acquisition Holdings.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Bennett Thrasher LLP</w:t>
            </w:r>
          </w:p>
        </w:tc>
      </w:tr>
      <w:tr>
        <w:trPr/>
        <w:tc>
          <w:tcPr>
            <w:tcW w:w="4082" w:type="dxa"/>
            <w:tcBorders/>
            <w:shd w:fill="auto" w:val="clear"/>
          </w:tcPr>
          <w:p>
            <w:pPr>
              <w:pStyle w:val="TableContents"/>
              <w:spacing w:before="0" w:after="283"/>
              <w:rPr/>
            </w:pPr>
            <w:r>
              <w:rPr/>
              <w:t>Atlanta, Georgia</w:t>
            </w:r>
          </w:p>
        </w:tc>
      </w:tr>
      <w:tr>
        <w:trPr/>
        <w:tc>
          <w:tcPr>
            <w:tcW w:w="4082" w:type="dxa"/>
            <w:tcBorders/>
            <w:shd w:fill="auto" w:val="clear"/>
          </w:tcPr>
          <w:p>
            <w:pPr>
              <w:pStyle w:val="TableContents"/>
              <w:spacing w:before="0" w:after="283"/>
              <w:rPr/>
            </w:pPr>
            <w:r>
              <w:rPr/>
              <w:t>March 31, 2021</w:t>
            </w:r>
          </w:p>
        </w:tc>
      </w:tr>
    </w:tbl>
    <w:p>
      <w:pPr>
        <w:pStyle w:val="TextBody"/>
        <w:spacing w:before="0" w:after="0"/>
        <w:jc w:val="right"/>
        <w:rPr>
          <w:rFonts w:ascii="Times New Roman" w:hAnsi="Times New Roman"/>
          <w:b/>
          <w:sz w:val="20"/>
        </w:rPr>
      </w:pPr>
      <w:r>
        <w:br w:type="page"/>
      </w:r>
      <w:bookmarkStart w:id="170" w:name="d108105dex992.htm"/>
      <w:bookmarkStart w:id="171" w:name="ksd108105dex992"/>
      <w:bookmarkEnd w:id="170"/>
      <w:bookmarkEnd w:id="171"/>
      <w:r>
        <w:rPr>
          <w:rFonts w:ascii="Times New Roman" w:hAnsi="Times New Roman"/>
          <w:b/>
          <w:sz w:val="20"/>
        </w:rPr>
        <w:t xml:space="preserve">Exhibit 99.2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March 25,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Gavin Michael</w:t>
            </w:r>
          </w:p>
        </w:tc>
      </w:tr>
      <w:tr>
        <w:trPr/>
        <w:tc>
          <w:tcPr>
            <w:tcW w:w="4082" w:type="dxa"/>
            <w:tcBorders/>
            <w:shd w:fill="auto" w:val="clear"/>
          </w:tcPr>
          <w:p>
            <w:pPr>
              <w:pStyle w:val="TableContents"/>
              <w:spacing w:before="0" w:after="283"/>
              <w:rPr/>
            </w:pPr>
            <w:r>
              <w:rPr/>
              <w:t>Name: Gavin Michael</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172" w:name="d108105dex993.htm"/>
      <w:bookmarkStart w:id="173" w:name="ksd108105dex993"/>
      <w:bookmarkEnd w:id="172"/>
      <w:bookmarkEnd w:id="173"/>
      <w:r>
        <w:rPr>
          <w:rFonts w:ascii="Times New Roman" w:hAnsi="Times New Roman"/>
          <w:b/>
          <w:sz w:val="20"/>
        </w:rPr>
        <w:t xml:space="preserve">Exhibit 99.3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3/26/2021 | 15:12:26 PDT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Michelle Goldberg</w:t>
            </w:r>
          </w:p>
        </w:tc>
      </w:tr>
      <w:tr>
        <w:trPr/>
        <w:tc>
          <w:tcPr>
            <w:tcW w:w="4082" w:type="dxa"/>
            <w:tcBorders/>
            <w:shd w:fill="auto" w:val="clear"/>
          </w:tcPr>
          <w:p>
            <w:pPr>
              <w:pStyle w:val="TableContents"/>
              <w:spacing w:before="0" w:after="283"/>
              <w:rPr/>
            </w:pPr>
            <w:r>
              <w:rPr/>
              <w:t>Name: Michelle Goldberg</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174" w:name="d108105dex994.htm"/>
      <w:bookmarkStart w:id="175" w:name="ksd108105dex994"/>
      <w:bookmarkEnd w:id="174"/>
      <w:bookmarkEnd w:id="175"/>
      <w:r>
        <w:rPr>
          <w:rFonts w:ascii="Times New Roman" w:hAnsi="Times New Roman"/>
          <w:b/>
          <w:sz w:val="20"/>
        </w:rPr>
        <w:t xml:space="preserve">Exhibit 99.4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March 25,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David Clifton</w:t>
            </w:r>
          </w:p>
        </w:tc>
      </w:tr>
      <w:tr>
        <w:trPr/>
        <w:tc>
          <w:tcPr>
            <w:tcW w:w="4082" w:type="dxa"/>
            <w:tcBorders/>
            <w:shd w:fill="auto" w:val="clear"/>
          </w:tcPr>
          <w:p>
            <w:pPr>
              <w:pStyle w:val="TableContents"/>
              <w:spacing w:before="0" w:after="283"/>
              <w:rPr/>
            </w:pPr>
            <w:r>
              <w:rPr/>
              <w:t>Name: David Clifton</w:t>
            </w:r>
          </w:p>
        </w:tc>
      </w:tr>
    </w:tbl>
    <w:p>
      <w:pPr>
        <w:pStyle w:val="TextBody"/>
        <w:spacing w:before="0" w:after="0"/>
        <w:jc w:val="right"/>
        <w:rPr>
          <w:rFonts w:ascii="Times New Roman" w:hAnsi="Times New Roman"/>
          <w:b/>
          <w:sz w:val="20"/>
        </w:rPr>
      </w:pPr>
      <w:r>
        <w:br w:type="page"/>
      </w:r>
      <w:bookmarkStart w:id="176" w:name="d108105dex995.htm"/>
      <w:bookmarkStart w:id="177" w:name="ksd108105dex995"/>
      <w:bookmarkEnd w:id="176"/>
      <w:bookmarkEnd w:id="177"/>
      <w:r>
        <w:rPr>
          <w:rFonts w:ascii="Times New Roman" w:hAnsi="Times New Roman"/>
          <w:b/>
          <w:sz w:val="20"/>
        </w:rPr>
        <w:t xml:space="preserve">Exhibit 99.5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3/26/2021 | 14:11:47 EDT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Kristyn Cook</w:t>
            </w:r>
          </w:p>
        </w:tc>
      </w:tr>
      <w:tr>
        <w:trPr/>
        <w:tc>
          <w:tcPr>
            <w:tcW w:w="4082" w:type="dxa"/>
            <w:tcBorders/>
            <w:shd w:fill="auto" w:val="clear"/>
          </w:tcPr>
          <w:p>
            <w:pPr>
              <w:pStyle w:val="TableContents"/>
              <w:spacing w:before="0" w:after="283"/>
              <w:rPr/>
            </w:pPr>
            <w:r>
              <w:rPr/>
              <w:t>Name: Kristyn Cook</w:t>
            </w:r>
          </w:p>
        </w:tc>
      </w:tr>
    </w:tbl>
    <w:p>
      <w:pPr>
        <w:pStyle w:val="TextBody"/>
        <w:spacing w:before="0" w:after="0"/>
        <w:jc w:val="right"/>
        <w:rPr>
          <w:rFonts w:ascii="Times New Roman" w:hAnsi="Times New Roman"/>
          <w:b/>
          <w:sz w:val="20"/>
        </w:rPr>
      </w:pPr>
      <w:r>
        <w:br w:type="page"/>
      </w:r>
      <w:bookmarkStart w:id="178" w:name="d108105dex996.htm"/>
      <w:bookmarkStart w:id="179" w:name="ksd108105dex996"/>
      <w:bookmarkEnd w:id="178"/>
      <w:bookmarkEnd w:id="179"/>
      <w:r>
        <w:rPr>
          <w:rFonts w:ascii="Times New Roman" w:hAnsi="Times New Roman"/>
          <w:b/>
          <w:sz w:val="20"/>
        </w:rPr>
        <w:t xml:space="preserve">Exhibit 99.6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March 25,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Sean Collins</w:t>
            </w:r>
          </w:p>
        </w:tc>
      </w:tr>
      <w:tr>
        <w:trPr/>
        <w:tc>
          <w:tcPr>
            <w:tcW w:w="4082" w:type="dxa"/>
            <w:tcBorders/>
            <w:shd w:fill="auto" w:val="clear"/>
          </w:tcPr>
          <w:p>
            <w:pPr>
              <w:pStyle w:val="TableContents"/>
              <w:spacing w:before="0" w:after="283"/>
              <w:rPr/>
            </w:pPr>
            <w:r>
              <w:rPr/>
              <w:t>Name: Sean Collins</w:t>
            </w:r>
          </w:p>
        </w:tc>
      </w:tr>
    </w:tbl>
    <w:p>
      <w:pPr>
        <w:pStyle w:val="TextBody"/>
        <w:spacing w:before="0" w:after="0"/>
        <w:jc w:val="right"/>
        <w:rPr>
          <w:rFonts w:ascii="Times New Roman" w:hAnsi="Times New Roman"/>
          <w:b/>
          <w:sz w:val="20"/>
        </w:rPr>
      </w:pPr>
      <w:r>
        <w:br w:type="page"/>
      </w:r>
      <w:bookmarkStart w:id="180" w:name="d108105dex997.htm"/>
      <w:bookmarkStart w:id="181" w:name="ksd108105dex997"/>
      <w:bookmarkEnd w:id="180"/>
      <w:bookmarkEnd w:id="181"/>
      <w:r>
        <w:rPr>
          <w:rFonts w:ascii="Times New Roman" w:hAnsi="Times New Roman"/>
          <w:b/>
          <w:sz w:val="20"/>
        </w:rPr>
        <w:t xml:space="preserve">Exhibit 99.7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3/25/2021 | 11:57:41 EDT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22"/>
        <w:gridCol w:w="60"/>
        <w:gridCol w:w="4000"/>
      </w:tblGrid>
      <w:tr>
        <w:trPr/>
        <w:tc>
          <w:tcPr>
            <w:tcW w:w="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00" w:type="dxa"/>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Andy Main</w:t>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tcPr>
          <w:p>
            <w:pPr>
              <w:pStyle w:val="TableContents"/>
              <w:spacing w:before="0" w:after="283"/>
              <w:rPr/>
            </w:pPr>
            <w:r>
              <w:rPr/>
              <w:t>Name: Andy Main</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182" w:name="d108105dex998.htm"/>
      <w:bookmarkStart w:id="183" w:name="ksd108105dex998"/>
      <w:bookmarkEnd w:id="182"/>
      <w:bookmarkEnd w:id="183"/>
      <w:r>
        <w:rPr>
          <w:rFonts w:ascii="Times New Roman" w:hAnsi="Times New Roman"/>
          <w:b/>
          <w:sz w:val="20"/>
        </w:rPr>
        <w:t xml:space="preserve">Exhibit 99.8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spacing w:before="240" w:after="0"/>
        <w:jc w:val="left"/>
        <w:rPr>
          <w:rFonts w:ascii="Times New Roman" w:hAnsi="Times New Roman"/>
          <w:sz w:val="20"/>
        </w:rPr>
      </w:pPr>
      <w:r>
        <w:rPr>
          <w:rFonts w:ascii="Times New Roman" w:hAnsi="Times New Roman"/>
          <w:sz w:val="20"/>
        </w:rPr>
        <w:t>In connection with the filing by VPC Impact Acquisition Holdings (the </w:t>
      </w:r>
      <w:r>
        <w:rPr>
          <w:rFonts w:ascii="Times New Roman" w:hAnsi="Times New Roman"/>
          <w:sz w:val="20"/>
          <w:u w:val="single"/>
        </w:rPr>
        <w:t>Company</w:t>
      </w:r>
      <w:r>
        <w:rPr>
          <w:rFonts w:ascii="Times New Roman" w:hAnsi="Times New Roman"/>
          <w:sz w:val="20"/>
        </w:rPr>
        <w:t>) of the Registration Statement on Form S-4, including the proxy statement/prospectus contained therein (the </w:t>
      </w:r>
      <w:r>
        <w:rPr>
          <w:rFonts w:ascii="Times New Roman" w:hAnsi="Times New Roman"/>
          <w:sz w:val="20"/>
          <w:u w:val="single"/>
        </w:rPr>
        <w:t>Registration Statement</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anticipated to become a member of the board of directors of the Company effective upon the consummation of the business combination as described therein, which will be renamed Bakkt Holdings, Inc.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3/24/2021 | 11:54:51 PDT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22"/>
        <w:gridCol w:w="60"/>
        <w:gridCol w:w="4000"/>
      </w:tblGrid>
      <w:tr>
        <w:trPr/>
        <w:tc>
          <w:tcPr>
            <w:tcW w:w="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00" w:type="dxa"/>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Richard Lumb</w:t>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tcPr>
          <w:p>
            <w:pPr>
              <w:pStyle w:val="TableContents"/>
              <w:spacing w:before="0" w:after="283"/>
              <w:rPr/>
            </w:pPr>
            <w:r>
              <w:rPr/>
              <w:t>Name: Richard Lumb</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www.sec.gov/Archives/edgar/data/1820302/000119312520256308/d38926dex31.htm" TargetMode="External"/><Relationship Id="rId15" Type="http://schemas.openxmlformats.org/officeDocument/2006/relationships/hyperlink" Target="http://www.sec.gov/Archives/edgar/data/1820302/000119312520247281/d10733dex41.htm" TargetMode="External"/><Relationship Id="rId16" Type="http://schemas.openxmlformats.org/officeDocument/2006/relationships/hyperlink" Target="http://www.sec.gov/Archives/edgar/data/1820302/000119312520247281/d10733dex42.htm" TargetMode="External"/><Relationship Id="rId17" Type="http://schemas.openxmlformats.org/officeDocument/2006/relationships/hyperlink" Target="http://www.sec.gov/Archives/edgar/data/1820302/000119312520247281/d10733dex43.htm" TargetMode="External"/><Relationship Id="rId18" Type="http://schemas.openxmlformats.org/officeDocument/2006/relationships/hyperlink" Target="http://www.sec.gov/Archives/edgar/data/1820302/000119312520247281/d10733dex44.htm" TargetMode="External"/><Relationship Id="rId19" Type="http://schemas.openxmlformats.org/officeDocument/2006/relationships/hyperlink" Target="http://www.sec.gov/Archives/edgar/data/1820302/000119312520256308/d38926dex101.htm" TargetMode="External"/><Relationship Id="rId20" Type="http://schemas.openxmlformats.org/officeDocument/2006/relationships/hyperlink" Target="http://www.sec.gov/Archives/edgar/data/1820302/000119312521005832/d913171dex103.htm" TargetMode="External"/><Relationship Id="rId21" Type="http://schemas.openxmlformats.org/officeDocument/2006/relationships/hyperlink" Target="http://www.sec.gov/Archives/edgar/data/1820302/000119312521005832/d913171dex101.htm" TargetMode="External"/><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770</Pages>
  <Words>436034</Words>
  <CharactersWithSpaces>2722233</CharactersWithSpaces>
  <Paragraphs>32460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EX-99.8</dc:title>
</cp:coreProperties>
</file>