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10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001-39544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VPC Impact Acquisition Holdings</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6060" w:type="dxa"/>
            <w:vAlign w:val="bottom"/>
          </w:tcPr>
          <w:p>
            <w:pPr>
              <w:jc w:val="center"/>
              <w:ind w:right="3058"/>
              <w:spacing w:after="0"/>
              <w:rPr>
                <w:sz w:val="20"/>
                <w:szCs w:val="20"/>
                <w:color w:val="auto"/>
              </w:rPr>
            </w:pPr>
            <w:r>
              <w:rPr>
                <w:rFonts w:ascii="Arial" w:cs="Arial" w:eastAsia="Arial" w:hAnsi="Arial"/>
                <w:sz w:val="18"/>
                <w:szCs w:val="18"/>
                <w:b w:val="1"/>
                <w:bCs w:val="1"/>
                <w:color w:val="auto"/>
                <w:w w:val="90"/>
              </w:rPr>
              <w:t>Cayman Islands</w:t>
            </w:r>
          </w:p>
        </w:tc>
        <w:tc>
          <w:tcPr>
            <w:tcW w:w="1520" w:type="dxa"/>
            <w:vAlign w:val="bottom"/>
          </w:tcPr>
          <w:p>
            <w:pPr>
              <w:jc w:val="right"/>
              <w:ind w:right="41"/>
              <w:spacing w:after="0"/>
              <w:rPr>
                <w:sz w:val="20"/>
                <w:szCs w:val="20"/>
                <w:color w:val="auto"/>
              </w:rPr>
            </w:pPr>
            <w:r>
              <w:rPr>
                <w:rFonts w:ascii="Arial" w:cs="Arial" w:eastAsia="Arial" w:hAnsi="Arial"/>
                <w:sz w:val="18"/>
                <w:szCs w:val="18"/>
                <w:b w:val="1"/>
                <w:bCs w:val="1"/>
                <w:color w:val="auto"/>
              </w:rPr>
              <w:t>98-1550750</w:t>
            </w:r>
          </w:p>
        </w:tc>
      </w:tr>
      <w:tr>
        <w:trPr>
          <w:trHeight w:val="149"/>
        </w:trPr>
        <w:tc>
          <w:tcPr>
            <w:tcW w:w="6060" w:type="dxa"/>
            <w:vAlign w:val="bottom"/>
          </w:tcPr>
          <w:p>
            <w:pPr>
              <w:jc w:val="center"/>
              <w:ind w:right="305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20" w:type="dxa"/>
            <w:vAlign w:val="bottom"/>
          </w:tcPr>
          <w:p>
            <w:pPr>
              <w:jc w:val="center"/>
              <w:ind w:left="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60" w:type="dxa"/>
            <w:vAlign w:val="bottom"/>
          </w:tcPr>
          <w:p>
            <w:pPr>
              <w:jc w:val="center"/>
              <w:ind w:right="3058"/>
              <w:spacing w:after="0"/>
              <w:rPr>
                <w:sz w:val="20"/>
                <w:szCs w:val="20"/>
                <w:color w:val="auto"/>
              </w:rPr>
            </w:pPr>
            <w:r>
              <w:rPr>
                <w:rFonts w:ascii="Arial" w:cs="Arial" w:eastAsia="Arial" w:hAnsi="Arial"/>
                <w:sz w:val="14"/>
                <w:szCs w:val="14"/>
                <w:b w:val="1"/>
                <w:bCs w:val="1"/>
                <w:color w:val="auto"/>
                <w:w w:val="94"/>
              </w:rPr>
              <w:t>incorporation or organization)</w:t>
            </w:r>
          </w:p>
        </w:tc>
        <w:tc>
          <w:tcPr>
            <w:tcW w:w="1520" w:type="dxa"/>
            <w:vAlign w:val="bottom"/>
          </w:tcPr>
          <w:p>
            <w:pPr>
              <w:jc w:val="center"/>
              <w:ind w:left="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6060" w:type="dxa"/>
            <w:vAlign w:val="bottom"/>
          </w:tcPr>
          <w:p>
            <w:pPr>
              <w:jc w:val="center"/>
              <w:ind w:right="3058"/>
              <w:spacing w:after="0"/>
              <w:rPr>
                <w:sz w:val="20"/>
                <w:szCs w:val="20"/>
                <w:color w:val="auto"/>
              </w:rPr>
            </w:pPr>
            <w:r>
              <w:rPr>
                <w:rFonts w:ascii="Arial" w:cs="Arial" w:eastAsia="Arial" w:hAnsi="Arial"/>
                <w:sz w:val="18"/>
                <w:szCs w:val="18"/>
                <w:b w:val="1"/>
                <w:bCs w:val="1"/>
                <w:color w:val="auto"/>
                <w:w w:val="94"/>
              </w:rPr>
              <w:t>Victory Park Capital Advisors, LLC</w:t>
            </w:r>
          </w:p>
        </w:tc>
        <w:tc>
          <w:tcPr>
            <w:tcW w:w="1520" w:type="dxa"/>
            <w:vAlign w:val="bottom"/>
          </w:tcPr>
          <w:p>
            <w:pPr>
              <w:spacing w:after="0"/>
              <w:rPr>
                <w:sz w:val="24"/>
                <w:szCs w:val="24"/>
                <w:color w:val="auto"/>
              </w:rPr>
            </w:pPr>
          </w:p>
        </w:tc>
      </w:tr>
      <w:tr>
        <w:trPr>
          <w:trHeight w:val="216"/>
        </w:trPr>
        <w:tc>
          <w:tcPr>
            <w:tcW w:w="6060" w:type="dxa"/>
            <w:vAlign w:val="bottom"/>
          </w:tcPr>
          <w:p>
            <w:pPr>
              <w:jc w:val="center"/>
              <w:ind w:right="3078"/>
              <w:spacing w:after="0"/>
              <w:rPr>
                <w:sz w:val="20"/>
                <w:szCs w:val="20"/>
                <w:color w:val="auto"/>
              </w:rPr>
            </w:pPr>
            <w:r>
              <w:rPr>
                <w:rFonts w:ascii="Arial" w:cs="Arial" w:eastAsia="Arial" w:hAnsi="Arial"/>
                <w:sz w:val="18"/>
                <w:szCs w:val="18"/>
                <w:b w:val="1"/>
                <w:bCs w:val="1"/>
                <w:color w:val="auto"/>
                <w:w w:val="90"/>
              </w:rPr>
              <w:t>150 North Riverside Plaza, Suite 5200</w:t>
            </w:r>
          </w:p>
        </w:tc>
        <w:tc>
          <w:tcPr>
            <w:tcW w:w="1520" w:type="dxa"/>
            <w:vAlign w:val="bottom"/>
          </w:tcPr>
          <w:p>
            <w:pPr>
              <w:spacing w:after="0"/>
              <w:rPr>
                <w:sz w:val="18"/>
                <w:szCs w:val="18"/>
                <w:color w:val="auto"/>
              </w:rPr>
            </w:pPr>
          </w:p>
        </w:tc>
      </w:tr>
      <w:tr>
        <w:trPr>
          <w:trHeight w:val="225"/>
        </w:trPr>
        <w:tc>
          <w:tcPr>
            <w:tcW w:w="6060" w:type="dxa"/>
            <w:vAlign w:val="bottom"/>
          </w:tcPr>
          <w:p>
            <w:pPr>
              <w:jc w:val="center"/>
              <w:ind w:right="3058"/>
              <w:spacing w:after="0"/>
              <w:rPr>
                <w:sz w:val="20"/>
                <w:szCs w:val="20"/>
                <w:color w:val="auto"/>
              </w:rPr>
            </w:pPr>
            <w:r>
              <w:rPr>
                <w:rFonts w:ascii="Arial" w:cs="Arial" w:eastAsia="Arial" w:hAnsi="Arial"/>
                <w:sz w:val="18"/>
                <w:szCs w:val="18"/>
                <w:b w:val="1"/>
                <w:bCs w:val="1"/>
                <w:color w:val="auto"/>
                <w:w w:val="94"/>
              </w:rPr>
              <w:t>Chicago, IL</w:t>
            </w:r>
          </w:p>
        </w:tc>
        <w:tc>
          <w:tcPr>
            <w:tcW w:w="1520" w:type="dxa"/>
            <w:vAlign w:val="bottom"/>
          </w:tcPr>
          <w:p>
            <w:pPr>
              <w:jc w:val="right"/>
              <w:ind w:right="261"/>
              <w:spacing w:after="0"/>
              <w:rPr>
                <w:sz w:val="20"/>
                <w:szCs w:val="20"/>
                <w:color w:val="auto"/>
              </w:rPr>
            </w:pPr>
            <w:r>
              <w:rPr>
                <w:rFonts w:ascii="Arial" w:cs="Arial" w:eastAsia="Arial" w:hAnsi="Arial"/>
                <w:sz w:val="18"/>
                <w:szCs w:val="18"/>
                <w:b w:val="1"/>
                <w:bCs w:val="1"/>
                <w:color w:val="auto"/>
              </w:rPr>
              <w:t>60606</w:t>
            </w:r>
          </w:p>
        </w:tc>
      </w:tr>
      <w:tr>
        <w:trPr>
          <w:trHeight w:val="186"/>
        </w:trPr>
        <w:tc>
          <w:tcPr>
            <w:tcW w:w="6060" w:type="dxa"/>
            <w:vAlign w:val="bottom"/>
          </w:tcPr>
          <w:p>
            <w:pPr>
              <w:jc w:val="center"/>
              <w:ind w:right="307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20" w:type="dxa"/>
            <w:vAlign w:val="bottom"/>
          </w:tcPr>
          <w:p>
            <w:pPr>
              <w:jc w:val="center"/>
              <w:ind w:left="321"/>
              <w:spacing w:after="0"/>
              <w:rPr>
                <w:sz w:val="20"/>
                <w:szCs w:val="20"/>
                <w:color w:val="auto"/>
              </w:rPr>
            </w:pPr>
            <w:r>
              <w:rPr>
                <w:rFonts w:ascii="Arial" w:cs="Arial" w:eastAsia="Arial" w:hAnsi="Arial"/>
                <w:sz w:val="14"/>
                <w:szCs w:val="14"/>
                <w:b w:val="1"/>
                <w:bCs w:val="1"/>
                <w:color w:val="auto"/>
                <w:w w:val="98"/>
              </w:rPr>
              <w:t>(Zip Code)</w:t>
            </w:r>
          </w:p>
        </w:tc>
      </w:tr>
      <w:tr>
        <w:trPr>
          <w:trHeight w:val="394"/>
        </w:trPr>
        <w:tc>
          <w:tcPr>
            <w:tcW w:w="6060" w:type="dxa"/>
            <w:vAlign w:val="bottom"/>
          </w:tcPr>
          <w:p>
            <w:pPr>
              <w:jc w:val="right"/>
              <w:ind w:right="1158"/>
              <w:spacing w:after="0"/>
              <w:rPr>
                <w:sz w:val="20"/>
                <w:szCs w:val="20"/>
                <w:color w:val="auto"/>
              </w:rPr>
            </w:pPr>
            <w:r>
              <w:rPr>
                <w:rFonts w:ascii="Arial" w:cs="Arial" w:eastAsia="Arial" w:hAnsi="Arial"/>
                <w:sz w:val="18"/>
                <w:szCs w:val="18"/>
                <w:b w:val="1"/>
                <w:bCs w:val="1"/>
                <w:color w:val="auto"/>
              </w:rPr>
              <w:t>+1-312-701-1777</w:t>
            </w:r>
          </w:p>
        </w:tc>
        <w:tc>
          <w:tcPr>
            <w:tcW w:w="1520" w:type="dxa"/>
            <w:vAlign w:val="bottom"/>
          </w:tcPr>
          <w:p>
            <w:pPr>
              <w:spacing w:after="0"/>
              <w:rPr>
                <w:sz w:val="24"/>
                <w:szCs w:val="24"/>
                <w:color w:val="auto"/>
              </w:rPr>
            </w:pPr>
          </w:p>
        </w:tc>
      </w:tr>
      <w:tr>
        <w:trPr>
          <w:trHeight w:val="186"/>
        </w:trPr>
        <w:tc>
          <w:tcPr>
            <w:tcW w:w="6060" w:type="dxa"/>
            <w:vAlign w:val="bottom"/>
          </w:tcPr>
          <w:p>
            <w:pPr>
              <w:jc w:val="center"/>
              <w:ind w:left="2238"/>
              <w:spacing w:after="0"/>
              <w:rPr>
                <w:sz w:val="20"/>
                <w:szCs w:val="20"/>
                <w:color w:val="auto"/>
              </w:rPr>
            </w:pPr>
            <w:r>
              <w:rPr>
                <w:rFonts w:ascii="Arial" w:cs="Arial" w:eastAsia="Arial" w:hAnsi="Arial"/>
                <w:sz w:val="14"/>
                <w:szCs w:val="14"/>
                <w:b w:val="1"/>
                <w:bCs w:val="1"/>
                <w:color w:val="auto"/>
                <w:w w:val="91"/>
              </w:rPr>
              <w:t>(Issuer’s telephone number, including area code)</w:t>
            </w:r>
          </w:p>
        </w:tc>
        <w:tc>
          <w:tcPr>
            <w:tcW w:w="15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213360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VIHAU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share, $0.0001 par value, and one-half of one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redeemable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Class A ordinary shares, par value $0.0001 par</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VIH</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value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Redeemable warrants, each warrant exercisable</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VIHAW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for one Class A ordinary share, each at an</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exercise price of $11.50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1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12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120"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8" w:lineRule="exact"/>
        <w:rPr>
          <w:sz w:val="24"/>
          <w:szCs w:val="24"/>
          <w:color w:val="auto"/>
        </w:rPr>
      </w:pPr>
    </w:p>
    <w:p>
      <w:pPr>
        <w:ind w:left="120"/>
        <w:spacing w:after="0" w:line="207" w:lineRule="exact"/>
        <w:tabs>
          <w:tab w:leader="none" w:pos="2100" w:val="left"/>
          <w:tab w:leader="none" w:pos="8480" w:val="left"/>
          <w:tab w:leader="none" w:pos="1090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140"/>
          </w:cols>
          <w:pgMar w:left="320" w:top="230" w:right="439" w:bottom="0" w:gutter="0" w:footer="0" w:header="0"/>
        </w:sectPr>
      </w:pPr>
    </w:p>
    <w:bookmarkStart w:id="1" w:name="page2"/>
    <w:bookmarkEnd w:id="1"/>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0"/>
          <w:szCs w:val="20"/>
          <w:color w:val="auto"/>
        </w:rPr>
      </w:pPr>
    </w:p>
    <w:p>
      <w:pPr>
        <w:sectPr>
          <w:pgSz w:w="11900" w:h="16838" w:orient="portrait"/>
          <w:cols w:equalWidth="0" w:num="4">
            <w:col w:w="1520" w:space="480"/>
            <w:col w:w="5660" w:space="720"/>
            <w:col w:w="1960" w:space="460"/>
            <w:col w:w="160"/>
          </w:cols>
          <w:pgMar w:left="440" w:top="174" w:right="499" w:bottom="1440" w:gutter="0" w:footer="0" w:header="0"/>
        </w:sectPr>
      </w:pPr>
    </w:p>
    <w:p>
      <w:pPr>
        <w:spacing w:after="0" w:line="33"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2">
            <w:col w:w="10400" w:space="400"/>
            <w:col w:w="160"/>
          </w:cols>
          <w:pgMar w:left="440" w:top="174" w:right="499" w:bottom="1440" w:gutter="0" w:footer="0" w:header="0"/>
          <w:type w:val="continuous"/>
        </w:sectPr>
      </w:pPr>
    </w:p>
    <w:p>
      <w:pPr>
        <w:spacing w:after="0" w:line="48"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August 13, 2021, there were 20,737,202 Class A ordinary shares, $0.0001 par value and 5,184,300 Class B ordinary shares, $0.0001 par value,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174" w:right="49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QUARTERLY REPORT ON FORM 10-Q FOR THE QUARTER ENDED JUNE 30, 2021</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60" w:type="dxa"/>
            <w:vAlign w:val="bottom"/>
            <w:gridSpan w:val="18"/>
            <w:vMerge w:val="restart"/>
          </w:tcPr>
          <w:p>
            <w:pPr>
              <w:spacing w:after="0"/>
              <w:rPr>
                <w:sz w:val="20"/>
                <w:szCs w:val="20"/>
                <w:color w:val="auto"/>
              </w:rPr>
            </w:pPr>
            <w:r>
              <w:rPr>
                <w:rFonts w:ascii="Arial" w:cs="Arial" w:eastAsia="Arial" w:hAnsi="Arial"/>
                <w:sz w:val="18"/>
                <w:szCs w:val="18"/>
                <w:b w:val="1"/>
                <w:bCs w:val="1"/>
                <w:color w:val="auto"/>
              </w:rPr>
              <w:t>PART 1 – FINANCIAL INFORMATION</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2"/>
        </w:trPr>
        <w:tc>
          <w:tcPr>
            <w:tcW w:w="10660" w:type="dxa"/>
            <w:vAlign w:val="bottom"/>
            <w:gridSpan w:val="18"/>
            <w:vMerge w:val="continue"/>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60" w:type="dxa"/>
            <w:vAlign w:val="bottom"/>
            <w:gridSpan w:val="18"/>
          </w:tcPr>
          <w:p>
            <w:pPr>
              <w:spacing w:after="0"/>
              <w:rPr>
                <w:sz w:val="20"/>
                <w:szCs w:val="20"/>
                <w:color w:val="auto"/>
              </w:rPr>
            </w:pPr>
            <w:r>
              <w:rPr>
                <w:rFonts w:ascii="Arial" w:cs="Arial" w:eastAsia="Arial" w:hAnsi="Arial"/>
                <w:sz w:val="18"/>
                <w:szCs w:val="18"/>
                <w:color w:val="auto"/>
              </w:rPr>
              <w:t>Item 1. Financial Statements</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10280" w:type="dxa"/>
            <w:vAlign w:val="bottom"/>
            <w:gridSpan w:val="17"/>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June 30, 2021 (unaudited) and December 31, 2020</w:t>
              </w:r>
            </w:hyperlink>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8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 of Operations for the Three and Six Months Ended June 30, 2021</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80" w:type="dxa"/>
            <w:vAlign w:val="bottom"/>
            <w:gridSpan w:val="17"/>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Unaudited Condensed Consolidated Statement of Changes in Shareholders’ Equity for the Three and Six Months Ended June 30, 2021</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96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Condensed Consolidated Statement of Cash Flows for the Six Months Ended June 30, 2021 (unaudited)</w:t>
              </w:r>
            </w:hyperlink>
          </w:p>
        </w:tc>
        <w:tc>
          <w:tcPr>
            <w:tcW w:w="6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2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20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8"/>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2. 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8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2"/>
          </w:tcPr>
          <w:p>
            <w:pPr>
              <w:spacing w:after="0"/>
              <w:rPr>
                <w:sz w:val="17"/>
                <w:szCs w:val="17"/>
                <w:color w:val="auto"/>
              </w:rPr>
            </w:pPr>
          </w:p>
        </w:tc>
        <w:tc>
          <w:tcPr>
            <w:tcW w:w="366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0660" w:type="dxa"/>
            <w:vAlign w:val="bottom"/>
            <w:gridSpan w:val="1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4. Control and Procedures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76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6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 – OTHER INFORMATION</w:t>
              </w:r>
            </w:hyperlink>
          </w:p>
        </w:tc>
        <w:tc>
          <w:tcPr>
            <w:tcW w:w="780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0660" w:type="dxa"/>
            <w:vAlign w:val="bottom"/>
            <w:gridSpan w:val="1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1. Legal Proceedings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8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1A. Risk Factors</w:t>
              </w:r>
            </w:hyperlink>
          </w:p>
        </w:tc>
        <w:tc>
          <w:tcPr>
            <w:tcW w:w="878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76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Item 2. Unregistered Sales of Equity Securities and Use of Proceeds</w:t>
              </w:r>
            </w:hyperlink>
          </w:p>
        </w:tc>
        <w:tc>
          <w:tcPr>
            <w:tcW w:w="576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3. Defaults Upon Senior Securities</w:t>
              </w:r>
            </w:hyperlink>
          </w:p>
        </w:tc>
        <w:tc>
          <w:tcPr>
            <w:tcW w:w="778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3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4. Mine Safety Disclosures</w:t>
              </w:r>
            </w:hyperlink>
          </w:p>
        </w:tc>
        <w:tc>
          <w:tcPr>
            <w:tcW w:w="834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660" w:type="dxa"/>
            <w:vAlign w:val="bottom"/>
            <w:gridSpan w:val="1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5. Other Information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Item 6. Exhibits</w:t>
              </w:r>
            </w:hyperlink>
          </w:p>
        </w:tc>
        <w:tc>
          <w:tcPr>
            <w:tcW w:w="700" w:type="dxa"/>
            <w:vAlign w:val="bottom"/>
            <w:tcBorders>
              <w:top w:val="single" w:sz="8" w:color="0000EE"/>
            </w:tcBorders>
            <w:gridSpan w:val="2"/>
          </w:tcPr>
          <w:p>
            <w:pPr>
              <w:spacing w:after="0"/>
              <w:rPr>
                <w:sz w:val="17"/>
                <w:szCs w:val="17"/>
                <w:color w:val="auto"/>
              </w:rPr>
            </w:pPr>
          </w:p>
        </w:tc>
        <w:tc>
          <w:tcPr>
            <w:tcW w:w="880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96"/>
              </w:rPr>
            </w:pPr>
            <w:hyperlink w:anchor="page29">
              <w:r>
                <w:rPr>
                  <w:rFonts w:ascii="Arial" w:cs="Arial" w:eastAsia="Arial" w:hAnsi="Arial"/>
                  <w:sz w:val="18"/>
                  <w:szCs w:val="18"/>
                  <w:b w:val="1"/>
                  <w:bCs w:val="1"/>
                  <w:color w:val="0000EE"/>
                  <w:w w:val="96"/>
                </w:rPr>
                <w:t>SIGNATURES</w:t>
              </w:r>
            </w:hyperlink>
          </w:p>
        </w:tc>
        <w:tc>
          <w:tcPr>
            <w:tcW w:w="950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85"/>
        </w:trPr>
        <w:tc>
          <w:tcPr>
            <w:tcW w:w="7000" w:type="dxa"/>
            <w:vAlign w:val="bottom"/>
            <w:gridSpan w:val="13"/>
          </w:tcPr>
          <w:p>
            <w:pPr>
              <w:ind w:left="546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1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8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2"/>
              <w:spacing w:after="0" w:line="142" w:lineRule="exact"/>
              <w:rPr>
                <w:sz w:val="20"/>
                <w:szCs w:val="20"/>
                <w:color w:val="auto"/>
              </w:rPr>
            </w:pPr>
            <w:r>
              <w:rPr>
                <w:rFonts w:ascii="Arial" w:cs="Arial" w:eastAsia="Arial" w:hAnsi="Arial"/>
                <w:sz w:val="14"/>
                <w:szCs w:val="14"/>
                <w:b w:val="1"/>
                <w:bCs w:val="1"/>
                <w:color w:val="auto"/>
                <w:w w:val="95"/>
              </w:rPr>
              <w:t>(Unaudited)</w:t>
            </w:r>
          </w:p>
        </w:tc>
        <w:tc>
          <w:tcPr>
            <w:tcW w:w="1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861,171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1,177,678</w:t>
            </w:r>
          </w:p>
        </w:tc>
        <w:tc>
          <w:tcPr>
            <w:tcW w:w="0" w:type="dxa"/>
            <w:vAlign w:val="bottom"/>
          </w:tcPr>
          <w:p>
            <w:pPr>
              <w:spacing w:after="0"/>
              <w:rPr>
                <w:sz w:val="1"/>
                <w:szCs w:val="1"/>
                <w:color w:val="auto"/>
              </w:rPr>
            </w:pPr>
          </w:p>
        </w:tc>
      </w:tr>
      <w:tr>
        <w:trPr>
          <w:trHeight w:val="223"/>
        </w:trPr>
        <w:tc>
          <w:tcPr>
            <w:tcW w:w="868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185,959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1,047,130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1,412,637</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207,393,442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207,376,213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7"/>
              </w:rPr>
              <w:t>208,440,572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208,788,850</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4,106,461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893,415</w:t>
            </w:r>
          </w:p>
        </w:tc>
        <w:tc>
          <w:tcPr>
            <w:tcW w:w="0" w:type="dxa"/>
            <w:vAlign w:val="bottom"/>
          </w:tcPr>
          <w:p>
            <w:pPr>
              <w:spacing w:after="0"/>
              <w:rPr>
                <w:sz w:val="1"/>
                <w:szCs w:val="1"/>
                <w:color w:val="auto"/>
              </w:rPr>
            </w:pPr>
          </w:p>
        </w:tc>
      </w:tr>
      <w:tr>
        <w:trPr>
          <w:trHeight w:val="223"/>
        </w:trPr>
        <w:tc>
          <w:tcPr>
            <w:tcW w:w="8680" w:type="dxa"/>
            <w:vAlign w:val="bottom"/>
          </w:tcPr>
          <w:p>
            <w:pPr>
              <w:ind w:left="360"/>
              <w:spacing w:after="0"/>
              <w:rPr>
                <w:sz w:val="20"/>
                <w:szCs w:val="20"/>
                <w:color w:val="auto"/>
              </w:rPr>
            </w:pPr>
            <w:r>
              <w:rPr>
                <w:rFonts w:ascii="Arial" w:cs="Arial" w:eastAsia="Arial" w:hAnsi="Arial"/>
                <w:sz w:val="18"/>
                <w:szCs w:val="18"/>
                <w:color w:val="auto"/>
              </w:rPr>
              <w:t>Accrued offering costs</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4,106,461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895,645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Warrant liabilities</w:t>
            </w: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31,355,929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22,513,065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fee payable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7,258,021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7,258,021</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42,720,411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30,666,731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2"/>
              </w:rPr>
              <w:t>Class A ordinary shares subject to possible redemption, 16,072,016 and 17,312,211 shares at $10.00 per share as of</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June 30, 2021 and December 31, 2020, respectively</w:t>
            </w:r>
          </w:p>
        </w:tc>
        <w:tc>
          <w:tcPr>
            <w:tcW w:w="1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160,720,160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173,122,110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Preference shares, $0.0001 par value; 1,000,000 shares authorized; no shares issued and outstanding</w:t>
            </w: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Class A ordinary shares, $0.0001 par value; 200,000,000 shares authorized; 4,665,186 and 3,424,991 shares issued and</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outstanding (excluding 16,072,016 and 17,312,211 shares subject to possible redemption) at June 30, 2021 and</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2020, respectively</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0"/>
              </w:rPr>
              <w:t>Class B ordinary shares, $0.0001 par value; 20,000,000 shares authorized; 5,184,300 shares issued and outstanding at</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June 30, 2021 and December 31, 2020</w:t>
            </w:r>
          </w:p>
        </w:tc>
        <w:tc>
          <w:tcPr>
            <w:tcW w:w="1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22,262,164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9,860,338</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w w:val="92"/>
              </w:rPr>
              <w:t>(17,263,148)</w:t>
            </w: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(4,861,190)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208,440,572</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208,788,850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86"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Three Months</w:t>
            </w:r>
          </w:p>
        </w:tc>
        <w:tc>
          <w:tcPr>
            <w:tcW w:w="80" w:type="dxa"/>
            <w:vAlign w:val="bottom"/>
          </w:tcPr>
          <w:p>
            <w:pPr>
              <w:spacing w:after="0"/>
              <w:rPr>
                <w:sz w:val="14"/>
                <w:szCs w:val="14"/>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6"/>
              </w:rPr>
              <w:t>Six Months</w:t>
            </w:r>
          </w:p>
        </w:tc>
        <w:tc>
          <w:tcPr>
            <w:tcW w:w="0" w:type="dxa"/>
            <w:vAlign w:val="bottom"/>
          </w:tcPr>
          <w:p>
            <w:pPr>
              <w:spacing w:after="0"/>
              <w:rPr>
                <w:sz w:val="1"/>
                <w:szCs w:val="1"/>
                <w:color w:val="auto"/>
              </w:rPr>
            </w:pPr>
          </w:p>
        </w:tc>
      </w:tr>
      <w:tr>
        <w:trPr>
          <w:trHeight w:val="149"/>
        </w:trPr>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8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gridSpan w:val="2"/>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1,187,371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3,580,799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6"/>
              </w:rPr>
              <w:t>(1,187,371)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3"/>
              </w:rPr>
              <w:t>(3,580,799)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Interest earned on marketable securities held in Trust Account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17,229</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22,449,504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(8,842,864)</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22,457,029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(8,821,159)</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gridSpan w:val="3"/>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8"/>
              </w:rPr>
              <w:t>21,269,658</w:t>
            </w:r>
          </w:p>
        </w:tc>
        <w:tc>
          <w:tcPr>
            <w:tcW w:w="2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0"/>
              </w:rPr>
              <w:t>(12,401,958)</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A redeemable ordinary shares</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20,737,202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20,737,202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income (loss) per share, Class A</w:t>
            </w: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B non-redeemable ordinary shares</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5,184,300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5,184,300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income (loss) per share, Class B</w:t>
            </w: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STATEMENT OF CHANGES IN SHAREHOLDERS’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THREE AND SIX MONTHS ENDED JUNE 30, 2021</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960" w:type="dxa"/>
            <w:vAlign w:val="bottom"/>
            <w:gridSpan w:val="5"/>
            <w:vMerge w:val="restart"/>
          </w:tcPr>
          <w:p>
            <w:pPr>
              <w:jc w:val="right"/>
              <w:ind w:right="600"/>
              <w:spacing w:after="0"/>
              <w:rPr>
                <w:sz w:val="20"/>
                <w:szCs w:val="20"/>
                <w:color w:val="auto"/>
              </w:rPr>
            </w:pPr>
            <w:r>
              <w:rPr>
                <w:rFonts w:ascii="Arial" w:cs="Arial" w:eastAsia="Arial" w:hAnsi="Arial"/>
                <w:sz w:val="14"/>
                <w:szCs w:val="14"/>
                <w:b w:val="1"/>
                <w:bCs w:val="1"/>
                <w:color w:val="auto"/>
              </w:rPr>
              <w:t>Class A Ordinary</w:t>
            </w:r>
          </w:p>
        </w:tc>
        <w:tc>
          <w:tcPr>
            <w:tcW w:w="178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95"/>
              </w:rPr>
              <w:t>Class B Ordinary</w:t>
            </w:r>
          </w:p>
        </w:tc>
        <w:tc>
          <w:tcPr>
            <w:tcW w:w="10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Additional</w:t>
            </w:r>
          </w:p>
        </w:tc>
        <w:tc>
          <w:tcPr>
            <w:tcW w:w="128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960" w:type="dxa"/>
            <w:vAlign w:val="bottom"/>
            <w:gridSpan w:val="5"/>
            <w:vMerge w:val="continue"/>
          </w:tcPr>
          <w:p>
            <w:pPr>
              <w:spacing w:after="0"/>
              <w:rPr>
                <w:sz w:val="12"/>
                <w:szCs w:val="12"/>
                <w:color w:val="auto"/>
              </w:rPr>
            </w:pPr>
          </w:p>
        </w:tc>
        <w:tc>
          <w:tcPr>
            <w:tcW w:w="17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Paid-in</w:t>
            </w:r>
          </w:p>
        </w:tc>
        <w:tc>
          <w:tcPr>
            <w:tcW w:w="1280" w:type="dxa"/>
            <w:vAlign w:val="bottom"/>
            <w:gridSpan w:val="3"/>
            <w:vMerge w:val="continue"/>
          </w:tcPr>
          <w:p>
            <w:pPr>
              <w:spacing w:after="0"/>
              <w:rPr>
                <w:sz w:val="12"/>
                <w:szCs w:val="12"/>
                <w:color w:val="auto"/>
              </w:rPr>
            </w:pPr>
          </w:p>
        </w:tc>
        <w:tc>
          <w:tcPr>
            <w:tcW w:w="10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center"/>
              <w:ind w:left="415"/>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56"/>
        </w:trPr>
        <w:tc>
          <w:tcPr>
            <w:tcW w:w="3660" w:type="dxa"/>
            <w:vAlign w:val="bottom"/>
          </w:tcPr>
          <w:p>
            <w:pPr>
              <w:spacing w:after="0"/>
              <w:rPr>
                <w:sz w:val="13"/>
                <w:szCs w:val="13"/>
                <w:color w:val="auto"/>
              </w:rPr>
            </w:pPr>
          </w:p>
        </w:tc>
        <w:tc>
          <w:tcPr>
            <w:tcW w:w="1140" w:type="dxa"/>
            <w:vAlign w:val="bottom"/>
            <w:tcBorders>
              <w:top w:val="single" w:sz="8" w:color="auto"/>
            </w:tcBorders>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3"/>
                <w:szCs w:val="13"/>
                <w:color w:val="auto"/>
              </w:rPr>
            </w:pPr>
          </w:p>
        </w:tc>
        <w:tc>
          <w:tcPr>
            <w:tcW w:w="1020" w:type="dxa"/>
            <w:vAlign w:val="bottom"/>
            <w:tcBorders>
              <w:top w:val="single" w:sz="8" w:color="auto"/>
            </w:tcBorders>
            <w:gridSpan w:val="2"/>
          </w:tcPr>
          <w:p>
            <w:pPr>
              <w:ind w:left="180"/>
              <w:spacing w:after="0" w:line="155"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3,424,991</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343</w:t>
            </w: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5,184,300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9,860,338</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9"/>
              </w:rPr>
              <w:t>(4,861,190)</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5,000,009</w:t>
            </w:r>
          </w:p>
        </w:tc>
        <w:tc>
          <w:tcPr>
            <w:tcW w:w="0" w:type="dxa"/>
            <w:vAlign w:val="bottom"/>
          </w:tcPr>
          <w:p>
            <w:pPr>
              <w:spacing w:after="0"/>
              <w:rPr>
                <w:sz w:val="1"/>
                <w:szCs w:val="1"/>
                <w:color w:val="auto"/>
              </w:rPr>
            </w:pP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rPr>
              <w:t>Change in value of Class A Ordinary Shares</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subject to possible redemption</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3,367,161</w:t>
            </w:r>
          </w:p>
        </w:tc>
        <w:tc>
          <w:tcPr>
            <w:tcW w:w="140" w:type="dxa"/>
            <w:vAlign w:val="bottom"/>
          </w:tcPr>
          <w:p>
            <w:pPr>
              <w:spacing w:after="0"/>
              <w:rPr>
                <w:sz w:val="20"/>
                <w:szCs w:val="20"/>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336</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33,671,274</w:t>
            </w:r>
          </w:p>
        </w:tc>
        <w:tc>
          <w:tcPr>
            <w:tcW w:w="10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33,671,610</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(33,671,616)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(33,671,616)</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b w:val="1"/>
                <w:bCs w:val="1"/>
                <w:color w:val="auto"/>
              </w:rPr>
              <w:t>Balance – March 31, 2021</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6,792,152</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679</w:t>
            </w:r>
          </w:p>
        </w:tc>
        <w:tc>
          <w:tcPr>
            <w:tcW w:w="3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5,184,300</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518</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43,531,612</w:t>
            </w: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(38,532,806)</w:t>
            </w:r>
          </w:p>
        </w:tc>
        <w:tc>
          <w:tcPr>
            <w:tcW w:w="3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5,000,003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value of Class A Ordinary Shares</w:t>
            </w: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subject to possible redemption</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(2,126,966)</w:t>
            </w: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(212)</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(21,269,448)</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(21,269,660)</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21,269,658</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21,269,658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30, 2021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4,665,186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467</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5,184,300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22,262,164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0"/>
              </w:rPr>
              <w:t>(17,263,148)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5,000,001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86"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00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700" w:type="dxa"/>
            <w:vAlign w:val="bottom"/>
          </w:tcPr>
          <w:p>
            <w:pPr>
              <w:jc w:val="center"/>
              <w:ind w:right="70"/>
              <w:spacing w:after="0"/>
              <w:rPr>
                <w:sz w:val="20"/>
                <w:szCs w:val="20"/>
                <w:color w:val="auto"/>
              </w:rPr>
            </w:pPr>
            <w:r>
              <w:rPr>
                <w:rFonts w:ascii="Arial" w:cs="Arial" w:eastAsia="Arial" w:hAnsi="Arial"/>
                <w:sz w:val="18"/>
                <w:szCs w:val="18"/>
                <w:b w:val="1"/>
                <w:bCs w:val="1"/>
                <w:color w:val="auto"/>
              </w:rPr>
              <w:t>VPC IMPACT ACQUISITION HOLDINGS</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7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UNAUDITED CONDENSED CONSOLIDATED STATEMENT OF CASH FLOWS</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70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FOR THE SIX MONTHS ENDED JUNE 30, 2021</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20" w:type="dxa"/>
            <w:vAlign w:val="bottom"/>
          </w:tcPr>
          <w:p>
            <w:pPr>
              <w:spacing w:after="0"/>
              <w:rPr>
                <w:sz w:val="18"/>
                <w:szCs w:val="18"/>
                <w:color w:val="auto"/>
              </w:rPr>
            </w:pPr>
          </w:p>
        </w:tc>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(12,401,958)</w:t>
            </w:r>
          </w:p>
        </w:tc>
      </w:tr>
      <w:tr>
        <w:trPr>
          <w:trHeight w:val="216"/>
        </w:trPr>
        <w:tc>
          <w:tcPr>
            <w:tcW w:w="120" w:type="dxa"/>
            <w:vAlign w:val="bottom"/>
          </w:tcPr>
          <w:p>
            <w:pPr>
              <w:spacing w:after="0"/>
              <w:rPr>
                <w:sz w:val="18"/>
                <w:szCs w:val="18"/>
                <w:color w:val="auto"/>
              </w:rPr>
            </w:pPr>
          </w:p>
        </w:tc>
        <w:tc>
          <w:tcPr>
            <w:tcW w:w="9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940" w:type="dxa"/>
            <w:vAlign w:val="bottom"/>
            <w:gridSpan w:val="2"/>
          </w:tcPr>
          <w:p>
            <w:pPr>
              <w:ind w:left="360"/>
              <w:spacing w:after="0"/>
              <w:rPr>
                <w:sz w:val="20"/>
                <w:szCs w:val="20"/>
                <w:color w:val="auto"/>
              </w:rPr>
            </w:pPr>
            <w:r>
              <w:rPr>
                <w:rFonts w:ascii="Arial" w:cs="Arial" w:eastAsia="Arial" w:hAnsi="Arial"/>
                <w:sz w:val="18"/>
                <w:szCs w:val="18"/>
                <w:color w:val="auto"/>
              </w:rPr>
              <w:t>Interest earned on marketable securities held in Trust Account</w:t>
            </w:r>
          </w:p>
        </w:tc>
        <w:tc>
          <w:tcPr>
            <w:tcW w:w="8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(17,229)</w:t>
            </w:r>
          </w:p>
        </w:tc>
      </w:tr>
      <w:tr>
        <w:trPr>
          <w:trHeight w:val="216"/>
        </w:trPr>
        <w:tc>
          <w:tcPr>
            <w:tcW w:w="120" w:type="dxa"/>
            <w:vAlign w:val="bottom"/>
          </w:tcPr>
          <w:p>
            <w:pPr>
              <w:spacing w:after="0"/>
              <w:rPr>
                <w:sz w:val="18"/>
                <w:szCs w:val="18"/>
                <w:color w:val="auto"/>
              </w:rPr>
            </w:pPr>
          </w:p>
        </w:tc>
        <w:tc>
          <w:tcPr>
            <w:tcW w:w="9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8,842,864</w:t>
            </w: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940" w:type="dxa"/>
            <w:vAlign w:val="bottom"/>
            <w:gridSpan w:val="2"/>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9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49,000</w:t>
            </w:r>
          </w:p>
        </w:tc>
      </w:tr>
      <w:tr>
        <w:trPr>
          <w:trHeight w:val="223"/>
        </w:trPr>
        <w:tc>
          <w:tcPr>
            <w:tcW w:w="120" w:type="dxa"/>
            <w:vAlign w:val="bottom"/>
          </w:tcPr>
          <w:p>
            <w:pPr>
              <w:spacing w:after="0"/>
              <w:rPr>
                <w:sz w:val="19"/>
                <w:szCs w:val="19"/>
                <w:color w:val="auto"/>
              </w:rPr>
            </w:pPr>
          </w:p>
        </w:tc>
        <w:tc>
          <w:tcPr>
            <w:tcW w:w="9940" w:type="dxa"/>
            <w:vAlign w:val="bottom"/>
            <w:gridSpan w:val="2"/>
          </w:tcPr>
          <w:p>
            <w:pPr>
              <w:ind w:left="72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3,210,816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9940" w:type="dxa"/>
            <w:vAlign w:val="bottom"/>
            <w:gridSpan w:val="2"/>
            <w:shd w:val="clear" w:color="auto" w:fill="CCEEFF"/>
          </w:tcPr>
          <w:p>
            <w:pPr>
              <w:ind w:left="1080"/>
              <w:spacing w:after="0"/>
              <w:rPr>
                <w:sz w:val="20"/>
                <w:szCs w:val="20"/>
                <w:color w:val="auto"/>
              </w:rPr>
            </w:pPr>
            <w:r>
              <w:rPr>
                <w:rFonts w:ascii="Arial" w:cs="Arial" w:eastAsia="Arial" w:hAnsi="Arial"/>
                <w:sz w:val="18"/>
                <w:szCs w:val="18"/>
                <w:b w:val="1"/>
                <w:bCs w:val="1"/>
                <w:color w:val="auto"/>
              </w:rPr>
              <w:t>Net cash (used in) operating activities</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(316,507)</w:t>
            </w:r>
          </w:p>
        </w:tc>
      </w:tr>
      <w:tr>
        <w:trPr>
          <w:trHeight w:val="216"/>
        </w:trPr>
        <w:tc>
          <w:tcPr>
            <w:tcW w:w="12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Net Change in Cash</w:t>
            </w:r>
          </w:p>
        </w:tc>
        <w:tc>
          <w:tcPr>
            <w:tcW w:w="8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(316,507)</w:t>
            </w:r>
          </w:p>
        </w:tc>
      </w:tr>
      <w:tr>
        <w:trPr>
          <w:trHeight w:val="216"/>
        </w:trPr>
        <w:tc>
          <w:tcPr>
            <w:tcW w:w="120" w:type="dxa"/>
            <w:vAlign w:val="bottom"/>
          </w:tcPr>
          <w:p>
            <w:pPr>
              <w:spacing w:after="0"/>
              <w:rPr>
                <w:sz w:val="18"/>
                <w:szCs w:val="18"/>
                <w:color w:val="auto"/>
              </w:rPr>
            </w:pPr>
          </w:p>
        </w:tc>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 Beginning of period</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1,177,678</w:t>
            </w:r>
          </w:p>
        </w:tc>
        <w:tc>
          <w:tcPr>
            <w:tcW w:w="100" w:type="dxa"/>
            <w:vAlign w:val="bottom"/>
            <w:shd w:val="clear" w:color="auto" w:fill="CCEEFF"/>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Cash –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861,171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Change in value of Class A ordinary shares subject to possible redemption</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(12,401,950)</w:t>
            </w: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73"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2560"/>
        <w:spacing w:after="0" w:line="275" w:lineRule="auto"/>
        <w:rPr>
          <w:sz w:val="20"/>
          <w:szCs w:val="20"/>
          <w:color w:val="auto"/>
        </w:rPr>
      </w:pPr>
      <w:r>
        <w:rPr>
          <w:rFonts w:ascii="Arial" w:cs="Arial" w:eastAsia="Arial" w:hAnsi="Arial"/>
          <w:sz w:val="18"/>
          <w:szCs w:val="18"/>
          <w:b w:val="1"/>
          <w:bCs w:val="1"/>
          <w:color w:val="auto"/>
        </w:rPr>
        <w:t>VPC IMPACT ACQUISITION HOLDINGS NOTES TO CONDENSED CONSOLIDATED FINANCIAL STATEMENTS JUNE 30, 2021</w:t>
      </w:r>
    </w:p>
    <w:p>
      <w:pPr>
        <w:spacing w:after="0" w:line="3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1—DESCRIPTION OF ORGANIZATION AND BUSINESS OPERATIONS</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VPC Impact Acquisition Holdings (the “Company”) is a blank check company incorporated as a Cayman Islands exempted company on July 31, 2020. The Company was incorporated for the purpose of effecting a merger, share exchange, asset acquisition, share purchase, reorganization or similar business combination with one or more businesses or entities (a “Business Combination”).</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On January 11, 2021, the Company entered into an Agreement and Plan of Merger (the “Merger Agreement”), with Pylon Merger Company LLC, a Delaware limited liability company and a direct wholly owned subsidiary of the Company (“Merger Sub”), and Bakkt Holdings, LLC, a Delaware limited liability company (“Bakkt”), a transformative digital asset marketplace launched in 2018 by Intercontinental Exchange, Inc. (“ICE”) and a group of investors and strategic partners (see Note 6).</w:t>
      </w:r>
    </w:p>
    <w:p>
      <w:pPr>
        <w:spacing w:after="0" w:line="18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2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As of June 30, 2021, the Company had not commenced any operations. All activity from inception through June 30, 2021 relates to the Company’s formation, its initial public offering (“Initial Public Offering”), which is described below, and subsequent to the Initial Public Offering, identifying a target company for a Business Combination.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188"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The registration statement for the Company’s Initial Public Offering was declared effective on September 22, 2020. On September 25, 2020 the Company consummated the Initial Public Offering of 20,000,000 units (the “Units” and, with respect to the Class A ordinary shares included in the Units sold, the “Public Shares”), generating gross proceeds of $200,000,000 which is described in Note 3.</w:t>
      </w:r>
    </w:p>
    <w:p>
      <w:pPr>
        <w:spacing w:after="0" w:line="16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6,000,000 warrants (the “Private Placement Warrants”) at a price of $1.00 per Private Placement Warrant in a private placement to VPC Impact Acquisition Holdings Sponsor, LLC (the “Sponsor”), generating gross proceeds of $6,000,000, which is described in Note 4.</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September 29, 2020, the underwriters notified the Company of their intention to partially exercise their over-allotment option on October 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2020. As such, on October 1, 2020, the Company consummated the sale of an additional 737,202 Units, at $10.00 per Unit, and the sale of an additional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147,440 Private Placement Warrants, at $1.00 per Private Warrant, generating total gross proceeds of $7,519,460.</w:t>
      </w:r>
    </w:p>
    <w:p>
      <w:pPr>
        <w:spacing w:after="0" w:line="21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Transaction costs charged to equity amounted to $11,906,606, consisting of $4,147,440 of underwriting fees, $7,258,021 of deferred underwriting fees and $501,145 of other offering costs.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Following the closing of the Initial Public Offering on September 25, 2020 and the partial exercise of the underwriter’s over-allotment 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October 1, 2020, an amount of $207,372,020 ($10.00 per Unit) from the net proceeds of the sale of the Units in the Initial Public Offering and the sale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Private Placement Warrants was placed in a trust account (the “Trust Account”) and invested in U.S. government securities, within the meaning set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forth in Section 2(a)(16) of the Investment Company Act of 1940, as amended (the “Investment Company Act”), with a maturity of 185 days or less,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any open-ended investment company that holds itself out as a money market fund investing solely in U.S. Treasuries and meeting certain conditions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 Rule 2a-7 of the Investment Company Act, as determined by the Company, until the earliest of: (i) the completion of a Business Combination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(ii) the distribution of the funds in the Trust Account to the Company’s shareholders, as described below.</w:t>
      </w:r>
    </w:p>
    <w:p>
      <w:pPr>
        <w:spacing w:after="0" w:line="211"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 stock exchange listing rules require that the Business Combination must be with one or more operating businesses or assets with a fair market value equal to at least 80% of the assets held in the Trust Account (excluding the deferred underwriting commissions and taxes payable on the interest earned on the Trust Account).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There is no assurance that the Company will be able to successfully effect a Business Combination.</w:t>
      </w:r>
    </w:p>
    <w:p>
      <w:pPr>
        <w:spacing w:after="0" w:line="178"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The Company will provide the holders of the public shares (the “Public Shareholders”) with the opportunity to redeem all or a portion of their public shares upon the completion of the Business Combination, either (i) in connection with a general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equal to the aggregate amount then on deposit in the Trust Account, calculated as of two business days prior to the consummation of the Business Combination (initially $10.00 per Public Share), including interest (which interest shall be net of taxes payable), divided by the number of then issued and outstanding public shares, subject to certain limitations as described in the prospectus. The per-share amount to be distributed to the Public Shareholders who properly redeem their shares will not be reduced by the deferred underwriting commissions the Company will pay to the underwriters (as discussed in Note 6). There will be no redemption rights upon the completion of a Business Combination with respect to the Company’s warrants.</w:t>
      </w:r>
    </w:p>
    <w:p>
      <w:pPr>
        <w:sectPr>
          <w:pgSz w:w="11900" w:h="16838" w:orient="portrait"/>
          <w:cols w:equalWidth="0" w:num="1">
            <w:col w:w="11120"/>
          </w:cols>
          <w:pgMar w:left="320" w:top="486" w:right="459" w:bottom="1041" w:gutter="0" w:footer="0" w:header="0"/>
        </w:sectPr>
      </w:pP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120"/>
          </w:cols>
          <w:pgMar w:left="320" w:top="486" w:right="459" w:bottom="1041"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2560"/>
        <w:spacing w:after="0" w:line="275" w:lineRule="auto"/>
        <w:rPr>
          <w:sz w:val="20"/>
          <w:szCs w:val="20"/>
          <w:color w:val="auto"/>
        </w:rPr>
      </w:pPr>
      <w:r>
        <w:rPr>
          <w:rFonts w:ascii="Arial" w:cs="Arial" w:eastAsia="Arial" w:hAnsi="Arial"/>
          <w:sz w:val="18"/>
          <w:szCs w:val="18"/>
          <w:b w:val="1"/>
          <w:bCs w:val="1"/>
          <w:color w:val="auto"/>
        </w:rPr>
        <w:t>VPC IMPACT ACQUISITION HOLDINGS NOTES TO CONDENSED CONSOLIDATED FINANCIAL STATEMENTS JUNE 30, 2021</w:t>
      </w:r>
    </w:p>
    <w:p>
      <w:pPr>
        <w:spacing w:after="0" w:line="326"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U.S.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Sponsor has agreed to vote its Founder Shares (as defined in Note 5) and any Public Shares purchased during or after the Initial Public Offering in favor of approving a Business Combination. Additionally, each Public Shareholder may elect to redeem their Public Shares, without voting, and if they do vote, irrespective of whether they vote for or against a proposed Business Combination.</w:t>
      </w:r>
    </w:p>
    <w:p>
      <w:pPr>
        <w:spacing w:after="0" w:line="16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Notwithstanding the foregoing, if the Company seeks shareholder approval of the Business Combination and the Company does not conduct redemptions pursuant to the tender offer rules,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w:t>
      </w:r>
    </w:p>
    <w:p>
      <w:pPr>
        <w:spacing w:after="0" w:line="188"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The Sponsor has agreed (a) to waive its redemption rights with respect to any Founder Shares and Public Shares held by it in connection with the completion of a Business Combination and (b) not to propose an amendment to the Amended and Restated Memorandum and Articles of Association</w:t>
      </w:r>
    </w:p>
    <w:p>
      <w:pPr>
        <w:ind w:left="120" w:right="120" w:hanging="4"/>
        <w:spacing w:after="0" w:line="270" w:lineRule="auto"/>
        <w:tabs>
          <w:tab w:leader="none" w:pos="335"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modify the substance or timing of the Company’s obligation to allow redemption in connection with the Company’s initial Business Combination or to redeem 100% of the Public Shares if the Company does not complete a Business Combination within the Combination Period (as defined below) or (ii) with respect to any other provision relating to shareholders’ rights or pre-initial business combination activity, unless the Company provides the Public Shareholders with the opportunity to redeem their Public Shares upon approval of any such amendment at a per-share price, payable in cash, equal to the aggregate amount then on deposit in the Trust Account, including interest earned on the Trust Account and not previously released to pay taxes, divided by the number of then issued and outstanding Public Shares.</w:t>
      </w:r>
    </w:p>
    <w:p>
      <w:pPr>
        <w:spacing w:after="0" w:line="178"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The Company will have until September 25, 2022 to consummate a Business Combination (the “Combination Period”). However, if the Company has not completed a Business Combination within the Combination Period, the Company will (i) cease all operations except for the purpose of winding up, (ii) as promptly as reasonably possible but not more than ten business days thereafter, redeem 100% of the Public Shares, at a per-share price, payable in cash, equal to the aggregate amount then on deposit in the Trust Account, including interest earned and not previously released to the Company to pay its taxes, if any (less up to $100,000 of interest to pay dissolution expenses), divided by the number of then issued and outstanding Public Shares, which redemption will completely extinguish the rights of the Public Shareholders as shareholders (including the right to receive further liquidating distributions, if any), and (iii) as promptly as reasonably possible following such redemption, subject to the approval of the Company’s remaining Public Shareholders and its Board of Directors, liquidate and dissolve, subject in each case to the Company’s obligations under Cayman Islands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9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Sponsor has agreed to waive its rights to liquidating distributions from the Trust Account with respect to the Founder Shares it will receive if the Company fails to complete a Business Combination within the Combination Period. However, if the Sponsor or any of its respective affiliates acquire Public Shares, such Public Shares will be entitled to liquidating distributions from the Trust Account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9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order to protect the amounts held in the Trust Account, the Sponsor has agreed that it will be liable to the Company if and to the extent any claims by a third party (other than the Company’s independent registered public accounting firm) for services rendered or products sold to the Company, or a prospective target business with which the Company has discussed entering into a transaction agreement, reduce the amount of funds in the Trust Account to below the lesser of (1) $10.00 per Public Share and (2) the actual amount per Public Share held in the Trust Account as of the date of the liquidation of the Trust Account, if less than $10.00 per Public Share, due to reductions in the value of trust assets, in each case net of the interest that may be withdrawn to pay taxes. This liability will not apply to any claims by a third party who executed a waiver of any and all rights to seek access to the Trust Account and as to any claims under the Company’s indemnity of the underwriters of the Initial</w:t>
      </w:r>
    </w:p>
    <w:p>
      <w:pPr>
        <w:sectPr>
          <w:pgSz w:w="11900" w:h="16838" w:orient="portrait"/>
          <w:cols w:equalWidth="0" w:num="1">
            <w:col w:w="11120"/>
          </w:cols>
          <w:pgMar w:left="320" w:top="486" w:right="459" w:bottom="1440" w:gutter="0" w:footer="0" w:header="0"/>
        </w:sectPr>
      </w:pP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20"/>
          </w:cols>
          <w:pgMar w:left="320" w:top="486" w:right="4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2560"/>
        <w:spacing w:after="0" w:line="275" w:lineRule="auto"/>
        <w:rPr>
          <w:sz w:val="20"/>
          <w:szCs w:val="20"/>
          <w:color w:val="auto"/>
        </w:rPr>
      </w:pPr>
      <w:r>
        <w:rPr>
          <w:rFonts w:ascii="Arial" w:cs="Arial" w:eastAsia="Arial" w:hAnsi="Arial"/>
          <w:sz w:val="18"/>
          <w:szCs w:val="18"/>
          <w:b w:val="1"/>
          <w:bCs w:val="1"/>
          <w:color w:val="auto"/>
        </w:rPr>
        <w:t>VPC IMPACT ACQUISITION HOLDINGS NOTES TO CONDENSED CONSOLIDATED FINANCIAL STATEMENTS JUNE 30, 2021</w:t>
      </w:r>
    </w:p>
    <w:p>
      <w:pPr>
        <w:spacing w:after="0" w:line="32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11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As of June 30, 2021, the Company had approximately $861,000 in its operating bank accounts and working capital deficit of approximately $3.1 million.</w:t>
      </w:r>
    </w:p>
    <w:p>
      <w:pPr>
        <w:spacing w:after="0" w:line="170"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Prior to the completion of the Initial Public Offering, the Company’s liquidity needs had been satisfied through a contribution of $25,000 from Sponsor to cover for certain formation and offering costs in exchange for the issuance of the Founder Shares, the loan of up to $300,000 from the Sponsor pursuant to the Note (see Note 5), and the proceeds from the consummation of the Private Placement not held in the Trust Account. The Note was repaid on September 25, 2020. In addition, in order to finance transaction costs in connection with a Business Combination, the Sponsor or an affiliate of the Sponsor, or certain of the Company’s officers and directors may, but are not obligated to, provide the Company Working Capital Loans (see Note 5). As of June 30, 2021 and December 31, 2020, there were no amounts outstanding under any Working Capital Loan.</w:t>
      </w:r>
    </w:p>
    <w:p>
      <w:pPr>
        <w:spacing w:after="0" w:line="16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the Business Combination is not consummated, the Company will need to raise additional capital through loans or additional investments from its Sponsor, stockholders, officers, directors, or third parties.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These conditions raise substantial doubt about the Company’s ability to continue as a going concern through one year from the date of these financial statements if a Business Combination is not consummated. These financial statements do not include any adjustments relating to the recovery of the recorded assets or the classification of the liabilities that might be necessary should the Company be unable to continue as a going concern.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(“GAAP”) for interim financial information and in accordance with the instructions to Form 10-Q and Article 8 of Regulation S-X of the U.S.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spacing w:after="0" w:line="178"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accompanying unaudited condensed consolidated financial statements should be read in conjunction with the Company’s Annual Report on Form 10-K/A as filed with the SEC on May 21, 2021. The interim results for the three and six months ended June 30, 2021 are not necessarily indicative of the results to be expected for the period ending December 31, 2021 or for any future interim periods.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subsidiary. All significant intercompany balances and transactions have been eliminated in consolidation.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78"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w:t>
      </w:r>
    </w:p>
    <w:p>
      <w:pPr>
        <w:sectPr>
          <w:pgSz w:w="11900" w:h="16838" w:orient="portrait"/>
          <w:cols w:equalWidth="0" w:num="1">
            <w:col w:w="11120"/>
          </w:cols>
          <w:pgMar w:left="320" w:top="486" w:right="459" w:bottom="0" w:gutter="0" w:footer="0" w:header="0"/>
        </w:sectPr>
      </w:pPr>
    </w:p>
    <w:bookmarkStart w:id="10" w:name="page11"/>
    <w:bookmarkEnd w:id="10"/>
    <w:p>
      <w:pPr>
        <w:spacing w:after="0" w:line="291" w:lineRule="auto"/>
        <w:rPr>
          <w:sz w:val="20"/>
          <w:szCs w:val="20"/>
          <w:color w:val="auto"/>
        </w:rPr>
      </w:pPr>
      <w:r>
        <w:rPr>
          <w:rFonts w:ascii="Arial" w:cs="Arial" w:eastAsia="Arial" w:hAnsi="Arial"/>
          <w:sz w:val="16"/>
          <w:szCs w:val="16"/>
          <w:color w:val="auto"/>
        </w:rPr>
        <w:t>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00"/>
          </w:cols>
          <w:pgMar w:left="440" w:top="125" w:right="6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2560"/>
        <w:spacing w:after="0" w:line="275" w:lineRule="auto"/>
        <w:rPr>
          <w:sz w:val="20"/>
          <w:szCs w:val="20"/>
          <w:color w:val="auto"/>
        </w:rPr>
      </w:pPr>
      <w:r>
        <w:rPr>
          <w:rFonts w:ascii="Arial" w:cs="Arial" w:eastAsia="Arial" w:hAnsi="Arial"/>
          <w:sz w:val="18"/>
          <w:szCs w:val="18"/>
          <w:b w:val="1"/>
          <w:bCs w:val="1"/>
          <w:color w:val="auto"/>
        </w:rPr>
        <w:t>VPC IMPACT ACQUISITION HOLDINGS NOTES TO CONDENSED CONSOLIDATED FINANCIAL STATEMENTS JUNE 30, 2021</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3" w:lineRule="exact"/>
        <w:rPr>
          <w:sz w:val="20"/>
          <w:szCs w:val="20"/>
          <w:color w:val="auto"/>
        </w:rPr>
      </w:pPr>
    </w:p>
    <w:p>
      <w:pPr>
        <w:jc w:val="both"/>
        <w:ind w:left="180" w:firstLine="440"/>
        <w:spacing w:after="0" w:line="286" w:lineRule="auto"/>
        <w:rPr>
          <w:sz w:val="20"/>
          <w:szCs w:val="20"/>
          <w:color w:val="auto"/>
        </w:rPr>
      </w:pPr>
      <w:r>
        <w:rPr>
          <w:rFonts w:ascii="Arial" w:cs="Arial" w:eastAsia="Arial" w:hAnsi="Arial"/>
          <w:sz w:val="17"/>
          <w:szCs w:val="17"/>
          <w:color w:val="auto"/>
        </w:rPr>
        <w:t>The preparation of condensed consolidated financial statements in conformity with GAAP requires the Company’s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w:t>
      </w:r>
    </w:p>
    <w:p>
      <w:pPr>
        <w:spacing w:after="0" w:line="165" w:lineRule="exact"/>
        <w:rPr>
          <w:sz w:val="20"/>
          <w:szCs w:val="20"/>
          <w:color w:val="auto"/>
        </w:rPr>
      </w:pPr>
    </w:p>
    <w:p>
      <w:pPr>
        <w:ind w:left="180" w:right="520" w:firstLine="440"/>
        <w:spacing w:after="0" w:line="259"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Accordingly, the actual results could differ significantly from those estimates.</w:t>
      </w:r>
    </w:p>
    <w:p>
      <w:pPr>
        <w:spacing w:after="0" w:line="187" w:lineRule="exact"/>
        <w:rPr>
          <w:sz w:val="20"/>
          <w:szCs w:val="20"/>
          <w:color w:val="auto"/>
        </w:rPr>
      </w:pPr>
    </w:p>
    <w:p>
      <w:pPr>
        <w:jc w:val="both"/>
        <w:ind w:left="180" w:right="540" w:firstLine="440"/>
        <w:spacing w:after="0" w:line="263" w:lineRule="auto"/>
        <w:rPr>
          <w:sz w:val="20"/>
          <w:szCs w:val="20"/>
          <w:color w:val="auto"/>
        </w:rPr>
      </w:pPr>
      <w:r>
        <w:rPr>
          <w:rFonts w:ascii="Arial" w:cs="Arial" w:eastAsia="Arial" w:hAnsi="Arial"/>
          <w:sz w:val="18"/>
          <w:szCs w:val="18"/>
          <w:color w:val="auto"/>
        </w:rPr>
        <w:t>One of the more significant accounting estimates included in these financial statements is the determination of the fair value of the warrant liabilities. Such estimates may be subject to change as more current information becomes available and accordingly the actual results could differ significantly from those estimates.</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260" w:top="486"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2560"/>
        <w:spacing w:after="0" w:line="275" w:lineRule="auto"/>
        <w:rPr>
          <w:sz w:val="20"/>
          <w:szCs w:val="20"/>
          <w:color w:val="auto"/>
        </w:rPr>
      </w:pPr>
      <w:r>
        <w:rPr>
          <w:rFonts w:ascii="Arial" w:cs="Arial" w:eastAsia="Arial" w:hAnsi="Arial"/>
          <w:sz w:val="18"/>
          <w:szCs w:val="18"/>
          <w:b w:val="1"/>
          <w:bCs w:val="1"/>
          <w:color w:val="auto"/>
        </w:rPr>
        <w:t>VPC IMPACT ACQUISITION HOLDINGS NOTES TO CONDENSED CONSOLIDATED FINANCIAL STATEMENTS JUNE 30, 2021</w:t>
      </w:r>
    </w:p>
    <w:p>
      <w:pPr>
        <w:spacing w:after="0" w:line="32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80" w:right="160" w:firstLine="44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June 30, 2021 and December 31, 2020.</w:t>
      </w:r>
    </w:p>
    <w:p>
      <w:pPr>
        <w:spacing w:after="0" w:line="2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Investments held in Trust Account</w:t>
      </w:r>
    </w:p>
    <w:p>
      <w:pPr>
        <w:spacing w:after="0" w:line="117" w:lineRule="exact"/>
        <w:rPr>
          <w:sz w:val="20"/>
          <w:szCs w:val="20"/>
          <w:color w:val="auto"/>
        </w:rPr>
      </w:pPr>
    </w:p>
    <w:p>
      <w:pPr>
        <w:ind w:left="180" w:right="260" w:firstLine="440"/>
        <w:spacing w:after="0" w:line="296" w:lineRule="auto"/>
        <w:rPr>
          <w:sz w:val="20"/>
          <w:szCs w:val="20"/>
          <w:color w:val="auto"/>
        </w:rPr>
      </w:pPr>
      <w:r>
        <w:rPr>
          <w:rFonts w:ascii="Arial" w:cs="Arial" w:eastAsia="Arial" w:hAnsi="Arial"/>
          <w:sz w:val="16"/>
          <w:szCs w:val="16"/>
          <w:color w:val="auto"/>
        </w:rPr>
        <w:t>The Company’s portfolio of investments held in trust is comprised solely of investments in money market funds that invest in U.S. government securities, or a combination thereof. The Company’s investments held in the Trust Account are classified as trading securities. Trading securities are presented on the balance sheets at fair value at the end of each reporting period. Gains and losses resulting from the change in fair value of these investments are included in interest earned on marketable securities held in Trust Account in the accompanying condensed consolidated statement of operations. The estimated fair values of investments held in the Trust Account are determined using available market information.</w:t>
      </w:r>
    </w:p>
    <w:p>
      <w:pPr>
        <w:spacing w:after="0" w:line="26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117" w:lineRule="exact"/>
        <w:rPr>
          <w:sz w:val="20"/>
          <w:szCs w:val="20"/>
          <w:color w:val="auto"/>
        </w:rPr>
      </w:pPr>
    </w:p>
    <w:p>
      <w:pPr>
        <w:ind w:left="180" w:right="20" w:firstLine="440"/>
        <w:spacing w:after="0" w:line="272"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7" w:lineRule="exact"/>
        <w:rPr>
          <w:sz w:val="20"/>
          <w:szCs w:val="20"/>
          <w:color w:val="auto"/>
        </w:rPr>
      </w:pPr>
    </w:p>
    <w:p>
      <w:pPr>
        <w:ind w:left="180" w:right="40" w:firstLine="440"/>
        <w:spacing w:after="0" w:line="257"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the warrants are recognized as a non-cash gain or loss on the statements of operations. The fair value of the warrants was estimated using a Black-Scholes Option Pricing Model (see Note 9).</w:t>
      </w:r>
    </w:p>
    <w:p>
      <w:pPr>
        <w:spacing w:after="0" w:line="2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Class A Ordinary Shares Subject to Possible Redemption</w:t>
      </w:r>
    </w:p>
    <w:p>
      <w:pPr>
        <w:spacing w:after="0" w:line="117" w:lineRule="exact"/>
        <w:rPr>
          <w:sz w:val="20"/>
          <w:szCs w:val="20"/>
          <w:color w:val="auto"/>
        </w:rPr>
      </w:pPr>
    </w:p>
    <w:p>
      <w:pPr>
        <w:ind w:left="180" w:right="20" w:firstLine="440"/>
        <w:spacing w:after="0" w:line="290" w:lineRule="auto"/>
        <w:rPr>
          <w:sz w:val="20"/>
          <w:szCs w:val="20"/>
          <w:color w:val="auto"/>
        </w:rPr>
      </w:pPr>
      <w:r>
        <w:rPr>
          <w:rFonts w:ascii="Arial" w:cs="Arial" w:eastAsia="Arial" w:hAnsi="Arial"/>
          <w:sz w:val="16"/>
          <w:szCs w:val="16"/>
          <w:color w:val="auto"/>
        </w:rPr>
        <w:t>The Company accounts for its Class A ordinary shares subject to possible redemption in accordance with the guidance in Accounting Standards Codification (“ASC”) Topic 480 “Distinguishing Liabilities from Equity.”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ordinary shares feature certain redemption rights that are considered to be outside of the Company’s control and subject to occurrence of uncertain future events. Accordingly, at June 30, 2021 and December 31, 2020, Class A ordinary shares subject to possible redemption are presented as temporary equity, outside of the shareholders’ equity section of the Company’s condensed consolidated balance sheets.</w:t>
      </w:r>
    </w:p>
    <w:p>
      <w:pPr>
        <w:spacing w:after="0" w:line="2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Offering Costs</w:t>
      </w:r>
    </w:p>
    <w:p>
      <w:pPr>
        <w:spacing w:after="0" w:line="117" w:lineRule="exact"/>
        <w:rPr>
          <w:sz w:val="20"/>
          <w:szCs w:val="20"/>
          <w:color w:val="auto"/>
        </w:rPr>
      </w:pPr>
    </w:p>
    <w:p>
      <w:pPr>
        <w:jc w:val="both"/>
        <w:ind w:left="180" w:firstLine="440"/>
        <w:spacing w:after="0" w:line="286" w:lineRule="auto"/>
        <w:rPr>
          <w:sz w:val="20"/>
          <w:szCs w:val="20"/>
          <w:color w:val="auto"/>
        </w:rPr>
      </w:pPr>
      <w:r>
        <w:rPr>
          <w:rFonts w:ascii="Arial" w:cs="Arial" w:eastAsia="Arial" w:hAnsi="Arial"/>
          <w:sz w:val="17"/>
          <w:szCs w:val="17"/>
          <w:color w:val="auto"/>
        </w:rPr>
        <w:t>Offering costs consist of legal, accounting, underwriting fees and other costs incurred through the Initial Public Offering that are directly related to the Initial Public Offering. Offering costs amounting to $11,906,606, of which $11,138,216 were charged to shareholders’ equity upon the completion of the Initial Public Offering and $768,391 were expensed to the condensed consolidated statement of operations.</w:t>
      </w:r>
    </w:p>
    <w:p>
      <w:pPr>
        <w:spacing w:after="0" w:line="2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80" w:right="20" w:firstLine="440"/>
        <w:spacing w:after="0" w:line="254" w:lineRule="auto"/>
        <w:rPr>
          <w:sz w:val="20"/>
          <w:szCs w:val="20"/>
          <w:color w:val="auto"/>
        </w:rPr>
      </w:pPr>
      <w:r>
        <w:rPr>
          <w:rFonts w:ascii="Arial" w:cs="Arial" w:eastAsia="Arial" w:hAnsi="Arial"/>
          <w:sz w:val="18"/>
          <w:szCs w:val="18"/>
          <w:color w:val="auto"/>
        </w:rPr>
        <w:t>The Company accounts for income taxes under ASC Topic 740, “Income Taxes,” which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June 30, 2021 and December 31, 2020,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95" w:lineRule="exact"/>
        <w:rPr>
          <w:sz w:val="20"/>
          <w:szCs w:val="20"/>
          <w:color w:val="auto"/>
        </w:rPr>
      </w:pPr>
    </w:p>
    <w:p>
      <w:pPr>
        <w:ind w:left="180" w:right="80" w:firstLine="440"/>
        <w:spacing w:after="0" w:line="254" w:lineRule="auto"/>
        <w:rPr>
          <w:sz w:val="20"/>
          <w:szCs w:val="20"/>
          <w:color w:val="auto"/>
        </w:rPr>
      </w:pPr>
      <w:r>
        <w:rPr>
          <w:rFonts w:ascii="Arial" w:cs="Arial" w:eastAsia="Arial" w:hAnsi="Arial"/>
          <w:sz w:val="18"/>
          <w:szCs w:val="18"/>
          <w:color w:val="auto"/>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 The Company does not expect that the total amount of unrecognized tax benefits will materially change over the next twelve months.</w:t>
      </w:r>
    </w:p>
    <w:p>
      <w:pPr>
        <w:spacing w:after="0" w:line="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61595</wp:posOffset>
            </wp:positionV>
            <wp:extent cx="7174865"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2560"/>
        <w:spacing w:after="0" w:line="275" w:lineRule="auto"/>
        <w:rPr>
          <w:sz w:val="20"/>
          <w:szCs w:val="20"/>
          <w:color w:val="auto"/>
        </w:rPr>
      </w:pPr>
      <w:r>
        <w:rPr>
          <w:rFonts w:ascii="Arial" w:cs="Arial" w:eastAsia="Arial" w:hAnsi="Arial"/>
          <w:sz w:val="18"/>
          <w:szCs w:val="18"/>
          <w:b w:val="1"/>
          <w:bCs w:val="1"/>
          <w:color w:val="auto"/>
        </w:rPr>
        <w:t>VPC IMPACT ACQUISITION HOLDINGS NOTES TO CONDENSED CONSOLIDATED FINANCIAL STATEMENTS JUNE 30, 2021</w:t>
      </w:r>
    </w:p>
    <w:p>
      <w:pPr>
        <w:sectPr>
          <w:pgSz w:w="11900" w:h="16838" w:orient="portrait"/>
          <w:cols w:equalWidth="0" w:num="1">
            <w:col w:w="11180"/>
          </w:cols>
          <w:pgMar w:left="260" w:top="486" w:right="459" w:bottom="0" w:gutter="0" w:footer="0" w:header="0"/>
        </w:sectPr>
      </w:pPr>
    </w:p>
    <w:bookmarkStart w:id="13" w:name="page14"/>
    <w:bookmarkEnd w:id="13"/>
    <w:p>
      <w:pPr>
        <w:ind w:left="4"/>
        <w:spacing w:after="0"/>
        <w:rPr>
          <w:sz w:val="20"/>
          <w:szCs w:val="20"/>
          <w:color w:val="auto"/>
        </w:rPr>
      </w:pPr>
      <w:r>
        <w:rPr>
          <w:rFonts w:ascii="Arial" w:cs="Arial" w:eastAsia="Arial" w:hAnsi="Arial"/>
          <w:sz w:val="18"/>
          <w:szCs w:val="18"/>
          <w:b w:val="1"/>
          <w:bCs w:val="1"/>
          <w:i w:val="1"/>
          <w:iCs w:val="1"/>
          <w:color w:val="auto"/>
        </w:rPr>
        <w:t>Net Income (Loss) Per Ordinary Share</w:t>
      </w:r>
    </w:p>
    <w:p>
      <w:pPr>
        <w:spacing w:after="0" w:line="116"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The Company complies with accounting and disclosure requirements of FASB ASC Topic 260, “Earnings Per Share”. Net income (loss) per share is computed by dividing net income (loss) by the weighted average number of ordinary shares outstanding for the period. The calculation of diluted income (loss) per share does not consider the effect of the warrants issued in connection with the (i) Initial Public Offering, and (ii) Private Placement Warrants since the average stock price of the Company’s ordinary shares for the three and six months ended June 30, 2021 was less than the exercise price and therefore, the inclusion of such warrants under the treasury stock method would be anti-dilutive. The warrants are exercisable to purchase 16,516,041 shares of Class A ordinary shares in the aggregate.</w:t>
      </w:r>
    </w:p>
    <w:p>
      <w:pPr>
        <w:spacing w:after="0" w:line="192" w:lineRule="exact"/>
        <w:rPr>
          <w:sz w:val="20"/>
          <w:szCs w:val="20"/>
          <w:color w:val="auto"/>
        </w:rPr>
      </w:pPr>
    </w:p>
    <w:p>
      <w:pPr>
        <w:ind w:left="4" w:right="60" w:firstLine="440"/>
        <w:spacing w:after="0" w:line="254" w:lineRule="auto"/>
        <w:rPr>
          <w:sz w:val="20"/>
          <w:szCs w:val="20"/>
          <w:color w:val="auto"/>
        </w:rPr>
      </w:pPr>
      <w:r>
        <w:rPr>
          <w:rFonts w:ascii="Arial" w:cs="Arial" w:eastAsia="Arial" w:hAnsi="Arial"/>
          <w:sz w:val="18"/>
          <w:szCs w:val="18"/>
          <w:color w:val="auto"/>
        </w:rPr>
        <w:t>The Company’s statement of operations includes a presentation of income (loss) per share for ordinary shares subject to possible redemption in a manner similar to the two-class method of income (loss) per share. Net income per share, basic and diluted, for Class A redeemable ordinary shares is calculated by dividing the interest income earned on the Trust Account of $7,525 and $17,229 for the three and six months ended June 30, 2021 by the weighted average number of Class A redeemable ordinary shares outstanding for the period. Net loss per share, basic and diluted, for Class B non-redeemable ordinary shares is calculated by dividing the net loss, adjusted for income attributable to Class A redeemable ordinary shares of $7,525 and $17.229 by the weighted average number of Class B non-redeemable ordinary shares outstanding for the period. Class B non-redeemable ordinary shares includes the Founder Shares as these shares do not have any redemption features and do not participate in the income earned on the Trust Account.</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following table reflects the calculation of basic and diluted net income (loss) per ordinary share (in dollars, except per share amounts):</w:t>
      </w:r>
    </w:p>
    <w:p>
      <w:pPr>
        <w:spacing w:after="0" w:line="243"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r>
      <w:tr>
        <w:trPr>
          <w:trHeight w:val="148"/>
        </w:trPr>
        <w:tc>
          <w:tcPr>
            <w:tcW w:w="4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June 30,</w:t>
            </w:r>
          </w:p>
        </w:tc>
      </w:tr>
      <w:tr>
        <w:trPr>
          <w:trHeight w:val="171"/>
        </w:trPr>
        <w:tc>
          <w:tcPr>
            <w:tcW w:w="46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Redeemable Class A Ordinary Shares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640" w:type="dxa"/>
            <w:vAlign w:val="bottom"/>
          </w:tcPr>
          <w:p>
            <w:pPr>
              <w:ind w:left="360"/>
              <w:spacing w:after="0" w:line="201" w:lineRule="exact"/>
              <w:rPr>
                <w:sz w:val="20"/>
                <w:szCs w:val="20"/>
                <w:color w:val="auto"/>
              </w:rPr>
            </w:pPr>
            <w:r>
              <w:rPr>
                <w:rFonts w:ascii="Arial" w:cs="Arial" w:eastAsia="Arial" w:hAnsi="Arial"/>
                <w:sz w:val="18"/>
                <w:szCs w:val="18"/>
                <w:color w:val="auto"/>
                <w:w w:val="97"/>
              </w:rPr>
              <w:t>Numerator: Earnings allocable to Redeemable Class A</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4640" w:type="dxa"/>
            <w:vAlign w:val="bottom"/>
          </w:tcPr>
          <w:p>
            <w:pPr>
              <w:ind w:left="540"/>
              <w:spacing w:after="0"/>
              <w:rPr>
                <w:sz w:val="20"/>
                <w:szCs w:val="20"/>
                <w:color w:val="auto"/>
              </w:rPr>
            </w:pPr>
            <w:r>
              <w:rPr>
                <w:rFonts w:ascii="Arial" w:cs="Arial" w:eastAsia="Arial" w:hAnsi="Arial"/>
                <w:sz w:val="18"/>
                <w:szCs w:val="18"/>
                <w:color w:val="auto"/>
              </w:rPr>
              <w:t>Ordinary Shares Interest Income</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7,525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17,229</w:t>
            </w:r>
          </w:p>
        </w:tc>
      </w:tr>
      <w:tr>
        <w:trPr>
          <w:trHeight w:val="216"/>
        </w:trPr>
        <w:tc>
          <w:tcPr>
            <w:tcW w:w="4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Redeemable Net Earnings</w:t>
            </w:r>
          </w:p>
        </w:tc>
        <w:tc>
          <w:tcPr>
            <w:tcW w:w="5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17,229</w:t>
            </w:r>
          </w:p>
        </w:tc>
        <w:tc>
          <w:tcPr>
            <w:tcW w:w="100" w:type="dxa"/>
            <w:vAlign w:val="bottom"/>
            <w:shd w:val="clear" w:color="auto" w:fill="CCEEFF"/>
          </w:tcPr>
          <w:p>
            <w:pPr>
              <w:spacing w:after="0"/>
              <w:rPr>
                <w:sz w:val="18"/>
                <w:szCs w:val="18"/>
                <w:color w:val="auto"/>
              </w:rPr>
            </w:pPr>
          </w:p>
        </w:tc>
      </w:tr>
      <w:tr>
        <w:trPr>
          <w:trHeight w:val="202"/>
        </w:trPr>
        <w:tc>
          <w:tcPr>
            <w:tcW w:w="4640" w:type="dxa"/>
            <w:vAlign w:val="bottom"/>
          </w:tcPr>
          <w:p>
            <w:pPr>
              <w:ind w:left="360"/>
              <w:spacing w:after="0" w:line="201" w:lineRule="exact"/>
              <w:rPr>
                <w:sz w:val="20"/>
                <w:szCs w:val="20"/>
                <w:color w:val="auto"/>
              </w:rPr>
            </w:pPr>
            <w:r>
              <w:rPr>
                <w:rFonts w:ascii="Arial" w:cs="Arial" w:eastAsia="Arial" w:hAnsi="Arial"/>
                <w:sz w:val="18"/>
                <w:szCs w:val="18"/>
                <w:color w:val="auto"/>
                <w:w w:val="97"/>
              </w:rPr>
              <w:t>Denominator: Weighted Average Redeemable Class A</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40" w:type="dxa"/>
            <w:vAlign w:val="bottom"/>
          </w:tcPr>
          <w:p>
            <w:pPr>
              <w:ind w:left="540"/>
              <w:spacing w:after="0"/>
              <w:rPr>
                <w:sz w:val="20"/>
                <w:szCs w:val="20"/>
                <w:color w:val="auto"/>
              </w:rPr>
            </w:pPr>
            <w:r>
              <w:rPr>
                <w:rFonts w:ascii="Arial" w:cs="Arial" w:eastAsia="Arial" w:hAnsi="Arial"/>
                <w:sz w:val="18"/>
                <w:szCs w:val="18"/>
                <w:color w:val="auto"/>
                <w:w w:val="91"/>
              </w:rPr>
              <w:t>Ordinary Shares Redeemable Class A Ordinary Shares,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640" w:type="dxa"/>
            <w:vAlign w:val="bottom"/>
          </w:tcPr>
          <w:p>
            <w:pPr>
              <w:ind w:left="540"/>
              <w:spacing w:after="0"/>
              <w:rPr>
                <w:sz w:val="20"/>
                <w:szCs w:val="20"/>
                <w:color w:val="auto"/>
              </w:rPr>
            </w:pPr>
            <w:r>
              <w:rPr>
                <w:rFonts w:ascii="Arial" w:cs="Arial" w:eastAsia="Arial" w:hAnsi="Arial"/>
                <w:sz w:val="18"/>
                <w:szCs w:val="18"/>
                <w:color w:val="auto"/>
              </w:rPr>
              <w:t>Basic and Diluted</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20,737,202</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20,737,202</w:t>
            </w:r>
          </w:p>
        </w:tc>
      </w:tr>
      <w:tr>
        <w:trPr>
          <w:trHeight w:val="202"/>
        </w:trPr>
        <w:tc>
          <w:tcPr>
            <w:tcW w:w="46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88"/>
              </w:rPr>
              <w:t>Basic and diluted earnings per share – Redeemable Class A</w:t>
            </w:r>
          </w:p>
        </w:tc>
        <w:tc>
          <w:tcPr>
            <w:tcW w:w="5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0"/>
        </w:trPr>
        <w:tc>
          <w:tcPr>
            <w:tcW w:w="4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Ordinary Shares</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40" w:type="dxa"/>
            <w:vAlign w:val="bottom"/>
            <w:shd w:val="clear" w:color="auto" w:fill="CCEEFF"/>
          </w:tcPr>
          <w:p>
            <w:pPr>
              <w:spacing w:after="0"/>
              <w:rPr>
                <w:sz w:val="23"/>
                <w:szCs w:val="23"/>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r>
      <w:tr>
        <w:trPr>
          <w:trHeight w:val="210"/>
        </w:trPr>
        <w:tc>
          <w:tcPr>
            <w:tcW w:w="46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Non-Redeemable Class B Ordinary Shares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640" w:type="dxa"/>
            <w:vAlign w:val="bottom"/>
          </w:tcPr>
          <w:p>
            <w:pPr>
              <w:ind w:left="360"/>
              <w:spacing w:after="0" w:line="201" w:lineRule="exact"/>
              <w:rPr>
                <w:sz w:val="20"/>
                <w:szCs w:val="20"/>
                <w:color w:val="auto"/>
              </w:rPr>
            </w:pPr>
            <w:r>
              <w:rPr>
                <w:rFonts w:ascii="Arial" w:cs="Arial" w:eastAsia="Arial" w:hAnsi="Arial"/>
                <w:sz w:val="18"/>
                <w:szCs w:val="18"/>
                <w:color w:val="auto"/>
                <w:w w:val="97"/>
              </w:rPr>
              <w:t>Numerator: Net Income (Loss) minus Redeemable Net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640" w:type="dxa"/>
            <w:vAlign w:val="bottom"/>
          </w:tcPr>
          <w:p>
            <w:pPr>
              <w:ind w:left="540"/>
              <w:spacing w:after="0"/>
              <w:rPr>
                <w:sz w:val="20"/>
                <w:szCs w:val="20"/>
                <w:color w:val="auto"/>
              </w:rPr>
            </w:pPr>
            <w:r>
              <w:rPr>
                <w:rFonts w:ascii="Arial" w:cs="Arial" w:eastAsia="Arial" w:hAnsi="Arial"/>
                <w:sz w:val="18"/>
                <w:szCs w:val="18"/>
                <w:color w:val="auto"/>
              </w:rPr>
              <w:t>Earnings Net Income (Loss)</w:t>
            </w:r>
          </w:p>
        </w:tc>
        <w:tc>
          <w:tcPr>
            <w:tcW w:w="8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21,269,658</w:t>
            </w:r>
          </w:p>
        </w:tc>
        <w:tc>
          <w:tcPr>
            <w:tcW w:w="340" w:type="dxa"/>
            <w:vAlign w:val="bottom"/>
          </w:tcPr>
          <w:p>
            <w:pPr>
              <w:spacing w:after="0"/>
              <w:rPr>
                <w:sz w:val="20"/>
                <w:szCs w:val="20"/>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(12,401,958)</w:t>
            </w:r>
          </w:p>
        </w:tc>
      </w:tr>
      <w:tr>
        <w:trPr>
          <w:trHeight w:val="216"/>
        </w:trPr>
        <w:tc>
          <w:tcPr>
            <w:tcW w:w="4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Redeemable Net Earnings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(7,525)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(17,229)</w:t>
            </w:r>
          </w:p>
        </w:tc>
      </w:tr>
      <w:tr>
        <w:trPr>
          <w:trHeight w:val="27"/>
        </w:trPr>
        <w:tc>
          <w:tcPr>
            <w:tcW w:w="46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40" w:type="dxa"/>
            <w:vAlign w:val="bottom"/>
          </w:tcPr>
          <w:p>
            <w:pPr>
              <w:ind w:left="1080"/>
              <w:spacing w:after="0"/>
              <w:rPr>
                <w:sz w:val="20"/>
                <w:szCs w:val="20"/>
                <w:color w:val="auto"/>
              </w:rPr>
            </w:pPr>
            <w:r>
              <w:rPr>
                <w:rFonts w:ascii="Arial" w:cs="Arial" w:eastAsia="Arial" w:hAnsi="Arial"/>
                <w:sz w:val="18"/>
                <w:szCs w:val="18"/>
                <w:color w:val="auto"/>
              </w:rPr>
              <w:t>Non-Redeemable Net Income (Loss)</w:t>
            </w:r>
          </w:p>
        </w:tc>
        <w:tc>
          <w:tcPr>
            <w:tcW w:w="8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21,262,133</w:t>
            </w:r>
          </w:p>
        </w:tc>
        <w:tc>
          <w:tcPr>
            <w:tcW w:w="340" w:type="dxa"/>
            <w:vAlign w:val="bottom"/>
          </w:tcPr>
          <w:p>
            <w:pPr>
              <w:spacing w:after="0"/>
              <w:rPr>
                <w:sz w:val="18"/>
                <w:szCs w:val="18"/>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(12,419,187)</w:t>
            </w:r>
          </w:p>
        </w:tc>
      </w:tr>
      <w:tr>
        <w:trPr>
          <w:trHeight w:val="202"/>
        </w:trPr>
        <w:tc>
          <w:tcPr>
            <w:tcW w:w="4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Denominator: Weighted Average Non-Redeemable Class B</w:t>
            </w: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Ordinary Shares Non-Redeemable Class B Ordinary Shares,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(1)</w:t>
            </w: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5,184,300</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5,184,300</w:t>
            </w:r>
          </w:p>
        </w:tc>
      </w:tr>
      <w:tr>
        <w:trPr>
          <w:trHeight w:val="202"/>
        </w:trPr>
        <w:tc>
          <w:tcPr>
            <w:tcW w:w="464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w w:val="91"/>
              </w:rPr>
              <w:t>Basic and diluted earnings (loss) per share – Non-Redeemable</w:t>
            </w:r>
          </w:p>
        </w:tc>
        <w:tc>
          <w:tcPr>
            <w:tcW w:w="5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0"/>
        </w:trPr>
        <w:tc>
          <w:tcPr>
            <w:tcW w:w="4640" w:type="dxa"/>
            <w:vAlign w:val="bottom"/>
          </w:tcPr>
          <w:p>
            <w:pPr>
              <w:ind w:left="180"/>
              <w:spacing w:after="0"/>
              <w:rPr>
                <w:sz w:val="20"/>
                <w:szCs w:val="20"/>
                <w:color w:val="auto"/>
              </w:rPr>
            </w:pPr>
            <w:r>
              <w:rPr>
                <w:rFonts w:ascii="Arial" w:cs="Arial" w:eastAsia="Arial" w:hAnsi="Arial"/>
                <w:sz w:val="18"/>
                <w:szCs w:val="18"/>
                <w:color w:val="auto"/>
              </w:rPr>
              <w:t>Class B Ordinary Shares</w:t>
            </w:r>
          </w:p>
        </w:tc>
        <w:tc>
          <w:tcPr>
            <w:tcW w:w="8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4.10</w:t>
            </w:r>
          </w:p>
        </w:tc>
        <w:tc>
          <w:tcPr>
            <w:tcW w:w="340" w:type="dxa"/>
            <w:vAlign w:val="bottom"/>
          </w:tcPr>
          <w:p>
            <w:pPr>
              <w:spacing w:after="0"/>
              <w:rPr>
                <w:sz w:val="20"/>
                <w:szCs w:val="20"/>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r>
      <w:tr>
        <w:trPr>
          <w:trHeight w:val="20"/>
        </w:trPr>
        <w:tc>
          <w:tcPr>
            <w:tcW w:w="4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4" w:right="180" w:hanging="424"/>
        <w:spacing w:after="0" w:line="27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June 30, 2021, basic and diluted shares are the same as there are no non-redeemable securities that are dilutive to the Company’s ordinary shareholders.</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jc w:val="both"/>
        <w:ind w:left="4" w:right="340" w:firstLine="44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4"/>
          </w:cols>
          <w:pgMar w:left="436" w:top="126"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2560"/>
        <w:spacing w:after="0" w:line="275" w:lineRule="auto"/>
        <w:rPr>
          <w:sz w:val="20"/>
          <w:szCs w:val="20"/>
          <w:color w:val="auto"/>
        </w:rPr>
      </w:pPr>
      <w:r>
        <w:rPr>
          <w:rFonts w:ascii="Arial" w:cs="Arial" w:eastAsia="Arial" w:hAnsi="Arial"/>
          <w:sz w:val="18"/>
          <w:szCs w:val="18"/>
          <w:b w:val="1"/>
          <w:bCs w:val="1"/>
          <w:color w:val="auto"/>
        </w:rPr>
        <w:t>VPC IMPACT ACQUISITION HOLDINGS NOTES TO CONDENSED CONSOLIDATED FINANCIAL STATEMENTS JUNE 30, 2021</w:t>
      </w:r>
    </w:p>
    <w:p>
      <w:pPr>
        <w:spacing w:after="0" w:line="32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180" w:right="120" w:firstLine="440"/>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Company’s condensed consolidated balance sheets, primarily due to their short-term nature, with the exception of the warrant liabilities (see Note 9).</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17" w:lineRule="exact"/>
        <w:rPr>
          <w:sz w:val="20"/>
          <w:szCs w:val="20"/>
          <w:color w:val="auto"/>
        </w:rPr>
      </w:pPr>
    </w:p>
    <w:p>
      <w:pPr>
        <w:ind w:left="180" w:right="20" w:firstLine="440"/>
        <w:spacing w:after="0" w:line="272" w:lineRule="auto"/>
        <w:rPr>
          <w:sz w:val="20"/>
          <w:szCs w:val="20"/>
          <w:color w:val="auto"/>
        </w:rPr>
      </w:pPr>
      <w:r>
        <w:rPr>
          <w:rFonts w:ascii="Arial" w:cs="Arial" w:eastAsia="Arial" w:hAnsi="Arial"/>
          <w:sz w:val="17"/>
          <w:szCs w:val="17"/>
          <w:color w:val="auto"/>
        </w:rPr>
        <w:t>In August 2020, the FASB issued Accounting Standards Update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GAAP. ASU 2020-06 removes certain settlement conditions that are required for equity contracts to qualify for the derivative scope exception and it also simplifies the diluted earnings per share calculation in certain areas. ASU 2020-06 is effective for fiscal years beginning after December 15, 2023, including interim periods within those fiscal years, with early adoption permitted. The Company adopted ASU 2020-06 effective as of January 1, 2021. The adoption of ASU 2020-06 did not have an impact on the Company’s financial statements.</w:t>
      </w:r>
    </w:p>
    <w:p>
      <w:pPr>
        <w:spacing w:after="0" w:line="177" w:lineRule="exact"/>
        <w:rPr>
          <w:sz w:val="20"/>
          <w:szCs w:val="20"/>
          <w:color w:val="auto"/>
        </w:rPr>
      </w:pPr>
    </w:p>
    <w:p>
      <w:pPr>
        <w:ind w:left="180" w:right="560" w:firstLine="44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condensed consolidated financial statements.</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3—INITIAL PUBLIC OFFERING</w:t>
      </w:r>
    </w:p>
    <w:p>
      <w:pPr>
        <w:spacing w:after="0" w:line="121" w:lineRule="exact"/>
        <w:rPr>
          <w:sz w:val="20"/>
          <w:szCs w:val="20"/>
          <w:color w:val="auto"/>
        </w:rPr>
      </w:pPr>
    </w:p>
    <w:p>
      <w:pPr>
        <w:ind w:left="180" w:right="320" w:firstLine="440"/>
        <w:spacing w:after="0" w:line="279" w:lineRule="auto"/>
        <w:rPr>
          <w:sz w:val="20"/>
          <w:szCs w:val="20"/>
          <w:color w:val="auto"/>
        </w:rPr>
      </w:pPr>
      <w:r>
        <w:rPr>
          <w:rFonts w:ascii="Arial" w:cs="Arial" w:eastAsia="Arial" w:hAnsi="Arial"/>
          <w:sz w:val="17"/>
          <w:szCs w:val="17"/>
          <w:color w:val="auto"/>
        </w:rPr>
        <w:t>Pursuant to the Initial Public Offering, the Company sold 20,000,000 Units, at a purchase price of $10.00 per Unit. In connection with the underwriters’ partial exercise of the over-allotment option on October 1, 2020, the Company sold an additional 737,202 Units, at a purchase price of $10.00 per Unit. Each Unit consists of one Class A ordinary share and one-half of one redeemable warrant (“Public Warrant”). Each whole Public Warrant entitles the holder to purchase one Class A ordinary share at an exercise price of $11.50 per whole share (see Note 8).</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4—PRIVATE PLACEMENT</w:t>
      </w:r>
    </w:p>
    <w:p>
      <w:pPr>
        <w:spacing w:after="0" w:line="121" w:lineRule="exact"/>
        <w:rPr>
          <w:sz w:val="20"/>
          <w:szCs w:val="20"/>
          <w:color w:val="auto"/>
        </w:rPr>
      </w:pPr>
    </w:p>
    <w:p>
      <w:pPr>
        <w:ind w:left="180" w:right="20" w:firstLine="440"/>
        <w:spacing w:after="0" w:line="271" w:lineRule="auto"/>
        <w:rPr>
          <w:sz w:val="20"/>
          <w:szCs w:val="20"/>
          <w:color w:val="auto"/>
        </w:rPr>
      </w:pPr>
      <w:r>
        <w:rPr>
          <w:rFonts w:ascii="Arial" w:cs="Arial" w:eastAsia="Arial" w:hAnsi="Arial"/>
          <w:sz w:val="17"/>
          <w:szCs w:val="17"/>
          <w:color w:val="auto"/>
        </w:rPr>
        <w:t>Simultaneously with the closing of the Initial Public Offering, the Sponsor purchased an aggregate of 6,000,000 Private Placement Warrants at a price of $1.00 per Private Placement Warrant, for an aggregate purchase price of $6,000,000. In connection with the underwriters’ partial exercise of the over-allotment option on October 1, 2020, the Company sold an additional 147,440 Private Placement Warrants, at a purchase price of $1.00 per Private Placement Warrants, for an aggregate purchase price of $147,440. Each Private Placement Warrant is exercisable to purchase one Class A ordinary share at a price of $11.50 per share, subject to adjustment (see Note 8). A portion of the proceeds from the Private Placement Warrants were added to the proceeds from the Initial Public Offering held in the Trust Account. If the Company does not complete a Business Combination within the Combination Period, the proceeds from the sale of the Private Placement Warrants will be used to fund the redemption of the Public Shares (subject to the requirements of applicable law) and the Private Placement Warrants will expire worthless.</w:t>
      </w:r>
    </w:p>
    <w:p>
      <w:pPr>
        <w:spacing w:after="0" w:line="28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5—RELATED PARTY TRANSACTIONS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ind w:left="180" w:firstLine="440"/>
        <w:spacing w:after="0" w:line="254" w:lineRule="auto"/>
        <w:rPr>
          <w:sz w:val="20"/>
          <w:szCs w:val="20"/>
          <w:color w:val="auto"/>
        </w:rPr>
      </w:pPr>
      <w:r>
        <w:rPr>
          <w:rFonts w:ascii="Arial" w:cs="Arial" w:eastAsia="Arial" w:hAnsi="Arial"/>
          <w:sz w:val="18"/>
          <w:szCs w:val="18"/>
          <w:color w:val="auto"/>
        </w:rPr>
        <w:t>On August 3, 2020, the Sponsor paid $25,000 to cover certain offering and formation costs of the Company in consideration for 5,750,000 Class B ordinary shares (the “Founder Shares”). In September 2020, the Sponsor transferred an aggregate of 60,000 Founder Shares to members of the Company’s board of directors, resulting in the Sponsor holding 5,690,000 Founder Shares. The Founder Shares included an aggregate of up to 750,000 shares that were subject to forfeiture depending on the extent to which the underwriters’ over-allotment option was exercised, so that the number of Founder Shares would equal, on an as-converted basis, approximately 20% of the Company’s issued and outstanding ordinary shares after the Initial Public Offering. In connection with the underwriters’ partial exercise of the over-allotment option and the forfeiture of the remaining over-allotment option, 565,700 Founder Shares were forfeited and 184,300 Founder Shares are no longer subject to forfeiture resulting in an aggregate of 5,184,300 Founder Shares outstanding at October 1, 2020.</w:t>
      </w:r>
    </w:p>
    <w:p>
      <w:pPr>
        <w:spacing w:after="0" w:line="192" w:lineRule="exact"/>
        <w:rPr>
          <w:sz w:val="20"/>
          <w:szCs w:val="20"/>
          <w:color w:val="auto"/>
        </w:rPr>
      </w:pPr>
    </w:p>
    <w:p>
      <w:pPr>
        <w:ind w:left="180" w:right="160" w:firstLine="440"/>
        <w:spacing w:after="0" w:line="273" w:lineRule="auto"/>
        <w:rPr>
          <w:sz w:val="20"/>
          <w:szCs w:val="20"/>
          <w:color w:val="auto"/>
        </w:rPr>
      </w:pPr>
      <w:r>
        <w:rPr>
          <w:rFonts w:ascii="Arial" w:cs="Arial" w:eastAsia="Arial" w:hAnsi="Arial"/>
          <w:sz w:val="17"/>
          <w:szCs w:val="17"/>
          <w:color w:val="auto"/>
        </w:rPr>
        <w:t>The Sponsor has agreed, subject to limited exceptions, not to transfer, assign or sell any of the Founder Shares until the earliest of: (A) one year after the completion of a Business Combination and (B) subsequent to a Business Combination, (x)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a Business Combination, or (y) the date on which the Company completes a liquidation, merger, share exchange or other similar transaction that results in all of the Public Shareholders having the right to exchange their Class A ordinary shares for cash, securities or other property.</w:t>
      </w:r>
    </w:p>
    <w:p>
      <w:pPr>
        <w:sectPr>
          <w:pgSz w:w="11900" w:h="16838" w:orient="portrait"/>
          <w:cols w:equalWidth="0" w:num="1">
            <w:col w:w="11180"/>
          </w:cols>
          <w:pgMar w:left="260" w:top="486" w:right="459" w:bottom="1440" w:gutter="0" w:footer="0" w:header="0"/>
        </w:sectPr>
      </w:pP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80"/>
          </w:cols>
          <w:pgMar w:left="260" w:top="486" w:right="4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2560"/>
        <w:spacing w:after="0" w:line="275" w:lineRule="auto"/>
        <w:rPr>
          <w:sz w:val="20"/>
          <w:szCs w:val="20"/>
          <w:color w:val="auto"/>
        </w:rPr>
      </w:pPr>
      <w:r>
        <w:rPr>
          <w:rFonts w:ascii="Arial" w:cs="Arial" w:eastAsia="Arial" w:hAnsi="Arial"/>
          <w:sz w:val="18"/>
          <w:szCs w:val="18"/>
          <w:b w:val="1"/>
          <w:bCs w:val="1"/>
          <w:color w:val="auto"/>
        </w:rPr>
        <w:t>VPC IMPACT ACQUISITION HOLDINGS NOTES TO CONDENSED CONSOLIDATED FINANCIAL STATEMENTS JUNE 30, 2021</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Commencing on September 25, 2020, the Company entered into an agreement to pay the Sponsor up to $10,000 per month for office space, utilities, secretarial and administrative support services. Upon completion of a Business Combination or its liquidation, the Company will cease paying these monthly fees. For the three and six months ended June 30, 2021, the Company incurred $30,000 and $60,000 in fees for these services. As of June 30, 2021 and December 31, 2020, $90,000 and $30,000 remained unpaid in the accrued expenses line item on the condensed balance sheets, respectively.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June 30, 2021 and December 30, 2020, the Company had no outstanding borrowings under the Working Capital Loans.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Management continues to evaluate the impact of the COVID-19 global pandemic and has concluded that while it is reasonably possible that the virus could have a negative effect on the Company’s financial position, results of its operations and/or search for a target company, the specific impact is not readily determinable as of the date of these consolidated financial statements. The consolidated financial statements do not include any adjustments that might result from the outcome of this uncertainty.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and Shareholders Rights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Pursuant to a registration rights agreement entered into on September 22, 2020, the holders of the Founder Shares, Private Placement Warrants and any warrants that may be issued upon conversion of Working Capital Loans (and any Class A ordinary shares issuable upon the exercise of the Private Placement Warrants and warrants that may be issued upon conversion of the Working Capital Loans) are entitled to registration rights requiring the Company to register a sale of any of its securities held by them.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underwriters are entitled to a deferred fee of $0.35 per Unit, or $7,258,021 in the aggregate. The deferred fee will become payable to the underwriters from the amounts held in the Trust Account solely in the event that the Company completes a Business Combination, subject to the terms of the underwriting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Agreement</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On January 11, 2021, the Company entered into an Agreement and Plan of Merger (the “Merger Agreement”), with Pylon Merger Company LLC, a Delaware limited liability company and a direct wholly owned subsidiary of the Company (“Merger Sub”), and Bakkt Holdings, LLC, a Delaware limited liability company (“Bakkt”), a transformative digital asset marketplace launched in 2018 by Intercontinental Exchange, Inc. (“ICE”) and a group of investors and strategic partners.</w:t>
      </w:r>
    </w:p>
    <w:p>
      <w:pPr>
        <w:spacing w:after="0" w:line="18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Merger Agreement provides that, among other things and upon the terms and subject to the conditions thereof, the following transactions will occur (together with the other agreements and transactions contemplated by the Merger Agreement, the “Proposed Transaction”): (i) at the closing of the transactions contemplated by the Merger Agreement, Merger Sub will merge (the “Merger”) with and into Bakkt, the separate corporate existence of Merger Sub will cease and Bakkt will be the surviving limited liability company, to be renamed Bakkt Opco Holdings, LLC (“Bakkt Opco”); (ii) immediately prior to the closing of the PIPE Investment and the effective time of the Merger, the Company will be renamed “Bakkt Holdings, Inc.” (referred to hereinafter as “Bakkt Pubco”); and (iii) as a result of the Merger, the aggregate consideration to be received in respect of the Merger by all of the Bakkt interest holders will be an aggregate of 208,200,000 common units of Bakkt Opco (“Bakkt Opco Units”) and 208,200,000 shares of class V common stock of Bakkt PubCo, which will be non-economic, voting shares of Bakkt Pubco.</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17"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On January 11, 2021, concurrently with the execution of the Merger Agreement, the Company entered into subscription agreements (the “Subscription Agreements”) with certain investors (collectively, the “PIPE Investors” which include certain existing equityholders of the Company and Bakkt), pursuant to, and on the terms and subject to the conditions of which, the PIPE Investors have collectively subscribed for 32,500,000 Bakkt</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86" w:right="459" w:bottom="429"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2580"/>
        <w:spacing w:after="0" w:line="275" w:lineRule="auto"/>
        <w:rPr>
          <w:sz w:val="20"/>
          <w:szCs w:val="20"/>
          <w:color w:val="auto"/>
        </w:rPr>
      </w:pPr>
      <w:r>
        <w:rPr>
          <w:rFonts w:ascii="Arial" w:cs="Arial" w:eastAsia="Arial" w:hAnsi="Arial"/>
          <w:sz w:val="18"/>
          <w:szCs w:val="18"/>
          <w:b w:val="1"/>
          <w:bCs w:val="1"/>
          <w:color w:val="auto"/>
        </w:rPr>
        <w:t>VPC IMPACT ACQUISITION HOLDINGS NOTES TO CONDENSED CONSOLIDATED FINANCIAL STATEMENTS JUNE 30, 2021</w:t>
      </w:r>
    </w:p>
    <w:p>
      <w:pPr>
        <w:spacing w:after="0" w:line="28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Pubco Class A Shares for an aggregate purchase price equal to $325,000,000 (the “PIPE Investment”). The PIPE Investment will be consummated immediately prior to the closing of the Merger Agreement.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December 31, 2021.</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 SHAREHOLDERS’ EQUITY</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b w:val="1"/>
          <w:bCs w:val="1"/>
          <w:i w:val="1"/>
          <w:iCs w:val="1"/>
          <w:color w:val="auto"/>
        </w:rPr>
        <w:t>Preference Shares</w:t>
      </w:r>
      <w:r>
        <w:rPr>
          <w:rFonts w:ascii="Arial" w:cs="Arial" w:eastAsia="Arial" w:hAnsi="Arial"/>
          <w:sz w:val="18"/>
          <w:szCs w:val="18"/>
          <w:color w:val="auto"/>
        </w:rPr>
        <w:t>—The Company is authorized to issue 1,000,000 preference shares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As of June 30, 2021 and December 31, 2020, there were no preference shares issued or outstanding.</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b w:val="1"/>
          <w:bCs w:val="1"/>
          <w:i w:val="1"/>
          <w:iCs w:val="1"/>
          <w:color w:val="auto"/>
        </w:rPr>
        <w:t>Class A Ordinary Shares</w:t>
      </w:r>
      <w:r>
        <w:rPr>
          <w:rFonts w:ascii="Arial" w:cs="Arial" w:eastAsia="Arial" w:hAnsi="Arial"/>
          <w:sz w:val="18"/>
          <w:szCs w:val="18"/>
          <w:color w:val="auto"/>
        </w:rPr>
        <w:t>—The Company is authorized to issue 200,000,000 Class A ordinary shares,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A ordinary shares are entitled to one vote for each share. As of June 30, 2021 and December 31, 2020, there were 4,665,186 and 3,424,991 Class A ordinary shares issued and outstanding, excluding 16,072,016 and 17,312,211 Class A ordinary shares subject to possible redemption, respectively.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Class B Ordinary Shares</w:t>
      </w:r>
      <w:r>
        <w:rPr>
          <w:rFonts w:ascii="Arial" w:cs="Arial" w:eastAsia="Arial" w:hAnsi="Arial"/>
          <w:sz w:val="17"/>
          <w:szCs w:val="17"/>
          <w:color w:val="auto"/>
        </w:rPr>
        <w:t>—The Company is authorized to issue 20,000,000 Class B ordinary shares, with a par value of $0.0001 per share.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Holders of the Class B ordinary shares are entitled to one vote for each share. As of June 30, 2021 and December 31, 2020, there were 5,184,300</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Class B ordinary shares issued and outstanding.</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86"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2540"/>
        <w:spacing w:after="0" w:line="275" w:lineRule="auto"/>
        <w:rPr>
          <w:sz w:val="20"/>
          <w:szCs w:val="20"/>
          <w:color w:val="auto"/>
        </w:rPr>
      </w:pPr>
      <w:r>
        <w:rPr>
          <w:rFonts w:ascii="Arial" w:cs="Arial" w:eastAsia="Arial" w:hAnsi="Arial"/>
          <w:sz w:val="18"/>
          <w:szCs w:val="18"/>
          <w:b w:val="1"/>
          <w:bCs w:val="1"/>
          <w:color w:val="auto"/>
        </w:rPr>
        <w:t>VPC IMPACT ACQUISITION HOLDINGS NOTES TO CONDENSED CONSOLIDATED FINANCIAL STATEMENTS JUNE 30, 2021</w:t>
      </w:r>
    </w:p>
    <w:p>
      <w:pPr>
        <w:spacing w:after="0" w:line="326"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Only holders of the Class B ordinary shares will have the right to vote on the appointment of directors prior to the Business Combination. Holders of Class A ordinary shares and Class B ordinary shares will vote together as a single class on all other matters submitted to a vote of shareholders, except as required by law and except that in a vote to continue the Company in a jurisdiction outside the Cayman Islands, holders of Class B ordinary shares will have ten votes per share and holders of Class A ordinary shares will have one vote per share.</w:t>
      </w:r>
    </w:p>
    <w:p>
      <w:pPr>
        <w:spacing w:after="0" w:line="17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Class B ordinary shares will automatically convert into Class A ordinary shares concurrently with or immediately following the consummation of a Business Combination on a one-for-one basis, subject to adjustment. In the case that additional Class A ordinary shares or equity-linked securities are issued or deemed issued in connection with a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a Business Combination, excluding any Class A ordinary shares or equity-linked securities exercisable for or convertible into Class A ordinary shares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 WARRANTS LIABILITIES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At June 30, 2021 and December 31, 2020, there were 17,833,994 and 11,509,147 Public Warrants, respectively and 13,521,935 and 11,003,918 Private Placement Warrants respectively, outstanding. Public Warrants may only be exercised for a whole number of shares. No fractional shares will be issued upon exercise of the Public Warrants. The Public Warrants will become exercisable on the later of (a) 30 days after the completion of a Business Combination or (b) one year from the closing of the Initial Public Offering. The Public Warrants will expire five years from the completion of a Business Combination or earlier upon redemption or liquidation.</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the Company satisfying its obligations with respect to registration.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w:t>
      </w:r>
    </w:p>
    <w:p>
      <w:pPr>
        <w:spacing w:after="0" w:line="19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ordinary shares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7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Redemption of warrants when the price per Class A ordinary share equals or exceeds $18.00</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Once the warrants become exercisable, the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may redeem the outstanding warrants (except as described with respect to the Private Placement Warrants):</w:t>
      </w:r>
    </w:p>
    <w:p>
      <w:pPr>
        <w:spacing w:after="0" w:line="116"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w:t>
      </w:r>
    </w:p>
    <w:p>
      <w:pPr>
        <w:spacing w:after="0" w:line="130" w:lineRule="exact"/>
        <w:rPr>
          <w:rFonts w:ascii="Arial" w:cs="Arial" w:eastAsia="Arial" w:hAnsi="Arial"/>
          <w:sz w:val="18"/>
          <w:szCs w:val="18"/>
          <w:color w:val="auto"/>
        </w:rPr>
      </w:pPr>
    </w:p>
    <w:p>
      <w:pPr>
        <w:ind w:left="1080" w:right="320" w:hanging="424"/>
        <w:spacing w:after="0" w:line="34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and only if, the closing price of the Class A ordinary shares equals or exceeds $18.00 per share (as adjusted) for any 20 trading days within a 30-trading day period ending three business days before the Company sends the notice of redemption to the warrant holders.</w:t>
      </w:r>
    </w:p>
    <w:p>
      <w:pPr>
        <w:sectPr>
          <w:pgSz w:w="11900" w:h="16838" w:orient="portrait"/>
          <w:cols w:equalWidth="0" w:num="1">
            <w:col w:w="11100"/>
          </w:cols>
          <w:pgMar w:left="320" w:top="486" w:right="479" w:bottom="1440" w:gutter="0" w:footer="0" w:header="0"/>
        </w:sectPr>
      </w:pP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100"/>
          </w:cols>
          <w:pgMar w:left="320" w:top="486" w:right="47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2540"/>
        <w:spacing w:after="0" w:line="275" w:lineRule="auto"/>
        <w:rPr>
          <w:sz w:val="20"/>
          <w:szCs w:val="20"/>
          <w:color w:val="auto"/>
        </w:rPr>
      </w:pPr>
      <w:r>
        <w:rPr>
          <w:rFonts w:ascii="Arial" w:cs="Arial" w:eastAsia="Arial" w:hAnsi="Arial"/>
          <w:sz w:val="18"/>
          <w:szCs w:val="18"/>
          <w:b w:val="1"/>
          <w:bCs w:val="1"/>
          <w:color w:val="auto"/>
        </w:rPr>
        <w:t>VPC IMPACT ACQUISITION HOLDINGS NOTES TO CONDENSED CONSOLIDATED FINANCIAL STATEMENTS JUNE 30, 2021</w:t>
      </w:r>
    </w:p>
    <w:p>
      <w:pPr>
        <w:spacing w:after="0" w:line="326"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Redemption of warrants when the price per Class A ordinary share equals or exceeds $10.00</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Once the warrants become exercisable, the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may redeem the outstanding warrants (except as described with respect to the Private Placement Warrants):</w:t>
      </w:r>
    </w:p>
    <w:p>
      <w:pPr>
        <w:spacing w:after="0" w:line="116"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at $0.10 per warrant upon a minimum of 30 days’ prior written notice of redemption;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holders will be able to exercise their warrants on a cashless basis prior to redemption and receive that number of shares based on the redemption date and the “fair market value” of the Company’s Class A ordinary shares;</w:t>
      </w:r>
    </w:p>
    <w:p>
      <w:pPr>
        <w:spacing w:after="0" w:line="89"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and only if, the closing price of the Class A ordinary shares equals or exceeds $10.00 per public share (as adjusted) for any 20 trading days within the 30-trading day period ending three trading days before the Company send the notice of redemption of the warrant holders; and</w:t>
      </w:r>
    </w:p>
    <w:p>
      <w:pPr>
        <w:spacing w:after="0" w:line="89" w:lineRule="exact"/>
        <w:rPr>
          <w:rFonts w:ascii="Arial" w:cs="Arial" w:eastAsia="Arial" w:hAnsi="Arial"/>
          <w:sz w:val="18"/>
          <w:szCs w:val="18"/>
          <w:color w:val="auto"/>
        </w:rPr>
      </w:pPr>
    </w:p>
    <w:p>
      <w:pPr>
        <w:jc w:val="both"/>
        <w:ind w:left="1080" w:right="200" w:hanging="424"/>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the Private Placement Warrants must also be concurrently called for redemption on the same terms as the outstanding Public Warrants, as described above.</w:t>
      </w:r>
    </w:p>
    <w:p>
      <w:pPr>
        <w:spacing w:after="0" w:line="187"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If the Company calls the Public Warrants for redemption, as described above, its management will have the option to require any holder that wishes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8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Class A ordinary shares during the 10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7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86"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2540"/>
        <w:spacing w:after="0" w:line="275" w:lineRule="auto"/>
        <w:rPr>
          <w:sz w:val="20"/>
          <w:szCs w:val="20"/>
          <w:color w:val="auto"/>
        </w:rPr>
      </w:pPr>
      <w:r>
        <w:rPr>
          <w:rFonts w:ascii="Arial" w:cs="Arial" w:eastAsia="Arial" w:hAnsi="Arial"/>
          <w:sz w:val="18"/>
          <w:szCs w:val="18"/>
          <w:b w:val="1"/>
          <w:bCs w:val="1"/>
          <w:color w:val="auto"/>
        </w:rPr>
        <w:t>VPC IMPACT ACQUISITION HOLDINGS NOTES TO CONDENSED CONSOLIDATED FINANCIAL STATEMENTS JUNE 30, 2021</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 FAIR VALUE MEASUREMENTS</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05" w:lineRule="exact"/>
        <w:rPr>
          <w:sz w:val="20"/>
          <w:szCs w:val="20"/>
          <w:color w:val="auto"/>
        </w:rPr>
      </w:pPr>
    </w:p>
    <w:p>
      <w:pPr>
        <w:ind w:left="1120" w:right="20" w:hanging="998"/>
        <w:spacing w:after="0" w:line="308" w:lineRule="auto"/>
        <w:tabs>
          <w:tab w:leader="none" w:pos="11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38" w:lineRule="exact"/>
        <w:rPr>
          <w:sz w:val="20"/>
          <w:szCs w:val="20"/>
          <w:color w:val="auto"/>
        </w:rPr>
      </w:pPr>
    </w:p>
    <w:p>
      <w:pPr>
        <w:ind w:left="1120" w:right="460" w:hanging="998"/>
        <w:spacing w:after="0" w:line="277" w:lineRule="auto"/>
        <w:tabs>
          <w:tab w:leader="none" w:pos="11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ind w:left="120"/>
        <w:spacing w:after="0"/>
        <w:tabs>
          <w:tab w:leader="none" w:pos="11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At June 30, 2021 and December 31, 2020, assets held in the Trust Account were comprised of $207,393,442 and $207,376,213 in money market funds which are invested primarily in U.S. Treasury Securities, respectively. Through June 30, 2021, the Company did not withdraw any interest income from the Trust Account.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At June 30, 2021 and December 31, 2020, there were 10,368,601 Public Warrants and 6,147,440 Private Placement Warrants outstanding.</w:t>
      </w:r>
    </w:p>
    <w:p>
      <w:pPr>
        <w:spacing w:after="0" w:line="237"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The following table presents information about the Company’s assets and liabilities that are measured at fair value on a recurring basis at June 30, 2021 and December 31, 2020 and indicates the fair value hierarchy of the valuation inputs the Company utilized to determine such fair value. The gross holding gains and fair value of held-to-maturity securities at June 30, 2021 and December 31, 2020 are as follows:</w:t>
      </w:r>
    </w:p>
    <w:p>
      <w:pPr>
        <w:spacing w:after="0" w:line="17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4"/>
                <w:szCs w:val="14"/>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Significant</w:t>
            </w:r>
          </w:p>
        </w:tc>
        <w:tc>
          <w:tcPr>
            <w:tcW w:w="1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11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Observable</w:t>
            </w:r>
          </w:p>
        </w:tc>
        <w:tc>
          <w:tcPr>
            <w:tcW w:w="9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50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Assets:</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207,393,442</w:t>
            </w:r>
          </w:p>
        </w:tc>
        <w:tc>
          <w:tcPr>
            <w:tcW w:w="1420" w:type="dxa"/>
            <w:vAlign w:val="bottom"/>
            <w:gridSpan w:val="4"/>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207,393,442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Liabilities: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Warrant Liability – Public Warrants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17,833,994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17,833,994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 – Private Placement Warrants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13,521,935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13,521,935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24"/>
                <w:szCs w:val="24"/>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Significant</w:t>
            </w:r>
          </w:p>
        </w:tc>
        <w:tc>
          <w:tcPr>
            <w:tcW w:w="120" w:type="dxa"/>
            <w:vAlign w:val="bottom"/>
          </w:tcPr>
          <w:p>
            <w:pPr>
              <w:spacing w:after="0"/>
              <w:rPr>
                <w:sz w:val="24"/>
                <w:szCs w:val="2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11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Observable</w:t>
            </w:r>
          </w:p>
        </w:tc>
        <w:tc>
          <w:tcPr>
            <w:tcW w:w="9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50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Assets:</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207,376,213</w:t>
            </w:r>
          </w:p>
        </w:tc>
        <w:tc>
          <w:tcPr>
            <w:tcW w:w="1420" w:type="dxa"/>
            <w:vAlign w:val="bottom"/>
            <w:gridSpan w:val="4"/>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207,376,213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Liabilities: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Warrant Liability – Public Warrants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11,509,147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11,509,147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 – Private Placement Warrants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11,003,918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11,003,918</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Warrants were accounted for as liabilities in accordance with ASC 815-40 and are presented within warrant liabilities on the accompanying condensed consolidated balance sheets. The warrant liabilities are measured at fair value at inception and on a recurring basis, with changes in fair value presented within the change in fair value of warrant liabilities in the condensed consolidated statement of operations.</w:t>
      </w: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86"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20" w:right="2480"/>
        <w:spacing w:after="0" w:line="275" w:lineRule="auto"/>
        <w:rPr>
          <w:sz w:val="20"/>
          <w:szCs w:val="20"/>
          <w:color w:val="auto"/>
        </w:rPr>
      </w:pPr>
      <w:r>
        <w:rPr>
          <w:rFonts w:ascii="Arial" w:cs="Arial" w:eastAsia="Arial" w:hAnsi="Arial"/>
          <w:sz w:val="18"/>
          <w:szCs w:val="18"/>
          <w:b w:val="1"/>
          <w:bCs w:val="1"/>
          <w:color w:val="auto"/>
        </w:rPr>
        <w:t>VPC IMPACT ACQUISITION HOLDINGS NOTES TO CONDENSED CONSOLIDATED FINANCIAL STATEMENTS JUNE 30, 2021</w:t>
      </w:r>
    </w:p>
    <w:p>
      <w:pPr>
        <w:spacing w:after="0" w:line="286" w:lineRule="exact"/>
        <w:rPr>
          <w:sz w:val="20"/>
          <w:szCs w:val="20"/>
          <w:color w:val="auto"/>
        </w:rPr>
      </w:pPr>
    </w:p>
    <w:p>
      <w:pPr>
        <w:ind w:left="180"/>
        <w:spacing w:after="0" w:line="259" w:lineRule="auto"/>
        <w:rPr>
          <w:sz w:val="20"/>
          <w:szCs w:val="20"/>
          <w:color w:val="auto"/>
        </w:rPr>
      </w:pPr>
      <w:r>
        <w:rPr>
          <w:rFonts w:ascii="Arial" w:cs="Arial" w:eastAsia="Arial" w:hAnsi="Arial"/>
          <w:sz w:val="18"/>
          <w:szCs w:val="18"/>
          <w:color w:val="auto"/>
        </w:rPr>
        <w:t>The Private Placement Warrants were valued using a Black-Scholes Option Pricing Model, which is considered to be a Level 3 fair value measurement. The measurement of the Public Warrants after the detachment of the Public Warrants from the Units is classified as Level 1 due to the use of an observable market quote in an active market. For periods subsequent to the detachment of the Public Warrants from the Units, the close price of the Public Warrant price was used as the fair value of the Public Warrants as of each relevant date.</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the quantitative information regarding Level 3 fair value measurements:</w:t>
      </w:r>
    </w:p>
    <w:p>
      <w:pPr>
        <w:spacing w:after="0" w:line="23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June 30,</w:t>
            </w:r>
          </w:p>
        </w:tc>
        <w:tc>
          <w:tcPr>
            <w:tcW w:w="360" w:type="dxa"/>
            <w:vAlign w:val="bottom"/>
          </w:tcPr>
          <w:p>
            <w:pPr>
              <w:spacing w:after="0"/>
              <w:rPr>
                <w:sz w:val="14"/>
                <w:szCs w:val="14"/>
                <w:color w:val="auto"/>
              </w:rPr>
            </w:pP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10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5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Stock price</w:t>
            </w:r>
          </w:p>
        </w:tc>
        <w:tc>
          <w:tcPr>
            <w:tcW w:w="6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$ 10.01</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10.08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$ 11.50</w:t>
            </w: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w w:val="88"/>
              </w:rPr>
              <w:t>11.50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0.87%</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29.0%</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(in years)</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418"/>
        </w:trPr>
        <w:tc>
          <w:tcPr>
            <w:tcW w:w="6840" w:type="dxa"/>
            <w:vAlign w:val="bottom"/>
            <w:gridSpan w:val="3"/>
          </w:tcPr>
          <w:p>
            <w:pPr>
              <w:spacing w:after="0"/>
              <w:rPr>
                <w:sz w:val="20"/>
                <w:szCs w:val="20"/>
                <w:color w:val="auto"/>
              </w:rPr>
            </w:pPr>
            <w:r>
              <w:rPr>
                <w:rFonts w:ascii="Arial" w:cs="Arial" w:eastAsia="Arial" w:hAnsi="Arial"/>
                <w:sz w:val="18"/>
                <w:szCs w:val="18"/>
                <w:color w:val="auto"/>
              </w:rPr>
              <w:t>The following table presents the changes in the fair value of Level 3 warrant liabilities:</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gridSpan w:val="2"/>
          </w:tcPr>
          <w:p>
            <w:pPr>
              <w:jc w:val="center"/>
              <w:ind w:left="56"/>
              <w:spacing w:after="0"/>
              <w:rPr>
                <w:sz w:val="20"/>
                <w:szCs w:val="20"/>
                <w:color w:val="auto"/>
              </w:rPr>
            </w:pPr>
            <w:r>
              <w:rPr>
                <w:rFonts w:ascii="Arial" w:cs="Arial" w:eastAsia="Arial" w:hAnsi="Arial"/>
                <w:sz w:val="14"/>
                <w:szCs w:val="14"/>
                <w:b w:val="1"/>
                <w:bCs w:val="1"/>
                <w:color w:val="auto"/>
                <w:w w:val="94"/>
              </w:rPr>
              <w:t>Private</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8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tcPr>
          <w:p>
            <w:pPr>
              <w:jc w:val="center"/>
              <w:ind w:left="56"/>
              <w:spacing w:after="0"/>
              <w:rPr>
                <w:sz w:val="20"/>
                <w:szCs w:val="20"/>
                <w:color w:val="auto"/>
              </w:rPr>
            </w:pPr>
            <w:r>
              <w:rPr>
                <w:rFonts w:ascii="Arial" w:cs="Arial" w:eastAsia="Arial" w:hAnsi="Arial"/>
                <w:sz w:val="14"/>
                <w:szCs w:val="14"/>
                <w:b w:val="1"/>
                <w:bCs w:val="1"/>
                <w:color w:val="auto"/>
                <w:w w:val="91"/>
              </w:rPr>
              <w:t>Placement</w:t>
            </w:r>
          </w:p>
        </w:tc>
        <w:tc>
          <w:tcPr>
            <w:tcW w:w="1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January 1, 2021</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$11,003,918</w:t>
            </w:r>
          </w:p>
        </w:tc>
        <w:tc>
          <w:tcPr>
            <w:tcW w:w="300" w:type="dxa"/>
            <w:vAlign w:val="bottom"/>
            <w:tcBorders>
              <w:left w:val="single" w:sz="8" w:color="CCEEFF"/>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Change in fair value</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7"/>
              </w:rPr>
              <w:t>12,110,456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March 31, 2021</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$23,114,374</w:t>
            </w:r>
          </w:p>
        </w:tc>
        <w:tc>
          <w:tcPr>
            <w:tcW w:w="300" w:type="dxa"/>
            <w:vAlign w:val="bottom"/>
            <w:tcBorders>
              <w:left w:val="single" w:sz="8" w:color="CCEEFF"/>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Change in fair value</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9,592,439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June 30, 2021</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13,521,935</w:t>
            </w:r>
          </w:p>
        </w:tc>
        <w:tc>
          <w:tcPr>
            <w:tcW w:w="300" w:type="dxa"/>
            <w:vAlign w:val="bottom"/>
            <w:tcBorders>
              <w:left w:val="single" w:sz="8" w:color="CCEEFF"/>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80" w:right="40" w:firstLine="440"/>
        <w:spacing w:after="0" w:line="277" w:lineRule="auto"/>
        <w:rPr>
          <w:sz w:val="20"/>
          <w:szCs w:val="20"/>
          <w:color w:val="auto"/>
        </w:rPr>
      </w:pPr>
      <w:r>
        <w:rPr>
          <w:rFonts w:ascii="Arial" w:cs="Arial" w:eastAsia="Arial" w:hAnsi="Arial"/>
          <w:sz w:val="18"/>
          <w:szCs w:val="18"/>
          <w:color w:val="auto"/>
        </w:rPr>
        <w:t>Transfers to/from Levels 1, 2 and 3 are recognized at the end of the reporting period. There were no transfers between levels for the three and six months ended June 30, 2021.</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10 — SUBSEQUENT EVENTS</w:t>
      </w:r>
    </w:p>
    <w:p>
      <w:pPr>
        <w:spacing w:after="0" w:line="121" w:lineRule="exact"/>
        <w:rPr>
          <w:sz w:val="20"/>
          <w:szCs w:val="20"/>
          <w:color w:val="auto"/>
        </w:rPr>
      </w:pPr>
    </w:p>
    <w:p>
      <w:pPr>
        <w:ind w:left="180" w:right="20" w:firstLine="440"/>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unaudited condensed consolidated financial statements were issued. Based upon this review, the Company did not identify any subsequent events that would have required adjustment or disclosure in the unaudited condensed consolidated financial statements.</w:t>
      </w:r>
    </w:p>
    <w:p>
      <w:pPr>
        <w:spacing w:after="0" w:line="11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260" w:top="486" w:right="5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References in this report (the “Quarterly Report”) to “we,” “us” or the “Company” refer to VPC Impact Acquisition Holdings. References to our “management” or our “management team” refer to our officers and directors, and references to the “Sponsor” refer to VPC Impact Acquisition Holdings Sponsor, LLC. The following discussion and analysis of the Company’s financial condition and results of operations should be read in conjunction with the consolidated financial statements and the notes thereto contained elsewhere in this Quarterly Report. Certain information contained in the discussion and analysis set forth below includes forward-looking statements that involve risks and uncertainties.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This Quarterly Report includes “forward-looking statements” within the meaning of Section 27A of the Securities Act of 1933, as amended (the “Securities Act”) and Section 21E of the Securities Exchange Act of 1934, as amended (the “Exchange Act”) that are not historical facts, and involve risks and uncertainties that could cause actual results to differ materially from those expected and projected. All statements, other than statements of historical fact included in this Form 10-Q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“anticipate,” “believe,” “continue,” “could,” “estimate,” “expect,” “intends,” “may,” “might,” “plan,” “possible,” “potential,” “predict,” “project,” “should,” “would” and variations thereof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10-K/A filed with the U.S. Securities and Exchange Commission (the “SEC”) on May 21, 2021.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We are a blank check company incorporated on July 31, 2020 as a Cayman Islands exempted company for the purpose of effecting a Business Combination. We intend to effectuate our initial Business Combination using cash from the proceeds of our Initial Public Offering and the sale of the private placement warrants, our shares, debt or a combination of cash, equity and debt.</w:t>
      </w:r>
    </w:p>
    <w:p>
      <w:pPr>
        <w:spacing w:after="0" w:line="184"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a Business Combination will be successful.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86"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Recent Developments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Agreement for Business Combination</w:t>
      </w:r>
    </w:p>
    <w:p>
      <w:pPr>
        <w:spacing w:after="0" w:line="121" w:lineRule="exact"/>
        <w:rPr>
          <w:sz w:val="20"/>
          <w:szCs w:val="20"/>
          <w:color w:val="auto"/>
        </w:rPr>
      </w:pPr>
    </w:p>
    <w:p>
      <w:pPr>
        <w:ind w:left="180" w:right="40" w:firstLine="440"/>
        <w:spacing w:after="0" w:line="257" w:lineRule="auto"/>
        <w:rPr>
          <w:sz w:val="20"/>
          <w:szCs w:val="20"/>
          <w:color w:val="auto"/>
        </w:rPr>
      </w:pPr>
      <w:r>
        <w:rPr>
          <w:rFonts w:ascii="Arial" w:cs="Arial" w:eastAsia="Arial" w:hAnsi="Arial"/>
          <w:sz w:val="18"/>
          <w:szCs w:val="18"/>
          <w:color w:val="auto"/>
        </w:rPr>
        <w:t>On January 11, 2021, the Company entered into an Agreement and Plan of Merger (the “Merger Agreement”), with Pylon Merger Company LLC, a Delaware limited liability company and a direct wholly-owned subsidiary of VIH (“Merger Sub”), and Bakkt Holdings, LLC, a Delaware limited liability company (“Bakkt”). The Merger Agreement provides that, among other things and upon the terms and subject to the conditions thereof, the following transactions will occur (together with the other agreements and transactions contemplated by the Merger Agreement, the “Proposed Transaction”):</w:t>
      </w:r>
    </w:p>
    <w:p>
      <w:pPr>
        <w:spacing w:after="0" w:line="80" w:lineRule="exact"/>
        <w:rPr>
          <w:sz w:val="20"/>
          <w:szCs w:val="20"/>
          <w:color w:val="auto"/>
        </w:rPr>
      </w:pPr>
    </w:p>
    <w:p>
      <w:pPr>
        <w:jc w:val="both"/>
        <w:ind w:left="620" w:right="200" w:hanging="4"/>
        <w:spacing w:after="0" w:line="311" w:lineRule="auto"/>
        <w:tabs>
          <w:tab w:leader="none" w:pos="835" w:val="left"/>
        </w:tabs>
        <w:numPr>
          <w:ilvl w:val="0"/>
          <w:numId w:val="7"/>
        </w:numPr>
        <w:rPr>
          <w:rFonts w:ascii="Arial" w:cs="Arial" w:eastAsia="Arial" w:hAnsi="Arial"/>
          <w:sz w:val="16"/>
          <w:szCs w:val="16"/>
          <w:color w:val="auto"/>
        </w:rPr>
      </w:pPr>
      <w:r>
        <w:rPr>
          <w:rFonts w:ascii="Arial" w:cs="Arial" w:eastAsia="Arial" w:hAnsi="Arial"/>
          <w:sz w:val="16"/>
          <w:szCs w:val="16"/>
          <w:color w:val="auto"/>
        </w:rPr>
        <w:t>at the closing of the transactions contemplated by the Merger Agreement (the “Closing”), in accordance with the Delaware Limited Liability Company Act, as amended (“DLLCA”), Merger Sub will merge (the “Merger”) with and into Bakkt, the separate corporate existence of Merger Sub will cease and Bakkt will be the surviving limited liability company, to be renamed Bakkt Opco Holdings, LLC (“Bakkt Opco”);</w:t>
      </w:r>
    </w:p>
    <w:p>
      <w:pPr>
        <w:spacing w:after="0" w:line="40" w:lineRule="exact"/>
        <w:rPr>
          <w:rFonts w:ascii="Arial" w:cs="Arial" w:eastAsia="Arial" w:hAnsi="Arial"/>
          <w:sz w:val="16"/>
          <w:szCs w:val="16"/>
          <w:color w:val="auto"/>
        </w:rPr>
      </w:pPr>
    </w:p>
    <w:p>
      <w:pPr>
        <w:ind w:left="620" w:right="560" w:hanging="4"/>
        <w:spacing w:after="0" w:line="308" w:lineRule="auto"/>
        <w:tabs>
          <w:tab w:leader="none" w:pos="885" w:val="left"/>
        </w:tabs>
        <w:numPr>
          <w:ilvl w:val="0"/>
          <w:numId w:val="7"/>
        </w:numPr>
        <w:rPr>
          <w:rFonts w:ascii="Arial" w:cs="Arial" w:eastAsia="Arial" w:hAnsi="Arial"/>
          <w:sz w:val="17"/>
          <w:szCs w:val="17"/>
          <w:color w:val="auto"/>
        </w:rPr>
      </w:pPr>
      <w:r>
        <w:rPr>
          <w:rFonts w:ascii="Arial" w:cs="Arial" w:eastAsia="Arial" w:hAnsi="Arial"/>
          <w:sz w:val="17"/>
          <w:szCs w:val="17"/>
          <w:color w:val="auto"/>
        </w:rPr>
        <w:t>immediately prior to the closing of the PIPE Investment (as defined below) and the effective time of the Merger, in connection with the Domestication described below, VIH will be renamed “Bakkt Holdings, Inc.” (referred to hereinafter as “Bakkt Pubco”); and</w:t>
      </w:r>
    </w:p>
    <w:p>
      <w:pPr>
        <w:spacing w:after="0" w:line="38" w:lineRule="exact"/>
        <w:rPr>
          <w:rFonts w:ascii="Arial" w:cs="Arial" w:eastAsia="Arial" w:hAnsi="Arial"/>
          <w:sz w:val="17"/>
          <w:szCs w:val="17"/>
          <w:color w:val="auto"/>
        </w:rPr>
      </w:pPr>
    </w:p>
    <w:p>
      <w:pPr>
        <w:ind w:left="620" w:right="60" w:hanging="4"/>
        <w:spacing w:after="0" w:line="263" w:lineRule="auto"/>
        <w:tabs>
          <w:tab w:leader="none" w:pos="935"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a result of the Merger, the aggregate consideration to be received in respect of the Merger by all of the Bakkt interest holders will be an aggregate of 208,200,000 common units of Bakkt Opco (“Bakkt Opco Units”) and 208,200,000 shares of class V common stock of Bakkt PubCo, which will be non-economic, voting shares of Bakkt Pubco.</w:t>
      </w:r>
    </w:p>
    <w:p>
      <w:pPr>
        <w:spacing w:after="0" w:line="184" w:lineRule="exact"/>
        <w:rPr>
          <w:sz w:val="20"/>
          <w:szCs w:val="20"/>
          <w:color w:val="auto"/>
        </w:rPr>
      </w:pPr>
    </w:p>
    <w:p>
      <w:pPr>
        <w:ind w:left="180" w:right="520"/>
        <w:spacing w:after="0" w:line="342" w:lineRule="auto"/>
        <w:rPr>
          <w:sz w:val="20"/>
          <w:szCs w:val="20"/>
          <w:color w:val="auto"/>
        </w:rPr>
      </w:pPr>
      <w:r>
        <w:rPr>
          <w:rFonts w:ascii="Arial" w:cs="Arial" w:eastAsia="Arial" w:hAnsi="Arial"/>
          <w:sz w:val="16"/>
          <w:szCs w:val="16"/>
          <w:color w:val="auto"/>
        </w:rPr>
        <w:t>The board of directors of the Company has unanimously (i) approved the Merger Agreement, the Proposed Transaction and the other transactions contemplated thereby and (ii) resolved to recommend approval of the Merger Agreement and related matters by the shareholders of VIH.</w:t>
      </w:r>
    </w:p>
    <w:p>
      <w:pPr>
        <w:spacing w:after="0" w:line="124" w:lineRule="exact"/>
        <w:rPr>
          <w:sz w:val="20"/>
          <w:szCs w:val="20"/>
          <w:color w:val="auto"/>
        </w:rPr>
      </w:pPr>
    </w:p>
    <w:p>
      <w:pPr>
        <w:ind w:left="180" w:right="280"/>
        <w:spacing w:after="0" w:line="279" w:lineRule="auto"/>
        <w:rPr>
          <w:sz w:val="20"/>
          <w:szCs w:val="20"/>
          <w:color w:val="auto"/>
        </w:rPr>
      </w:pPr>
      <w:r>
        <w:rPr>
          <w:rFonts w:ascii="Arial" w:cs="Arial" w:eastAsia="Arial" w:hAnsi="Arial"/>
          <w:sz w:val="17"/>
          <w:szCs w:val="17"/>
          <w:color w:val="auto"/>
        </w:rPr>
        <w:t>Prior to the Closing, subject to the approval of our shareholders, and in accordance with the DGCL, Cayman Islands Companies Act (as revised) (the “CICA”) and our amended and restated memorandum and articles of association, we will effect a deregistration under the CICA and a domestication under Section 388 of the DGCL (by means of filing a certificate of domestication with the Secretary of State of Delaware), pursuant to which our jurisdiction of incorporation will be changed from the Cayman Islands to the State of Delaware (the “Domestication”).</w:t>
      </w:r>
    </w:p>
    <w:p>
      <w:pPr>
        <w:spacing w:after="0" w:line="171" w:lineRule="exact"/>
        <w:rPr>
          <w:sz w:val="20"/>
          <w:szCs w:val="20"/>
          <w:color w:val="auto"/>
        </w:rPr>
      </w:pPr>
    </w:p>
    <w:p>
      <w:pPr>
        <w:ind w:left="180"/>
        <w:spacing w:after="0" w:line="257" w:lineRule="auto"/>
        <w:rPr>
          <w:sz w:val="20"/>
          <w:szCs w:val="20"/>
          <w:color w:val="auto"/>
        </w:rPr>
      </w:pPr>
      <w:r>
        <w:rPr>
          <w:rFonts w:ascii="Arial" w:cs="Arial" w:eastAsia="Arial" w:hAnsi="Arial"/>
          <w:sz w:val="18"/>
          <w:szCs w:val="18"/>
          <w:color w:val="auto"/>
        </w:rPr>
        <w:t>Upon the Closing, Bakkt Pubco will be organized in an “Up-C” structure in which substantially all of the assets and the business of Bakkt Pubco will be held by Bakkt Opco and its subsidiaries, and Bakkt Pubco’s only direct assets will consist of Bakkt Opco Units. Assuming no redemptions of public shares in connection with the Proposed Transaction, upon the Closing Bakkt Pubco is expected to own approximately 22% of Bakkt Opco Units and will be the managing member of Bakkt Opco. All remaining Bakkt Opco Units will be owned by the former equity owners of Bakkt (“Bakkt Equity Holders”).</w:t>
      </w:r>
    </w:p>
    <w:p>
      <w:pPr>
        <w:spacing w:after="0" w:line="188" w:lineRule="exact"/>
        <w:rPr>
          <w:sz w:val="20"/>
          <w:szCs w:val="20"/>
          <w:color w:val="auto"/>
        </w:rPr>
      </w:pPr>
    </w:p>
    <w:p>
      <w:pPr>
        <w:ind w:left="180" w:right="100"/>
        <w:spacing w:after="0" w:line="259" w:lineRule="auto"/>
        <w:rPr>
          <w:sz w:val="20"/>
          <w:szCs w:val="20"/>
          <w:color w:val="auto"/>
        </w:rPr>
      </w:pPr>
      <w:r>
        <w:rPr>
          <w:rFonts w:ascii="Arial" w:cs="Arial" w:eastAsia="Arial" w:hAnsi="Arial"/>
          <w:sz w:val="18"/>
          <w:szCs w:val="18"/>
          <w:color w:val="auto"/>
        </w:rPr>
        <w:t>On January 11, 2021, concurrently with the execution of the Merger Agreement, we entered into subscription agreements with certain investors (collectively, the “PIPE Investors” which include certain existing equity holders of the Company and Bakkt), pursuant to, and on the terms and subject to the conditions of which, the PIPE Investors have collectively subscribed for 32,500,000 Bakkt Pubco Class A Shares for an aggregate purchase price equal to $325,000,000 (the “PIPE Investment”).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consummation of the proposed business combination described herein is subject to certain conditions as further described in the Merger Agreement.</w:t>
      </w:r>
    </w:p>
    <w:p>
      <w:pPr>
        <w:spacing w:after="0" w:line="248" w:lineRule="exact"/>
        <w:rPr>
          <w:sz w:val="20"/>
          <w:szCs w:val="20"/>
          <w:color w:val="auto"/>
        </w:rPr>
      </w:pPr>
    </w:p>
    <w:p>
      <w:pPr>
        <w:ind w:left="180" w:right="120"/>
        <w:spacing w:after="0" w:line="257" w:lineRule="auto"/>
        <w:rPr>
          <w:sz w:val="20"/>
          <w:szCs w:val="20"/>
          <w:color w:val="auto"/>
        </w:rPr>
      </w:pPr>
      <w:r>
        <w:rPr>
          <w:rFonts w:ascii="Arial" w:cs="Arial" w:eastAsia="Arial" w:hAnsi="Arial"/>
          <w:sz w:val="18"/>
          <w:szCs w:val="18"/>
          <w:color w:val="auto"/>
        </w:rPr>
        <w:t>For more information about the Merger Agreement and the proposed business combination, see our Current Report on Form 8-K filed with the SEC on January 11, 2021 (File No. 001-39544) and the prospectus included in our Registration Statement on Form S-4 filed with the SEC on March 31, 2021 (File No. 333-254935) (the “Bakkt Disclosure Statement”). Unless specifically stated, this Quarterly Report does not give effect to the Proposed Transaction and does not contain the risks associated with the Proposed Transaction. Such risks and effects relating to the Proposed Transaction will be included in the Bakkt Disclosure Statement.</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260" w:top="486"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We have neither engaged in any operations (other than searching for a Business Combination after our Initial Public Offering and entering into the Merger Agreement described above) nor generated any revenues to date. Our only activities from inception to June 30, 2021 were organizational activities, those necessary to prepare for the Initial Public Offering, described below, and, after the Initial Public Offering, identifying a target company for a Business Combination and entering into the Merger Agreement. We do not expect to generate any operating revenues until after the completion of our Business Combination. We generate non-operating income in the form of interest income on marketable securities held in a trust account (the “Trust Account”). We incur expenses as a result of being a public company (for legal, financial reporting, accounting and auditing compliance), as well as for due diligence expenses in connection with completing a Business Combination.</w:t>
      </w:r>
    </w:p>
    <w:p>
      <w:pPr>
        <w:spacing w:after="0" w:line="177" w:lineRule="exact"/>
        <w:rPr>
          <w:sz w:val="20"/>
          <w:szCs w:val="20"/>
          <w:color w:val="auto"/>
        </w:rPr>
      </w:pPr>
    </w:p>
    <w:p>
      <w:pPr>
        <w:ind w:left="120" w:right="700"/>
        <w:spacing w:after="0" w:line="342" w:lineRule="auto"/>
        <w:rPr>
          <w:sz w:val="20"/>
          <w:szCs w:val="20"/>
          <w:color w:val="auto"/>
        </w:rPr>
      </w:pPr>
      <w:r>
        <w:rPr>
          <w:rFonts w:ascii="Arial" w:cs="Arial" w:eastAsia="Arial" w:hAnsi="Arial"/>
          <w:sz w:val="16"/>
          <w:szCs w:val="16"/>
          <w:color w:val="auto"/>
        </w:rPr>
        <w:t>For the three months ended June 30, 2021, we had a net income of $21,269,658, which consisted of changes in fair value of warrant liability of $22,449,504 and interest earned on investments held in the Trust Account of $7,525, offset by general and administrative cost of $1,187,371.</w:t>
      </w:r>
    </w:p>
    <w:p>
      <w:pPr>
        <w:spacing w:after="0" w:line="124"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For the six months ended June 30, 2021, we had a net loss of $12,401,958, which consisted of changes in fair value of warrant liability of $8,842,864, other income of $4,476 and interest earned on investments held in the Trust Account of $17,229, offset by general and administrative cost of $3,580,799.</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Until the consummation of the Initial Public Offering, our only source of liquidity was an initial purchase of ordinary shares by the Sponsor and loans from our Sponsor.</w:t>
      </w:r>
    </w:p>
    <w:p>
      <w:pPr>
        <w:spacing w:after="0" w:line="170"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On September 25, 2020, we consummated the Initial Public Offering of 20,000,000 units (the ”Units”), at a price of $10.00 per Unit, generating gross proceeds of $200,000,000. Simultaneously with the closing of the Initial Public Offering, we consummated the sale of 6,000,000 warrants (the “Private Placement Warrants”) to the Sponsor at a price of $1.00 per Private Placement Warrant generating gross proceeds of $6,000,000.</w:t>
      </w:r>
    </w:p>
    <w:p>
      <w:pPr>
        <w:spacing w:after="0" w:line="165"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Following the Initial Public Offering and the sale of the Private Placement Warrants, a total of $200,000,000 was placed in the Trust Account, and we had $1,205,178 of cash held outside of the Trust Account, after payment of costs related to the Initial Public Offering, and available for working capital purposes. We incurred $11,906,606 in transaction costs, including $4,147,440 of underwriting fees, $7,258,021 of deferred underwriting fees and $501,146 of other offering costs.</w:t>
      </w:r>
    </w:p>
    <w:p>
      <w:pPr>
        <w:spacing w:after="0" w:line="187" w:lineRule="exact"/>
        <w:rPr>
          <w:sz w:val="20"/>
          <w:szCs w:val="20"/>
          <w:color w:val="auto"/>
        </w:rPr>
      </w:pPr>
    </w:p>
    <w:p>
      <w:pPr>
        <w:jc w:val="both"/>
        <w:ind w:left="120" w:right="260"/>
        <w:spacing w:after="0" w:line="311" w:lineRule="auto"/>
        <w:rPr>
          <w:sz w:val="20"/>
          <w:szCs w:val="20"/>
          <w:color w:val="auto"/>
        </w:rPr>
      </w:pPr>
      <w:r>
        <w:rPr>
          <w:rFonts w:ascii="Arial" w:cs="Arial" w:eastAsia="Arial" w:hAnsi="Arial"/>
          <w:sz w:val="16"/>
          <w:szCs w:val="16"/>
          <w:color w:val="auto"/>
        </w:rPr>
        <w:t>On October 1, 2020, in connection with the underwriters’ election to partially exercise of their over-allotment option, we consummated the sale of an additional 737,202 Units and the sale of an additional 147,440 Private Placement Warrants, generating total gross proceeds of $7,519,460. A total of $7,372,020 of the net proceeds was deposited into the Trust Account, bringing the aggregate proceeds held in the Trust Account to $207,372,020.</w:t>
      </w:r>
    </w:p>
    <w:p>
      <w:pPr>
        <w:spacing w:after="0" w:line="14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For the six months ended June 30, 2021, net cash used in operating activities was $316,507, which consisted of our net loss of $12,401,958 affected by interest earned on investments of $17,229, changes in fair value of warrant liability of $8,842,864 and changes in operating assets and liabilities, which provided $3,259,816 of cash from operating activities.</w:t>
      </w:r>
    </w:p>
    <w:p>
      <w:pPr>
        <w:spacing w:after="0" w:line="184"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At June 30, 2021, we had investments held in the Trust Account of $207,393,442. We intend to use substantially all of the funds held in the Trust Account, including any amounts representing interest earned on the Trust Account, which interest shall be net of taxes payable and excluding deferred underwriting commissions, to complete our Business Combination. We may withdraw interest from the Trust Account to pay taxes, if any. To the extent that our share capital or debt is used, in whole or in part, as consideration to complete a Business Combination, the remaining proceeds held in the Trust Account will be used as working capital to finance the operations of the target business or businesses, make other acquisitions and pursue our growth strategies.</w:t>
      </w:r>
    </w:p>
    <w:p>
      <w:pPr>
        <w:spacing w:after="0" w:line="192"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At June 30, 2021, we had cash of $861,171 held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structure, negotiate and complete a Business Combination.</w:t>
      </w:r>
    </w:p>
    <w:p>
      <w:pPr>
        <w:spacing w:after="0" w:line="18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order to fund working capital deficiencies or finance transaction costs in connection with a Business Combination, our Sponsor or an affiliate of our Sponsor or certain of our officers and directors may, but are not obligated to, loan us funds as may be required. If we complete a Business Combination, we may repay such loaned amounts out of the proceeds of the Trust Account released to us.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w:t>
      </w:r>
    </w:p>
    <w:p>
      <w:pPr>
        <w:sectPr>
          <w:pgSz w:w="11900" w:h="16838" w:orient="portrait"/>
          <w:cols w:equalWidth="0" w:num="1">
            <w:col w:w="11100"/>
          </w:cols>
          <w:pgMar w:left="320" w:top="486" w:right="479" w:bottom="1440" w:gutter="0" w:footer="0" w:header="0"/>
        </w:sectPr>
      </w:pP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100"/>
          </w:cols>
          <w:pgMar w:left="320" w:top="486" w:right="47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If the Business Combination is not consummated, the Company will need to raise additional capital through loans or additional investments from its Sponsor, stockholders, officers, directors, or third parties.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These conditions raise substantial doubt about the Company’s ability to continue as a going concern through one year from the date of these financial statements if a Business Combination is not consummated. These financial statements do not include any adjustments relating to the recovery of the recorded assets or the classification of the liabilities that might be necessary should the Company be unable to continue as a going concern.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121"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June 30, 2021.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We do not have any long-term debt, capital lease obligations, operating lease obligations or long-term liabilities, other than an agreement to pay the Sponsor a monthly fee of $10,000 for office space, utilities, secretarial and administrative support services, provided to the Company. We began incurring these fees on September 25, 2020 and will continue to incur these fees monthly until the earlier of the completion of a Business Combination and the Company’s liquidation.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Underwriting Agreement</w:t>
      </w:r>
    </w:p>
    <w:p>
      <w:pPr>
        <w:spacing w:after="0" w:line="117"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The underwriters were paid a cash underwriting discount of $0.20 per Unit, or $4,147,440 in the aggregate. In addition, $0.35 per Public Share, or approximately $7,258,021 in the aggregate will be payable to the underwriters for deferred underwriting commissions. The deferred fee will become payable to the underwriters from the amounts held in the Trust Account solely in the event that we complete a Business Combination, subject to the terms of the underwriting agreement.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The preparation of condensed consolidated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condensed consolidated financial statements, and income and expenses during the periods reported. Actual results could materially differ from those estimates. We have identified the following critical accounting policies: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Warrant Liabilities</w:t>
      </w:r>
    </w:p>
    <w:p>
      <w:pPr>
        <w:spacing w:after="0" w:line="117" w:lineRule="exact"/>
        <w:rPr>
          <w:sz w:val="20"/>
          <w:szCs w:val="20"/>
          <w:color w:val="auto"/>
        </w:rPr>
      </w:pPr>
    </w:p>
    <w:p>
      <w:pPr>
        <w:ind w:left="120" w:right="240"/>
        <w:spacing w:after="0" w:line="290" w:lineRule="auto"/>
        <w:rPr>
          <w:sz w:val="20"/>
          <w:szCs w:val="20"/>
          <w:color w:val="auto"/>
        </w:rPr>
      </w:pPr>
      <w:r>
        <w:rPr>
          <w:rFonts w:ascii="Arial" w:cs="Arial" w:eastAsia="Arial" w:hAnsi="Arial"/>
          <w:sz w:val="16"/>
          <w:szCs w:val="16"/>
          <w:color w:val="auto"/>
        </w:rPr>
        <w:t>We do not use derivative instruments to hedge exposures to cash flow, market, or foreign currency risks. We evaluate all of our financial instruments, including issued stock purchase warrants, to determine if such instruments are derivatives or contain features that qualify as embedded derivatives, pursuant to ASC 480 and ASC 815.We account for the warrants issued in connection with our Initial Public Offering in accordance with the guidance contained in ASC 815 under which the warrants do not meet the criteria for equity treatment and must be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 The fair value of the warrants was estimated using a Black-Scholes Option Pricing Model. For periods subsequent to the detachment of the Public Warrants from the Units, the close price of the Public Warrant price was used as the fair value of the Public Warrants as of each relevant date.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17"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We account for our Class A ordinary shares subject to possible redemption in accordance with the guidance in Accounting Standards Codification (“ASC”) Topic 480 “Distinguishing Liabilities from Equity.” Class A ordinary shares subject to mandatory redemption is classified as a liability instrument and is measured at fair value. Conditionally redeemable ordinary shares (including ordinary shares that features redemption rights that is either within the control of the holder or subject to redemption upon the occurrence of uncertain events not solely within our control) is classified as temporary equity. At all other times, ordinary shares are classified as shareholders’ equity. Our ordinary shares feature certain redemption rights that are considered to be outside of our control and subject to occurrence of uncertain future events. Accordingly, Class A ordinary shares subject to possible redemption is presented as temporary equity, outside of the shareholders’ equity section of our condensed balance sheets.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Income (Loss) Per Ordinary Share</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We apply the two-class method in calculating earnings per share. Net income (loss) per ordinary share, basic and diluted for Class A redeemable ordinary shares is calculated by dividing the interest income earned on the Trust Account by the weighted average number of Class A redeemable ordinary shares outstanding since original issuance. Net income (loss) per common share, basic and diluted for Class B non-redeemable ordinary shares is calculated by dividing the net income (loss), less income attributable to Class A redeemable ordinary shares, by the weighted average number of Class B non-redeemable ordinary shares outstanding for the periods presented.</w:t>
      </w:r>
    </w:p>
    <w:p>
      <w:pPr>
        <w:sectPr>
          <w:pgSz w:w="11900" w:h="16838" w:orient="portrait"/>
          <w:cols w:equalWidth="0" w:num="1">
            <w:col w:w="11120"/>
          </w:cols>
          <w:pgMar w:left="320" w:top="486" w:right="459" w:bottom="466" w:gutter="0" w:footer="0" w:header="0"/>
        </w:sectPr>
      </w:pP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120"/>
          </w:cols>
          <w:pgMar w:left="320" w:top="486" w:right="459" w:bottom="466"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Accounting Standards</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our condensed consolidated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The Jumpstart Our Business Startups Act of 2012 (the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the consolidated financial statements may not be comparable to companies that comply with new or revised accounting pronouncements as of public company effective dates.</w:t>
      </w:r>
    </w:p>
    <w:p>
      <w:pPr>
        <w:spacing w:after="0" w:line="70" w:lineRule="exact"/>
        <w:rPr>
          <w:sz w:val="20"/>
          <w:szCs w:val="20"/>
          <w:color w:val="auto"/>
        </w:rPr>
      </w:pPr>
    </w:p>
    <w:p>
      <w:pPr>
        <w:ind w:left="120" w:right="100"/>
        <w:spacing w:after="0" w:line="289" w:lineRule="auto"/>
        <w:rPr>
          <w:sz w:val="20"/>
          <w:szCs w:val="20"/>
          <w:color w:val="auto"/>
        </w:rPr>
      </w:pPr>
      <w:r>
        <w:rPr>
          <w:rFonts w:ascii="Arial" w:cs="Arial" w:eastAsia="Arial" w:hAnsi="Arial"/>
          <w:sz w:val="16"/>
          <w:szCs w:val="16"/>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consolidated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Our management does not believe there are any other recently issued, but not yet effective, accounting pronouncements, if currently adopted, that would have a material effect on our consolidated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otherwise required under this item.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jc w:val="both"/>
        <w:ind w:left="120" w:right="80"/>
        <w:spacing w:after="0" w:line="285"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evaluation of the effectiveness of our disclosure controls and procedures as of the end of the fiscal quarter ended December 31, 2020, as such term is defined in Rules 13a-15(e) and 15d-15(e) under the Exchange Act. Based on this evaluation, our principal executive officer and principal financial and accounting officer have concluded that during the period covered by this report, our disclosure controls and procedures were not effective, due solely to the material weakness in our internal control over financial reporting described in the Company’s Amendment No. 1 to its Annual Report on</w:t>
      </w:r>
    </w:p>
    <w:p>
      <w:pPr>
        <w:spacing w:after="0" w:line="2"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Form 10-K/A filed on May 21, 2021) (the “Restatement”). In light of this material weakness, we performed additional analysis as deemed necessary to ensure that our unaudited interim financial statements were prepared in accordance with U.S. generally accepted accounting principles. Accordingly, management believes that the financial statements included in this Quarterly Report on Form 10-Q present fairly in all material respects our financial position, results of operations and cash flows for the period presented.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86"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Other than as described below, there was no change in our internal control over financial reporting that occurred during the fiscal quarter ended June 30, 2021 covered by this Quarterly Report on Form 10-Q that has materially affected, or is reasonably likely to materially affect, our internal control over financial reporting. In light of the Restatement, we plan to enhance our processes to identify and appropriately apply applicable accounting requirements to better evaluate and understand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Factors that could cause our actual results to differ materially from those in this Quarterly Report are any of the risks described in our final Annual Report on Form 10-K/A, filed with the SEC on May 21, 2021. Any of these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Quarterly Report, there have been no material changes to the risk factors disclosed in our Annual Report on Form 10-K/A. We may disclose changes to such factors or disclose additional factors from time to time in our future filings with the SEC.</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Use of Proceeds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 description of the use of the proceeds generated in our Initial Public Offering, see Part I, Item 2 of this Form 10-Q.</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86"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Exhibit</w:t>
            </w:r>
          </w:p>
        </w:tc>
        <w:tc>
          <w:tcPr>
            <w:tcW w:w="14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48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Number</w:t>
            </w:r>
          </w:p>
        </w:tc>
        <w:tc>
          <w:tcPr>
            <w:tcW w:w="14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4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22"/>
                <w:szCs w:val="22"/>
                <w:color w:val="auto"/>
              </w:rPr>
            </w:pPr>
          </w:p>
        </w:tc>
        <w:tc>
          <w:tcPr>
            <w:tcW w:w="9840" w:type="dxa"/>
            <w:vAlign w:val="bottom"/>
            <w:tcBorders>
              <w:top w:val="single" w:sz="8" w:color="auto"/>
            </w:tcBorders>
            <w:gridSpan w:val="7"/>
          </w:tcPr>
          <w:p>
            <w:pPr>
              <w:spacing w:after="0"/>
              <w:rPr>
                <w:rFonts w:ascii="Arial" w:cs="Arial" w:eastAsia="Arial" w:hAnsi="Arial"/>
                <w:sz w:val="18"/>
                <w:szCs w:val="18"/>
                <w:color w:val="auto"/>
              </w:rPr>
            </w:pPr>
            <w:r>
              <w:rPr>
                <w:rFonts w:ascii="Arial" w:cs="Arial" w:eastAsia="Arial" w:hAnsi="Arial"/>
                <w:sz w:val="18"/>
                <w:szCs w:val="18"/>
                <w:color w:val="auto"/>
              </w:rPr>
              <w:t>Power of Attorney (</w:t>
            </w:r>
            <w:hyperlink w:anchor="page29">
              <w:r>
                <w:rPr>
                  <w:rFonts w:ascii="Arial" w:cs="Arial" w:eastAsia="Arial" w:hAnsi="Arial"/>
                  <w:sz w:val="18"/>
                  <w:szCs w:val="18"/>
                  <w:color w:val="0000EE"/>
                </w:rPr>
                <w:t>included on signature page of this report</w:t>
              </w:r>
            </w:hyperlink>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4"/>
                <w:szCs w:val="24"/>
                <w:color w:val="auto"/>
              </w:rPr>
            </w:pPr>
          </w:p>
        </w:tc>
        <w:tc>
          <w:tcPr>
            <w:tcW w:w="9840" w:type="dxa"/>
            <w:vAlign w:val="bottom"/>
            <w:gridSpan w:val="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Certification of the Chief Executive Officer required by Rule 13a-14(a) or Rule 15d-14(a).</w:t>
              </w:r>
            </w:hyperlink>
          </w:p>
        </w:tc>
        <w:tc>
          <w:tcPr>
            <w:tcW w:w="0" w:type="dxa"/>
            <w:vAlign w:val="bottom"/>
          </w:tcPr>
          <w:p>
            <w:pPr>
              <w:spacing w:after="0"/>
              <w:rPr>
                <w:sz w:val="1"/>
                <w:szCs w:val="1"/>
                <w:color w:val="auto"/>
              </w:rPr>
            </w:pP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4"/>
                <w:szCs w:val="24"/>
                <w:color w:val="auto"/>
              </w:rPr>
            </w:pPr>
          </w:p>
        </w:tc>
        <w:tc>
          <w:tcPr>
            <w:tcW w:w="64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Certification of the Chief Financial Officer required by Rule 13a-14(a) or Rule 15d-14(a).</w:t>
              </w:r>
            </w:hyperlink>
          </w:p>
        </w:tc>
        <w:tc>
          <w:tcPr>
            <w:tcW w:w="40" w:type="dxa"/>
            <w:vAlign w:val="bottom"/>
            <w:tcBorders>
              <w:top w:val="single" w:sz="8" w:color="0000EE"/>
            </w:tcBorders>
          </w:tcPr>
          <w:p>
            <w:pPr>
              <w:spacing w:after="0"/>
              <w:rPr>
                <w:sz w:val="24"/>
                <w:szCs w:val="24"/>
                <w:color w:val="auto"/>
              </w:rPr>
            </w:pPr>
          </w:p>
        </w:tc>
        <w:tc>
          <w:tcPr>
            <w:tcW w:w="33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4"/>
                <w:szCs w:val="24"/>
                <w:color w:val="auto"/>
              </w:rPr>
            </w:pPr>
          </w:p>
        </w:tc>
        <w:tc>
          <w:tcPr>
            <w:tcW w:w="9840" w:type="dxa"/>
            <w:vAlign w:val="bottom"/>
            <w:gridSpan w:val="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Certification of the Chief Executive Officer required by Rule 13a-14(b) or Rule 15d-14(b) and 18 U.S.C. 1350.</w:t>
              </w:r>
            </w:hyperlink>
          </w:p>
        </w:tc>
        <w:tc>
          <w:tcPr>
            <w:tcW w:w="0" w:type="dxa"/>
            <w:vAlign w:val="bottom"/>
          </w:tcPr>
          <w:p>
            <w:pPr>
              <w:spacing w:after="0"/>
              <w:rPr>
                <w:sz w:val="1"/>
                <w:szCs w:val="1"/>
                <w:color w:val="auto"/>
              </w:rPr>
            </w:pP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24"/>
                <w:szCs w:val="24"/>
                <w:color w:val="auto"/>
              </w:rPr>
            </w:pPr>
          </w:p>
        </w:tc>
        <w:tc>
          <w:tcPr>
            <w:tcW w:w="79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Certification of the Chief Financial Officer required by Rule 13a-14(b) or Rule 15d-14(b) and 18 U.S.C. 1350.</w:t>
              </w:r>
            </w:hyperlink>
          </w:p>
        </w:tc>
        <w:tc>
          <w:tcPr>
            <w:tcW w:w="40" w:type="dxa"/>
            <w:vAlign w:val="bottom"/>
            <w:tcBorders>
              <w:top w:val="single" w:sz="8" w:color="0000EE"/>
            </w:tcBorders>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840" w:type="dxa"/>
            <w:vAlign w:val="bottom"/>
            <w:gridSpan w:val="7"/>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24"/>
        </w:trPr>
        <w:tc>
          <w:tcPr>
            <w:tcW w:w="118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101.SCH*</w:t>
            </w:r>
          </w:p>
        </w:tc>
        <w:tc>
          <w:tcPr>
            <w:tcW w:w="984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180" w:type="dxa"/>
            <w:vAlign w:val="bottom"/>
            <w:gridSpan w:val="2"/>
          </w:tcPr>
          <w:p>
            <w:pPr>
              <w:jc w:val="center"/>
              <w:ind w:right="420"/>
              <w:spacing w:after="0"/>
              <w:rPr>
                <w:sz w:val="20"/>
                <w:szCs w:val="20"/>
                <w:color w:val="auto"/>
              </w:rPr>
            </w:pPr>
            <w:r>
              <w:rPr>
                <w:rFonts w:ascii="Arial" w:cs="Arial" w:eastAsia="Arial" w:hAnsi="Arial"/>
                <w:sz w:val="18"/>
                <w:szCs w:val="18"/>
                <w:color w:val="auto"/>
                <w:w w:val="98"/>
              </w:rPr>
              <w:t>101.CAL*</w:t>
            </w:r>
          </w:p>
        </w:tc>
        <w:tc>
          <w:tcPr>
            <w:tcW w:w="984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18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101.DEF*</w:t>
            </w:r>
          </w:p>
        </w:tc>
        <w:tc>
          <w:tcPr>
            <w:tcW w:w="984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118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101.LAB*</w:t>
            </w:r>
          </w:p>
        </w:tc>
        <w:tc>
          <w:tcPr>
            <w:tcW w:w="984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18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101.PRE*</w:t>
            </w:r>
          </w:p>
        </w:tc>
        <w:tc>
          <w:tcPr>
            <w:tcW w:w="984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60" w:right="80" w:hanging="544"/>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 w:lineRule="exact"/>
        <w:rPr>
          <w:sz w:val="20"/>
          <w:szCs w:val="20"/>
          <w:color w:val="auto"/>
        </w:rPr>
      </w:pPr>
    </w:p>
    <w:p>
      <w:pPr>
        <w:ind w:left="660" w:hanging="54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660" w:hanging="54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ind w:left="660" w:right="300" w:hanging="544"/>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86"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VPC IMPACT ACQUISITION HOLDINGS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Date: August 13, 2021</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Martin</w:t>
            </w:r>
          </w:p>
        </w:tc>
      </w:tr>
      <w:tr>
        <w:trPr>
          <w:trHeight w:val="209"/>
        </w:trPr>
        <w:tc>
          <w:tcPr>
            <w:tcW w:w="6160" w:type="dxa"/>
            <w:vAlign w:val="bottom"/>
          </w:tcPr>
          <w:p>
            <w:pPr>
              <w:ind w:left="55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John Martin</w:t>
            </w:r>
          </w:p>
        </w:tc>
      </w:tr>
      <w:tr>
        <w:trPr>
          <w:trHeight w:val="216"/>
        </w:trPr>
        <w:tc>
          <w:tcPr>
            <w:tcW w:w="6160" w:type="dxa"/>
            <w:vAlign w:val="bottom"/>
          </w:tcPr>
          <w:p>
            <w:pPr>
              <w:ind w:left="55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 and Chairman</w:t>
            </w:r>
          </w:p>
        </w:tc>
      </w:tr>
      <w:tr>
        <w:trPr>
          <w:trHeight w:val="230"/>
        </w:trPr>
        <w:tc>
          <w:tcPr>
            <w:tcW w:w="61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45"/>
        </w:trPr>
        <w:tc>
          <w:tcPr>
            <w:tcW w:w="6160" w:type="dxa"/>
            <w:vAlign w:val="bottom"/>
          </w:tcPr>
          <w:p>
            <w:pPr>
              <w:spacing w:after="0"/>
              <w:rPr>
                <w:sz w:val="20"/>
                <w:szCs w:val="20"/>
                <w:color w:val="auto"/>
              </w:rPr>
            </w:pPr>
            <w:r>
              <w:rPr>
                <w:rFonts w:ascii="Arial" w:cs="Arial" w:eastAsia="Arial" w:hAnsi="Arial"/>
                <w:sz w:val="18"/>
                <w:szCs w:val="18"/>
                <w:color w:val="auto"/>
              </w:rPr>
              <w:t>Date: August 13, 2021</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Olibia Stamatoglou</w:t>
            </w:r>
          </w:p>
        </w:tc>
      </w:tr>
      <w:tr>
        <w:trPr>
          <w:trHeight w:val="209"/>
        </w:trPr>
        <w:tc>
          <w:tcPr>
            <w:tcW w:w="6160" w:type="dxa"/>
            <w:vAlign w:val="bottom"/>
          </w:tcPr>
          <w:p>
            <w:pPr>
              <w:ind w:left="55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Olibia Stamatoglou</w:t>
            </w:r>
          </w:p>
        </w:tc>
      </w:tr>
      <w:tr>
        <w:trPr>
          <w:trHeight w:val="216"/>
        </w:trPr>
        <w:tc>
          <w:tcPr>
            <w:tcW w:w="6160" w:type="dxa"/>
            <w:vAlign w:val="bottom"/>
          </w:tcPr>
          <w:p>
            <w:pPr>
              <w:ind w:left="55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1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378"/>
        </w:trPr>
        <w:tc>
          <w:tcPr>
            <w:tcW w:w="6160" w:type="dxa"/>
            <w:vAlign w:val="bottom"/>
          </w:tcPr>
          <w:p>
            <w:pPr>
              <w:ind w:left="5420"/>
              <w:spacing w:after="0"/>
              <w:rPr>
                <w:sz w:val="20"/>
                <w:szCs w:val="20"/>
                <w:color w:val="auto"/>
              </w:rPr>
            </w:pPr>
            <w:r>
              <w:rPr>
                <w:rFonts w:ascii="Arial" w:cs="Arial" w:eastAsia="Arial" w:hAnsi="Arial"/>
                <w:sz w:val="18"/>
                <w:szCs w:val="18"/>
                <w:color w:val="auto"/>
              </w:rPr>
              <w:t>27</w:t>
            </w:r>
          </w:p>
        </w:tc>
        <w:tc>
          <w:tcPr>
            <w:tcW w:w="486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Martin, certify that:</w:t>
      </w:r>
    </w:p>
    <w:p>
      <w:pPr>
        <w:spacing w:after="0" w:line="131" w:lineRule="exact"/>
        <w:rPr>
          <w:sz w:val="20"/>
          <w:szCs w:val="20"/>
          <w:color w:val="auto"/>
        </w:rPr>
      </w:pPr>
    </w:p>
    <w:p>
      <w:pPr>
        <w:ind w:left="960" w:hanging="53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VPC Impact Acquisition Holdings;</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540" w:hanging="532"/>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1420" w:right="20" w:hanging="439"/>
        <w:spacing w:after="0" w:line="286" w:lineRule="auto"/>
        <w:tabs>
          <w:tab w:leader="none" w:pos="14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420" w:hanging="439"/>
        <w:spacing w:after="0"/>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30" w:lineRule="exact"/>
        <w:rPr>
          <w:rFonts w:ascii="Arial" w:cs="Arial" w:eastAsia="Arial" w:hAnsi="Arial"/>
          <w:sz w:val="18"/>
          <w:szCs w:val="18"/>
          <w:color w:val="auto"/>
        </w:rPr>
      </w:pPr>
    </w:p>
    <w:p>
      <w:pPr>
        <w:ind w:left="1420" w:right="180" w:hanging="439"/>
        <w:spacing w:after="0" w:line="263" w:lineRule="auto"/>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0" w:right="280" w:hanging="439"/>
        <w:spacing w:after="0" w:line="286" w:lineRule="auto"/>
        <w:tabs>
          <w:tab w:leader="none" w:pos="14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60" w:right="260" w:hanging="532"/>
        <w:spacing w:after="0" w:line="263"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sz w:val="20"/>
          <w:szCs w:val="20"/>
          <w:color w:val="auto"/>
        </w:rPr>
      </w:pPr>
    </w:p>
    <w:p>
      <w:pPr>
        <w:ind w:left="1420" w:right="120" w:hanging="439"/>
        <w:spacing w:after="0" w:line="342" w:lineRule="auto"/>
        <w:tabs>
          <w:tab w:leader="none" w:pos="14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0" w:right="260" w:hanging="532"/>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Martin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Chairman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Olibia Stamatoglou, certify that:</w:t>
      </w:r>
    </w:p>
    <w:p>
      <w:pPr>
        <w:spacing w:after="0" w:line="131" w:lineRule="exact"/>
        <w:rPr>
          <w:sz w:val="20"/>
          <w:szCs w:val="20"/>
          <w:color w:val="auto"/>
        </w:rPr>
      </w:pPr>
    </w:p>
    <w:p>
      <w:pPr>
        <w:ind w:left="960" w:hanging="532"/>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VPC Impact Acquisition Holdings;</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540" w:hanging="532"/>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1420" w:right="20" w:hanging="439"/>
        <w:spacing w:after="0" w:line="286" w:lineRule="auto"/>
        <w:tabs>
          <w:tab w:leader="none" w:pos="14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420" w:hanging="439"/>
        <w:spacing w:after="0"/>
        <w:tabs>
          <w:tab w:leader="none" w:pos="1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30" w:lineRule="exact"/>
        <w:rPr>
          <w:rFonts w:ascii="Arial" w:cs="Arial" w:eastAsia="Arial" w:hAnsi="Arial"/>
          <w:sz w:val="18"/>
          <w:szCs w:val="18"/>
          <w:color w:val="auto"/>
        </w:rPr>
      </w:pPr>
    </w:p>
    <w:p>
      <w:pPr>
        <w:ind w:left="1420" w:right="180" w:hanging="439"/>
        <w:spacing w:after="0" w:line="263" w:lineRule="auto"/>
        <w:tabs>
          <w:tab w:leader="none" w:pos="1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0" w:right="280" w:hanging="439"/>
        <w:spacing w:after="0" w:line="286" w:lineRule="auto"/>
        <w:tabs>
          <w:tab w:leader="none" w:pos="14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60" w:right="260" w:hanging="532"/>
        <w:spacing w:after="0" w:line="263"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sz w:val="20"/>
          <w:szCs w:val="20"/>
          <w:color w:val="auto"/>
        </w:rPr>
      </w:pPr>
    </w:p>
    <w:p>
      <w:pPr>
        <w:ind w:left="1420" w:right="120" w:hanging="439"/>
        <w:spacing w:after="0" w:line="342" w:lineRule="auto"/>
        <w:tabs>
          <w:tab w:leader="none" w:pos="1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0" w:right="400" w:hanging="439"/>
        <w:spacing w:after="0" w:line="277"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Olibia Stamatoglou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Olibia Stamatoglou</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20"/>
          </w:cols>
          <w:pgMar w:left="440" w:top="121" w:right="439" w:bottom="1440" w:gutter="0" w:footer="0" w:header="0"/>
        </w:sectPr>
      </w:pPr>
    </w:p>
    <w:bookmarkStart w:id="31" w:name="page32"/>
    <w:bookmarkEnd w:id="31"/>
    <w:p>
      <w:pPr>
        <w:ind w:left="100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connection with the Quarterly Report of VPC Impact Acquisition Holdings (the “Company”) on Form 10-Q for the quarterly period ended June 30, 2021, as filed with the Securities and Exchange Commission (the “Report”), I, John Martin, Chief Executive Officer of the Company, certify, pursuant to 18 U.S.C. §1350, as added by §906 of the Sarbanes-Oxley Act of 2002, that:</w:t>
      </w:r>
    </w:p>
    <w:p>
      <w:pPr>
        <w:spacing w:after="0" w:line="89" w:lineRule="exact"/>
        <w:rPr>
          <w:sz w:val="20"/>
          <w:szCs w:val="20"/>
          <w:color w:val="auto"/>
        </w:rPr>
      </w:pPr>
    </w:p>
    <w:p>
      <w:pPr>
        <w:ind w:left="960" w:hanging="532"/>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20" w:hanging="532"/>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Martin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Chairman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connection with the Quarterly Report of VPC Impact Acquisition Holdings (the “Company”) on Form 10-Q for the quarterly period ended June 30, 2021, as filed with the Securities and Exchange Commission (the “Report”), I, Olibia Stamatoglou, Chief Financial Officer of the Company, certify, pursuant to 18 U.S.C. §1350, as added by §906 of the Sarbanes-Oxley Act of 2002, that:</w:t>
      </w:r>
    </w:p>
    <w:p>
      <w:pPr>
        <w:spacing w:after="0" w:line="89" w:lineRule="exact"/>
        <w:rPr>
          <w:sz w:val="20"/>
          <w:szCs w:val="20"/>
          <w:color w:val="auto"/>
        </w:rPr>
      </w:pPr>
    </w:p>
    <w:p>
      <w:pPr>
        <w:ind w:left="960" w:hanging="532"/>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20" w:hanging="532"/>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Olibia Stamatoglou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Olibia Stamatoglou</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Roman"/>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lowerRoman"/>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lvl w:ilvl="1">
      <w:lvlJc w:val="left"/>
      <w:lvlText w:val="%2)"/>
      <w:numFmt w:val="lowerLetter"/>
      <w:start w:val="1"/>
    </w:lvl>
  </w:abstractNum>
  <w:abstractNum w:abstractNumId="12">
    <w:nsid w:val="41A7C4C9"/>
    <w:multiLevelType w:val="hybridMultilevel"/>
    <w:lvl w:ilvl="0">
      <w:lvlJc w:val="left"/>
      <w:lvlText w:val="%1"/>
      <w:numFmt w:val="lowerLetter"/>
      <w:start w:val="1"/>
    </w:lvl>
    <w:lvl w:ilvl="1">
      <w:lvlJc w:val="left"/>
      <w:lvlText w:val="(%2)"/>
      <w:numFmt w:val="lowerLetter"/>
      <w:start w:val="1"/>
    </w:lvl>
  </w:abstractNum>
  <w:abstractNum w:abstractNumId="13">
    <w:nsid w:val="6B68079A"/>
    <w:multiLevelType w:val="hybridMultilevel"/>
    <w:lvl w:ilvl="0">
      <w:lvlJc w:val="left"/>
      <w:lvlText w:val="(%1)"/>
      <w:numFmt w:val="lowerLetter"/>
      <w:start w:val="2"/>
    </w:lvl>
    <w:lvl w:ilvl="1">
      <w:lvlJc w:val="left"/>
      <w:lvlText w:val="%2"/>
      <w:numFmt w:val="lowerLetter"/>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2021-08-13T15:32:20Z</dcterms:created>
  <dcterms:modified xsi:type="dcterms:W3CDTF">2021-08-13T15:32:20Z</dcterms:modified>
</cp:coreProperties>
</file>