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August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98-1550750</w:t>
            </w:r>
          </w:p>
        </w:tc>
      </w:tr>
      <w:tr>
        <w:trPr>
          <w:trHeight w:val="148"/>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Alpharetta, Georgia</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165735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4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3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420" w:type="dxa"/>
            <w:vAlign w:val="bottom"/>
            <w:gridSpan w:val="2"/>
            <w:vMerge w:val="continue"/>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4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BKKT</w:t>
            </w:r>
          </w:p>
        </w:tc>
        <w:tc>
          <w:tcPr>
            <w:tcW w:w="100" w:type="dxa"/>
            <w:vAlign w:val="bottom"/>
          </w:tcPr>
          <w:p>
            <w:pPr>
              <w:spacing w:after="0"/>
              <w:rPr>
                <w:sz w:val="16"/>
                <w:szCs w:val="16"/>
                <w:color w:val="auto"/>
              </w:rPr>
            </w:pPr>
          </w:p>
        </w:tc>
        <w:tc>
          <w:tcPr>
            <w:tcW w:w="4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BKKT WS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of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Co-Chief Executive Officer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Andrew Main is departing as Co-Chief Executive Officer and President of Bakkt Holdings, Inc. (the “Company”), effective as of August 11, 2025 (the “Separation Date”). Effective as of the Separation Date, Mr. Main will also resign from the Board of Directors of the Company (the “Board”). Following the Separation Date, Mr. Main will serve as an advisor to the Company until completion of the Company’s sale of the Loyalty business to Project Labrador Holdco, LLC, a wholly owned subsidiary of Roman DBDR Technology Advisors, Inc (such period, the “Advisory Period”).</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current co-Chief Executive Officer, Akshay Naheta, has been appointed and will serve as the Chief Executive Officer and President of the Company, effective as of the Separation Date.</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Mr. Main’s departure, the Company and Mr. Main mutually agreed to terminate Mr. Main’s Executive Employment Agreement with the Company (the “Employment Agreement”), and entered into a release agreement (the “Release Agreement”), pursuant to which Mr. Main is entitled to receive the severance payments and benefits that he would otherwise be afforded upon an involuntary termination by the Company without “Cause”, as set forth in Section 9(a) of the Employment Agreement, subject to Mr. Main’s execution and non-revocation of a general release of claims against the Company (the “Severance Benefits”). The Severance Benefits consist of: (A) a lump sum cash payment of $1,500,000, less applicable withholdings, which represents the sum of (i) two times Mr. Main’s base salary, (ii) Mr. Main’s target bonus, and (iii) the cash equivalent of 12 months’ of group health COBRA premiums; and (B) full accelerated vesting of Mr. Main’s unvested restricted stock units (“RSUs”) and any unvested performance-based restricted stock units (“PRSUs”) for which actual performance achievement has already been certified as of the Separation Date, and (ii) Mr. Main’s unvested PRSUs will remain outstanding and eligible to vest based on actual performance achieved after completion of the performance period in accordance with the terms of such grants.</w:t>
      </w:r>
    </w:p>
    <w:p>
      <w:pPr>
        <w:spacing w:after="0" w:line="19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and Mr. Main also entered into an Advisor Agreement, effective as of the Separation Date and continuing for the duration of the Advisory Period, unless earlier terminated in accordance with its terms, pursuant to which Mr. Main will serve as an advisor to the Company. In consideration of his services during the Advisory Period, Mr. Main will be compensated $1.00, plus 7,500 RSUs, which RSUs will vest upon the termination or expiration of the Advisory Agreement, unless the Advisory Agreement terminates due to (1) Mr. Main’s revocation or failure to execute his release of claims pursuant to the Release Agreement or (2) Mr. Main’s refusal to or inability to perform the services under the Advisory Agreement or his breach of any material provision of the Advisory Agreement or the Release Agreement, in which case such RSUs will be forfeited. In the event that the sale of the Loyalty business is not consummated on or prior to November 30, 2025, the parties will agree on additional compensation for Mr. Main.</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descriptions are qualified in their entirety by reference to the Release Agreement, which is filed as Exhibit 10.1 to this Current Report on Form 8-K and the Advisor Agreement, which is filed as Exhibit 10.2 to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Director</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August 8, 2025, Gordon Watson resigned, effective as of August 11, 2025, as a director of the Board. Upon Mr. Watson’s resignation from the Board, and in recognition of his service during the current annual director compensation cycle, a pro rata portion of Mr. Watson’s unvested RSUs granted in respect of the current annual director compensation cycle will vest upon his separation date based on the number of days he served as a director during that cycle. Messrs. Main’s and Watson’s resignations were not because of any disagreement with the Company on any matter relating to the Company’s operations, policies or practices. The Board has reduced the size of the Board to seven directors.</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18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3600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Release Agreement, dated as of August 11, 2025, between Andrew Main and Bakkt Holdings, Inc.</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Advisor Agreement , dated as of August 11, 2025, between Andrew Main and Bakkt Holdings, Inc.</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220" w:hanging="219"/>
        <w:spacing w:after="0" w:line="261" w:lineRule="auto"/>
        <w:tabs>
          <w:tab w:leader="none" w:pos="200" w:val="left"/>
        </w:tabs>
        <w:rPr>
          <w:sz w:val="20"/>
          <w:szCs w:val="20"/>
          <w:color w:val="auto"/>
        </w:rPr>
      </w:pPr>
      <w:r>
        <w:rPr>
          <w:rFonts w:ascii="Times New Roman" w:cs="Times New Roman" w:eastAsia="Times New Roman" w:hAnsi="Times New Roman"/>
          <w:sz w:val="18"/>
          <w:szCs w:val="18"/>
          <w:color w:val="auto"/>
        </w:rPr>
        <w:t>+</w:t>
        <w:tab/>
        <w:t>Certain schedules, exhibits and similar attachments have been omitted pursuant to Item 601(a)(5) of Regulation S-K. The Company will provide a copy of such omitted materials to the Securities and Exchange Commission or its staff upon request.</w:t>
      </w:r>
    </w:p>
    <w:p>
      <w:pPr>
        <w:spacing w:after="0"/>
        <w:rPr>
          <w:sz w:val="20"/>
          <w:szCs w:val="20"/>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ectPr>
          <w:pgSz w:w="11900" w:h="16838" w:orient="portrait"/>
          <w:cols w:equalWidth="0" w:num="1">
            <w:col w:w="10740"/>
          </w:cols>
          <w:pgMar w:left="440" w:top="293" w:right="7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AGREEMENT</w:t>
      </w:r>
    </w:p>
    <w:p>
      <w:pPr>
        <w:spacing w:after="0" w:line="22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This Release Agreement (“Agreement”) is made by and between Andrew Main (“Executive”) and Bakkt Holdings, Inc. (the “Company”) (together, with its parents, subsidiaries, divisions, affiliates, related business entities, successors, and assigns, and any of the respective affiliates of the Company, including, without limitation, Bakkt Opco Holdings, LLC (formerly Bakkt Holdings, LLC) and Bakkt, LLC, the “Company Group”) (the Company and Executive jointly referred to as the “Parties” or individually referred to as a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Executive was employed by the Company as Chief Executive Officer, and became Co-Chief Executive Officer in March 2025;</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Executive signed an Employment Agreement with the Company dated March 18, 2024, as amended March 19, 2025 (the “Employment Agreement”), and an At-Will Employment, Confidential Information, Invention Assignment and Arbitration Agreement dated May 2, 2024 (the “Confidentiality Agreement”);</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WHEREAS, the Company has awarded Executive the restricted stock unit (“RSU”) awards and performance-based vesting restricted stock unit (“PRSU”) awards, each subject to the terms and conditions of the Company’s 2021 Omnibus Employee Incentive Plan (the “Plan”) and form of award agreement thereunder,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have mutually agreed that Executive will transition his role to his Co-Chief Executive Officer and separate from his employment with the Company effective as of 11:59 pm Eastern time on Monday, August 11, 2025 (the “Separation Date”), and enter into an advisory relationship with the Company, as further detailed herein; and</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wish to resolve any and all disputes, claims, complaints, grievances, charges, actions, petitions, and demands that Executive may have against any of the Releasees as defined below, including, but not limited to, any and all claims arising out of or in any way related to Executive’s employment with or separation from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promises made herein, the Company and Executive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right="24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consideration of Executive’s execution of this Agreement and Executive’s fulfillment of all of its terms and conditions, and provided that Executive does not revoke the Agreement, the Company agrees as follows:</w:t>
      </w:r>
    </w:p>
    <w:p>
      <w:pPr>
        <w:spacing w:after="0" w:line="51" w:lineRule="exact"/>
        <w:rPr>
          <w:rFonts w:ascii="Times New Roman" w:cs="Times New Roman" w:eastAsia="Times New Roman" w:hAnsi="Times New Roman"/>
          <w:sz w:val="18"/>
          <w:szCs w:val="18"/>
          <w:color w:val="auto"/>
        </w:rPr>
      </w:pPr>
    </w:p>
    <w:p>
      <w:pPr>
        <w:ind w:right="140" w:firstLine="987"/>
        <w:spacing w:after="0" w:line="315" w:lineRule="auto"/>
        <w:tabs>
          <w:tab w:leader="none" w:pos="1161"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Severance Payments</w:t>
      </w:r>
      <w:r>
        <w:rPr>
          <w:rFonts w:ascii="Times New Roman" w:cs="Times New Roman" w:eastAsia="Times New Roman" w:hAnsi="Times New Roman"/>
          <w:sz w:val="17"/>
          <w:szCs w:val="17"/>
          <w:color w:val="auto"/>
        </w:rPr>
        <w:t>. In accordance with Sections 9(a) of the Employment Agreement, the Company shall (or shall cause Bakkt Opco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Holdings, LLC to) provide Executive a lump sum payment of One Million Five Hundred Thousand Dollars ($1,500,000), less applicable withholdings,</w:t>
      </w:r>
    </w:p>
    <w:p>
      <w:pPr>
        <w:sectPr>
          <w:pgSz w:w="11900" w:h="16838" w:orient="portrait"/>
          <w:cols w:equalWidth="0" w:num="1">
            <w:col w:w="11020"/>
          </w:cols>
          <w:pgMar w:left="440" w:top="117" w:right="4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represents the sum of (i) two (2) times Executive’s base salary as in effect as of the Separation Date, (ii) Executive’s Target Bonus, and (iii) the cash equivalent of twelve (12) months’ of group health COBRA premiums. This payment will be made to Executive in the next payroll period following the Effective Date.</w:t>
      </w:r>
    </w:p>
    <w:p>
      <w:pPr>
        <w:spacing w:after="0" w:line="174"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Equity Vesting Acceleration</w:t>
      </w:r>
      <w:r>
        <w:rPr>
          <w:rFonts w:ascii="Times New Roman" w:cs="Times New Roman" w:eastAsia="Times New Roman" w:hAnsi="Times New Roman"/>
          <w:sz w:val="18"/>
          <w:szCs w:val="18"/>
          <w:color w:val="auto"/>
        </w:rPr>
        <w:t xml:space="preserve">. In accordance with Section 9(a) of the Employment Agreement, and subject to the terms of Section 2 below, on the Separation Date, (i) Executive will be entitled to full accelerated vesting (the “Vesting Acceleration”) of Executive’s unvested RSUs and any unvested PRSUs for which actual performance achievement has already been certified as of the Separation Date, and (ii) Executive’s unvested PRSUs will remain outstanding and eligible to vest based on actual performance achieved after completion of the performance period in accordance with the terms of such grants as provided by Section 9(a) of the Employment Agreement. The RSU and PRSU Vesting Acceleration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RSUs and PRSUs shall be “net settled” by the Company for all applicable income and employment taxes, with the RSUs to be settled at the closing price of the Company’s stock on the Separation Date.</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Resignation From All Positions</w:t>
      </w:r>
      <w:r>
        <w:rPr>
          <w:rFonts w:ascii="Times New Roman" w:cs="Times New Roman" w:eastAsia="Times New Roman" w:hAnsi="Times New Roman"/>
          <w:sz w:val="18"/>
          <w:szCs w:val="18"/>
          <w:color w:val="auto"/>
        </w:rPr>
        <w:t>. Executive acknowledges and agrees and confirms that effective as of the Separation Date, by execution of this Agreement or otherwise, Executive has irrevocably resigned from (i) all positions with the Company Group, including, but not limited to, as an officer, director, manager or trustee of all entities within the Company Group, including as a member of the Board of Directors of the Company, his Financial Responsibility Oversight Role (FROR) and (ii) all boards to which Executive was appointed or nominated on behalf of any entity within the Company Group and, in accordance therewith, from any and all board positions and committees within the Company Group including as an officer, director, or trustee. Executive agrees to promptly take any and all other steps that may be requested of him by the Company to further effectuate, confirm or document such resignations.</w:t>
      </w:r>
    </w:p>
    <w:p>
      <w:pPr>
        <w:spacing w:after="0" w:line="183"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Advisor Engagement</w:t>
      </w:r>
      <w:r>
        <w:rPr>
          <w:rFonts w:ascii="Times New Roman" w:cs="Times New Roman" w:eastAsia="Times New Roman" w:hAnsi="Times New Roman"/>
          <w:sz w:val="18"/>
          <w:szCs w:val="18"/>
          <w:color w:val="auto"/>
        </w:rPr>
        <w:t xml:space="preserve">. The Company will engage Executive as an advisor following Executive’s separation from employment pursuant to the terms of the Advisor Agreement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60" w:firstLine="436"/>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Executive’s health insurance benefits, if any, shall cease on August 31, 2025, subject to Executive’s right to continue Executive’s health insurance under COBRA. Executive’s participation in all benefits and incidents of employment, including, but not limited to, and the accrual of bonuses, vacation, and paid time off, ceased as of the Separation Date. The Company shall provide Executive with all information regarding the treatment of his 401(k) account in light of his separation.</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Compensation and Receipt of All Benefits</w:t>
      </w:r>
      <w:r>
        <w:rPr>
          <w:rFonts w:ascii="Times New Roman" w:cs="Times New Roman" w:eastAsia="Times New Roman" w:hAnsi="Times New Roman"/>
          <w:sz w:val="18"/>
          <w:szCs w:val="18"/>
          <w:color w:val="auto"/>
        </w:rPr>
        <w:t>. With the exception of the “Accrued Benefits” (as defined in the Employment Agreement), which shall be paid to Executive as soon as practicable following the date of termination, Executive acknowledges and represents that, other than the consideration set forth in this Agreement, the Company Group has paid or provided all salary, wages, bonuses, accrued vacation/paid time off, notice periods, premiums, leaves, housing allowances, relocation costs, interest, severance, outplacement costs, fees, reimbursable expenses, commissions, stock, stock options, RSUs, restricted stock, vesting, and any and all other benefits and compensation due to Executive.</w:t>
      </w:r>
    </w:p>
    <w:p>
      <w:pPr>
        <w:spacing w:after="0" w:line="183" w:lineRule="exact"/>
        <w:rPr>
          <w:rFonts w:ascii="Times New Roman" w:cs="Times New Roman" w:eastAsia="Times New Roman" w:hAnsi="Times New Roman"/>
          <w:sz w:val="18"/>
          <w:szCs w:val="18"/>
          <w:color w:val="auto"/>
        </w:rPr>
      </w:pPr>
    </w:p>
    <w:p>
      <w:pPr>
        <w:jc w:val="both"/>
        <w:ind w:right="58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foregoing consideration represents settlement in full of all outstanding obligations owed to Executive by the Company Group and its current and former: officers, directors, managers, employees, agents, investors, attorneys, accountants, shareholders, members, administrators, affiliates, benefit plans, plan administrators, professional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6" w:name="page7"/>
    <w:bookmarkEnd w:id="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employer organization or co-employer, insurers, trustees, divisions, and subsidiaries, and predecessor and successor corporations and assigns (collectively, the “Releasees”).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including, without limitation:</w:t>
      </w:r>
    </w:p>
    <w:p>
      <w:pPr>
        <w:spacing w:after="0" w:line="79"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a. any and all claims relating to or arising from Executive’s employment relationship with the Company or any other relationship with other members of the Company Group and the termination of those relationships;</w:t>
      </w:r>
    </w:p>
    <w:p>
      <w:pPr>
        <w:spacing w:after="0" w:line="16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b. except as to his rights to receive any RSUs or PRSUs, and the shares underlying them, in accordance with the terms of this Agreement or the Advisor Agreement, any and all claims relating to, or arising from, Executive’s right to purchase, actual purchase, or ownership (provided that for the avoidance of doubt, Executive is not relinquishing his economic interests in shares of the Company’s capital stock he may own separately from the capital stock underlying the RSUs and PRSUs, which shall remain governed in accordance with the terms of this Agreement or the Advisor Agreement, as applicable, and the Company’s equity incentive plan and related issuance agreements) of shares of stock of any member of the Company Group, including, without limitation, any claims for fraud, misrepresentation, breach of fiduciary duty, breach of duty under applicable state corporate law, and securities fraud under any state or federal law;</w:t>
      </w:r>
    </w:p>
    <w:p>
      <w:pPr>
        <w:spacing w:after="0" w:line="189"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New York State Human Rights Law; the New York Executive Law; the New York Civil Practice Law and Rules; the New York Labor Law; the New York Civil Rights Law; the New York State Worker Adjustment and Retraining Notification Act; Article 23-A of the New York Correction Law; Section 125 of the New York Workers’ Compensation Law; the New York City Human Rights Law; the New York City Administrative Code; the Georgia Fair Employment Practices Act; the Georgia Equal Pay Act; the Georgia Age Discrimination in Employment Law; the Georgia Equal Employment for Persons with Disabilities Code; the Georgia Minimum Wage Law; the Georgia Equal Pay Act; the Georgia Guns in the Workplace Law; the Georgia Military Leave Law; the Georgia Military Service Discrimination Law; the Georgia Minimum Wage Law; the Georgia Right to Work Law; the Georgia Law on Genetic Testing; the Georgia Law on Discrimination on the Basis of Maternity Leave; the Georgia Law on Sex Discrimination; and the Georgia Law on Whistleblowing;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any and all claims for violation of the federal or any state constitution;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 any and all claims arising out of any other laws and regulations relating to employment or employment discrimination;</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g. any claim for any loss, cost, damage, or expense arising out of any dispute over the non-withholding or other tax treatment of any of the proceeds received by Executive from any member of the Company Group;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 any and all claims for attorneys’ fees and costs.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Executive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Executive may have to unemployment compensation benefits or workers’ compensation benefits. Further, this release does not extend to and Executive does not release or waive any of Executive’s rights to indemnification provided by the October 15, 2021 Indemnification Agreement between Executive and the Company (the “Indemnification Agreement”) or coverage for which Executive qualifies, if any, under the Company’s Directors and Officers or other insurance policies. Executive represents that Executive has made no assignment or transfer of any right, claim, complaint, charge, duty, obligation, demand, cause of action, or other matter waived or released by this Section.</w:t>
      </w:r>
    </w:p>
    <w:p>
      <w:pPr>
        <w:spacing w:after="0" w:line="192" w:lineRule="exact"/>
        <w:rPr>
          <w:sz w:val="20"/>
          <w:szCs w:val="20"/>
          <w:color w:val="auto"/>
        </w:rPr>
      </w:pPr>
    </w:p>
    <w:p>
      <w:pPr>
        <w:ind w:firstLine="436"/>
        <w:spacing w:after="0" w:line="25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xml:space="preserve">. Executive acknowledges that Executive is waiving and releasing any rights Executive may have under the Age Discrimination in Employment Act of 1967 (“ADEA”), and that this waiver and release is knowing and voluntary. Executive agrees that this waiver and release does not apply to any rights or claims that may arise under the ADEA after the Effective Date.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(except as to Executive’s resignations under Section 1(c), which shall remain irrevocable);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undersigned Company representative that is received prior to the Effective Date. The Parties agree that changes, whether material or immaterial, do not restart the running of the 21-day period.</w:t>
      </w:r>
    </w:p>
    <w:p>
      <w:pPr>
        <w:spacing w:after="0" w:line="197" w:lineRule="exact"/>
        <w:rPr>
          <w:rFonts w:ascii="Times New Roman" w:cs="Times New Roman" w:eastAsia="Times New Roman" w:hAnsi="Times New Roman"/>
          <w:sz w:val="18"/>
          <w:szCs w:val="18"/>
          <w:color w:val="auto"/>
        </w:rPr>
      </w:pPr>
    </w:p>
    <w:p>
      <w:pPr>
        <w:ind w:right="80" w:firstLine="436"/>
        <w:spacing w:after="0" w:line="261"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 Secrets and Confidential Information/Company Property</w:t>
      </w:r>
      <w:r>
        <w:rPr>
          <w:rFonts w:ascii="Times New Roman" w:cs="Times New Roman" w:eastAsia="Times New Roman" w:hAnsi="Times New Roman"/>
          <w:sz w:val="18"/>
          <w:szCs w:val="18"/>
          <w:color w:val="auto"/>
        </w:rPr>
        <w:t>. Executive reaffirms and agrees to observe and continue to abide by Sections 2, 3, 6 and 7 of the Confidentiality Agreement (the “Surviving Provisions”). Executive agrees that the above reaffirmation and agreement with the Surviving Provisions shall constitute a new and separately enforceable agreement to abide by the terms of the Surviving Provisions, entered and effective as of the Effective Date. Executive specifically acknowledges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4"/>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agrees that his violation of Sections 2 or 7 of the Employment Agreement shall constitute a material breach of this Agreement. Executive’s signature below constitutes Executive’s certification under penalty of perjury that Executive will, by the Separation Date, return all Company Group property and information, and, to the extent any additional copies of Company Group property or information is on Executive’s personal devices or storage spaces, Executive will, by the Separation Date, take all necessary steps to permanently delete or destroy all such property and documents from such locations, with the exception of a copy of any Employee Handbook and personnel documents specifically relating to Executive, which Executive may keep.</w:t>
      </w:r>
    </w:p>
    <w:p>
      <w:pPr>
        <w:spacing w:after="0" w:line="168" w:lineRule="exact"/>
        <w:rPr>
          <w:sz w:val="20"/>
          <w:szCs w:val="20"/>
          <w:color w:val="auto"/>
        </w:rPr>
      </w:pPr>
    </w:p>
    <w:p>
      <w:pPr>
        <w:ind w:left="4" w:right="60" w:firstLine="436"/>
        <w:spacing w:after="0" w:line="268" w:lineRule="auto"/>
        <w:tabs>
          <w:tab w:leader="none" w:pos="62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Cooperation</w:t>
      </w:r>
      <w:r>
        <w:rPr>
          <w:rFonts w:ascii="Times New Roman" w:cs="Times New Roman" w:eastAsia="Times New Roman" w:hAnsi="Times New Roman"/>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and to the extent not prohibited by applicable law, Executive agrees both to immediately notify the Company upon receipt of any such subpoena or court order, and to furnish, within three</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its receipt, a copy of such subpoena or other court order. If approached by anyone for counsel or assistance in the presentation or prosecution of any disputes, differences, grievances, claims, charges, or complaints against any of the Releasees, Executive shall state no more than that Executive cannot provide counsel or assistance.</w:t>
      </w:r>
    </w:p>
    <w:p>
      <w:pPr>
        <w:spacing w:after="0" w:line="185"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Subject to the Protected Activity Not Prohibited Section below, Executive shall refrain from any disparagement, defamation, libel, or slander of any of the Releasees, and from any tortious interference with the contracts and relationships of any of the Releasees. The Company shall instruct its C-Suite level executive officers and the members of its Board of Directors as of the Effective Date of this Agreement to refrain from any disparagement, defamation, libel, or slander of Executive, and from any tortious interference with Executive’s contracts and relationships. The Parties shall mutually agree to all internal and external communications regarding Executive’s departure, including press releases, the relevant text of the earnings release and Form 8-Ks.</w:t>
      </w:r>
    </w:p>
    <w:p>
      <w:pPr>
        <w:spacing w:after="0" w:line="187"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In addition to the rights provided in the “Attorneys’ Fees” Section below, Executive acknowledges and agrees that any material breach of this Agreement, unless such breach constitutes a legal action by Executive challenging or seeking a determination in good faith of the validity of the waiver herein under the ADEA, or any breach of the Surviving Provisions, shall, following written notice and an opportunity to cure (if such breach is susceptible to being cured) of five business days, entitle the Company immediately to recover and/or cease providing the consideration provided to Executive under this Agreement and to obtain damages, except as provided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recover One Hundred Dollars ($100.00) of the consideration already paid pursuant to this Agreement and such amount shall serve as full and complete consideration for the promises and obligations assumed by Executive under this Agreement and the Surviving Provisions.</w:t>
      </w:r>
    </w:p>
    <w:p>
      <w:pPr>
        <w:spacing w:after="0" w:line="188"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71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shall be deemed or construed to be (a) an admission of the truth or falsity of any actual or potential claims or (b) an acknowledgment or admission by the Company of any fault or liability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9" w:name="page10"/>
    <w:bookmarkEnd w:id="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whatsoever to Executive or to any third party. No action taken by Executive hereto, either previously or in connection with this Agreement, shall be deemed or construed to be (i) an admission of the truth or falsity of any actual or potential claims or (ii) an acknowledgment or admission by Executive of any fault or liability whatsoever to the Company or to any third party.</w:t>
      </w:r>
    </w:p>
    <w:p>
      <w:pPr>
        <w:spacing w:after="0" w:line="176" w:lineRule="exact"/>
        <w:rPr>
          <w:sz w:val="20"/>
          <w:szCs w:val="20"/>
          <w:color w:val="auto"/>
        </w:rPr>
      </w:pPr>
    </w:p>
    <w:p>
      <w:pPr>
        <w:jc w:val="both"/>
        <w:ind w:right="180" w:firstLine="436"/>
        <w:spacing w:after="0" w:line="266" w:lineRule="auto"/>
        <w:tabs>
          <w:tab w:leader="none" w:pos="7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 their interpretation, and any of the matters herein released, including any dispute Executive may have with a member of the Company Group or that a member of the Company Group may have with Executive, shall be subject to arbitration pursuant to the arbitration agreement set forth in Section 16 of the Employment Agreement.</w:t>
      </w:r>
    </w:p>
    <w:p>
      <w:pPr>
        <w:spacing w:after="0" w:line="175" w:lineRule="exact"/>
        <w:rPr>
          <w:rFonts w:ascii="Times New Roman" w:cs="Times New Roman" w:eastAsia="Times New Roman" w:hAnsi="Times New Roman"/>
          <w:sz w:val="18"/>
          <w:szCs w:val="18"/>
          <w:color w:val="auto"/>
        </w:rPr>
      </w:pPr>
    </w:p>
    <w:p>
      <w:pPr>
        <w:ind w:right="40" w:firstLine="436"/>
        <w:spacing w:after="0" w:line="255"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Executive’s delayed payment of, federal or state taxes, or (b) damages sustained by the Company by reason of any such claims, including attorneys’ fees and costs.</w:t>
      </w:r>
    </w:p>
    <w:p>
      <w:pPr>
        <w:spacing w:after="0" w:line="188" w:lineRule="exact"/>
        <w:rPr>
          <w:rFonts w:ascii="Times New Roman" w:cs="Times New Roman" w:eastAsia="Times New Roman" w:hAnsi="Times New Roman"/>
          <w:sz w:val="18"/>
          <w:szCs w:val="18"/>
          <w:color w:val="auto"/>
        </w:rPr>
      </w:pPr>
    </w:p>
    <w:p>
      <w:pPr>
        <w:ind w:right="20" w:firstLine="436"/>
        <w:spacing w:after="0" w:line="271" w:lineRule="auto"/>
        <w:tabs>
          <w:tab w:leader="none" w:pos="71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It is intended that payments under this Agreement be exempt from Code Section 409A and the final regulations and official guidance thereunder (“Section 409A”) as a short-term deferral within the meaning of Section 1.409A-1(b)(4) of the Treasury Regulations and any ambiguities herein will be interpreted to be exempt from or to otherwise comply with Section 409A. Each payment and benefit to be paid or provided under this Agreement is intended to constitute a series of separate payments for purposes of Section 1.409A-2(b)(2) of the Treasury Regulations. Payments under Section 1 of this Agreement will be made no later than March 15, 2025. Executive’s termination of employment on the Separation Date is intended to qualify as a separation from service within the meaning of Section 1.409A-1(h) of the Treasury Regulations. The Company and Executive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Executive under Section 409A. In no event will the Releasees reimburse Executive for any taxes that may be imposed on Executive as a result of Section 409A.</w:t>
      </w:r>
    </w:p>
    <w:p>
      <w:pPr>
        <w:spacing w:after="0" w:line="173" w:lineRule="exact"/>
        <w:rPr>
          <w:rFonts w:ascii="Times New Roman" w:cs="Times New Roman" w:eastAsia="Times New Roman" w:hAnsi="Times New Roman"/>
          <w:sz w:val="17"/>
          <w:szCs w:val="17"/>
          <w:color w:val="auto"/>
        </w:rPr>
      </w:pPr>
    </w:p>
    <w:p>
      <w:pPr>
        <w:ind w:firstLine="436"/>
        <w:spacing w:after="0" w:line="253" w:lineRule="auto"/>
        <w:tabs>
          <w:tab w:leader="none" w:pos="7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Activity Not Prohibited</w:t>
      </w:r>
      <w:r>
        <w:rPr>
          <w:rFonts w:ascii="Times New Roman" w:cs="Times New Roman" w:eastAsia="Times New Roman" w:hAnsi="Times New Roman"/>
          <w:sz w:val="18"/>
          <w:szCs w:val="18"/>
          <w:color w:val="auto"/>
        </w:rPr>
        <w:t>. Executive understands that nothing in this Agreement shall in any way limit or prohibit Executive from engaging in any “Protected Activity,” which means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to any parties other than the relevant Government Agencies. Executive further understands that “Protected Activity” does not include the disclosure of any Company attorney-client privileged communications, and that any such disclosure without the Company’s written consent shall constitute a material breach of this Agreement. Finally, nothing in this Agreement constitutes a waiver of any rights Executive may have under the Sarbanes-Oxley Act.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left="-20" w:right="20" w:firstLine="436"/>
        <w:spacing w:after="0" w:line="254"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Attorneys’ Fees</w:t>
      </w:r>
      <w:r>
        <w:rPr>
          <w:rFonts w:ascii="Times New Roman" w:cs="Times New Roman" w:eastAsia="Times New Roman" w:hAnsi="Times New Roman"/>
          <w:sz w:val="18"/>
          <w:szCs w:val="18"/>
          <w:color w:val="auto"/>
        </w:rPr>
        <w:t>. The Parties shall each bear their own costs, attorneys’ fees, and other fees incurred in connection with the preparation of this Agreement, except that the Company shall reimburse Executive up to a maximum of $10,000 in attorneys’ fees that Executive incurred for the review of this Agreement and the Advisor Agreement, attached as Exhibit B hereto, provided that Executive submits documentation substantiating such costs and fees to the Company no later than ten business days after the Separation Date. Except with regard to a legal action challenging or seeking a determination in good faith of the validity of the waiver herein under the ADEA, in the event that either Party brings an action to enforce or effect its rights under this Agreement, the prevailing Party (which shall be deemed to be the Party receiving substantially the relief or result sought by such Party) shall be entitled to recover its costs and expenses, including the costs of mediation, arbitration, litigation, court fees, and reasonable attorneys’ fees incurred in connection with such an action.</w:t>
      </w:r>
    </w:p>
    <w:p>
      <w:pPr>
        <w:spacing w:after="0" w:line="191" w:lineRule="exact"/>
        <w:rPr>
          <w:rFonts w:ascii="Times New Roman" w:cs="Times New Roman" w:eastAsia="Times New Roman" w:hAnsi="Times New Roman"/>
          <w:sz w:val="18"/>
          <w:szCs w:val="18"/>
          <w:color w:val="auto"/>
        </w:rPr>
      </w:pPr>
    </w:p>
    <w:p>
      <w:pPr>
        <w:jc w:val="both"/>
        <w:ind w:left="-20" w:right="120" w:firstLine="436"/>
        <w:spacing w:after="0" w:line="261"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shall be null and void if not executed by Executive, and returned to the Company, within the twenty-one (21) day period set forth above. Each Party has seven (7) days after that Party signs this Agreement to revoke it. This Agreement will become effective on the eighth (8th) day after Executive signed this Agreement, so long as it has been signed by the Parties and has not been revoked by either Party before that date (the “Effective Date”).</w:t>
      </w:r>
    </w:p>
    <w:p>
      <w:pPr>
        <w:spacing w:after="0" w:line="179" w:lineRule="exact"/>
        <w:rPr>
          <w:rFonts w:ascii="Times New Roman" w:cs="Times New Roman" w:eastAsia="Times New Roman" w:hAnsi="Times New Roman"/>
          <w:sz w:val="18"/>
          <w:szCs w:val="18"/>
          <w:color w:val="auto"/>
        </w:rPr>
      </w:pPr>
    </w:p>
    <w:p>
      <w:pPr>
        <w:ind w:left="-20" w:firstLine="436"/>
        <w:spacing w:after="0" w:line="253"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Entire Agreement; Modification; Governing Law</w:t>
      </w:r>
      <w:r>
        <w:rPr>
          <w:rFonts w:ascii="Times New Roman" w:cs="Times New Roman" w:eastAsia="Times New Roman" w:hAnsi="Times New Roman"/>
          <w:sz w:val="18"/>
          <w:szCs w:val="18"/>
          <w:color w:val="auto"/>
        </w:rPr>
        <w:t>. In the event that any provision or any portion of any provision hereof becomes or is declared by a court of competent jurisdiction or arbitrator to be illegal, unenforceable, or void, this Agreement shall continue in full force and effect without said provision or portion of provision.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Employment Agreement, with the exception of the Surviving Provisions, and the Indemnification Agreement. This Agreement may only be amended in a writing signed by Executive and the Chairman of the Company’s Board of Directors.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Docusign/Echosign or a similarly accredited secure signature service, or other electronic transmission or signature. This Agreement shall be governed by the laws of the State of Georgia, without regard for choice-of-law provisions. Executive consents to personal and exclusive jurisdiction and venue in the State of Georgia.</w:t>
      </w:r>
    </w:p>
    <w:p>
      <w:pPr>
        <w:spacing w:after="0" w:line="189"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by this Agreement to be given to a Party shall be in writing and shall 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18. If by email, delivery shall be deemed effective as of the date it is sent.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70" w:right="459" w:bottom="1440" w:gutter="0" w:footer="0" w:header="0"/>
        </w:sectPr>
      </w:pPr>
    </w:p>
    <w:bookmarkStart w:id="11" w:name="page12"/>
    <w:bookmarkEnd w:id="11"/>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Avalon Boulevard, Suite 1000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If to Executive, to the last address of Executive provided by Executive to the Company.</w:t>
      </w:r>
    </w:p>
    <w:p>
      <w:pPr>
        <w:spacing w:after="0" w:line="225" w:lineRule="exact"/>
        <w:rPr>
          <w:sz w:val="20"/>
          <w:szCs w:val="20"/>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 No Representations</w:t>
      </w:r>
      <w:r>
        <w:rPr>
          <w:rFonts w:ascii="Times New Roman" w:cs="Times New Roman" w:eastAsia="Times New Roman" w:hAnsi="Times New Roman"/>
          <w:sz w:val="18"/>
          <w:szCs w:val="18"/>
          <w:color w:val="auto"/>
        </w:rPr>
        <w:t>. Executive understands and agrees that Executive executed this Agreement</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without any duress or undue influence on the part or behalf of the Company Group or any third party, with the full intent of releasing all of Executive’s claims against the Company and any of the other Releasees. Executive represents that Executive has been represented in the preparation, negotiation, and execution of this Agreement by legal counsel of Executive’s own choice or has elected not to retain legal counsel. Executive further represents that Executive has carefully read this Agreement and understands terms and consequences and legal and binding effect of this Agreement and of the releases it contains. Executive has not relied upon any representations or statements made by the Company Group that are not specifically set forth in this Agreement.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on the respective dates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66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EXECUTIVE, an individual</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Dated: 8/10/2025</w:t>
            </w:r>
          </w:p>
        </w:tc>
        <w:tc>
          <w:tcPr>
            <w:tcW w:w="27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Main</w:t>
            </w:r>
          </w:p>
        </w:tc>
      </w:tr>
      <w:tr>
        <w:trPr>
          <w:trHeight w:val="228"/>
        </w:trPr>
        <w:tc>
          <w:tcPr>
            <w:tcW w:w="3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Andrew Main</w:t>
            </w:r>
          </w:p>
        </w:tc>
      </w:tr>
      <w:tr>
        <w:trPr>
          <w:trHeight w:val="427"/>
        </w:trPr>
        <w:tc>
          <w:tcPr>
            <w:tcW w:w="3360" w:type="dxa"/>
            <w:vAlign w:val="bottom"/>
          </w:tcPr>
          <w:p>
            <w:pPr>
              <w:spacing w:after="0"/>
              <w:rPr>
                <w:sz w:val="24"/>
                <w:szCs w:val="24"/>
                <w:color w:val="auto"/>
              </w:rPr>
            </w:pPr>
          </w:p>
        </w:tc>
        <w:tc>
          <w:tcPr>
            <w:tcW w:w="766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Dated: 8/11/2025</w:t>
            </w:r>
          </w:p>
        </w:tc>
        <w:tc>
          <w:tcPr>
            <w:tcW w:w="27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r>
      <w:tr>
        <w:trPr>
          <w:trHeight w:val="205"/>
        </w:trPr>
        <w:tc>
          <w:tcPr>
            <w:tcW w:w="3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Sean Collins</w:t>
            </w:r>
          </w:p>
        </w:tc>
      </w:tr>
      <w:tr>
        <w:trPr>
          <w:trHeight w:val="234"/>
        </w:trPr>
        <w:tc>
          <w:tcPr>
            <w:tcW w:w="3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Bakkt Holdings, Inc.</w:t>
            </w:r>
          </w:p>
        </w:tc>
      </w:tr>
      <w:tr>
        <w:trPr>
          <w:trHeight w:val="378"/>
        </w:trPr>
        <w:tc>
          <w:tcPr>
            <w:tcW w:w="3360" w:type="dxa"/>
            <w:vAlign w:val="bottom"/>
          </w:tcPr>
          <w:p>
            <w:pPr>
              <w:spacing w:after="0"/>
              <w:rPr>
                <w:sz w:val="24"/>
                <w:szCs w:val="24"/>
                <w:color w:val="auto"/>
              </w:rPr>
            </w:pPr>
          </w:p>
        </w:tc>
        <w:tc>
          <w:tcPr>
            <w:tcW w:w="27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9</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PSU and RSU Vesting</w:t>
      </w:r>
    </w:p>
    <w:p>
      <w:pPr>
        <w:spacing w:after="0" w:line="11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i w:val="1"/>
          <w:iCs w:val="1"/>
          <w:color w:val="auto"/>
        </w:rPr>
        <w:t>(see attached)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PSUs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Name</w:t>
            </w:r>
          </w:p>
        </w:tc>
        <w:tc>
          <w:tcPr>
            <w:tcW w:w="4400" w:type="dxa"/>
            <w:vAlign w:val="bottom"/>
          </w:tcPr>
          <w:p>
            <w:pPr>
              <w:spacing w:after="0"/>
              <w:rPr>
                <w:sz w:val="16"/>
                <w:szCs w:val="16"/>
                <w:color w:val="auto"/>
              </w:rPr>
            </w:pPr>
          </w:p>
        </w:tc>
        <w:tc>
          <w:tcPr>
            <w:tcW w:w="16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Gross PSUs Granted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PSUs Remaining</w:t>
            </w:r>
          </w:p>
        </w:tc>
      </w:tr>
      <w:tr>
        <w:trPr>
          <w:trHeight w:val="203"/>
        </w:trPr>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 PSU grant - 12 July 2024</w:t>
            </w:r>
          </w:p>
        </w:tc>
        <w:tc>
          <w:tcPr>
            <w:tcW w:w="1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47,893</w:t>
            </w: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30,484</w:t>
            </w:r>
          </w:p>
        </w:tc>
        <w:tc>
          <w:tcPr>
            <w:tcW w:w="40" w:type="dxa"/>
            <w:vAlign w:val="bottom"/>
            <w:tcBorders>
              <w:top w:val="single" w:sz="8" w:color="CCEEFF"/>
            </w:tcBorders>
            <w:shd w:val="clear" w:color="auto" w:fill="CCEEFF"/>
          </w:tcPr>
          <w:p>
            <w:pPr>
              <w:spacing w:after="0"/>
              <w:rPr>
                <w:sz w:val="17"/>
                <w:szCs w:val="17"/>
                <w:color w:val="auto"/>
              </w:rPr>
            </w:pPr>
          </w:p>
        </w:tc>
      </w:tr>
      <w:tr>
        <w:trPr>
          <w:trHeight w:val="238"/>
        </w:trPr>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47,893</w:t>
            </w:r>
          </w:p>
        </w:tc>
        <w:tc>
          <w:tcPr>
            <w:tcW w:w="320" w:type="dxa"/>
            <w:vAlign w:val="bottom"/>
          </w:tcPr>
          <w:p>
            <w:pPr>
              <w:spacing w:after="0"/>
              <w:rPr>
                <w:sz w:val="20"/>
                <w:szCs w:val="20"/>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30,484</w:t>
            </w:r>
          </w:p>
        </w:tc>
      </w:tr>
      <w:tr>
        <w:trPr>
          <w:trHeight w:val="369"/>
        </w:trPr>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RSUs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4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Name</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RSUs Granted</w:t>
            </w: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RSUs Outstanding</w:t>
            </w:r>
          </w:p>
        </w:tc>
      </w:tr>
      <w:tr>
        <w:trPr>
          <w:trHeight w:val="203"/>
        </w:trPr>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New CEO RSU 3.26.2024</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365,853</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219,512</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RSU grant - 20 March 2025</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58,265</w:t>
            </w: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58,265</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424,118</w:t>
            </w:r>
          </w:p>
        </w:tc>
        <w:tc>
          <w:tcPr>
            <w:tcW w:w="1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277,777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PSUs are shown in the column marked “PSUs Remaining.”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RSUs are shown in the column marked “RSUs Outstanding”</w:t>
      </w:r>
    </w:p>
    <w:p>
      <w:pPr>
        <w:sectPr>
          <w:pgSz w:w="11900" w:h="16838" w:orient="portrait"/>
          <w:cols w:equalWidth="0" w:num="1">
            <w:col w:w="10019"/>
          </w:cols>
          <w:pgMar w:left="440" w:top="266"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Advisor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[Intentionally omitted pursuant to Item 601(a)(5) of Regulation S-K]</w:t>
      </w:r>
    </w:p>
    <w:p>
      <w:pPr>
        <w:sectPr>
          <w:pgSz w:w="11900" w:h="16838" w:orient="portrait"/>
          <w:cols w:equalWidth="0" w:num="1">
            <w:col w:w="9019"/>
          </w:cols>
          <w:pgMar w:left="1440" w:top="266"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601(a)(6) of Regulation S-K. [***] indicates that information has been redacted.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 AGREEMENT</w:t>
      </w:r>
    </w:p>
    <w:p>
      <w:pPr>
        <w:spacing w:after="0" w:line="22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This Advisor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effective as of August 11, 2025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Andrew Main (“</w:t>
      </w:r>
      <w:r>
        <w:rPr>
          <w:rFonts w:ascii="Times New Roman" w:cs="Times New Roman" w:eastAsia="Times New Roman" w:hAnsi="Times New Roman"/>
          <w:sz w:val="18"/>
          <w:szCs w:val="18"/>
          <w:b w:val="1"/>
          <w:bCs w:val="1"/>
          <w:i w:val="1"/>
          <w:iCs w:val="1"/>
          <w:color w:val="auto"/>
        </w:rPr>
        <w:t>Advisor</w:t>
      </w:r>
      <w:r>
        <w:rPr>
          <w:rFonts w:ascii="Times New Roman" w:cs="Times New Roman" w:eastAsia="Times New Roman" w:hAnsi="Times New Roman"/>
          <w:sz w:val="18"/>
          <w:szCs w:val="18"/>
          <w:color w:val="auto"/>
        </w:rPr>
        <w:t>”) (each herein referred to individually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desires to retain Advisor as an independent contractor to perform consulting services for the Company, and Advisor is willing to perform such services, on the terms described below. In consideration of the mutual promises contained herein, the Parties agree as follows: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 Services and Compensation</w:t>
      </w:r>
    </w:p>
    <w:p>
      <w:pPr>
        <w:sectPr>
          <w:pgSz w:w="11900" w:h="16838" w:orient="portrait"/>
          <w:cols w:equalWidth="0" w:num="1">
            <w:col w:w="11020"/>
          </w:cols>
          <w:pgMar w:left="440" w:top="117" w:right="439" w:bottom="1440" w:gutter="0" w:footer="0" w:header="0"/>
        </w:sectPr>
      </w:pPr>
    </w:p>
    <w:p>
      <w:pPr>
        <w:spacing w:after="0" w:line="22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Advisor shall perform the services described in Advisor the compensation described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for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380" w:hanging="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for the Company (or its designee), and the Company agrees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Advisor’s performance of the Services.</w:t>
      </w:r>
    </w:p>
    <w:p>
      <w:pPr>
        <w:spacing w:after="0" w:line="154" w:lineRule="exact"/>
        <w:rPr>
          <w:sz w:val="20"/>
          <w:szCs w:val="20"/>
          <w:color w:val="auto"/>
        </w:rPr>
      </w:pPr>
    </w:p>
    <w:p>
      <w:pPr>
        <w:sectPr>
          <w:pgSz w:w="11900" w:h="16838" w:orient="portrait"/>
          <w:cols w:equalWidth="0" w:num="2">
            <w:col w:w="3840" w:space="40"/>
            <w:col w:w="7140"/>
          </w:cols>
          <w:pgMar w:left="440" w:top="117" w:right="439" w:bottom="1440" w:gutter="0" w:footer="0" w:header="0"/>
          <w:type w:val="continuous"/>
        </w:sectPr>
      </w:pPr>
    </w:p>
    <w:p>
      <w:pPr>
        <w:ind w:left="620" w:hanging="184"/>
        <w:spacing w:after="0"/>
        <w:tabs>
          <w:tab w:leader="none" w:pos="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53" w:lineRule="auto"/>
        <w:tabs>
          <w:tab w:leader="none" w:pos="121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Definition of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means any information (including any and all combinations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Advisor called or with whom Advisor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Advisor can establish (i) was publicly known or made generally available prior to the time of disclosure to Advisor; (ii) becomes publicly known or made generally available after disclosure to Advisor through no wrongful action or inaction of Advisor; or (iii) is in the rightful possession of Advisor, without confidentiality obligations, at the time of disclosure as shown by Advisor’s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185" w:lineRule="exact"/>
        <w:rPr>
          <w:rFonts w:ascii="Times New Roman" w:cs="Times New Roman" w:eastAsia="Times New Roman" w:hAnsi="Times New Roman"/>
          <w:sz w:val="18"/>
          <w:szCs w:val="18"/>
          <w:color w:val="auto"/>
        </w:rPr>
      </w:pPr>
    </w:p>
    <w:p>
      <w:pPr>
        <w:ind w:right="380" w:firstLine="987"/>
        <w:spacing w:after="0" w:line="259" w:lineRule="auto"/>
        <w:tabs>
          <w:tab w:leader="none" w:pos="120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Nonuse and Nondisclosure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and after the term of this Agreement, Advisor will hold in the strictest confidence, and take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precautions to prevent any unauthorized use or disclosure of Confidential Information, and Advisor will not (i) use the Confidential Information for any purpose whatsoever other than as necessary for the performance of the Services on behalf of the Company, or (ii) subject to Advisor’s right to engage in Protected Activity (as defined below) disclose the Confidential Information to any third party without the prior written consent of an authorized representative of the Company, except that Advisor may disclose Confidential Information to</w:t>
      </w:r>
    </w:p>
    <w:p>
      <w:pPr>
        <w:sectPr>
          <w:pgSz w:w="11900" w:h="16838" w:orient="portrait"/>
          <w:cols w:equalWidth="0" w:num="1">
            <w:col w:w="11020"/>
          </w:cols>
          <w:pgMar w:left="440" w:top="117" w:right="439" w:bottom="1440" w:gutter="0" w:footer="0" w:header="0"/>
          <w:type w:val="continuous"/>
        </w:sectPr>
      </w:pPr>
    </w:p>
    <w:bookmarkStart w:id="16" w:name="page17"/>
    <w:bookmarkEnd w:id="16"/>
    <w:p>
      <w:pPr>
        <w:ind w:right="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extent compelled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prior to such disclosure, Advisor shall provide prior written notice to the Company and seek a protective order or such similar confidential protection as may be available under applicable law. Advisor agrees that no ownership of Confidential Information is conveyed to the Advisor. Without limiting the foregoing, Advisor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Advisor agrees that Advisor’s obligations under this Section 2.B shall continue after the termination of this Agreement.</w:t>
      </w:r>
    </w:p>
    <w:p>
      <w:pPr>
        <w:spacing w:after="0" w:line="180"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Other Client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that Advisor will not improperly use, disclose, or induce the Company to use any proprietary information or trade secrets of any former or current employer of Advisor or other person or entity with which Advisor has an obligation to keep in confidence. Advisor also agrees that Advisor will not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79" w:lineRule="exact"/>
        <w:rPr>
          <w:sz w:val="20"/>
          <w:szCs w:val="20"/>
          <w:color w:val="auto"/>
        </w:rPr>
      </w:pPr>
    </w:p>
    <w:p>
      <w:pPr>
        <w:ind w:right="2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Third Party 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recognizes that the Company has received and in the future will receive from third parties their confidential or proprietary information subject to a duty on the Company’s part to maintain the confidentiality of such information and to use it only for certain limited purposes. Advisor agrees that at all times during the term of this Agreement and thereafter, Advisor owes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82"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1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Assignment of Inventions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agrees that all right, title, and interest in and to any copyrightable material, notes, records,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drawings, designs, inventions, improvements, developments, discoveries, ideas, and trade secrets conceived, discovered, authored, invented, developed or reduced to practice by Advisor,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are the sole property of the Company. Advisor also agrees to promptly make full written disclosure to the Company of any Inventions and to deliver and assign (or cause to be assigned) and hereby irrevocably assigns fully to the Company all right, title and interest in and to the Inventions.</w:t>
      </w:r>
    </w:p>
    <w:p>
      <w:pPr>
        <w:spacing w:after="0" w:line="182" w:lineRule="exact"/>
        <w:rPr>
          <w:rFonts w:ascii="Times New Roman" w:cs="Times New Roman" w:eastAsia="Times New Roman" w:hAnsi="Times New Roman"/>
          <w:sz w:val="18"/>
          <w:szCs w:val="18"/>
          <w:color w:val="auto"/>
        </w:rPr>
      </w:pPr>
    </w:p>
    <w:p>
      <w:pPr>
        <w:ind w:right="20" w:firstLine="987"/>
        <w:spacing w:after="0" w:line="256" w:lineRule="auto"/>
        <w:tabs>
          <w:tab w:leader="none" w:pos="12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Pre-Existing Material</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Section 3.A, Advisor will provide the Company with prior written notice if, in the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performing the Services, Advisor incorporates into any Invention or utilizes in the performance of the Services any invention, discovery, idea, original works of authorship, development, improvements, trade secret, concept, or other proprietary information or intellectual property right owned by Advisor or in which Advisor has an interest, prior to, or separate from, performing the Services under this Agreement (“</w:t>
      </w:r>
      <w:r>
        <w:rPr>
          <w:rFonts w:ascii="Times New Roman" w:cs="Times New Roman" w:eastAsia="Times New Roman" w:hAnsi="Times New Roman"/>
          <w:sz w:val="18"/>
          <w:szCs w:val="18"/>
          <w:b w:val="1"/>
          <w:bCs w:val="1"/>
          <w:i w:val="1"/>
          <w:iCs w:val="1"/>
          <w:color w:val="auto"/>
        </w:rPr>
        <w:t>Prior Invention</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7" w:name="page18"/>
    <w:bookmarkEnd w:id="17"/>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Invention, and to practice any method related thereto. Advisor will not incorporate any invention, discovery, idea, original works of authorship, development, improvements, trade secret, concept, or other proprietary information or intellectual property right owned by any third party into any Invention without the Company’s prior written permission, including without limitation any free software or open source software.</w:t>
      </w:r>
    </w:p>
    <w:p>
      <w:pPr>
        <w:spacing w:after="0" w:line="172"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color w:val="auto"/>
        </w:rPr>
        <w:t>”). To the extent that Moral Rights cannot be assigned under applicable law, Advisor hereby waives and agrees not to enforce any and all Moral Rights, including, without limitation, any limitation on subsequent modification, to the extent permitted under applicable law.</w:t>
      </w:r>
    </w:p>
    <w:p>
      <w:pPr>
        <w:spacing w:after="0" w:line="179"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Maintenance of Records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to keep and maintain adequate, current, accurate, and authentic written records of all Inventions made by Advisor (solely or jointly with others) during the term of this Agreement, and for a period of three (3) years thereafter. The records will be in the form of notes, sketches, drawings, electronic files, reports, or any other format that is customary in the industry and/or otherwise specified by the Company. Such records are and remain the sole property of the Company at all times and upon the Company’s request, Advisor shall deliver (or cause to be delivered) the same.</w:t>
      </w:r>
    </w:p>
    <w:p>
      <w:pPr>
        <w:spacing w:after="0" w:line="179"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Further Assurances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to assist the Company, or its designee, at the Company’s 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Advisor further agrees that Advisor’s obligations under this Section 3.E shall continue after the termination of this Agreement.</w:t>
      </w:r>
    </w:p>
    <w:p>
      <w:pPr>
        <w:spacing w:after="0" w:line="18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Attorney-in-Fact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agrees that, if the Company is unable because of Advisor’s unavailability, dissolution, mental or physical incapacity, or for any other reason, to secure Advisor’s signature with respect to any Inventions, including, without limitation, for the purpose of applying for or pursuing any application for any United States or foreign patents or mask work or copyright registrations covering the Inventions assigned to the Company in Section 3.A, then Advisor hereby irrevocably designates and appoints the Company and its duly authorized officers and agents as Advisor’s agent and attorney-in-fact, to act for and on Advisor’s behalf to execute and file any papers and oaths and to do all other lawfully permitted acts with respect to such Inventions to further the prosecution and issuance of patents, copyright and mask work registrations with the same legal force and effect as if executed by Advisor. This power of attorney shall be deemed coupled with an interest, and shall be irrevocable.</w:t>
      </w:r>
    </w:p>
    <w:p>
      <w:pPr>
        <w:spacing w:after="0" w:line="183"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Conflicting Obligations</w:t>
      </w:r>
    </w:p>
    <w:p>
      <w:pPr>
        <w:spacing w:after="0" w:line="229" w:lineRule="exact"/>
        <w:rPr>
          <w:rFonts w:ascii="Times New Roman" w:cs="Times New Roman" w:eastAsia="Times New Roman" w:hAnsi="Times New Roman"/>
          <w:sz w:val="18"/>
          <w:szCs w:val="18"/>
          <w:b w:val="1"/>
          <w:bCs w:val="1"/>
          <w:color w:val="auto"/>
        </w:rPr>
      </w:pPr>
    </w:p>
    <w:p>
      <w:pPr>
        <w:ind w:right="300" w:firstLine="991"/>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Advisor represents and warrants that Advisor has no agreements, relationships, or commitments to any other person or entity that conflict with the provisions of this Agreement, Advisor’s obligations to the Company under this Agreement, and/or Advisor’s ability to perform the Services. Advisor will not enter into any such conflicting agreement during the term of this Agreement.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8" w:name="page19"/>
    <w:bookmarkEnd w:id="18"/>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Advisor shall require all Advisor’s employees, contractors, or other third-parties performing Services under this Agreement to execute a nondisclosure and intellectual property assignment agreement in the form provided by the Company, and promptly provide a copy of each such executed agreement to the Company. Advisor’s violation of this Section 4 will be considered a material breach under Section 6.B.</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 Return of Company Materials</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Upon the termination of this Agreement, Advisor will immediately deliver to the Company, and will not keep in Advisor’s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Advisor may have in Advisor’s possession or control as a result performing the Services.</w:t>
      </w:r>
    </w:p>
    <w:p>
      <w:pPr>
        <w:spacing w:after="0" w:line="179" w:lineRule="exact"/>
        <w:rPr>
          <w:sz w:val="20"/>
          <w:szCs w:val="20"/>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62" w:lineRule="auto"/>
        <w:tabs>
          <w:tab w:leader="none" w:pos="12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 of this Agreement will begin on the Effective Date of this Agreement and will continue until the earlier of (i) the 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sale of the Company’s loyalty business, (ii) the date on which Advisor’s Release Agreement with the Company with respect to Advisor’s separation from the Company (the “</w:t>
      </w:r>
      <w:r>
        <w:rPr>
          <w:rFonts w:ascii="Times New Roman" w:cs="Times New Roman" w:eastAsia="Times New Roman" w:hAnsi="Times New Roman"/>
          <w:sz w:val="18"/>
          <w:szCs w:val="18"/>
          <w:b w:val="1"/>
          <w:bCs w:val="1"/>
          <w:i w:val="1"/>
          <w:iCs w:val="1"/>
          <w:color w:val="auto"/>
        </w:rPr>
        <w:t>Release Agreement</w:t>
      </w:r>
      <w:r>
        <w:rPr>
          <w:rFonts w:ascii="Times New Roman" w:cs="Times New Roman" w:eastAsia="Times New Roman" w:hAnsi="Times New Roman"/>
          <w:sz w:val="18"/>
          <w:szCs w:val="18"/>
          <w:color w:val="auto"/>
        </w:rPr>
        <w:t>”) expires without being executed by the parties thereto or the date on which Advisor revokes the Release Agreement, or (iii) termination as provided in Section 6.B.</w:t>
      </w:r>
    </w:p>
    <w:p>
      <w:pPr>
        <w:spacing w:after="0" w:line="176" w:lineRule="exact"/>
        <w:rPr>
          <w:rFonts w:ascii="Times New Roman" w:cs="Times New Roman" w:eastAsia="Times New Roman" w:hAnsi="Times New Roman"/>
          <w:sz w:val="18"/>
          <w:szCs w:val="18"/>
          <w:color w:val="auto"/>
        </w:rPr>
      </w:pPr>
    </w:p>
    <w:p>
      <w:pPr>
        <w:ind w:right="80" w:firstLine="987"/>
        <w:spacing w:after="0" w:line="268" w:lineRule="auto"/>
        <w:tabs>
          <w:tab w:leader="none" w:pos="12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terminate this Agreement immediately if, following written notice and an opportunity to cure (if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breach is susceptible to being cured) of five business days, Advisor refuses to or is unable to perform the Services hereunder or is in breach of any material provision of this Agreement or the Release Agreement.</w:t>
      </w:r>
    </w:p>
    <w:p>
      <w:pPr>
        <w:spacing w:after="0" w:line="170"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Survival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any termination, all rights and duties of the Company and Advisor toward each other shall cease except:</w:t>
      </w:r>
    </w:p>
    <w:p>
      <w:pPr>
        <w:spacing w:after="0" w:line="121" w:lineRule="exact"/>
        <w:rPr>
          <w:rFonts w:ascii="Times New Roman" w:cs="Times New Roman" w:eastAsia="Times New Roman" w:hAnsi="Times New Roman"/>
          <w:sz w:val="18"/>
          <w:szCs w:val="18"/>
          <w:color w:val="auto"/>
        </w:rPr>
      </w:pPr>
    </w:p>
    <w:p>
      <w:pPr>
        <w:ind w:right="280" w:firstLine="1428"/>
        <w:spacing w:after="0" w:line="266" w:lineRule="auto"/>
        <w:tabs>
          <w:tab w:leader="none" w:pos="16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within ten (10) days after the effective date of termination, all amounts owing to Advisor for Services completed and accepted by the Company prior to the termination date and related reimbursable expenses, if any, submitted in accordance with the Company’s policies; and</w:t>
      </w:r>
    </w:p>
    <w:p>
      <w:pPr>
        <w:spacing w:after="0" w:line="175" w:lineRule="exact"/>
        <w:rPr>
          <w:rFonts w:ascii="Times New Roman" w:cs="Times New Roman" w:eastAsia="Times New Roman" w:hAnsi="Times New Roman"/>
          <w:sz w:val="18"/>
          <w:szCs w:val="18"/>
          <w:color w:val="auto"/>
        </w:rPr>
      </w:pPr>
    </w:p>
    <w:p>
      <w:pPr>
        <w:ind w:right="580" w:firstLine="1428"/>
        <w:spacing w:after="0" w:line="266" w:lineRule="auto"/>
        <w:tabs>
          <w:tab w:leader="none" w:pos="168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(Confidentiality), Section 3 (Ownership), Section 4.B (Conflicting Obligations), Section 5 (Return of Company Materials), Section 6 (Term and Termination), Section 7 (Independent Contractor; Benefits), Section 10 (Arbitration and Equitable Relief), and Section 11 (Miscellaneous) will survive termination or expiration of this Agreement in accordance with their terms.</w:t>
      </w:r>
    </w:p>
    <w:p>
      <w:pPr>
        <w:spacing w:after="0" w:line="17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Contractor; Benefits</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Independent Contractor. </w:t>
      </w:r>
      <w:r>
        <w:rPr>
          <w:rFonts w:ascii="Times New Roman" w:cs="Times New Roman" w:eastAsia="Times New Roman" w:hAnsi="Times New Roman"/>
          <w:sz w:val="18"/>
          <w:szCs w:val="18"/>
          <w:color w:val="auto"/>
        </w:rPr>
        <w:t>It is the express intention of the Company and Advisor that Advisor perform the Services as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contractor to the Company. Nothing in this Agreement shall in any way be construed to constitute Advisor as an agent, employee or representative of the Company. Without limiting the generality of the foregoing, Advisor is not authorized to bind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to any liability or obligation or to represent that Advisor has any such authority. Advisor agrees to furnish (or reimburse the Company for) all tools and materials necessary to accomplish this Agreement and shall incur all expenses associated with performance. Advisor acknowledges and agrees that Advisor is obligated to report as income all compensation received by Advisor pursuant to this Agreement. Advisor agrees to and acknowledges the obligation to pay all self-employment and other taxes on such income.</w:t>
      </w:r>
    </w:p>
    <w:p>
      <w:pPr>
        <w:spacing w:after="0" w:line="176"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i w:val="1"/>
          <w:iCs w:val="1"/>
          <w:color w:val="auto"/>
        </w:rPr>
        <w:t>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and Advisor agree that Advisor will receive no Company-sponsored benefits from the Company, including, but not limited to, paid vacation, sick leave, vesting in stock options, medical insurance, or 401k participation. If Advisor is reclassified by a state or federal agency or court as the Company’s employee, Advisor will become a reclassified employee and will receive no benefits from the Company, except those mandated by state or federal law, even if by the terms of the Company’s benefit plans or programs of the Company in effect at the time of such reclassification, Advisor would otherwise be eligible for such benefits.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 Indemnity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Advisor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(i) any negligent, reckless or intentionally wrongful act of Advisor or Advisor’s assistants, employees, contractors or agents, (ii) a determination by a court or agency that the Advisor is not an independent contractor, (iii) any breach by the Advisor or Advisor’s assistants, employees, contractors or agents of any of the covenants contained in this Agreement and any corresponding nondisclosure and intellectual property assignment agreement, (iv) any failure of Advisor to perform the Services in accordance with all applicable laws, rules and regulations, or (v) any violation or claimed violation of a third party’s rights resulting in whole or in part from the Company’s use of the Inventions or other deliverables of Advisor under this Agreement. For the avoidance of doubt, this Section 8 applies only to Advisor’s service under this Agreement and the indemnification provisions of the Release Agreement dated as of the date hereof remain in full force and effect.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 Limitation of Liability</w:t>
      </w:r>
    </w:p>
    <w:p>
      <w:pPr>
        <w:spacing w:after="0" w:line="229"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IN NO EVENT SHALL THE COMPANY BE LIABLE TO ADVISOR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THE COMPANY WAS ADVISED OF THE POSSIBILITY OF SUCH DAMAGES AND NOTWITHSTANDING THE FAILURE OF ESSENTIAL PURPOSE OF ANY LIMITED REMEDY. IN NO EVENT SHALL THE COMPANY’S LIABILITY ARISING OUT OF OR IN CONNECTION WITH THIS AGREEMENT EXCEED THE AMOUNTS PAID BY THE COMPANY TO ADVISOR UNDER THIS AGREEMENT FOR THE SERVICES, DELIVERABLES OR INVENTION GIVING RISE TO SUCH LIABILITY.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20" w:name="page21"/>
    <w:bookmarkEnd w:id="20"/>
    <w:p>
      <w:pPr>
        <w:ind w:left="700" w:hanging="264"/>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 and Equitable Relief</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67" w:lineRule="auto"/>
        <w:tabs>
          <w:tab w:leader="none" w:pos="121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Arbitration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CONSIDERATION OF ADVISOR’S CONSULTING RELATIONSHIP WITH THE COMPANY, ITS PROMISE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ARBITRATE ALL DISPUTES RELATED TO ADVISOR’S CONSULTING RELATIONSHIP WITH THE COMPANY AND ADVISOR’S RECEIPT OF THE COMPENSATION AND OTHER BENEFITS PAID TO ADVISOR BY THE COMPANY, AT PRESENT AND IN THE FUTURE, ADVISOR AGREES THAT, EXCEPT FOR ANY CONTROVERSIES, CLAIMS, OR DISPUTES ALLEGING OR ASSERTING CLAIMS OF DISCRIMINATION (“</w:t>
      </w:r>
      <w:r>
        <w:rPr>
          <w:rFonts w:ascii="Times New Roman" w:cs="Times New Roman" w:eastAsia="Times New Roman" w:hAnsi="Times New Roman"/>
          <w:sz w:val="17"/>
          <w:szCs w:val="17"/>
          <w:b w:val="1"/>
          <w:bCs w:val="1"/>
          <w:i w:val="1"/>
          <w:iCs w:val="1"/>
          <w:color w:val="auto"/>
        </w:rPr>
        <w:t>DISCRIMINATION CLAIMS</w:t>
      </w:r>
      <w:r>
        <w:rPr>
          <w:rFonts w:ascii="Times New Roman" w:cs="Times New Roman" w:eastAsia="Times New Roman" w:hAnsi="Times New Roman"/>
          <w:sz w:val="17"/>
          <w:szCs w:val="17"/>
          <w:color w:val="auto"/>
        </w:rPr>
        <w:t>”), ANY AND ALL CONTROVERSIES, CLAIMS, OR DISPUTES WITH ANYONE (INCLUDING THE COMPANY AND ANY EMPLOYEE, OFFICER, DIRECTOR, SHAREHOLDER OR BENEFIT PLAN OF THE COMPANY IN THEIR CAPACITY AS SUCH OR OTHERWISE) ARISING OUT OF, RELATING TO, OR RESULTING FROM ADVISOR’S CONSULTING OR OTHER RELATIONSHIP WITH THE COMPANY OR THE TERMINATION OF ADVISOR’S CONSULTING OR OTHER RELATIONSHIP WITH THE COMPANY, INCLUDING ANY BREACH OF THIS AGREEMENT, SHALL BE SUBJECT TO BINDING ARBITRATION UNDER THE FEDERAL ARBITRATION ACT (THE “</w:t>
      </w:r>
      <w:r>
        <w:rPr>
          <w:rFonts w:ascii="Times New Roman" w:cs="Times New Roman" w:eastAsia="Times New Roman" w:hAnsi="Times New Roman"/>
          <w:sz w:val="17"/>
          <w:szCs w:val="17"/>
          <w:b w:val="1"/>
          <w:bCs w:val="1"/>
          <w:i w:val="1"/>
          <w:iCs w:val="1"/>
          <w:color w:val="auto"/>
        </w:rPr>
        <w:t>FAA</w:t>
      </w:r>
      <w:r>
        <w:rPr>
          <w:rFonts w:ascii="Times New Roman" w:cs="Times New Roman" w:eastAsia="Times New Roman" w:hAnsi="Times New Roman"/>
          <w:sz w:val="17"/>
          <w:szCs w:val="17"/>
          <w:color w:val="auto"/>
        </w:rPr>
        <w:t xml:space="preserve">”) AND THAT THE FAA SHALL GOVERN AND APPLY TO THIS ARBITRATION AGREEMENT WITH FULL FORCE AND EFFECT. ADVISOR FURTHER AGREES THAT, TO THE FULLEST EXTENT PERMITTED BY LAW, ADVISOR MAY BRING ANY ARBITRATION PROCEEDING ONLY IN ADVISOR’S INDIVIDUAL CAPACITY, AND NOT AS A PLAINTIFF, REPRESENTATIVE, OR CLASS MEMBER IN ANY PURPORTED CLASS, COLLECTIVE, OR REPRESENTATIVE LAWSUIT OR PROCEEDING. </w:t>
      </w:r>
      <w:r>
        <w:rPr>
          <w:rFonts w:ascii="Times New Roman" w:cs="Times New Roman" w:eastAsia="Times New Roman" w:hAnsi="Times New Roman"/>
          <w:sz w:val="17"/>
          <w:szCs w:val="17"/>
          <w:b w:val="1"/>
          <w:bCs w:val="1"/>
          <w:color w:val="auto"/>
        </w:rPr>
        <w:t>EXCEPT FOR DISCRIMINATION CLAIMS, ADVISOR AGREES TO ARBITRATE ANY AND ALL COMMON LAW</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 xml:space="preserve">AND/OR STATUTORY CLAIMS UNDER LOCAL, STATE, OR FEDERAL LAW, INCLUDING, BUT NOT LIMITED TO, CLAIMS UNDER THE NEW YORK LABOR CODE, CLAIMS RELATING TO EMPLOYMENT OR INDEPENDENT CONTRACTOR STATUS, CLASSIFICATION, AND RELATIONSHIP WITH THE COMPANY, AND CLAIMS OF BREACH OF CONTRACT, EXCEPT AS PROHIBITED BY LAW. ADVISOR ALSO AGREES TO ARBITRATE ANY AND ALL DISPUTES ARISING OUT OF OR RELATING TO THE INTERPRETATION OR APPLICATION OF THIS AGREEMENT TO ARBITRATE, BUT NOT TO DISPUTES ABOUT THE ENFORCEABILITY, REVOCABILITY OR VALIDITY OF THIS AGREEMENT TO ARBITRATE OR ANY PORTION HEREOF OR THE CLASS, COLLECTIVE AND REPRESENTATIVE PROCEEDING WAIVER HEREIN. WITH RESPECT TO ALL SUCH CLAIMS AND DISPUTES THAT ADVISOR AGREES TO ARBITRATE, ADVISOR HEREBY EXPRESSLY AGREES TO WAIVE, AND DOES WAIVE, ANY RIGHT TO A TRIAL BY JURY. </w:t>
      </w:r>
      <w:r>
        <w:rPr>
          <w:rFonts w:ascii="Times New Roman" w:cs="Times New Roman" w:eastAsia="Times New Roman" w:hAnsi="Times New Roman"/>
          <w:sz w:val="18"/>
          <w:szCs w:val="18"/>
          <w:color w:val="auto"/>
        </w:rPr>
        <w:t>ADVISOR FURTHER UNDERSTANDS THAT THIS AGREEMENT TO ARBITRATE ALSO APPLIES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DISPUTES THAT THE COMPANY MAY HAVE WITH ADVISOR.</w:t>
      </w:r>
    </w:p>
    <w:p>
      <w:pPr>
        <w:spacing w:after="0" w:line="188" w:lineRule="exact"/>
        <w:rPr>
          <w:rFonts w:ascii="Times New Roman" w:cs="Times New Roman" w:eastAsia="Times New Roman" w:hAnsi="Times New Roman"/>
          <w:sz w:val="17"/>
          <w:szCs w:val="17"/>
          <w:color w:val="auto"/>
        </w:rPr>
      </w:pPr>
    </w:p>
    <w:p>
      <w:pPr>
        <w:ind w:firstLine="987"/>
        <w:spacing w:after="0" w:line="253" w:lineRule="auto"/>
        <w:tabs>
          <w:tab w:leader="none" w:pos="120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Procedure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 AGREES THAT ANY ARBITRATION WILL BE ADMINISTERED BY JAMS PURSUANT TO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xml:space="preserve">”), WHICH ARE AVAILABLE AT </w:t>
      </w:r>
      <w:r>
        <w:rPr>
          <w:rFonts w:ascii="Times New Roman" w:cs="Times New Roman" w:eastAsia="Times New Roman" w:hAnsi="Times New Roman"/>
          <w:sz w:val="18"/>
          <w:szCs w:val="18"/>
          <w:u w:val="single" w:color="auto"/>
          <w:color w:val="auto"/>
        </w:rPr>
        <w:t>HTTP://WWW.JAMSADR.COM/RULES-EMPLOYMENT-ARBITRATION</w:t>
      </w:r>
      <w:r>
        <w:rPr>
          <w:rFonts w:ascii="Times New Roman" w:cs="Times New Roman" w:eastAsia="Times New Roman" w:hAnsi="Times New Roman"/>
          <w:sz w:val="18"/>
          <w:szCs w:val="18"/>
          <w:color w:val="auto"/>
        </w:rPr>
        <w:t>/. ADVISOR AGREES THAT THE USE OF THE JAMS RULES DOES NOT CHANGE ADVISOR’S CLASSIFICATION TO THAT OF AN EMPLOYEE. TO THE CONTRARY, ADVISOR REAFFIRMS THAT HE/SHE IS AN INDEPENDENT CONTRACTOR. THE ARBITRATION SHALL BE BEFORE A SINGLE ARBITRATOR WHO SHALL BE A FORMER FEDERAL OR STATE COURT JUDGE. THE ARBITRATION SHALL APPLY THE FEDERAL RULES OF CIVIL PROCEDURE, EXCEPT TO THE EXTENT SUCH RULES CONFLICT WITH THE JAMS RULES. ADVISOR UNDERSTANDS THAT THE PARTIES TO THE ARBITRATION SHALL EACH PAY AN EQUAL SHARE OF THE COSTS AND EXPENSES OF SUCH ARBITRATION (“</w:t>
      </w:r>
      <w:r>
        <w:rPr>
          <w:rFonts w:ascii="Times New Roman" w:cs="Times New Roman" w:eastAsia="Times New Roman" w:hAnsi="Times New Roman"/>
          <w:sz w:val="18"/>
          <w:szCs w:val="18"/>
          <w:b w:val="1"/>
          <w:bCs w:val="1"/>
          <w:i w:val="1"/>
          <w:iCs w:val="1"/>
          <w:color w:val="auto"/>
        </w:rPr>
        <w:t>ARBITRATION COSTS</w:t>
      </w:r>
      <w:r>
        <w:rPr>
          <w:rFonts w:ascii="Times New Roman" w:cs="Times New Roman" w:eastAsia="Times New Roman" w:hAnsi="Times New Roman"/>
          <w:sz w:val="18"/>
          <w:szCs w:val="18"/>
          <w:color w:val="auto"/>
        </w:rPr>
        <w:t>”), EXCEPT AS PROHIBITED BY LAW, AND UNDERSTANDS THAT EACH PARTY SHALL SEPARATELY PAY ITS RESPECTIVE ATTORNEYS’ FEES AND COSTS; PROVIDED THAT THE COMPANY SHALL BE RESPONSIBLE FOR PAYING THE REASONABLE FEES OF THE ARBITRATOR, UNLESS THE FEES ARE OTHERWISE ALLOCATED BY THE ARBITRATOR CONSISTENT WITH APPLICABLE LAW. IN THE EVENT THAT JAMS FAILS, REFUSES, OR OTHERWISE DOES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ENFORCE THE AFOREMENTIONED ARBITRATION COSTS SHARING PROVISION, EITHER PARTY MAY COMMENCE AN ACTION TO RECOVER SUCH AMOUNTS AGAINST THE NON-PAYING PARTY IN COURT AND THE NON-PAYING PARTY SHALL REIMBURSE THE MOVING PARTY FOR THE ATTORNEYS’ FEES AND COSTS INCURRED IN CONNECTION WITH SUCH ACTION. ADVISOR AGREES THAT THE ARBITRATOR SHALL CONSIDER AND SHALL HAVE THE POWER TO DECIDE ANY MOTIONS BROUGHT BY ANY PARTY TO THE ARBITRATION, INCLUDING MOTIONS FOR SUMMARY JUDGMENT AND/OR ADJUDICATION, AND MOTIONS TO DISMISS, PRIOR TO ANY ARBITRATION HEARING. ADVISOR AGREES THAT THE ARBITRATOR SHALL ISSUE A WRITTEN DECISION ON THE MERITS. ADVISOR ALSO AGREES THAT THE ARBITRATOR SHALL HAVE THE POWER TO AWARD ANY REMEDIES AVAILABLE UNDER APPLICABLE LAW. ADVISOR AGREES THAT THE DECREE OR AWARD RENDERED BY THE ARBITRATOR MAY BE ENTERED AS A FINAL AND BINDING JUDGMENT IN ANY COURT HAVING JURISDICTION THEREOF. ADVISOR AGREES THAT THE ARBITRATOR SHALL APPLY SUBSTANTIVE GEORGIA LAW TO ANY DISPUTE OR CLAIM, WITHOUT REFERENCE TO RULES OF CONFLICT OF LAW. TO THE EXTENT THAT THE JAMS RULES CONFLICT WITH SUBSTANTIVE GEORGIA LAW, GEORGIA LAW SHALL TAKE PRECEDENCE. ADVISOR AGREES THAT ARBITRATION UNDER THIS AGREEMENT SHALL BE CONDUCTED IN ATLANTA, GEORGIA.</w:t>
      </w:r>
    </w:p>
    <w:p>
      <w:pPr>
        <w:spacing w:after="0" w:line="183"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i w:val="1"/>
          <w:iCs w:val="1"/>
          <w:color w:val="auto"/>
        </w:rPr>
        <w:t>Remedy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PROHIBITED BY LAW OR PROVIDED BY THIS AGREEMENT, ARBITRATION SHALL BE THE SOLE, EXCLUSIVE AND FINAL REMEDY FOR ANY DISPUTE BETWEEN ADVISOR AND THE COMPANY. ACCORDINGLY, EXCEPT AS PROVIDED BY LAW OR THIS AGREEMENT, NEITHER ADVISOR NOR THE COMPANY WILL BE PERMITTED TO PURSUE COURT ACTION REGARDING CLAIMS THAT ARE SUBJECT TO ARBITRATION. NOTWITHSTANDING, THE ARBITRATOR WILL NOT HAVE THE AUTHORITY TO DISREGARD OR REFUSE TO ENFORCE ANY LAWFUL COMPANY POLICY, AND THE ARBITRATOR SHALL NOT ORDER OR REQUIRE THE COMPANY TO ADOPT A POLICY NOT OTHERWISE REQUIRED BY LAW WHICH THE COMPANY HAS NOT ADOPTED.</w:t>
      </w:r>
    </w:p>
    <w:p>
      <w:pPr>
        <w:spacing w:after="0" w:line="183" w:lineRule="exact"/>
        <w:rPr>
          <w:sz w:val="20"/>
          <w:szCs w:val="20"/>
          <w:color w:val="auto"/>
        </w:rPr>
      </w:pPr>
    </w:p>
    <w:p>
      <w:pPr>
        <w:ind w:right="180" w:firstLine="991"/>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i w:val="1"/>
          <w:iCs w:val="1"/>
          <w:color w:val="auto"/>
        </w:rPr>
        <w:t>Availability of Injunctive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EITHER PARTY MAY ALSO PETITION THE COURT FOR INJUNCTIVE RELIEF WHERE EITHER PARTY ALLEGES OR CLAIMS A VIOLATION OF ANY AGREEMENT REGARDING TRADE SECRETS, OR CONFIDENTIAL INFORMATION, OR A BREACH OF ANY RESTRICTIVE COVENANT. IN THE EVENT EITHER PARTY SEEKS INJUNCTIVE RELIEF, THE PREVAILING PARTY SHALL BE ENTITLED TO RECOVER REASONABLE COSTS AND ATTORNEYS’ FEES.</w:t>
      </w:r>
    </w:p>
    <w:p>
      <w:pPr>
        <w:spacing w:after="0" w:line="176" w:lineRule="exact"/>
        <w:rPr>
          <w:sz w:val="20"/>
          <w:szCs w:val="20"/>
          <w:color w:val="auto"/>
        </w:rPr>
      </w:pPr>
    </w:p>
    <w:p>
      <w:pPr>
        <w:ind w:right="340" w:firstLine="991"/>
        <w:spacing w:after="0" w:line="259"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i w:val="1"/>
          <w:iCs w:val="1"/>
          <w:color w:val="auto"/>
        </w:rPr>
        <w:t>Administrative Relief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UNDERSTANDS THAT THIS AGREEMENT DOES NOT PROHIBIT ADVISOR FROM PURSUING AN ADMINISTRATIVE CLAIM WITH A LOCAL, STATE OR FEDERAL ADMINISTRATIVE BODY SUCH AS THE GEORGIA COMMISSION ON EQUAL OPPORTUNITY, THE EQUAL EMPLOYMENT OPPORTUNITY COMMISSION, THE NATIONAL LABOR RELATIONS BOARD, OR THE WORKERS’ COMPENSATION BOARD. THIS AGREEMENT DOES, HOWEVER, PRECLUDE ADVISOR FROM PURSUING COURT ACTION REGARDING ANY SUCH CLAIM, EXCEPT AS PERMITTED BY LAW.</w:t>
      </w:r>
    </w:p>
    <w:p>
      <w:pPr>
        <w:spacing w:after="0" w:line="179"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i w:val="1"/>
          <w:iCs w:val="1"/>
          <w:color w:val="auto"/>
        </w:rPr>
        <w:t>Voluntary Nature of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 ACKNOWLEDGES AND AGREES THAT ADVISOR IS EXECUTING THIS AGREEMENT VOLUNTARILY AND WITHOUT ANY DURESS OR UNDUE INFLUENCE BY THE COMPANY OR ANYONE ELSE. ADVISOR FURTHER ACKNOWLEDGES AND AGREES THAT ADVISOR HAS CAREFULLY READ THIS AGREEMENT AND THAT ADVISOR HAS ASKED ANY QUESTIONS NEEDED FOR ADVISOR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2" w:name="page23"/>
    <w:bookmarkEnd w:id="2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UNDERSTAND THE TERMS, CONSEQUENCES AND BINDING EFFECT OF THIS AGREEMENT AND FULLY UNDERSTAND IT, INCLUDING THAT </w:t>
      </w:r>
      <w:r>
        <w:rPr>
          <w:rFonts w:ascii="Times New Roman" w:cs="Times New Roman" w:eastAsia="Times New Roman" w:hAnsi="Times New Roman"/>
          <w:sz w:val="18"/>
          <w:szCs w:val="18"/>
          <w:b w:val="1"/>
          <w:bCs w:val="1"/>
          <w:color w:val="auto"/>
        </w:rPr>
        <w:t>ADVISOR IS WAIVING ADVISOR’S RIGHT TO A JURY TRIAL</w:t>
      </w:r>
      <w:r>
        <w:rPr>
          <w:rFonts w:ascii="Times New Roman" w:cs="Times New Roman" w:eastAsia="Times New Roman" w:hAnsi="Times New Roman"/>
          <w:sz w:val="18"/>
          <w:szCs w:val="18"/>
          <w:color w:val="auto"/>
        </w:rPr>
        <w:t>. FINALLY, ADVISOR AGREES THAT ADVISOR HAS BEEN PROVIDED AN OPPORTUNITY TO SEEK THE ADVICE OF AN ATTORNEY OF ADVISOR’S CHOICE BEFORE SIGNING THIS AGREEMENT.</w:t>
      </w:r>
    </w:p>
    <w:p>
      <w:pPr>
        <w:spacing w:after="0" w:line="176" w:lineRule="exact"/>
        <w:rPr>
          <w:sz w:val="20"/>
          <w:szCs w:val="20"/>
          <w:color w:val="auto"/>
        </w:rPr>
      </w:pPr>
    </w:p>
    <w:p>
      <w:pPr>
        <w:ind w:left="700" w:hanging="264"/>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jc w:val="both"/>
        <w:ind w:right="60" w:firstLine="987"/>
        <w:spacing w:after="0" w:line="262" w:lineRule="auto"/>
        <w:tabs>
          <w:tab w:leader="none" w:pos="12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Governing Law; Consent to Personal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exception of the arbitration requirements set forth herein,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governed by the laws of the State of Georgia, without regard to the conflicts of law provisions of any jurisdiction. To the extent that any lawsuit is permitted under this Agreement, the Parties hereby expressly consent to the personal and exclusive jurisdiction and venue of the state and federal courts located in Georgia.</w:t>
      </w:r>
    </w:p>
    <w:p>
      <w:pPr>
        <w:spacing w:after="0" w:line="176" w:lineRule="exact"/>
        <w:rPr>
          <w:rFonts w:ascii="Times New Roman" w:cs="Times New Roman" w:eastAsia="Times New Roman" w:hAnsi="Times New Roman"/>
          <w:sz w:val="18"/>
          <w:szCs w:val="18"/>
          <w:color w:val="auto"/>
        </w:rPr>
      </w:pPr>
    </w:p>
    <w:p>
      <w:pPr>
        <w:ind w:right="160" w:firstLine="987"/>
        <w:spacing w:after="0" w:line="257" w:lineRule="auto"/>
        <w:tabs>
          <w:tab w:leader="none" w:pos="12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Assignability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will be binding upon and, if and where to the extent applicable, inure to the benefit of, Advisor’s heirs,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Advisor may not sell, assign or delegate any rights or obligations under this Agreement. 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change of control or otherwise.</w:t>
      </w:r>
    </w:p>
    <w:p>
      <w:pPr>
        <w:spacing w:after="0" w:line="182" w:lineRule="exact"/>
        <w:rPr>
          <w:rFonts w:ascii="Times New Roman" w:cs="Times New Roman" w:eastAsia="Times New Roman" w:hAnsi="Times New Roman"/>
          <w:sz w:val="18"/>
          <w:szCs w:val="18"/>
          <w:color w:val="auto"/>
        </w:rPr>
      </w:pPr>
    </w:p>
    <w:p>
      <w:pPr>
        <w:ind w:firstLine="987"/>
        <w:spacing w:after="0" w:line="259" w:lineRule="auto"/>
        <w:tabs>
          <w:tab w:leader="none" w:pos="12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constitutes the entire agreement and understanding between the Parties with respect to the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herein and supersedes all prior written and oral agreements, discussions, or representations between the Parties. Advisor represents and warrants that Advisor is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Headings are used in this Agreement for reference only and shall not be considered when interpreting this Agreement.</w:t>
      </w:r>
    </w:p>
    <w:p>
      <w:pPr>
        <w:spacing w:after="0" w:line="225" w:lineRule="exact"/>
        <w:rPr>
          <w:rFonts w:ascii="Times New Roman" w:cs="Times New Roman" w:eastAsia="Times New Roman" w:hAnsi="Times New Roman"/>
          <w:sz w:val="18"/>
          <w:szCs w:val="18"/>
          <w:color w:val="auto"/>
        </w:rPr>
      </w:pPr>
    </w:p>
    <w:p>
      <w:pPr>
        <w:ind w:right="160" w:firstLine="987"/>
        <w:spacing w:after="0" w:line="268" w:lineRule="auto"/>
        <w:tabs>
          <w:tab w:leader="none" w:pos="11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court or other body of competent jurisdiction finds, or the Parties mutually believe, any provision of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portion thereof, to be invalid or unenforceable, such provision will be enforced to the maximum extent permissible so as to effect the intent of the Parties, and the remainder of this Agreement will continue in full force and effect.</w:t>
      </w:r>
    </w:p>
    <w:p>
      <w:pPr>
        <w:spacing w:after="0" w:line="170" w:lineRule="exact"/>
        <w:rPr>
          <w:rFonts w:ascii="Times New Roman" w:cs="Times New Roman" w:eastAsia="Times New Roman" w:hAnsi="Times New Roman"/>
          <w:sz w:val="18"/>
          <w:szCs w:val="18"/>
          <w:color w:val="auto"/>
        </w:rPr>
      </w:pPr>
    </w:p>
    <w:p>
      <w:pPr>
        <w:ind w:firstLine="987"/>
        <w:spacing w:after="0" w:line="268" w:lineRule="auto"/>
        <w:tabs>
          <w:tab w:leader="none" w:pos="11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 Waiver. </w:t>
      </w:r>
      <w:r>
        <w:rPr>
          <w:rFonts w:ascii="Times New Roman" w:cs="Times New Roman" w:eastAsia="Times New Roman" w:hAnsi="Times New Roman"/>
          <w:sz w:val="18"/>
          <w:szCs w:val="18"/>
          <w:color w:val="auto"/>
        </w:rPr>
        <w:t>No modification of or amendment to this Agreement, nor any waiver of any rights under this Agreement, will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unless in a writing signed by the Parties. Waiver by the Company of a breach of any provision of this Agreement will not operate as a waiver of any other or subsequent breach.</w:t>
      </w:r>
    </w:p>
    <w:p>
      <w:pPr>
        <w:spacing w:after="0" w:line="170" w:lineRule="exact"/>
        <w:rPr>
          <w:rFonts w:ascii="Times New Roman" w:cs="Times New Roman" w:eastAsia="Times New Roman" w:hAnsi="Times New Roman"/>
          <w:sz w:val="18"/>
          <w:szCs w:val="18"/>
          <w:color w:val="auto"/>
        </w:rPr>
      </w:pPr>
    </w:p>
    <w:p>
      <w:pPr>
        <w:jc w:val="both"/>
        <w:ind w:firstLine="987"/>
        <w:spacing w:after="0" w:line="259" w:lineRule="auto"/>
        <w:tabs>
          <w:tab w:leader="none" w:pos="121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notice or other communication required or permitted by this Agreement to be given to a Party shall be in writing and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11.G. If by email, delivery shall be deemed effective as of the date it is sent.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 w:name="page24"/>
    <w:bookmarkEnd w:id="23"/>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 If to the Company,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Avalon Boulevard, Suite 1000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Alpharetta, GA 30009</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w:t>
      </w:r>
    </w:p>
    <w:p>
      <w:pPr>
        <w:spacing w:after="0" w:line="99" w:lineRule="exact"/>
        <w:rPr>
          <w:sz w:val="20"/>
          <w:szCs w:val="20"/>
          <w:color w:val="auto"/>
        </w:rPr>
      </w:pPr>
    </w:p>
    <w:p>
      <w:pPr>
        <w:ind w:left="1680" w:hanging="252"/>
        <w:spacing w:after="0"/>
        <w:tabs>
          <w:tab w:leader="none" w:pos="1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Advisor, to the last address of Advisor provided by Advisor to the Company.</w:t>
      </w:r>
    </w:p>
    <w:p>
      <w:pPr>
        <w:spacing w:after="0" w:line="221" w:lineRule="exact"/>
        <w:rPr>
          <w:rFonts w:ascii="Times New Roman" w:cs="Times New Roman" w:eastAsia="Times New Roman" w:hAnsi="Times New Roman"/>
          <w:sz w:val="18"/>
          <w:szCs w:val="18"/>
          <w:color w:val="auto"/>
        </w:rPr>
      </w:pPr>
    </w:p>
    <w:p>
      <w:pPr>
        <w:ind w:firstLine="987"/>
        <w:spacing w:after="0" w:line="268" w:lineRule="auto"/>
        <w:tabs>
          <w:tab w:leader="none" w:pos="12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Attorneys’ Fees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any court action at law or equity that is brought by one of the Parties to this Agreement to enforce or interpret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of this Agreement, the prevailing Party will be entitled to reasonable attorneys’ fees, in addition to any other relief to which that Party may be entitled.</w:t>
      </w:r>
    </w:p>
    <w:p>
      <w:pPr>
        <w:spacing w:after="0" w:line="170" w:lineRule="exact"/>
        <w:rPr>
          <w:rFonts w:ascii="Times New Roman" w:cs="Times New Roman" w:eastAsia="Times New Roman" w:hAnsi="Times New Roman"/>
          <w:sz w:val="18"/>
          <w:szCs w:val="18"/>
          <w:color w:val="auto"/>
        </w:rPr>
      </w:pPr>
    </w:p>
    <w:p>
      <w:pPr>
        <w:ind w:right="360" w:firstLine="987"/>
        <w:spacing w:after="0" w:line="286" w:lineRule="auto"/>
        <w:tabs>
          <w:tab w:leader="none" w:pos="11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Signatures. </w:t>
      </w:r>
      <w:r>
        <w:rPr>
          <w:rFonts w:ascii="Times New Roman" w:cs="Times New Roman" w:eastAsia="Times New Roman" w:hAnsi="Times New Roman"/>
          <w:sz w:val="18"/>
          <w:szCs w:val="18"/>
          <w:color w:val="auto"/>
        </w:rPr>
        <w:t>This Agreement may be signed in two counterparts, each of which shall be deemed an original, with the same force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effectiveness as though executed in a single document.</w:t>
      </w:r>
    </w:p>
    <w:p>
      <w:pPr>
        <w:spacing w:after="0" w:line="154" w:lineRule="exact"/>
        <w:rPr>
          <w:rFonts w:ascii="Times New Roman" w:cs="Times New Roman" w:eastAsia="Times New Roman" w:hAnsi="Times New Roman"/>
          <w:sz w:val="18"/>
          <w:szCs w:val="18"/>
          <w:color w:val="auto"/>
        </w:rPr>
      </w:pPr>
    </w:p>
    <w:p>
      <w:pPr>
        <w:ind w:firstLine="987"/>
        <w:spacing w:after="0" w:line="253" w:lineRule="auto"/>
        <w:tabs>
          <w:tab w:leader="none" w:pos="11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Protected Activity Not Prohibited. </w:t>
      </w:r>
      <w:r>
        <w:rPr>
          <w:rFonts w:ascii="Times New Roman" w:cs="Times New Roman" w:eastAsia="Times New Roman" w:hAnsi="Times New Roman"/>
          <w:sz w:val="18"/>
          <w:szCs w:val="18"/>
          <w:color w:val="auto"/>
        </w:rPr>
        <w:t>Advisor understands that nothing in this Agreement shall in any way limit or prohibit Advisor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engaging in any Protected Activity. For purposes of this Agreement, “</w:t>
      </w:r>
      <w:r>
        <w:rPr>
          <w:rFonts w:ascii="Times New Roman" w:cs="Times New Roman" w:eastAsia="Times New Roman" w:hAnsi="Times New Roman"/>
          <w:sz w:val="18"/>
          <w:szCs w:val="18"/>
          <w:b w:val="1"/>
          <w:bCs w:val="1"/>
          <w:i w:val="1"/>
          <w:iCs w:val="1"/>
          <w:color w:val="auto"/>
        </w:rPr>
        <w:t>Protected Activity</w:t>
      </w:r>
      <w:r>
        <w:rPr>
          <w:rFonts w:ascii="Times New Roman" w:cs="Times New Roman" w:eastAsia="Times New Roman" w:hAnsi="Times New Roman"/>
          <w:sz w:val="18"/>
          <w:szCs w:val="18"/>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cs="Times New Roman" w:eastAsia="Times New Roman" w:hAnsi="Times New Roman"/>
          <w:sz w:val="18"/>
          <w:szCs w:val="18"/>
          <w:b w:val="1"/>
          <w:bCs w:val="1"/>
          <w:i w:val="1"/>
          <w:iCs w:val="1"/>
          <w:color w:val="auto"/>
        </w:rPr>
        <w:t>Government Agencies</w:t>
      </w:r>
      <w:r>
        <w:rPr>
          <w:rFonts w:ascii="Times New Roman" w:cs="Times New Roman" w:eastAsia="Times New Roman" w:hAnsi="Times New Roman"/>
          <w:sz w:val="18"/>
          <w:szCs w:val="18"/>
          <w:color w:val="auto"/>
        </w:rPr>
        <w:t>”). Advisor understands that in connection with such Protected Activity, Advisor is permitted to disclose documents or other information as permitted by law, and without giving notice to, or receiving authorization from, the Company. Notwithstanding the foregoing, Advisor agrees to take all reasonable precautions to prevent any unauthorized use or disclosure of any information that may constitute Company confidential information to any parties other than the Government Agencies. Advisor further understands that “</w:t>
      </w:r>
      <w:r>
        <w:rPr>
          <w:rFonts w:ascii="Times New Roman" w:cs="Times New Roman" w:eastAsia="Times New Roman" w:hAnsi="Times New Roman"/>
          <w:sz w:val="18"/>
          <w:szCs w:val="18"/>
          <w:b w:val="1"/>
          <w:bCs w:val="1"/>
          <w:i w:val="1"/>
          <w:iCs w:val="1"/>
          <w:color w:val="auto"/>
        </w:rPr>
        <w:t>Protected Activity</w:t>
      </w:r>
      <w:r>
        <w:rPr>
          <w:rFonts w:ascii="Times New Roman" w:cs="Times New Roman" w:eastAsia="Times New Roman" w:hAnsi="Times New Roman"/>
          <w:sz w:val="18"/>
          <w:szCs w:val="18"/>
          <w:color w:val="auto"/>
        </w:rPr>
        <w:t xml:space="preserve">” does not include the disclosure of any Company attorney-client privileged communications. Pursuant to the Defend Trade Secrets Act of 2016, Advisor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18"/>
          <w:szCs w:val="18"/>
          <w:i w:val="1"/>
          <w:iCs w:val="1"/>
          <w:color w:val="auto"/>
        </w:rPr>
        <w:t>solely</w:t>
      </w:r>
      <w:r>
        <w:rPr>
          <w:rFonts w:ascii="Times New Roman" w:cs="Times New Roman" w:eastAsia="Times New Roman" w:hAnsi="Times New Roman"/>
          <w:sz w:val="18"/>
          <w:szCs w:val="18"/>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Advisor Agreement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MAIN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BAKKT HOLDINGS, INC.</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Andrew Main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Sean Collins</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Sean Collins</w:t>
            </w:r>
          </w:p>
        </w:tc>
      </w:tr>
      <w:tr>
        <w:trPr>
          <w:trHeight w:val="234"/>
        </w:trPr>
        <w:tc>
          <w:tcPr>
            <w:tcW w:w="3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Bakkt Holdings, Inc.</w:t>
            </w:r>
          </w:p>
        </w:tc>
      </w:tr>
      <w:tr>
        <w:trPr>
          <w:trHeight w:val="378"/>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48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SERVICES AND COMPENSATION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Contact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Advisor’s principal Company contact: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Name: Akshay Naheta 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-7620</wp:posOffset>
            </wp:positionV>
            <wp:extent cx="2414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Title: Chief Executive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-7620</wp:posOffset>
            </wp:positionV>
            <wp:extent cx="24669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6975" cy="8255"/>
                    </a:xfrm>
                    <a:prstGeom prst="rect">
                      <a:avLst/>
                    </a:prstGeom>
                    <a:noFill/>
                  </pic:spPr>
                </pic:pic>
              </a:graphicData>
            </a:graphic>
          </wp:anchor>
        </w:drawing>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Email: [***]</w:t>
      </w:r>
    </w:p>
    <w:p>
      <w:pPr>
        <w:spacing w:after="0" w:line="221" w:lineRule="exact"/>
        <w:rPr>
          <w:sz w:val="20"/>
          <w:szCs w:val="20"/>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The Services will include, but will not be limited to, the following:</w:t>
      </w:r>
    </w:p>
    <w:p>
      <w:pPr>
        <w:spacing w:after="0" w:line="13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assistance relative to the closing of the Loyalty Sale.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other transitional assistance as requested from time to time.</w:t>
      </w:r>
    </w:p>
    <w:p>
      <w:pPr>
        <w:spacing w:after="0" w:line="221" w:lineRule="exact"/>
        <w:rPr>
          <w:rFonts w:ascii="Times New Roman" w:cs="Times New Roman" w:eastAsia="Times New Roman" w:hAnsi="Times New Roman"/>
          <w:sz w:val="18"/>
          <w:szCs w:val="18"/>
          <w:color w:val="auto"/>
        </w:rPr>
      </w:pPr>
    </w:p>
    <w:p>
      <w:pPr>
        <w:ind w:right="360" w:firstLine="436"/>
        <w:spacing w:after="0" w:line="268"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Dollar ($1) plus 7,500 restricted stock units (RSUs) which vest upon the termination or expiration of this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this Agreement terminates pursuant to Section 6.A(ii) or 6.B, in which case such RSUs shall be forfeited. In the event the loyalty sale has not closed by November 30, 2025, the Parties shall agree on additional compensation for Advisor.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is accepted and agreed upon as of the Effective Date.</w:t>
            </w:r>
          </w:p>
        </w:tc>
        <w:tc>
          <w:tcPr>
            <w:tcW w:w="56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5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ANDREW MAIN</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BAKKT HOLDINGS, INC.</w:t>
            </w:r>
          </w:p>
        </w:tc>
      </w:tr>
      <w:tr>
        <w:trPr>
          <w:trHeight w:val="432"/>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Andrew Main</w:t>
            </w: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Sean Collins</w:t>
            </w:r>
          </w:p>
        </w:tc>
      </w:tr>
      <w:tr>
        <w:trPr>
          <w:trHeight w:val="191"/>
        </w:trPr>
        <w:tc>
          <w:tcPr>
            <w:tcW w:w="320" w:type="dxa"/>
            <w:vAlign w:val="bottom"/>
          </w:tcPr>
          <w:p>
            <w:pPr>
              <w:spacing w:after="0"/>
              <w:rPr>
                <w:sz w:val="16"/>
                <w:szCs w:val="16"/>
                <w:color w:val="auto"/>
              </w:rPr>
            </w:pPr>
          </w:p>
        </w:tc>
        <w:tc>
          <w:tcPr>
            <w:tcW w:w="48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Sean Collins</w:t>
            </w:r>
          </w:p>
        </w:tc>
      </w:tr>
      <w:tr>
        <w:trPr>
          <w:trHeight w:val="234"/>
        </w:trPr>
        <w:tc>
          <w:tcPr>
            <w:tcW w:w="3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Bakkt Holdings, Inc.</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lvl w:ilvl="1">
      <w:lvlJc w:val="left"/>
      <w:lvlText w:val="%2."/>
      <w:numFmt w:val="lowerLetter"/>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5"/>
    </w:lvl>
  </w:abstractNum>
  <w:abstractNum w:abstractNumId="4">
    <w:nsid w:val="1190CDE7"/>
    <w:multiLevelType w:val="hybridMultilevel"/>
    <w:lvl w:ilvl="0">
      <w:lvlJc w:val="left"/>
      <w:lvlText w:val="%1"/>
      <w:numFmt w:val="decimal"/>
      <w:start w:val="1"/>
    </w:lvl>
    <w:lvl w:ilvl="1">
      <w:lvlJc w:val="left"/>
      <w:lvlText w:val="%2."/>
      <w:numFmt w:val="decimal"/>
      <w:start w:val="7"/>
    </w:lvl>
  </w:abstractNum>
  <w:abstractNum w:abstractNumId="5">
    <w:nsid w:val="66EF438D"/>
    <w:multiLevelType w:val="hybridMultilevel"/>
    <w:lvl w:ilvl="0">
      <w:lvlJc w:val="left"/>
      <w:lvlText w:val="(%1)"/>
      <w:numFmt w:val="decimal"/>
      <w:start w:val="3"/>
    </w:lvl>
    <w:lvl w:ilvl="1">
      <w:lvlJc w:val="left"/>
      <w:lvlText w:val="%2."/>
      <w:numFmt w:val="decimal"/>
      <w:start w:val="8"/>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1."/>
      <w:numFmt w:val="decimal"/>
      <w:start w:val="15"/>
    </w:lvl>
  </w:abstractNum>
  <w:abstractNum w:abstractNumId="8">
    <w:nsid w:val="109CF92E"/>
    <w:multiLevelType w:val="hybridMultilevel"/>
    <w:lvl w:ilvl="0">
      <w:lvlJc w:val="left"/>
      <w:lvlText w:val="%1."/>
      <w:numFmt w:val="decimal"/>
      <w:start w:val="19"/>
    </w:lvl>
  </w:abstractNum>
  <w:abstractNum w:abstractNumId="9">
    <w:nsid w:val="DED7263"/>
    <w:multiLevelType w:val="hybridMultilevel"/>
    <w:lvl w:ilvl="0">
      <w:lvlJc w:val="left"/>
      <w:lvlText w:val="%1."/>
      <w:numFmt w:val="decimal"/>
      <w:start w:val="2"/>
    </w:lvl>
    <w:lvl w:ilvl="1">
      <w:lvlJc w:val="left"/>
      <w:lvlText w:val="%2."/>
      <w:numFmt w:val="upperLetter"/>
      <w:start w:val="1"/>
    </w:lvl>
  </w:abstractNum>
  <w:abstractNum w:abstractNumId="10">
    <w:nsid w:val="7FDCC233"/>
    <w:multiLevelType w:val="hybridMultilevel"/>
    <w:lvl w:ilvl="0">
      <w:lvlJc w:val="left"/>
      <w:lvlText w:val="%1."/>
      <w:numFmt w:val="decimal"/>
      <w:start w:val="3"/>
    </w:lvl>
    <w:lvl w:ilvl="1">
      <w:lvlJc w:val="left"/>
      <w:lvlText w:val="%2."/>
      <w:numFmt w:val="upperLetter"/>
      <w:start w:val="1"/>
    </w:lvl>
  </w:abstractNum>
  <w:abstractNum w:abstractNumId="11">
    <w:nsid w:val="1BEFD79F"/>
    <w:multiLevelType w:val="hybridMultilevel"/>
    <w:lvl w:ilvl="0">
      <w:lvlJc w:val="left"/>
      <w:lvlText w:val="%1."/>
      <w:numFmt w:val="decimal"/>
      <w:start w:val="4"/>
    </w:lvl>
    <w:lvl w:ilvl="1">
      <w:lvlJc w:val="left"/>
      <w:lvlText w:val="%2"/>
      <w:numFmt w:val="upperLetter"/>
      <w:start w:val="1"/>
    </w:lvl>
  </w:abstractNum>
  <w:abstractNum w:abstractNumId="12">
    <w:nsid w:val="41A7C4C9"/>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3">
    <w:nsid w:val="6B68079A"/>
    <w:multiLevelType w:val="hybridMultilevel"/>
    <w:lvl w:ilvl="0">
      <w:lvlJc w:val="left"/>
      <w:lvlText w:val="%1."/>
      <w:numFmt w:val="decimal"/>
      <w:start w:val="10"/>
    </w:lvl>
    <w:lvl w:ilvl="1">
      <w:lvlJc w:val="left"/>
      <w:lvlText w:val="%2."/>
      <w:numFmt w:val="upperLetter"/>
      <w:start w:val="1"/>
    </w:lvl>
  </w:abstractNum>
  <w:abstractNum w:abstractNumId="14">
    <w:nsid w:val="4E6AFB66"/>
    <w:multiLevelType w:val="hybridMultilevel"/>
    <w:lvl w:ilvl="0">
      <w:lvlJc w:val="left"/>
      <w:lvlText w:val="%1."/>
      <w:numFmt w:val="decimal"/>
      <w:start w:val="11"/>
    </w:lvl>
    <w:lvl w:ilvl="1">
      <w:lvlJc w:val="left"/>
      <w:lvlText w:val="%2."/>
      <w:numFmt w:val="upperLetter"/>
      <w:start w:val="1"/>
    </w:lvl>
  </w:abstractNum>
  <w:abstractNum w:abstractNumId="15">
    <w:nsid w:val="25E45D32"/>
    <w:multiLevelType w:val="hybridMultilevel"/>
    <w:lvl w:ilvl="0">
      <w:lvlJc w:val="left"/>
      <w:lvlText w:val="%1"/>
      <w:numFmt w:val="upperLetter"/>
      <w:start w:val="1"/>
    </w:lvl>
    <w:lvl w:ilvl="1">
      <w:lvlJc w:val="left"/>
      <w:lvlText w:val="(%2)"/>
      <w:numFmt w:val="decimal"/>
      <w:start w:val="2"/>
    </w:lvl>
  </w:abstractNum>
  <w:abstractNum w:abstractNumId="16">
    <w:nsid w:val="519B500D"/>
    <w:multiLevelType w:val="hybridMultilevel"/>
    <w:lvl w:ilvl="0">
      <w:lvlJc w:val="left"/>
      <w:lvlText w:val="%1."/>
      <w:numFmt w:val="upperLetter"/>
      <w:start w:val="8"/>
    </w:lvl>
    <w:lvl w:ilvl="1">
      <w:lvlJc w:val="left"/>
      <w:lvlText w:val="%2"/>
      <w:numFmt w:val="decimal"/>
      <w:start w:val="1"/>
    </w:lvl>
  </w:abstractNum>
  <w:abstractNum w:abstractNumId="17">
    <w:nsid w:val="431BD7B7"/>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2025-08-12T05:25:16Z</dcterms:created>
  <dcterms:modified xsi:type="dcterms:W3CDTF">2025-08-12T05:25:16Z</dcterms:modified>
</cp:coreProperties>
</file>