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169545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ind w:left="4504"/>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204"/>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1"/>
          <w:szCs w:val="21"/>
          <w:b w:val="1"/>
          <w:bCs w:val="1"/>
          <w:color w:val="auto"/>
        </w:rPr>
        <w:t>Date of Report (Date of earliest event reported): September 25,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163830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VPC Impact Acquisition Holdings</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244"/>
        <w:spacing w:after="0"/>
        <w:rPr>
          <w:sz w:val="20"/>
          <w:szCs w:val="20"/>
          <w:color w:val="auto"/>
        </w:rPr>
      </w:pPr>
      <w:r>
        <w:rPr>
          <w:rFonts w:ascii="Arial" w:cs="Arial" w:eastAsia="Arial" w:hAnsi="Arial"/>
          <w:sz w:val="16"/>
          <w:szCs w:val="16"/>
          <w:b w:val="1"/>
          <w:bCs w:val="1"/>
          <w:color w:val="auto"/>
        </w:rPr>
        <w:t>Cayman Islands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001-39544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98-1550750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Victory Park Capital Advisors, LLC</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150 North Riverside Plaza, Suite 5200</w:t>
      </w:r>
    </w:p>
    <w:p>
      <w:pPr>
        <w:spacing w:after="0" w:line="9"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Chicago, IL 60606</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ectPr>
          <w:pgSz w:w="11900" w:h="16838" w:orient="portrait"/>
          <w:cols w:equalWidth="0" w:num="1">
            <w:col w:w="11024"/>
          </w:cols>
          <w:pgMar w:left="436" w:top="368" w:right="439" w:bottom="1440" w:gutter="0" w:footer="0" w:header="0"/>
          <w:type w:val="continuous"/>
        </w:sectPr>
      </w:pPr>
    </w:p>
    <w:p>
      <w:pPr>
        <w:spacing w:after="0" w:line="21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+1-312-701-1777</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left="4" w:right="40" w:firstLine="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Title of</w:t>
            </w:r>
          </w:p>
        </w:tc>
        <w:tc>
          <w:tcPr>
            <w:tcW w:w="3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Trading 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each class</w:t>
            </w:r>
          </w:p>
        </w:tc>
        <w:tc>
          <w:tcPr>
            <w:tcW w:w="3620" w:type="dxa"/>
            <w:vAlign w:val="bottom"/>
            <w:gridSpan w:val="2"/>
            <w:vMerge w:val="continue"/>
          </w:tcPr>
          <w:p>
            <w:pPr>
              <w:spacing w:after="0"/>
              <w:rPr>
                <w:sz w:val="16"/>
                <w:szCs w:val="16"/>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Units, each consisting of one Class A ordinary</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VIHAU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share, $0.0001 par value, and one-half of one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redeemable 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Class A ordinary shares, par value $0.0001 par</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VIH</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value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Redeemable warrants, each warrant exercisable</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VIHAW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for one Class A ordinary share, each at an</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exercise price of $11.50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8.01. Other Events.</w:t>
      </w:r>
    </w:p>
    <w:p>
      <w:pPr>
        <w:spacing w:after="0" w:line="121"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On September 25, 2020, VPC Impact Acquisition Holdings (the “Company”) consummated its initial public offering (“IPO”) of 20,000,000 units (the “Units”). Each Unit consists of one share of Class A common stock of the Company, par value $0.0001 per share (the “Class A Common Stock”), and one-half of one warrant of the Company (“Warrant”), with each whole Warrant entitling the holder thereof to purchase one share of Class A Common Stock for $11.50 per share. The Units were sold at a price of $10.00 per Unit, generating gross proceeds to the Company of $200,000,000. The Company has granted the underwriters for the IPO (the “Underwriters”) a 45-day option to purchase up to 3,000,000 additional Units to cover over-allotments, if any.</w:t>
      </w:r>
    </w:p>
    <w:p>
      <w:pPr>
        <w:spacing w:after="0" w:line="192"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On September 25, 2020, simultaneously with the consummation of the IPO, the Company completed the private sale (the “Private Placement”) of an aggregate of 6,000,000 warrants (the “Private Placement Warrants”) to VPC Impact Acquisition Holdings Sponsor, LLC (the” Sponsor”), generating gross proceeds to the Company of $6,000,000. The Sponsor has committed to purchase up to an additional 600,000 Private Placement Warrants if the underwriters exercise their over-allotment option in full.</w:t>
      </w:r>
    </w:p>
    <w:p>
      <w:pPr>
        <w:spacing w:after="0" w:line="18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A total of $200,000,000, comprised of $196,000,000 of the proceeds from the IPO (which amount includes $7,000,000 of the underwriters’ deferred discount) and $4,000,000 of the proceeds of the sale of the Private Placement Warrants, was placed in a U.S.-based trust account at J.P. Morgan Chase Bank, N.A., maintained by Continental Stock Transfer &amp; Trust Company, acting as trustee.</w:t>
      </w:r>
    </w:p>
    <w:p>
      <w:pPr>
        <w:spacing w:after="0" w:line="184"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An audited balance sheet as of September 25, 2020 reflecting receipt of the proceeds upon consummation of the IPO and the Private Placement has been issued by the Company and is included as Exhibit 99.1 to this Current Report on Form 8-K.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Over-Allotment Closing</w:t>
      </w:r>
    </w:p>
    <w:p>
      <w:pPr>
        <w:spacing w:after="0" w:line="11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As previously reported on a Current Report on Form 8-K of VPC Impact Acquisition Holdings (the “Company”), on September 25, 2020, the Company consummated its initial public offering (“IPO”) of 20,000,000 units (the “Units”). Each Unit consists of one Class A ordinary share of the Company, par value $0.0001 per share (the “Class A Ordinary Shares”), and one-half of one redeemable warrant of the Company (each whole warrant, a “Warrant”), with each Warrant entitling the holder thereof to purchase one Class A Ordinary Share for $11.50 per share, subject to adjustment. The Units were sold at a price of $10.00 per Unit, generating gross proceeds to the Company of $200,000,000. The underwriters of the IPO (the “Underwriters”) were granted a 45-day option to purchase up to 3,000,000 additional Units to cover over-allotments, if any. On October 1, 2020, the Underwriters exercised the over-allotment option in part and purchased an additional 737,202 Units (the “Over-Allotment Units”), generating gross proceeds of $7,372,020.</w:t>
      </w:r>
    </w:p>
    <w:p>
      <w:pPr>
        <w:spacing w:after="0" w:line="192"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As previously reported on a Current Report on Form 8-K of the Company, on September 25, 2020, simultaneously with the closing of the IPO, the Company completed the private sale of 6,000,000 warrants (the “Private Placement Warrants”) to VPC Impact Acquisition Holdings Sponsor, LLC (the “Sponsor”) at a purchase price of $1.00 per Private Placement Warrant, generating gross proceeds to the Company of $6,000,000. On October 1, 2020, simultaneously with the sale of the Over-Allotment Units, the Company consummated a private sale of an additional 147,440 Private Placement Warrants to the Sponsor, generating gross proceeds of $147,440.</w:t>
      </w:r>
    </w:p>
    <w:p>
      <w:pPr>
        <w:spacing w:after="0" w:line="188"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A total of $207,372,020 of the net proceeds from the sale of the Units, the Over-Allotment Units and the Private Placement Units was placed in a U.S.-based trust account at J.P. Morgan Chase Bank, N.A. maintained by Continental Stock Transfer &amp; Trust Company, acting as trustee, established for the benefit of the Company’s public shareholders. The proceeds from the sale of the Over-Allotment Units and the sale of the Private Placement Warrants on October 1, 2020, has been disclosed in the subsequent events notes to the audited balance sheet included as Exhibit 99.1 to this Current Report on Form 8-K.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5" w:lineRule="exact"/>
        <w:rPr>
          <w:sz w:val="20"/>
          <w:szCs w:val="20"/>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81" w:lineRule="exact"/>
        <w:rPr>
          <w:sz w:val="20"/>
          <w:szCs w:val="20"/>
          <w:color w:val="auto"/>
        </w:rPr>
      </w:pPr>
    </w:p>
    <w:p>
      <w:pPr>
        <w:spacing w:after="0"/>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Audited Balance Sheet as of September 25, 2020.</w:t>
        </w:r>
      </w:hyperlink>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VPC IMPACT ACQUISITION HOLDINGS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John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John Martin</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Chief Executive Officer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 2020</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00"/>
          </w:cols>
          <w:pgMar w:left="440" w:top="270" w:right="7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640" w:type="dxa"/>
            <w:vAlign w:val="bottom"/>
          </w:tcPr>
          <w:p>
            <w:pPr>
              <w:spacing w:after="0"/>
              <w:rPr>
                <w:sz w:val="20"/>
                <w:szCs w:val="20"/>
                <w:color w:val="auto"/>
              </w:rPr>
            </w:pPr>
          </w:p>
        </w:tc>
        <w:tc>
          <w:tcPr>
            <w:tcW w:w="2380" w:type="dxa"/>
            <w:vAlign w:val="bottom"/>
            <w:gridSpan w:val="3"/>
          </w:tcPr>
          <w:p>
            <w:pPr>
              <w:ind w:left="1440"/>
              <w:spacing w:after="0"/>
              <w:rPr>
                <w:sz w:val="20"/>
                <w:szCs w:val="20"/>
                <w:color w:val="auto"/>
              </w:rPr>
            </w:pPr>
            <w:r>
              <w:rPr>
                <w:rFonts w:ascii="Arial" w:cs="Arial" w:eastAsia="Arial" w:hAnsi="Arial"/>
                <w:sz w:val="18"/>
                <w:szCs w:val="18"/>
                <w:b w:val="1"/>
                <w:bCs w:val="1"/>
                <w:color w:val="auto"/>
                <w:w w:val="91"/>
              </w:rPr>
              <w:t>Exhibit 99.1</w:t>
            </w:r>
          </w:p>
        </w:tc>
        <w:tc>
          <w:tcPr>
            <w:tcW w:w="0" w:type="dxa"/>
            <w:vAlign w:val="bottom"/>
          </w:tcPr>
          <w:p>
            <w:pPr>
              <w:spacing w:after="0"/>
              <w:rPr>
                <w:sz w:val="1"/>
                <w:szCs w:val="1"/>
                <w:color w:val="auto"/>
              </w:rPr>
            </w:pPr>
          </w:p>
        </w:tc>
      </w:tr>
      <w:tr>
        <w:trPr>
          <w:trHeight w:val="414"/>
        </w:trPr>
        <w:tc>
          <w:tcPr>
            <w:tcW w:w="8640" w:type="dxa"/>
            <w:vAlign w:val="bottom"/>
          </w:tcPr>
          <w:p>
            <w:pPr>
              <w:jc w:val="center"/>
              <w:ind w:left="2290"/>
              <w:spacing w:after="0"/>
              <w:rPr>
                <w:sz w:val="20"/>
                <w:szCs w:val="20"/>
                <w:color w:val="auto"/>
              </w:rPr>
            </w:pPr>
            <w:r>
              <w:rPr>
                <w:rFonts w:ascii="Arial" w:cs="Arial" w:eastAsia="Arial" w:hAnsi="Arial"/>
                <w:sz w:val="18"/>
                <w:szCs w:val="18"/>
                <w:b w:val="1"/>
                <w:bCs w:val="1"/>
                <w:color w:val="auto"/>
              </w:rPr>
              <w:t>VPC IMPACT ACQUISITION HOLDINGS</w:t>
            </w: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40" w:type="dxa"/>
            <w:vAlign w:val="bottom"/>
          </w:tcPr>
          <w:p>
            <w:pPr>
              <w:jc w:val="center"/>
              <w:ind w:left="2290"/>
              <w:spacing w:after="0"/>
              <w:rPr>
                <w:sz w:val="20"/>
                <w:szCs w:val="20"/>
                <w:color w:val="auto"/>
              </w:rPr>
            </w:pPr>
            <w:r>
              <w:rPr>
                <w:rFonts w:ascii="Arial" w:cs="Arial" w:eastAsia="Arial" w:hAnsi="Arial"/>
                <w:sz w:val="18"/>
                <w:szCs w:val="18"/>
                <w:b w:val="1"/>
                <w:bCs w:val="1"/>
                <w:color w:val="auto"/>
              </w:rPr>
              <w:t>INDEX TO FINANCIAL STATEMENT</w:t>
            </w:r>
          </w:p>
        </w:tc>
        <w:tc>
          <w:tcPr>
            <w:tcW w:w="2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640" w:type="dxa"/>
            <w:vAlign w:val="bottom"/>
            <w:vMerge w:val="restart"/>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Report of Independent Registered Public Accounting Firm</w:t>
              </w:r>
            </w:hyperlink>
          </w:p>
        </w:tc>
        <w:tc>
          <w:tcPr>
            <w:tcW w:w="2000" w:type="dxa"/>
            <w:vAlign w:val="bottom"/>
          </w:tcPr>
          <w:p>
            <w:pPr>
              <w:spacing w:after="0"/>
              <w:rPr>
                <w:sz w:val="24"/>
                <w:szCs w:val="24"/>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8640" w:type="dxa"/>
            <w:vAlign w:val="bottom"/>
            <w:vMerge w:val="continue"/>
          </w:tcPr>
          <w:p>
            <w:pPr>
              <w:spacing w:after="0"/>
              <w:rPr>
                <w:sz w:val="16"/>
                <w:szCs w:val="16"/>
                <w:color w:val="auto"/>
              </w:rPr>
            </w:pPr>
          </w:p>
        </w:tc>
        <w:tc>
          <w:tcPr>
            <w:tcW w:w="2000" w:type="dxa"/>
            <w:vAlign w:val="bottom"/>
          </w:tcPr>
          <w:p>
            <w:pPr>
              <w:spacing w:after="0"/>
              <w:rPr>
                <w:sz w:val="16"/>
                <w:szCs w:val="16"/>
                <w:color w:val="auto"/>
              </w:rPr>
            </w:pPr>
          </w:p>
        </w:tc>
        <w:tc>
          <w:tcPr>
            <w:tcW w:w="32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w w:val="88"/>
              </w:rPr>
              <w:t>F-2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Financial Statement:</w:t>
            </w:r>
          </w:p>
        </w:tc>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Balance Sheet as of September 25, 2020</w:t>
              </w:r>
            </w:hyperlink>
          </w:p>
        </w:tc>
        <w:tc>
          <w:tcPr>
            <w:tcW w:w="2000" w:type="dxa"/>
            <w:vAlign w:val="bottom"/>
          </w:tcPr>
          <w:p>
            <w:pPr>
              <w:spacing w:after="0"/>
              <w:rPr>
                <w:sz w:val="18"/>
                <w:szCs w:val="18"/>
                <w:color w:val="auto"/>
              </w:rPr>
            </w:pPr>
          </w:p>
        </w:tc>
        <w:tc>
          <w:tcPr>
            <w:tcW w:w="380" w:type="dxa"/>
            <w:vAlign w:val="bottom"/>
            <w:gridSpan w:val="2"/>
          </w:tcPr>
          <w:p>
            <w:pPr>
              <w:ind w:left="6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30"/>
        </w:trPr>
        <w:tc>
          <w:tcPr>
            <w:tcW w:w="864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Financial Statement</w:t>
              </w:r>
            </w:hyperlink>
          </w:p>
        </w:tc>
        <w:tc>
          <w:tcPr>
            <w:tcW w:w="2000" w:type="dxa"/>
            <w:vAlign w:val="bottom"/>
          </w:tcPr>
          <w:p>
            <w:pPr>
              <w:spacing w:after="0"/>
              <w:rPr>
                <w:sz w:val="20"/>
                <w:szCs w:val="20"/>
                <w:color w:val="auto"/>
              </w:rPr>
            </w:pPr>
          </w:p>
        </w:tc>
        <w:tc>
          <w:tcPr>
            <w:tcW w:w="380" w:type="dxa"/>
            <w:vAlign w:val="bottom"/>
            <w:gridSpan w:val="2"/>
          </w:tcPr>
          <w:p>
            <w:pPr>
              <w:ind w:left="6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364"/>
        </w:trPr>
        <w:tc>
          <w:tcPr>
            <w:tcW w:w="8640" w:type="dxa"/>
            <w:vAlign w:val="bottom"/>
          </w:tcPr>
          <w:p>
            <w:pPr>
              <w:jc w:val="center"/>
              <w:ind w:left="2270"/>
              <w:spacing w:after="0"/>
              <w:rPr>
                <w:sz w:val="20"/>
                <w:szCs w:val="20"/>
                <w:color w:val="auto"/>
              </w:rPr>
            </w:pPr>
            <w:r>
              <w:rPr>
                <w:rFonts w:ascii="Arial" w:cs="Arial" w:eastAsia="Arial" w:hAnsi="Arial"/>
                <w:sz w:val="18"/>
                <w:szCs w:val="18"/>
                <w:color w:val="auto"/>
                <w:w w:val="88"/>
              </w:rPr>
              <w:t>F-1</w:t>
            </w: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21" w:right="439" w:bottom="1440" w:gutter="0" w:footer="0" w:header="0"/>
        </w:sectPr>
      </w:pPr>
    </w:p>
    <w:bookmarkStart w:id="4" w:name="page5"/>
    <w:bookmarkEnd w:id="4"/>
    <w:p>
      <w:pPr>
        <w:ind w:left="3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VPC Impact Acquisition Holdings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w:t>
      </w:r>
    </w:p>
    <w:p>
      <w:pPr>
        <w:spacing w:after="0" w:line="12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We have audited the accompanying balance sheet of VPC Impact Acquisition Holdings (the “Company”) as of September 25, 2020 and the related notes (collectively referred to as the “financial statement”). In our opinion, the financial statement presents fairly, in all material respects, the financial position of the Company as of September 25, 2020 in conformity with accounting principles generally accepted in the United States of America.</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520" w:firstLine="440"/>
        <w:spacing w:after="0" w:line="279" w:lineRule="auto"/>
        <w:rPr>
          <w:sz w:val="20"/>
          <w:szCs w:val="20"/>
          <w:color w:val="auto"/>
        </w:rPr>
      </w:pPr>
      <w:r>
        <w:rPr>
          <w:rFonts w:ascii="Arial" w:cs="Arial" w:eastAsia="Arial" w:hAnsi="Arial"/>
          <w:sz w:val="17"/>
          <w:szCs w:val="17"/>
          <w:color w:val="auto"/>
        </w:rPr>
        <w:t>This financial statement is the responsibility of the Company’s management. Our responsibility is to express an opinion on the Company’s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76"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 2020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00"/>
          </w:cols>
          <w:pgMar w:left="440" w:top="270" w:right="459" w:bottom="1440" w:gutter="0" w:footer="0" w:header="0"/>
        </w:sectPr>
      </w:pPr>
    </w:p>
    <w:bookmarkStart w:id="5" w:name="page6"/>
    <w:bookmarkEnd w:id="5"/>
    <w:p>
      <w:pPr>
        <w:jc w:val="center"/>
        <w:ind w:left="182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VPC IMPACT ACQUISITION HOLDINGS</w:t>
      </w:r>
    </w:p>
    <w:p>
      <w:pPr>
        <w:spacing w:after="0" w:line="27" w:lineRule="exact"/>
        <w:rPr>
          <w:sz w:val="20"/>
          <w:szCs w:val="20"/>
          <w:color w:val="auto"/>
        </w:rPr>
      </w:pPr>
    </w:p>
    <w:p>
      <w:pPr>
        <w:jc w:val="center"/>
        <w:ind w:left="1824"/>
        <w:spacing w:after="0"/>
        <w:rPr>
          <w:sz w:val="20"/>
          <w:szCs w:val="20"/>
          <w:color w:val="auto"/>
        </w:rPr>
      </w:pPr>
      <w:r>
        <w:rPr>
          <w:rFonts w:ascii="Arial" w:cs="Arial" w:eastAsia="Arial" w:hAnsi="Arial"/>
          <w:sz w:val="18"/>
          <w:szCs w:val="18"/>
          <w:b w:val="1"/>
          <w:bCs w:val="1"/>
          <w:color w:val="auto"/>
        </w:rPr>
        <w:t>BALANCE SHEET</w:t>
      </w:r>
    </w:p>
    <w:p>
      <w:pPr>
        <w:spacing w:after="0" w:line="9" w:lineRule="exact"/>
        <w:rPr>
          <w:sz w:val="20"/>
          <w:szCs w:val="20"/>
          <w:color w:val="auto"/>
        </w:rPr>
      </w:pPr>
    </w:p>
    <w:p>
      <w:pPr>
        <w:jc w:val="center"/>
        <w:ind w:left="1824"/>
        <w:spacing w:after="0"/>
        <w:rPr>
          <w:sz w:val="20"/>
          <w:szCs w:val="20"/>
          <w:color w:val="auto"/>
        </w:rPr>
      </w:pPr>
      <w:r>
        <w:rPr>
          <w:rFonts w:ascii="Arial" w:cs="Arial" w:eastAsia="Arial" w:hAnsi="Arial"/>
          <w:sz w:val="18"/>
          <w:szCs w:val="18"/>
          <w:b w:val="1"/>
          <w:bCs w:val="1"/>
          <w:color w:val="auto"/>
        </w:rPr>
        <w:t>SEPTEMBER 25, 2020</w:t>
      </w:r>
    </w:p>
    <w:p>
      <w:pPr>
        <w:spacing w:after="0" w:line="23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699516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9951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364"/>
        <w:spacing w:after="0"/>
        <w:rPr>
          <w:sz w:val="20"/>
          <w:szCs w:val="20"/>
          <w:color w:val="auto"/>
        </w:rPr>
      </w:pPr>
      <w:r>
        <w:rPr>
          <w:rFonts w:ascii="Arial" w:cs="Arial" w:eastAsia="Arial" w:hAnsi="Arial"/>
          <w:sz w:val="18"/>
          <w:szCs w:val="18"/>
          <w:color w:val="auto"/>
        </w:rPr>
        <w:t>Cash</w:t>
      </w:r>
    </w:p>
    <w:p>
      <w:pPr>
        <w:spacing w:after="0" w:line="9" w:lineRule="exact"/>
        <w:rPr>
          <w:sz w:val="20"/>
          <w:szCs w:val="20"/>
          <w:color w:val="auto"/>
        </w:rPr>
      </w:pPr>
    </w:p>
    <w:p>
      <w:pPr>
        <w:ind w:left="364"/>
        <w:spacing w:after="0"/>
        <w:rPr>
          <w:sz w:val="20"/>
          <w:szCs w:val="20"/>
          <w:color w:val="auto"/>
        </w:rPr>
      </w:pPr>
      <w:r>
        <w:rPr>
          <w:rFonts w:ascii="Arial" w:cs="Arial" w:eastAsia="Arial" w:hAnsi="Arial"/>
          <w:sz w:val="18"/>
          <w:szCs w:val="18"/>
          <w:color w:val="auto"/>
        </w:rPr>
        <w:t>Prepaid expenses and other current assets</w:t>
      </w:r>
    </w:p>
    <w:p>
      <w:pPr>
        <w:spacing w:after="0" w:line="22" w:lineRule="exact"/>
        <w:rPr>
          <w:sz w:val="20"/>
          <w:szCs w:val="20"/>
          <w:color w:val="auto"/>
        </w:rPr>
      </w:pPr>
    </w:p>
    <w:p>
      <w:pPr>
        <w:ind w:left="724"/>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699516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Cash held in Trust Account</w:t>
      </w:r>
    </w:p>
    <w:p>
      <w:pPr>
        <w:spacing w:after="0" w:line="1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69951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47" w:lineRule="exact"/>
        <w:rPr>
          <w:sz w:val="20"/>
          <w:szCs w:val="20"/>
          <w:color w:val="auto"/>
        </w:rPr>
      </w:pPr>
    </w:p>
    <w:p>
      <w:pPr>
        <w:ind w:left="4"/>
        <w:spacing w:after="0"/>
        <w:rPr>
          <w:sz w:val="20"/>
          <w:szCs w:val="20"/>
          <w:color w:val="auto"/>
        </w:rPr>
      </w:pPr>
      <w:r>
        <w:rPr>
          <w:rFonts w:ascii="Arial" w:cs="Arial" w:eastAsia="Arial" w:hAnsi="Arial"/>
          <w:sz w:val="18"/>
          <w:szCs w:val="18"/>
          <w:color w:val="auto"/>
        </w:rPr>
        <w:t>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99516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Current liability—accrued offering costs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Deferred underwriting fee payable</w:t>
      </w:r>
    </w:p>
    <w:p>
      <w:pPr>
        <w:spacing w:after="0" w:line="1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69951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699516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Arial" w:cs="Arial" w:eastAsia="Arial" w:hAnsi="Arial"/>
          <w:sz w:val="18"/>
          <w:szCs w:val="18"/>
          <w:color w:val="auto"/>
        </w:rPr>
        <w:t>Class A ordinary shares subject to possible redemption, 18,951,724 shares at $10.00 per share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99516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color w:val="auto"/>
        </w:rPr>
        <w:t>Preference shares, $0.0001 par value; 1,000,000 shares authorized; none issued and outstanding</w:t>
      </w:r>
    </w:p>
    <w:p>
      <w:pPr>
        <w:spacing w:after="0" w:line="9" w:lineRule="exact"/>
        <w:rPr>
          <w:sz w:val="20"/>
          <w:szCs w:val="20"/>
          <w:color w:val="auto"/>
        </w:rPr>
      </w:pPr>
    </w:p>
    <w:p>
      <w:pPr>
        <w:ind w:left="184" w:hanging="179"/>
        <w:spacing w:after="0" w:line="249" w:lineRule="auto"/>
        <w:rPr>
          <w:sz w:val="20"/>
          <w:szCs w:val="20"/>
          <w:color w:val="auto"/>
        </w:rPr>
      </w:pPr>
      <w:r>
        <w:rPr>
          <w:rFonts w:ascii="Arial" w:cs="Arial" w:eastAsia="Arial" w:hAnsi="Arial"/>
          <w:sz w:val="18"/>
          <w:szCs w:val="18"/>
          <w:color w:val="auto"/>
        </w:rPr>
        <w:t>Class A ordinary shares, $0.0001 par value; 200,000,000 shares authorized; 1,048,276 shares issued and outstanding (excluding 18,951,724 shares subject to possible redemption)</w:t>
      </w:r>
    </w:p>
    <w:p>
      <w:pPr>
        <w:spacing w:after="0" w:line="1"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Class B ordinary shares, $0.0001 par value; 20,000,000 shares authorized; 5,184,300 shares issued and outstanding </w:t>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69951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 w:lineRule="exact"/>
        <w:rPr>
          <w:sz w:val="20"/>
          <w:szCs w:val="20"/>
          <w:color w:val="auto"/>
        </w:rPr>
      </w:pPr>
    </w:p>
    <w:p>
      <w:pPr>
        <w:ind w:left="4"/>
        <w:spacing w:after="0"/>
        <w:rPr>
          <w:sz w:val="20"/>
          <w:szCs w:val="20"/>
          <w:color w:val="auto"/>
        </w:rPr>
      </w:pPr>
      <w:r>
        <w:rPr>
          <w:rFonts w:ascii="Arial" w:cs="Arial" w:eastAsia="Arial" w:hAnsi="Arial"/>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99516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color w:val="auto"/>
        </w:rPr>
        <w:t>Accumulated deficit</w:t>
      </w:r>
    </w:p>
    <w:p>
      <w:pPr>
        <w:spacing w:after="0" w:line="1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Total Shareholders’ Equity</w:t>
      </w:r>
    </w:p>
    <w:p>
      <w:pPr>
        <w:spacing w:after="0" w:line="3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TOTAL 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699516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80" w:hanging="275"/>
        <w:spacing w:after="0"/>
        <w:tabs>
          <w:tab w:leader="none" w:pos="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1,205,178</w:t>
      </w:r>
    </w:p>
    <w:p>
      <w:pPr>
        <w:spacing w:after="0" w:line="34" w:lineRule="exact"/>
        <w:rPr>
          <w:rFonts w:ascii="Arial" w:cs="Arial" w:eastAsia="Arial" w:hAnsi="Arial"/>
          <w:sz w:val="17"/>
          <w:szCs w:val="17"/>
          <w:color w:val="auto"/>
        </w:rPr>
      </w:pPr>
    </w:p>
    <w:p>
      <w:pPr>
        <w:ind w:left="420"/>
        <w:spacing w:after="0"/>
        <w:rPr>
          <w:rFonts w:ascii="Arial" w:cs="Arial" w:eastAsia="Arial" w:hAnsi="Arial"/>
          <w:sz w:val="17"/>
          <w:szCs w:val="17"/>
          <w:color w:val="auto"/>
        </w:rPr>
      </w:pPr>
      <w:r>
        <w:rPr>
          <w:rFonts w:ascii="Arial" w:cs="Arial" w:eastAsia="Arial" w:hAnsi="Arial"/>
          <w:sz w:val="17"/>
          <w:szCs w:val="17"/>
          <w:color w:val="auto"/>
        </w:rPr>
        <w:t>314,300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6343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1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1,519,478</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7"/>
          <w:szCs w:val="17"/>
          <w:u w:val="single" w:color="auto"/>
          <w:color w:val="auto"/>
        </w:rPr>
        <w:t>200,000,000</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$201,519,478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6343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275" w:lineRule="exact"/>
        <w:rPr>
          <w:sz w:val="20"/>
          <w:szCs w:val="20"/>
          <w:color w:val="auto"/>
        </w:rPr>
      </w:pPr>
    </w:p>
    <w:p>
      <w:pPr>
        <w:ind w:left="600" w:hanging="595"/>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2,230</w:t>
      </w:r>
    </w:p>
    <w:p>
      <w:pPr>
        <w:spacing w:after="0" w:line="23"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7"/>
          <w:szCs w:val="17"/>
          <w:color w:val="auto"/>
        </w:rPr>
        <w:t>7,000,000</w:t>
      </w:r>
    </w:p>
    <w:p>
      <w:pPr>
        <w:spacing w:after="0" w:line="29"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7"/>
          <w:szCs w:val="17"/>
          <w:b w:val="1"/>
          <w:bCs w:val="1"/>
          <w:color w:val="auto"/>
        </w:rPr>
        <w:t>7,002,230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6343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43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24765</wp:posOffset>
            </wp:positionV>
            <wp:extent cx="6343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24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189,517,240</w:t>
      </w:r>
    </w:p>
    <w:p>
      <w:pPr>
        <w:spacing w:after="0" w:line="23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105</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518</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5,005,991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6343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ind w:right="60" w:firstLine="279"/>
        <w:spacing w:after="0" w:line="382" w:lineRule="auto"/>
        <w:rPr>
          <w:sz w:val="20"/>
          <w:szCs w:val="20"/>
          <w:color w:val="auto"/>
        </w:rPr>
      </w:pPr>
      <w:r>
        <w:rPr>
          <w:rFonts w:ascii="Arial" w:cs="Arial" w:eastAsia="Arial" w:hAnsi="Arial"/>
          <w:sz w:val="16"/>
          <w:szCs w:val="16"/>
          <w:b w:val="1"/>
          <w:bCs w:val="1"/>
          <w:color w:val="auto"/>
        </w:rPr>
        <w:t xml:space="preserve">5,000,008 </w:t>
      </w:r>
      <w:r>
        <w:rPr>
          <w:rFonts w:ascii="Arial" w:cs="Arial" w:eastAsia="Arial" w:hAnsi="Arial"/>
          <w:sz w:val="16"/>
          <w:szCs w:val="16"/>
          <w:b w:val="1"/>
          <w:bCs w:val="1"/>
          <w:u w:val="single" w:color="auto"/>
          <w:color w:val="auto"/>
        </w:rPr>
        <w:t>$201,519,478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6343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-50800</wp:posOffset>
            </wp:positionV>
            <wp:extent cx="6343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174" w:lineRule="exact"/>
        <w:rPr>
          <w:sz w:val="20"/>
          <w:szCs w:val="20"/>
          <w:color w:val="auto"/>
        </w:rPr>
      </w:pPr>
    </w:p>
    <w:p>
      <w:pPr>
        <w:sectPr>
          <w:pgSz w:w="11900" w:h="16838" w:orient="portrait"/>
          <w:cols w:equalWidth="0" w:num="2">
            <w:col w:w="9184" w:space="720"/>
            <w:col w:w="1060"/>
          </w:cols>
          <w:pgMar w:left="436" w:top="270" w:right="499" w:bottom="1440" w:gutter="0" w:footer="0" w:header="0"/>
        </w:sectPr>
      </w:pPr>
    </w:p>
    <w:p>
      <w:pPr>
        <w:ind w:left="424" w:right="380" w:hanging="424"/>
        <w:spacing w:after="0" w:line="311" w:lineRule="auto"/>
        <w:tabs>
          <w:tab w:leader="none" w:pos="424"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connection with the underwriters’ partial exercise of the over-allotment option and the forfeiture of the remaining over-allotment option, 565,700 Founder Shares were forfeited and 184,300 Founder Shares are no longer subject to forfeiture resulting in an aggregate of 5,184,300 Founder Shares outstanding at October 1, 2020. All share amounts have been retroactively restated to reflect the forfeiture. (Note 5)</w:t>
      </w:r>
    </w:p>
    <w:p>
      <w:pPr>
        <w:spacing w:after="0" w:line="14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The accompanying notes are an integral part of the financial statement.</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0964"/>
          </w:cols>
          <w:pgMar w:left="436" w:top="270" w:right="499" w:bottom="1440" w:gutter="0" w:footer="0" w:header="0"/>
          <w:type w:val="continuous"/>
        </w:sectPr>
      </w:pPr>
    </w:p>
    <w:bookmarkStart w:id="6" w:name="page7"/>
    <w:bookmarkEnd w:id="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VPC IMPACT ACQUISITION HOLDINGS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NOTES TO FINANCIAL STATEMENT</w:t>
      </w:r>
    </w:p>
    <w:p>
      <w:pPr>
        <w:spacing w:after="0" w:line="13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1—Organization and Plan of Business Operations</w:t>
      </w:r>
    </w:p>
    <w:p>
      <w:pPr>
        <w:spacing w:after="0" w:line="121"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VPC Impact Acquisition Holdings (the “Company”) is a blank check company incorporated as a Cayman Islands exempted company on July 31, 2020. The Company was incorporated for the purpose of effecting a merger, share exchange, asset acquisition, share purchase, reorganization or similar business combination with one or more businesses or entities (a “Business Combination”).</w:t>
      </w:r>
    </w:p>
    <w:p>
      <w:pPr>
        <w:spacing w:after="0" w:line="184" w:lineRule="exact"/>
        <w:rPr>
          <w:sz w:val="20"/>
          <w:szCs w:val="20"/>
          <w:color w:val="auto"/>
        </w:rPr>
      </w:pPr>
    </w:p>
    <w:p>
      <w:pPr>
        <w:ind w:left="4" w:right="300"/>
        <w:spacing w:after="0" w:line="342" w:lineRule="auto"/>
        <w:rPr>
          <w:sz w:val="20"/>
          <w:szCs w:val="20"/>
          <w:color w:val="auto"/>
        </w:rPr>
      </w:pPr>
      <w:r>
        <w:rPr>
          <w:rFonts w:ascii="Arial" w:cs="Arial" w:eastAsia="Arial" w:hAnsi="Arial"/>
          <w:sz w:val="16"/>
          <w:szCs w:val="16"/>
          <w:color w:val="auto"/>
        </w:rPr>
        <w:t>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24" w:lineRule="exact"/>
        <w:rPr>
          <w:sz w:val="20"/>
          <w:szCs w:val="20"/>
          <w:color w:val="auto"/>
        </w:rPr>
      </w:pPr>
    </w:p>
    <w:p>
      <w:pPr>
        <w:ind w:left="4" w:right="340"/>
        <w:spacing w:after="0" w:line="279" w:lineRule="auto"/>
        <w:rPr>
          <w:sz w:val="20"/>
          <w:szCs w:val="20"/>
          <w:color w:val="auto"/>
        </w:rPr>
      </w:pPr>
      <w:r>
        <w:rPr>
          <w:rFonts w:ascii="Arial" w:cs="Arial" w:eastAsia="Arial" w:hAnsi="Arial"/>
          <w:sz w:val="17"/>
          <w:szCs w:val="17"/>
          <w:color w:val="auto"/>
        </w:rPr>
        <w:t>As of September 25, 2020, the Company had not commenced any operations. All activity for the period from July 31, 2020 (inception) through September 25, 2020 relates to the Company’s formation and the initial public offering (“Initial Public Offering”), which is described below. The Company will not generate any operating revenues until after the completion of a Business Combination, at the earliest. The Company will generate non-operating income in the form of interest income from the proceeds derived from the Initial Public Offering.</w:t>
      </w:r>
    </w:p>
    <w:p>
      <w:pPr>
        <w:spacing w:after="0" w:line="171" w:lineRule="exact"/>
        <w:rPr>
          <w:sz w:val="20"/>
          <w:szCs w:val="20"/>
          <w:color w:val="auto"/>
        </w:rPr>
      </w:pPr>
    </w:p>
    <w:p>
      <w:pPr>
        <w:ind w:left="4" w:right="400"/>
        <w:spacing w:after="0" w:line="286" w:lineRule="auto"/>
        <w:rPr>
          <w:sz w:val="20"/>
          <w:szCs w:val="20"/>
          <w:color w:val="auto"/>
        </w:rPr>
      </w:pPr>
      <w:r>
        <w:rPr>
          <w:rFonts w:ascii="Arial" w:cs="Arial" w:eastAsia="Arial" w:hAnsi="Arial"/>
          <w:sz w:val="17"/>
          <w:szCs w:val="17"/>
          <w:color w:val="auto"/>
        </w:rPr>
        <w:t>The registration statement for the Company’s Initial Public Offering was declared effective on September 22, 2020. On September 25, 2020 the Company consummated the Initial Public Offering of 20,000,000 units (the “Units” and, with respect to the Class A ordinary shares included in the Units sold, the “Public Shares”), generating gross proceeds of $200,000,000 which is described in Note 3.</w:t>
      </w:r>
    </w:p>
    <w:p>
      <w:pPr>
        <w:spacing w:after="0" w:line="165"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6,000,000 warrants (the “Private Placement Warrants”) at a price of $1.00 per Private Placement Warrant in a private placement to VPC Impact Acquisition Holdings Sponsor, LLC (the “Sponsor”), generating gross proceeds of $6,000,000, which is described in Note 4.</w:t>
      </w:r>
    </w:p>
    <w:p>
      <w:pPr>
        <w:spacing w:after="0" w:line="184"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Transaction costs amounted to $11,501,146, consisting of $4,000,000 of underwriting fees, $7,000,000 of deferred underwriting fees and $501,146 of other offering costs. In addition, at September 25, 2020 cash of $1,205,178 was held outside of the Trust Account (as defined below) and is available for working capital purposes.</w:t>
      </w:r>
    </w:p>
    <w:p>
      <w:pPr>
        <w:spacing w:after="0" w:line="184"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Following the closing of the Initial Public Offering on September 25, 2020, an amount of $200,000,000 ($10.00 per Unit) from the net proceeds of the sale of the Units in the Initial Public Offering and the sale of the Private Placement Warrants was placed in a trust account (the “Trust Account”) and invested in U.S. government securities, within the meaning set forth in Section 2(a)(16) of the Investment Company Act of 1940, as amended (the “Investment Company Act”), with a maturity of 185 days or less, or in any open-ended investment company that holds itself out as a money market fund investing solely in U.S. Treasuries and meeting certain conditions under Rule 2a-7 of the Investment Company Act, as determined by the Company, until the earliest of: (i) the completion of a Business Combination and (ii) the distribution of the funds in the Trust Account to the Company’s shareholders, as described below.</w:t>
      </w:r>
    </w:p>
    <w:p>
      <w:pPr>
        <w:spacing w:after="0" w:line="195"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On September 29, 2020, the underwriters notified the Company of their intention to partially exercise their over-allotment option on October 1, 2020. As such, on October 1, 2020, the Company consummated the sale of an additional 737,202 Units, at $10.00 per Unit, and the sale of an additional 147,440 Private Placement Warrants, at $1.00 per Private Warrant, generating total gross proceeds of $7,519,460. A total of $7,372,020 of the net proceeds was deposited into the Trust Account, bringing the aggregate proceeds held in the Trust Account to $207,372,020 (see Note 8).</w:t>
      </w:r>
    </w:p>
    <w:p>
      <w:pPr>
        <w:spacing w:after="0" w:line="157" w:lineRule="exact"/>
        <w:rPr>
          <w:sz w:val="20"/>
          <w:szCs w:val="20"/>
          <w:color w:val="auto"/>
        </w:rPr>
      </w:pPr>
    </w:p>
    <w:p>
      <w:pPr>
        <w:ind w:left="4"/>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 Business Combination. The stock exchange listing rules require that the Business Combination must be with one or more operating businesses or assets with a fair market value equal to at least 80% of the assets held in the Trust Account (excluding the deferred underwriting commissions and taxes payable on the interest earned on the Trust Account).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There is no assurance that the Company will be able to successfully effect a Business Combination.</w:t>
      </w:r>
    </w:p>
    <w:p>
      <w:pPr>
        <w:spacing w:after="0" w:line="178" w:lineRule="exact"/>
        <w:rPr>
          <w:sz w:val="20"/>
          <w:szCs w:val="20"/>
          <w:color w:val="auto"/>
        </w:rPr>
      </w:pPr>
    </w:p>
    <w:p>
      <w:pPr>
        <w:ind w:left="4" w:right="60"/>
        <w:spacing w:after="0" w:line="291" w:lineRule="auto"/>
        <w:rPr>
          <w:sz w:val="20"/>
          <w:szCs w:val="20"/>
          <w:color w:val="auto"/>
        </w:rPr>
      </w:pPr>
      <w:r>
        <w:rPr>
          <w:rFonts w:ascii="Arial" w:cs="Arial" w:eastAsia="Arial" w:hAnsi="Arial"/>
          <w:sz w:val="16"/>
          <w:szCs w:val="16"/>
          <w:color w:val="auto"/>
        </w:rPr>
        <w:t>The Company will provide the holders of the public shares (the “Public Shareholders”) with the opportunity to redeem all or a portion of their public shares upon the completion of the Business Combination, either (i) in connection with a general meeting called to approve the Business Combination or</w:t>
      </w:r>
    </w:p>
    <w:p>
      <w:pPr>
        <w:ind w:left="4" w:hanging="4"/>
        <w:spacing w:after="0" w:line="288" w:lineRule="auto"/>
        <w:tabs>
          <w:tab w:leader="none" w:pos="269" w:val="left"/>
        </w:tabs>
        <w:numPr>
          <w:ilvl w:val="0"/>
          <w:numId w:val="6"/>
        </w:numPr>
        <w:rPr>
          <w:rFonts w:ascii="Arial" w:cs="Arial" w:eastAsia="Arial" w:hAnsi="Arial"/>
          <w:sz w:val="16"/>
          <w:szCs w:val="16"/>
          <w:color w:val="auto"/>
        </w:rPr>
      </w:pPr>
      <w:r>
        <w:rPr>
          <w:rFonts w:ascii="Arial" w:cs="Arial" w:eastAsia="Arial" w:hAnsi="Arial"/>
          <w:sz w:val="16"/>
          <w:szCs w:val="16"/>
          <w:color w:val="auto"/>
        </w:rPr>
        <w:t>by means of a tender offer. The decision as to whether the Company will seek shareholder approval of a Business Combination or conduct a tender offer will be made by the Company, solely in its discretion. The Public Shareholders will be entitled to redeem their Public Shares, equal to the aggregate amount then on deposit in the Trust Account, calculated as of two business days prior to the consummation of the Business Combination (initially $10.00 per Public Share), including interest (which interest shall be net of taxes payable), divided by the number of then issued and outstanding public shares, subject to certain limitations as described in the prospectus. The per-share amount to be distributed to the Public Shareholders who properly redeem their shares will not be reduced by the deferred underwriting commissions the Company will pay to the underwriters (as discussed in Note 6). There will be no redemption rights upon the completion of a Business Combination with respect to the Company’s warrants.</w:t>
      </w:r>
    </w:p>
    <w:p>
      <w:pPr>
        <w:spacing w:after="0" w:line="168" w:lineRule="exact"/>
        <w:rPr>
          <w:sz w:val="20"/>
          <w:szCs w:val="20"/>
          <w:color w:val="auto"/>
        </w:rPr>
      </w:pPr>
    </w:p>
    <w:p>
      <w:pPr>
        <w:jc w:val="both"/>
        <w:ind w:left="4" w:right="160"/>
        <w:spacing w:after="0" w:line="286" w:lineRule="auto"/>
        <w:rPr>
          <w:sz w:val="20"/>
          <w:szCs w:val="20"/>
          <w:color w:val="auto"/>
        </w:rPr>
      </w:pPr>
      <w:r>
        <w:rPr>
          <w:rFonts w:ascii="Arial" w:cs="Arial" w:eastAsia="Arial" w:hAnsi="Arial"/>
          <w:sz w:val="17"/>
          <w:szCs w:val="17"/>
          <w:color w:val="auto"/>
        </w:rPr>
        <w:t>The Company will proceed with a Business Combination only if the Company has net tangible assets of at least $5,000,001 and, if the Company seeks shareholder approval, it receives an ordinary resolution under Cayman Islands law approving a Business Combination, which requires the affirmative vote of a majority of the shareholders who attend and vote at a general meeting of the Company. If a shareholder</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004"/>
          </w:cols>
          <w:pgMar w:left="436" w:top="270" w:right="459" w:bottom="1440" w:gutter="0" w:footer="0" w:header="0"/>
        </w:sectPr>
      </w:pPr>
    </w:p>
    <w:bookmarkStart w:id="7" w:name="page8"/>
    <w:bookmarkEnd w:id="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VPC IMPACT ACQUISITION HOLDINGS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NOTES TO FINANCIAL STATEMENT</w:t>
      </w:r>
    </w:p>
    <w:p>
      <w:pPr>
        <w:spacing w:after="0" w:line="143" w:lineRule="exact"/>
        <w:rPr>
          <w:sz w:val="20"/>
          <w:szCs w:val="20"/>
          <w:color w:val="auto"/>
        </w:rPr>
      </w:pPr>
    </w:p>
    <w:p>
      <w:pPr>
        <w:ind w:left="4" w:right="40"/>
        <w:spacing w:after="0" w:line="291" w:lineRule="auto"/>
        <w:rPr>
          <w:sz w:val="20"/>
          <w:szCs w:val="20"/>
          <w:color w:val="auto"/>
        </w:rPr>
      </w:pPr>
      <w:r>
        <w:rPr>
          <w:rFonts w:ascii="Arial" w:cs="Arial" w:eastAsia="Arial" w:hAnsi="Arial"/>
          <w:sz w:val="16"/>
          <w:szCs w:val="16"/>
          <w:color w:val="auto"/>
        </w:rPr>
        <w:t>vote is not required and the Company does not decide to hold a shareholder vote for business or other legal reasons, the Company will, pursuant to its Amended and Restated Memorandum and Articles of Association, conduct the redemptions pursuant to the tender offer rules of the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Sponsor has agreed to vote its Founder Shares (as defined in Note 5) and any Public Shares purchased during or after the Initial Public Offering in favor of approving a Business Combination. Additionally, each Public Shareholder may elect to redeem their Public Shares, without voting, and if they do vote, irrespective of whether they vote for or against a proposed Business Combination.</w:t>
      </w:r>
    </w:p>
    <w:p>
      <w:pPr>
        <w:spacing w:after="0" w:line="166"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Notwithstanding the foregoing, if the Company seeks shareholder approval of the Business Combination and the Company does not conduct redemptions pursuant to the tender offer rules,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Public Shares without the Company’s prior written consent.</w:t>
      </w:r>
    </w:p>
    <w:p>
      <w:pPr>
        <w:spacing w:after="0" w:line="188" w:lineRule="exact"/>
        <w:rPr>
          <w:sz w:val="20"/>
          <w:szCs w:val="20"/>
          <w:color w:val="auto"/>
        </w:rPr>
      </w:pPr>
    </w:p>
    <w:p>
      <w:pPr>
        <w:ind w:left="4" w:right="240"/>
        <w:spacing w:after="0" w:line="291" w:lineRule="auto"/>
        <w:rPr>
          <w:sz w:val="20"/>
          <w:szCs w:val="20"/>
          <w:color w:val="auto"/>
        </w:rPr>
      </w:pPr>
      <w:r>
        <w:rPr>
          <w:rFonts w:ascii="Arial" w:cs="Arial" w:eastAsia="Arial" w:hAnsi="Arial"/>
          <w:sz w:val="16"/>
          <w:szCs w:val="16"/>
          <w:color w:val="auto"/>
        </w:rPr>
        <w:t>The Sponsor has agreed (a) to waive its redemption rights with respect to any Founder Shares and Public Shares held by it in connection with the completion of a Business Combination and (b) not to propose an amendment to the Amended and Restated Memorandum and Articles of Association</w:t>
      </w:r>
    </w:p>
    <w:p>
      <w:pPr>
        <w:ind w:left="4" w:right="120" w:hanging="4"/>
        <w:spacing w:after="0" w:line="270" w:lineRule="auto"/>
        <w:tabs>
          <w:tab w:leader="none" w:pos="219"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modify the substance or timing of the Company’s obligation to allow redemption in connection with the Company’s initial Business Combination or to redeem 100% of the Public Shares if the Company does not complete a Business Combination within the Combination Period (as defined below) or (ii) with respect to any other provision relating to shareholders’ rights or pre-initial business combination activity, unless the Company provides the Public Shareholders with the opportunity to redeem their Public Shares upon approval of any such amendment at a per-share price, payable in cash, equal to the aggregate amount then on deposit in the Trust Account, including interest earned on the Trust Account and not previously released to pay taxes, divided by the number of then issued and outstanding Public Shares.</w:t>
      </w:r>
    </w:p>
    <w:p>
      <w:pPr>
        <w:spacing w:after="0" w:line="178" w:lineRule="exact"/>
        <w:rPr>
          <w:sz w:val="20"/>
          <w:szCs w:val="20"/>
          <w:color w:val="auto"/>
        </w:rPr>
      </w:pPr>
    </w:p>
    <w:p>
      <w:pPr>
        <w:ind w:left="4" w:right="120"/>
        <w:spacing w:after="0" w:line="291" w:lineRule="auto"/>
        <w:rPr>
          <w:sz w:val="20"/>
          <w:szCs w:val="20"/>
          <w:color w:val="auto"/>
        </w:rPr>
      </w:pPr>
      <w:r>
        <w:rPr>
          <w:rFonts w:ascii="Arial" w:cs="Arial" w:eastAsia="Arial" w:hAnsi="Arial"/>
          <w:sz w:val="16"/>
          <w:szCs w:val="16"/>
          <w:color w:val="auto"/>
        </w:rPr>
        <w:t>The Company will have until September 25, 2022 to consummate a Business Combination (the “Combination Period”). However, if the Company has not completed a Business Combination within the Combination Period, the Company will (i) cease all operations except for the purpose of winding up,</w:t>
      </w:r>
    </w:p>
    <w:p>
      <w:pPr>
        <w:ind w:left="4" w:right="20" w:hanging="4"/>
        <w:spacing w:after="0" w:line="287" w:lineRule="auto"/>
        <w:tabs>
          <w:tab w:leader="none" w:pos="269" w:val="left"/>
        </w:tabs>
        <w:numPr>
          <w:ilvl w:val="0"/>
          <w:numId w:val="8"/>
        </w:numPr>
        <w:rPr>
          <w:rFonts w:ascii="Arial" w:cs="Arial" w:eastAsia="Arial" w:hAnsi="Arial"/>
          <w:sz w:val="16"/>
          <w:szCs w:val="16"/>
          <w:color w:val="auto"/>
        </w:rPr>
      </w:pPr>
      <w:r>
        <w:rPr>
          <w:rFonts w:ascii="Arial" w:cs="Arial" w:eastAsia="Arial" w:hAnsi="Arial"/>
          <w:sz w:val="16"/>
          <w:szCs w:val="16"/>
          <w:color w:val="auto"/>
        </w:rPr>
        <w:t>as promptly as reasonably possible but not more than ten business days thereafter, redeem 100% of the Public Shares, at a per-share price, payable in cash, equal to the aggregate amount then on deposit in the Trust Account, including interest earned and not previously released to us to pay our taxes, if any (less up to $100,000 of interest to pay dissolution expenses), divided by the number of then issued and outstanding Public Shares, which redemption will completely extinguish the rights of the Public Shareholders as shareholders (including the right to receive further liquidating distributions, if any), and (iii) as promptly as reasonably possible following such redemption, subject to the approval of the Company’s remaining Public Shareholders and its Board of Directors, liquidate and dissolve, subject in each case to the Company’s obligations under Cayman Islands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70" w:lineRule="exact"/>
        <w:rPr>
          <w:sz w:val="20"/>
          <w:szCs w:val="20"/>
          <w:color w:val="auto"/>
        </w:rPr>
      </w:pPr>
    </w:p>
    <w:p>
      <w:pPr>
        <w:ind w:left="4" w:right="60"/>
        <w:spacing w:after="0" w:line="254" w:lineRule="auto"/>
        <w:rPr>
          <w:sz w:val="20"/>
          <w:szCs w:val="20"/>
          <w:color w:val="auto"/>
        </w:rPr>
      </w:pPr>
      <w:r>
        <w:rPr>
          <w:rFonts w:ascii="Arial" w:cs="Arial" w:eastAsia="Arial" w:hAnsi="Arial"/>
          <w:sz w:val="18"/>
          <w:szCs w:val="18"/>
          <w:color w:val="auto"/>
        </w:rPr>
        <w:t>The Sponsor has agreed to waive its rights to liquidating distributions from the Trust Account with respect to the Founder Shares it will receive if the Company fails to complete a Business Combination within the Combination Period. However, if the Sponsor or any of its respective affiliates acquire Public Shares, such Public Shares will be entitled to liquidating distributions from the Trust Account if the Company fails to complete a Business Combination within the Combination Period. The underwriters have agreed to waive their rights to their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92" w:lineRule="exact"/>
        <w:rPr>
          <w:sz w:val="20"/>
          <w:szCs w:val="20"/>
          <w:color w:val="auto"/>
        </w:rPr>
      </w:pPr>
    </w:p>
    <w:p>
      <w:pPr>
        <w:ind w:left="4"/>
        <w:spacing w:after="0" w:line="268" w:lineRule="auto"/>
        <w:rPr>
          <w:sz w:val="20"/>
          <w:szCs w:val="20"/>
          <w:color w:val="auto"/>
        </w:rPr>
      </w:pPr>
      <w:r>
        <w:rPr>
          <w:rFonts w:ascii="Arial" w:cs="Arial" w:eastAsia="Arial" w:hAnsi="Arial"/>
          <w:sz w:val="17"/>
          <w:szCs w:val="17"/>
          <w:color w:val="auto"/>
        </w:rPr>
        <w:t>In order to protect the amounts held in the Trust Account, the Sponsor has agreed that it will be liable to the Company if and to the extent any claims by a third party (other than the Company’s independent registered public accounting firm) for services rendered or products sold to the Company, or a prospective target business with which the Company has discussed entering into a transaction agreement, reduce the amount of funds in the Trust Account to below the lesser of (1) $10.00 per Public Share and (2) the actual amount per Public Share held in the Trust Account as of the date of the liquidation of the Trust Account, if less than $10.00 per Public Share, due to reductions in the value of trust assets, in each case net of the interest that may be withdrawn to pay taxes. This liability will not apply to any claims by a third party who executed a waiver of any and all rights to seek access to the Trust Account and as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004"/>
          </w:cols>
          <w:pgMar w:left="436" w:top="270" w:right="4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VPC IMPACT ACQUISITION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accompanying financial statement is presented in accordance with accounting principles generally accepted in the United States of America (“GAAP”) and pursuant to the rules and regulations of the SEC.</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78"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preparation of the financial statement in conformity with GAAP requires management to make estimates and assumptions that affect the reported amounts of assets and liabilities and disclosure of contingent assets and liabilities at the date of the financial statement.</w:t>
      </w:r>
    </w:p>
    <w:p>
      <w:pPr>
        <w:spacing w:after="0" w:line="146"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 which management considered in formulating its estimate, could change in the near term due to one or more future confirming events. Accordingly, the actual results could differ significantly from those estimates.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held in Trust Account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September 25, 2020, the assets held in the Trust Account were held in cash.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Ordinary Shares Subject to Possible Redemption</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accounts for its Class A ordinary shares subject to possible redemption in accordance with the guidance in Accounting Standards Codification (“ASC”) Topic 480 “Distinguishing Liabilities from Equity.” Class A ordinary shares subject to mandatory redemption are classified as a liability instrument and are measured at fair value. Conditionally redeemable ordinary shares (including ordinary shares that features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ordinary shares feature certain redemption rights that are considered to be outside of the Company’s control and subject to occurrence of uncertain future events. Accordingly, at September 25, 2020, Class A ordinary shares subject to possible redemption are presented as temporary equity, outside of the shareholders’ equity section of the Company’s balance sheet.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Costs</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Offering costs consist of legal, accounting, underwriting fees and other costs incurred through the Initial Public Offering that are directly related to the Initial Public Offering. Offering costs amounting to $11,501,146 were charged to shareholders’ equity upon the completion of the Initial Public Offering.</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000"/>
          </w:cols>
          <w:pgMar w:left="440" w:top="270" w:right="4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VPC IMPACT ACQUISITION HOLDINGS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September 25, 2020, there were no unrecognized tax benefits and no amounts accrued for interest and penalties. The Company is currently not aware of any issues under review that could result in significant payments, accruals or material deviation from its position.</w:t>
      </w:r>
    </w:p>
    <w:p>
      <w:pPr>
        <w:spacing w:after="0" w:line="178"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 presented.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ASC Topic 820, “Fair Value Measurement,” approximates the carrying amounts represented in the accompanying balance sheet, primarily due to their short-term nature.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financial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3—Initial Public Offering</w:t>
      </w:r>
    </w:p>
    <w:p>
      <w:pPr>
        <w:spacing w:after="0" w:line="121"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Pursuant to the Initial Public Offering, the Company sold 20,000,000 Units, at a purchase price of $10.00 per Unit. In connection with the underwriters’ partial exercise of the over-allotment option on October 1, 2020, the Company sold an additional 737,202 Units, at a purchase price of $10.00 per Unit (see Note 8). Each Unit consists of one Class A ordinary share and one-half of one redeemable warrant (“Public Warrant”). Each whole Public Warrant entitles the holder to purchase one Class A ordinary share at an exercise price of $11.50 per whole share (see Note 7).</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4—Private Placement</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Simultaneously with the closing of the Initial Public Offering, the Sponsor purchased an aggregate of 6,000,000 Private Placement Warrants at a price of $1.00 per Private Placement Warrant, for an aggregate purchase price of $6,000,000. In connection with the underwriters’ partial exercise of the over-allotment option on October 1, 2020, the Company sold an additional 147,440 Private Placement Warrants, at a purchase price of $1.00 per Private Placement Warrants, for an aggregate purchase price of $147,440 (see Note 8). Each Private Placement Warrant is exercisable to purchase one Class A ordinary share at a price of $11.50 per share, subject to adjustment (see Note 7). A portion of the proceeds from the Private Placement Warrants were added to the proceeds from the Initial Public Offering held in the Trust Account. If the Company does not complete a Business Combination within the Combination Period, the proceeds from the sale of the Private Placement Warrants will be used to fund the redemption of the Public Shares (subject to the requirements of applicable law) and the Private Placement Warrants will expire worthless.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11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On August 3, 2020, the Sponsor paid $25,000 to cover certain offering and formation costs of the Company in consideration for 5,750,000 Class B ordinary shares (the “Founder Shares”). In September 2020, the Sponsor transferred an aggregate of 60,000 Founder Shares to members of the Company’s board of directors, resulting in the Sponsor holding 5,690,000 Founder Shares. The Founder Shares included an aggregate of up to 750,000 shares that were subject to forfeiture depending on the extent to which the underwriters’ over-allotment option was exercised, so that the number of Founder Shares would equal, on an as-converted basis, approximately 20% of the Company’s issued and outstanding ordinary shares after the Initial Public Offering. In connection with the underwriters’ partial exercise of the over-allotment option and the forfeiture of the remaining over-allotment option, 565,700 Founder Shares were forfeited and 184,300 Founder Shares are no longer subject to forfeiture resulting in an aggregate of 5,184,300 Founder Shares outstanding at October 1, 2020. All share amounts on the accompanying balance sheet have been retroactively restated to reflect the forfeiture.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000"/>
          </w:cols>
          <w:pgMar w:left="440" w:top="270" w:right="45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VPC IMPACT ACQUISITION HOLDINGS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Sponsor has agreed, subject to limited exceptions, not to transfer, assign or sell any of the Founder Shares until the earliest of: (A) one year after the completion of a Business Combination and (B) subsequent to a Business Combination, (x) if the closing price of the Class A ordinary shares equals or exceeds $12.00 per share (as adjusted for share sub-divisions, share capitalizations, reorganizations, recapitalizations and the like) for any 20 trading days within any 30-trading day period commencing at least 150 days after a Business Combination, or (y) the date on which the Company completes a liquidation, merger, share exchange or other similar transaction that results in all of the Public Shareholders having the right to exchange their Class A ordinary shares for cash, securities or other property.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Note—Related Party</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August 3, 2020, the Company issued an unsecured promissory note (the “Promissory Note”) to the Sponsor, pursuant to which the Company may borrow up to an aggregate principal amount of $300,000. The Promissory Note was non-interest bearing and payable on the earlier of (i) December 31, 2020 and (ii) the completion of the Initial Public Offering. The outstanding balance under the Promissory Note of $82,729 was repaid at the closing of the Initial Public Offering on September 25, 2020.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7"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Commencing on September 25, 2020, the Company entered into an agreement to pay the Sponsor up to $10,000 per month for office space, utilities, secretarial and administrative support services. Upon completion of a Business Combination or its liquidation, the Company will cease paying these monthly fees.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1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September 25, 2020, the Company had no outstanding borrowings under the Working Capital Loans.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 continues to evaluate the impact of the COVID-19 global pandemic on the industry and has concluded that while it is reasonably possible that the virus could have a negative effect on the Company’s financial position and/or search for a target company, the specific impact is not readily determinable as of the date of these financial statements. The financial statement does not include any adjustments that might result from the outcome of this uncertainty.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and Shareholders Rights</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Pursuant to a registration rights agreement entered into on September 22, 2020, the holders of the Founder Shares, Private Placement Warrants and any warrants that may be issued upon conversion of Working Capital Loans (and any Class A ordinary shares issuable upon the exercise of the Private Placement Warrants and warrants that may be issued upon conversion of the Working Capital Loans) are entitled to registration rights requiring the Company to register a sale of any of its securities held by them.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granted the underwriters a 45-day option to purchase up to 3,000,000 additional Units to cover over-allotments at the Initial Public Offering price, less the underwriting discounts and commissions. On October 1, 2020, the underwriters partially exercised their over-allotment option to purchase an additional 737,202 Units at $10.00 per Unit and forfeited the remaining over-allotment option.</w:t>
      </w:r>
    </w:p>
    <w:p>
      <w:pPr>
        <w:spacing w:after="0" w:line="18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underwriters are entitled to a deferred fee of $0.35 per Unit, or $7,000,000 in the aggregate (see Note 8). The deferred fee will become payable to the underwriters from the amounts held in the Trust Account solely in the event that the Company completes a Business Combination, subject to the terms of the underwriting agreement.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0980"/>
          </w:cols>
          <w:pgMar w:left="440" w:top="270" w:right="47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VPC IMPACT ACQUISITION HOLDINGS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7—Shareholders’ Equity</w:t>
      </w:r>
    </w:p>
    <w:p>
      <w:pPr>
        <w:spacing w:after="0" w:line="121"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b w:val="1"/>
          <w:bCs w:val="1"/>
          <w:i w:val="1"/>
          <w:iCs w:val="1"/>
          <w:color w:val="auto"/>
        </w:rPr>
        <w:t>Preference Shares</w:t>
      </w:r>
      <w:r>
        <w:rPr>
          <w:rFonts w:ascii="Arial" w:cs="Arial" w:eastAsia="Arial" w:hAnsi="Arial"/>
          <w:sz w:val="18"/>
          <w:szCs w:val="18"/>
          <w:color w:val="auto"/>
        </w:rPr>
        <w:t>—The Company is authorized to issue 1,000,000 preference shares with a par value of $0.0001 per share, with such designations,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voting and other rights and preferences as may be determined from time to time by the Company’s board of directors. At September 25, 2020, there were no preference shares issued or outstanding.</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Class A Ordinary Shares</w:t>
      </w:r>
      <w:r>
        <w:rPr>
          <w:rFonts w:ascii="Arial" w:cs="Arial" w:eastAsia="Arial" w:hAnsi="Arial"/>
          <w:sz w:val="18"/>
          <w:szCs w:val="18"/>
          <w:color w:val="auto"/>
        </w:rPr>
        <w:t>—The Company is authorized to issue 200,000,000 Class A ordinary shares, with a par value of $0.0001 per share.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A ordinary shares are entitled to one vote for each share. At September 25, 2020, there were 1,048,276 Class A ordinary shares issued and outstanding, excluding 18,951,724 Class A ordinary shares subject to possible redemption.</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Class B Ordinary Shares</w:t>
      </w:r>
      <w:r>
        <w:rPr>
          <w:rFonts w:ascii="Arial" w:cs="Arial" w:eastAsia="Arial" w:hAnsi="Arial"/>
          <w:sz w:val="18"/>
          <w:szCs w:val="18"/>
          <w:color w:val="auto"/>
        </w:rPr>
        <w:t>—The Company is authorized to issue 20,000,000 Class B ordinary shares, with a par value of $0.0001 per share.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Class B ordinary shares are entitled to one vote for each share. At September 25, 2020, there were 5,750,000 Class B ordinary shares issued and outstanding, of which an aggregate of up to 750,000 shares were subject to forfeiture depending on the extent to which the underwriters’ over-allotment option was exercised, so that the number of Class B ordinary shares would equal 20% of the Company’s issued and outstanding ordinary shares after the Initial Public Offering (see Note 8).</w:t>
      </w:r>
    </w:p>
    <w:p>
      <w:pPr>
        <w:spacing w:after="0" w:line="188"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Only holders of the Class B ordinary shares will have the right to vote on the appointment of directors prior to the Business Combination. Holders of Class A ordinary shares and Class B ordinary shares will vote together as a single class on all other matters submitted to a vote of shareholders, except as required by law and except that in a vote to continue the Company in a jurisdiction outside the Cayman Islands, holders of Class B ordinary shares will have ten votes per share and holders of Class A ordinary shares will have one vote per share.</w:t>
      </w:r>
    </w:p>
    <w:p>
      <w:pPr>
        <w:spacing w:after="0" w:line="17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Class B ordinary shares will automatically convert into Class A ordinary shares concurrently with or immediately following the consummation of a Business Combination on a one-for-one basis, subject to adjustment. In the case that additional Class A ordinary shares or equity-linked securities are issued or deemed issued in connection with a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a Business Combination, excluding any Class A ordinary shares or equity-linked securities exercisable for or convertible into Class A ordinary shares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Warrants</w:t>
      </w:r>
      <w:r>
        <w:rPr>
          <w:rFonts w:ascii="Arial" w:cs="Arial" w:eastAsia="Arial" w:hAnsi="Arial"/>
          <w:sz w:val="18"/>
          <w:szCs w:val="18"/>
          <w:color w:val="auto"/>
        </w:rPr>
        <w:t>—Public Warrants may only be exercised for a whole number of shares. No fractional shares will be issued upon exercise of the 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Warrants. The Public Warrants will become exercisable on the later of (a) 30 days after the completion of a Business Combination and (b) one year from the closing of the Initial Public Offering. The Public Warrants will expire five years from the completion of a Business Combination or earlier upon redemption or liquidation.</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subject to the Company satisfying its obligations with respect to registration.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w:t>
      </w:r>
    </w:p>
    <w:p>
      <w:pPr>
        <w:spacing w:after="0" w:line="19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ordinary shares issuable upon exercise of the warrants. The Company will use its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Class A ordinary shares issuable upon exercise of the warrants is not effective by the sixtieth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00"/>
          </w:cols>
          <w:pgMar w:left="440" w:top="270" w:right="4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VPC IMPACT ACQUISITION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w:t>
      </w:r>
    </w:p>
    <w:p>
      <w:pPr>
        <w:spacing w:after="0" w:line="14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Redemption of warrants when the price per Class A ordinary share equals or exceeds $18.00. </w:t>
      </w:r>
      <w:r>
        <w:rPr>
          <w:rFonts w:ascii="Arial" w:cs="Arial" w:eastAsia="Arial" w:hAnsi="Arial"/>
          <w:sz w:val="18"/>
          <w:szCs w:val="18"/>
          <w:color w:val="auto"/>
        </w:rPr>
        <w:t>Once the warrants become exercisable, the Company may</w:t>
      </w:r>
      <w:r>
        <w:rPr>
          <w:rFonts w:ascii="Arial" w:cs="Arial" w:eastAsia="Arial" w:hAnsi="Arial"/>
          <w:sz w:val="18"/>
          <w:szCs w:val="18"/>
          <w:i w:val="1"/>
          <w:iCs w:val="1"/>
          <w:color w:val="auto"/>
        </w:rPr>
        <w:t xml:space="preserve"> </w:t>
      </w:r>
      <w:r>
        <w:rPr>
          <w:rFonts w:ascii="Arial" w:cs="Arial" w:eastAsia="Arial" w:hAnsi="Arial"/>
          <w:sz w:val="18"/>
          <w:szCs w:val="18"/>
          <w:color w:val="auto"/>
        </w:rPr>
        <w:t>redeem the outstanding warrants (except as described with respect to the Private Placement Warrants):</w:t>
      </w:r>
    </w:p>
    <w:p>
      <w:pPr>
        <w:spacing w:after="0" w:line="76" w:lineRule="exact"/>
        <w:rPr>
          <w:sz w:val="20"/>
          <w:szCs w:val="20"/>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to each warrant holder; and</w:t>
      </w:r>
    </w:p>
    <w:p>
      <w:pPr>
        <w:spacing w:after="0" w:line="130" w:lineRule="exact"/>
        <w:rPr>
          <w:rFonts w:ascii="Arial" w:cs="Arial" w:eastAsia="Arial" w:hAnsi="Arial"/>
          <w:sz w:val="18"/>
          <w:szCs w:val="18"/>
          <w:color w:val="auto"/>
        </w:rPr>
      </w:pPr>
    </w:p>
    <w:p>
      <w:pPr>
        <w:ind w:left="960" w:right="360" w:hanging="424"/>
        <w:spacing w:after="0" w:line="342" w:lineRule="auto"/>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and only if, the closing price of the Class A ordinary shares equals or exceeds $18.00 per share (as adjusted) for any 20 trading days within a 30-trading day period ending three business days before the Company sends the notice of redemption to the warrant holders.</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Redemption of warrants when the price per Class A ordinary share equals or exceeds $10.00</w:t>
      </w:r>
      <w:r>
        <w:rPr>
          <w:rFonts w:ascii="Arial" w:cs="Arial" w:eastAsia="Arial" w:hAnsi="Arial"/>
          <w:sz w:val="18"/>
          <w:szCs w:val="18"/>
          <w:color w:val="auto"/>
        </w:rPr>
        <w:t>. Once the warrants become exercisable, the Company may</w:t>
      </w:r>
      <w:r>
        <w:rPr>
          <w:rFonts w:ascii="Arial" w:cs="Arial" w:eastAsia="Arial" w:hAnsi="Arial"/>
          <w:sz w:val="18"/>
          <w:szCs w:val="18"/>
          <w:i w:val="1"/>
          <w:iCs w:val="1"/>
          <w:color w:val="auto"/>
        </w:rPr>
        <w:t xml:space="preserve"> </w:t>
      </w:r>
      <w:r>
        <w:rPr>
          <w:rFonts w:ascii="Arial" w:cs="Arial" w:eastAsia="Arial" w:hAnsi="Arial"/>
          <w:sz w:val="18"/>
          <w:szCs w:val="18"/>
          <w:color w:val="auto"/>
        </w:rPr>
        <w:t>redeem the outstanding warrants (except as described with respect to the Private Placement Warrants):</w:t>
      </w:r>
    </w:p>
    <w:p>
      <w:pPr>
        <w:spacing w:after="0" w:line="76" w:lineRule="exact"/>
        <w:rPr>
          <w:sz w:val="20"/>
          <w:szCs w:val="20"/>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a price of $0.10 per warrant;</w:t>
      </w:r>
    </w:p>
    <w:p>
      <w:pPr>
        <w:spacing w:after="0" w:line="130" w:lineRule="exact"/>
        <w:rPr>
          <w:rFonts w:ascii="Arial" w:cs="Arial" w:eastAsia="Arial" w:hAnsi="Arial"/>
          <w:sz w:val="18"/>
          <w:szCs w:val="18"/>
          <w:color w:val="auto"/>
        </w:rPr>
      </w:pPr>
    </w:p>
    <w:p>
      <w:pPr>
        <w:ind w:left="960" w:right="120" w:hanging="424"/>
        <w:spacing w:after="0" w:line="263"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provided that holders will be able to exercise their warrants on a cashless basis prior to redemption and receive that number of shares determined based on the redemption date and the fair market value of the Class A ordinary shares;</w:t>
      </w:r>
    </w:p>
    <w:p>
      <w:pPr>
        <w:spacing w:after="0" w:line="89" w:lineRule="exact"/>
        <w:rPr>
          <w:rFonts w:ascii="Arial" w:cs="Arial" w:eastAsia="Arial" w:hAnsi="Arial"/>
          <w:sz w:val="18"/>
          <w:szCs w:val="18"/>
          <w:color w:val="auto"/>
        </w:rPr>
      </w:pPr>
    </w:p>
    <w:p>
      <w:pPr>
        <w:ind w:left="960" w:right="100" w:hanging="424"/>
        <w:spacing w:after="0" w:line="263"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and only if, the closing price of the Class A ordinary shares equals or exceeds $10.00 per public share (as adjusted) for any 20 trading days within the 30-trading day period ending three trading days before the Company send the notice of redemption of the warrant holders; and</w:t>
      </w:r>
    </w:p>
    <w:p>
      <w:pPr>
        <w:spacing w:after="0" w:line="89" w:lineRule="exact"/>
        <w:rPr>
          <w:rFonts w:ascii="Arial" w:cs="Arial" w:eastAsia="Arial" w:hAnsi="Arial"/>
          <w:sz w:val="18"/>
          <w:szCs w:val="18"/>
          <w:color w:val="auto"/>
        </w:rPr>
      </w:pPr>
    </w:p>
    <w:p>
      <w:pPr>
        <w:ind w:left="960" w:hanging="424"/>
        <w:spacing w:after="0" w:line="275" w:lineRule="auto"/>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the closing price of the Class A ordinary shares for any 20 trading days within a 30-trading day period ending on the third trading day prior to the date on which we send the notice of redemption to the warrant holders is less than $18.00 per share (as adjusted for adjustments to the number of shares issuable upon exercise or the exercise price of a warrant as described under the heading “Description of Securities —Warrants—Public Warrants—Anti-dilution Adjustments”), the private placement warrants must also be concurrently called for redemption on the same terms as the outstanding public warrants, as described above.</w:t>
      </w:r>
    </w:p>
    <w:p>
      <w:pPr>
        <w:spacing w:after="0" w:line="176"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If the Company calls the Public Warrants for redemption, as described above, its management will have the option to require any holder that wishes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except as described below,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8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Class A ordinary shares during the 10 trading day period starting on the trading day prior to the day on which the Company consummates a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7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Initial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except as described above, so long as they are held by the initial purchasers or their permitted transferees. If the Private Placement Warrants are held by someone other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20"/>
          </w:cols>
          <w:pgMar w:left="440" w:top="270" w:right="4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VPC IMPACT ACQUISITION HOLDINGS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w:t>
      </w:r>
    </w:p>
    <w:p>
      <w:pPr>
        <w:spacing w:after="0" w:line="14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than the initial purchasers or their permitted transferees, the Private Placement Warrants will be redeemable by the Company and exercisable by such holders on the same basis as the Public Warrants.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8—Subsequent Events</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 was issued. Based upon this review, other than as described below, the Company did not identify any subsequent events that would have required adjustment or disclosure in the financial statement.</w:t>
      </w:r>
    </w:p>
    <w:p>
      <w:pPr>
        <w:spacing w:after="0" w:line="18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September 29, 2020, the underwriters notified the Company of their intention to partially exercise their over-allotment option on October 1, 2020. As such, on October 1, 2020, the Company consummated the sale of an additional 737,202 Units, at $10.00 per Unit, and the sale of an additional 147,440 Private Placement Warrants, at $1.00 per Private Warrant, generating total gross proceeds of $7,519,460.</w:t>
      </w:r>
    </w:p>
    <w:p>
      <w:pPr>
        <w:spacing w:after="0" w:line="16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Transaction costs amounted to $405,461, consisting of underwriting fees. A total of $7,372,020 of the net proceeds was deposited into the Trust Account, bringing the aggregate proceeds held in the Trust Account to $207,372,020.</w:t>
      </w:r>
    </w:p>
    <w:p>
      <w:pPr>
        <w:spacing w:after="0" w:line="170"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As a result of the underwriters’ election to partially exercise their over-allotment option and the forfeiture of the remaining over-allotment option, 565,700 Founder Shares were forfeited and 184,300 Founder Shares are no longer subject to forfeiture resulting in an aggregate of 5,184,300 Founder Shares outstanding at October 1, 2020. All share amounts on the accompanying balance sheet have been retroactively restated to reflect the forfeiture.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lowerRoman"/>
      <w:start w:val="2"/>
    </w:lvl>
  </w:abstractNum>
  <w:abstractNum w:abstractNumId="6">
    <w:nsid w:val="515F007C"/>
    <w:multiLevelType w:val="hybridMultilevel"/>
    <w:lvl w:ilvl="0">
      <w:lvlJc w:val="left"/>
      <w:lvlText w:val="(%1)"/>
      <w:numFmt w:val="lowerRoman"/>
      <w:start w:val="1"/>
    </w:lvl>
  </w:abstractNum>
  <w:abstractNum w:abstractNumId="7">
    <w:nsid w:val="5BD062C2"/>
    <w:multiLevelType w:val="hybridMultilevel"/>
    <w:lvl w:ilvl="0">
      <w:lvlJc w:val="left"/>
      <w:lvlText w:val="(%1)"/>
      <w:numFmt w:val="lowerRoman"/>
      <w:start w:val="2"/>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2020-10-01T16:08:54Z</dcterms:created>
  <dcterms:modified xsi:type="dcterms:W3CDTF">2020-10-01T16:08:54Z</dcterms:modified>
</cp:coreProperties>
</file>