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VPC Impact Acquisition Holdings</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VPC Impact Acquisition Holdings</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001-39544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Date: July 7, 2021</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The following is a press release issued by VPC Impact Acquisition Holdings on July 7, 2021:</w:t>
      </w:r>
    </w:p>
    <w:p>
      <w:pPr>
        <w:spacing w:after="0" w:line="200" w:lineRule="exact"/>
        <w:rPr>
          <w:sz w:val="24"/>
          <w:szCs w:val="24"/>
          <w:color w:val="auto"/>
        </w:rPr>
      </w:pPr>
    </w:p>
    <w:p>
      <w:pPr>
        <w:spacing w:after="0" w:line="237" w:lineRule="exact"/>
        <w:rPr>
          <w:sz w:val="24"/>
          <w:szCs w:val="24"/>
          <w:color w:val="auto"/>
        </w:rPr>
      </w:pPr>
    </w:p>
    <w:p>
      <w:pPr>
        <w:jc w:val="center"/>
        <w:spacing w:after="0" w:line="266" w:lineRule="auto"/>
        <w:rPr>
          <w:sz w:val="20"/>
          <w:szCs w:val="20"/>
          <w:color w:val="auto"/>
        </w:rPr>
      </w:pPr>
      <w:r>
        <w:rPr>
          <w:rFonts w:ascii="Arial" w:cs="Arial" w:eastAsia="Arial" w:hAnsi="Arial"/>
          <w:sz w:val="18"/>
          <w:szCs w:val="18"/>
          <w:b w:val="1"/>
          <w:bCs w:val="1"/>
          <w:color w:val="auto"/>
        </w:rPr>
        <w:t>VPC Impact Acquisition Holdings Announces Plans to File Amendment No. 2 to the Registration Statement on SEC Form S-4 in Connection with its Proposed Business Combination with Bakkt Holdings, LLC</w:t>
      </w:r>
    </w:p>
    <w:p>
      <w:pPr>
        <w:spacing w:after="0" w:line="180" w:lineRule="exact"/>
        <w:rPr>
          <w:sz w:val="24"/>
          <w:szCs w:val="24"/>
          <w:color w:val="auto"/>
        </w:rPr>
      </w:pPr>
    </w:p>
    <w:p>
      <w:pPr>
        <w:ind w:right="40"/>
        <w:spacing w:after="0" w:line="275" w:lineRule="auto"/>
        <w:rPr>
          <w:sz w:val="20"/>
          <w:szCs w:val="20"/>
          <w:color w:val="auto"/>
        </w:rPr>
      </w:pPr>
      <w:r>
        <w:rPr>
          <w:rFonts w:ascii="Arial" w:cs="Arial" w:eastAsia="Arial" w:hAnsi="Arial"/>
          <w:sz w:val="17"/>
          <w:szCs w:val="17"/>
          <w:color w:val="auto"/>
        </w:rPr>
        <w:t>CHICAGO – July 7, 2021 – VPC Impact Acquisition Holdings (NASDAQ: VIHAU, VIH and VIHAW) (“VIH”), announced today that it plans to file with the U.S. Securities and Exchange Commission (“SEC”) Amendment No. 2 to the registration statement on Form S-4 (the “Registration Statement”) in the coming days, which will include a preliminary proxy statement of VIH with respect to the proposed business combination (the “Business Combination”) with Bakkt Holdings, LLC (“Bakkt”), a digital asset marketplace. The Registration Statement will include updated disclosures to respond to SEC comments and will represent further progress towards the closing of the Business Combination.</w:t>
      </w:r>
    </w:p>
    <w:p>
      <w:pPr>
        <w:spacing w:after="0" w:line="176" w:lineRule="exact"/>
        <w:rPr>
          <w:sz w:val="24"/>
          <w:szCs w:val="24"/>
          <w:color w:val="auto"/>
        </w:rPr>
      </w:pPr>
    </w:p>
    <w:p>
      <w:pPr>
        <w:ind w:right="40"/>
        <w:spacing w:after="0" w:line="301" w:lineRule="auto"/>
        <w:rPr>
          <w:sz w:val="20"/>
          <w:szCs w:val="20"/>
          <w:color w:val="auto"/>
        </w:rPr>
      </w:pPr>
      <w:r>
        <w:rPr>
          <w:rFonts w:ascii="Arial" w:cs="Arial" w:eastAsia="Arial" w:hAnsi="Arial"/>
          <w:sz w:val="16"/>
          <w:szCs w:val="16"/>
          <w:color w:val="auto"/>
        </w:rPr>
        <w:t>VIH commented, “As we enter the third quarter, we continue to engage and work closely with regulators to complete their review of our registration statement and look forward to the conclusion of that process. We have established June 28, 2021 as the record date for the extraordinary general meeting of the shareholders to approve the anticipated Business Combination. We remain confident in Bakkt’s strong position in the marketplace and expect to provide another update when we have additional information regarding the closing date for the Business Combination.”</w:t>
      </w:r>
    </w:p>
    <w:p>
      <w:pPr>
        <w:spacing w:after="0" w:line="157" w:lineRule="exact"/>
        <w:rPr>
          <w:sz w:val="24"/>
          <w:szCs w:val="24"/>
          <w:color w:val="auto"/>
        </w:rPr>
      </w:pPr>
    </w:p>
    <w:p>
      <w:pPr>
        <w:ind w:right="460"/>
        <w:spacing w:after="0" w:line="342" w:lineRule="auto"/>
        <w:rPr>
          <w:sz w:val="20"/>
          <w:szCs w:val="20"/>
          <w:color w:val="auto"/>
        </w:rPr>
      </w:pPr>
      <w:r>
        <w:rPr>
          <w:rFonts w:ascii="Arial" w:cs="Arial" w:eastAsia="Arial" w:hAnsi="Arial"/>
          <w:sz w:val="16"/>
          <w:szCs w:val="16"/>
          <w:color w:val="auto"/>
        </w:rPr>
        <w:t>The Business Combination, which was announced on January 11, 2021, has been unanimously approved by the VIH Board of Directors, the Bakkt board of managers and the Bakkt unitholders, and remains subject to certain customary closing conditions, including VIH shareholder approval.</w:t>
      </w:r>
    </w:p>
    <w:p>
      <w:pPr>
        <w:spacing w:after="0" w:line="124"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Upon the consummation of the Business Combination, VIH will be renamed “Bakkt Holdings, Inc.” and is anticipated to become a NYSE-listed public company trading under the ticker symbol “BKKT.”</w:t>
      </w:r>
    </w:p>
    <w:p>
      <w:pPr>
        <w:spacing w:after="0" w:line="27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VPC Impact Acquisition Holdings</w:t>
      </w:r>
    </w:p>
    <w:p>
      <w:pPr>
        <w:spacing w:after="0" w:line="121" w:lineRule="exact"/>
        <w:rPr>
          <w:sz w:val="24"/>
          <w:szCs w:val="24"/>
          <w:color w:val="auto"/>
        </w:rPr>
      </w:pPr>
    </w:p>
    <w:p>
      <w:pPr>
        <w:ind w:right="40"/>
        <w:spacing w:after="0" w:line="259" w:lineRule="auto"/>
        <w:rPr>
          <w:sz w:val="20"/>
          <w:szCs w:val="20"/>
          <w:color w:val="auto"/>
        </w:rPr>
      </w:pPr>
      <w:r>
        <w:rPr>
          <w:rFonts w:ascii="Arial" w:cs="Arial" w:eastAsia="Arial" w:hAnsi="Arial"/>
          <w:sz w:val="18"/>
          <w:szCs w:val="18"/>
          <w:color w:val="auto"/>
        </w:rPr>
        <w:t>VPC Impact Acquisition Holdings’ sponsor is an affiliate of Victory Park Capital, a global investment firm with a long track record of executing debt and equity financing transactions with some of the largest global Fintech companies. The firm was founded in 2007 and is headquartered in Chicago with additional resources in New York, Los Angeles and San Francisco. Victory Park Capital is privately held and a Registered Investment Advisor with the SEC.</w:t>
      </w:r>
    </w:p>
    <w:p>
      <w:pPr>
        <w:spacing w:after="0" w:line="29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Bakkt</w:t>
      </w:r>
    </w:p>
    <w:p>
      <w:pPr>
        <w:spacing w:after="0" w:line="121" w:lineRule="exact"/>
        <w:rPr>
          <w:sz w:val="24"/>
          <w:szCs w:val="24"/>
          <w:color w:val="auto"/>
        </w:rPr>
      </w:pPr>
    </w:p>
    <w:p>
      <w:pPr>
        <w:ind w:right="200"/>
        <w:spacing w:after="0" w:line="259" w:lineRule="auto"/>
        <w:rPr>
          <w:sz w:val="20"/>
          <w:szCs w:val="20"/>
          <w:color w:val="auto"/>
        </w:rPr>
      </w:pPr>
      <w:r>
        <w:rPr>
          <w:rFonts w:ascii="Arial" w:cs="Arial" w:eastAsia="Arial" w:hAnsi="Arial"/>
          <w:sz w:val="18"/>
          <w:szCs w:val="18"/>
          <w:color w:val="auto"/>
        </w:rPr>
        <w:t>Bakkt is a trusted digital asset marketplace that enables institutions and consumers to buy, sell, store and spend digital assets. Bakkt’s retail platform, now widely available through the new Bakkt App, amplifies consumer spending, reduces traditional payment costs and bolsters loyalty programs, adding value for all key stakeholders within the payments and digital assets ecosystem. Launched in 2018 by Intercontinental Exchange, Inc., Bakkt is headquartered in Alpharetta, GA.</w:t>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33"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Information and Where to Find It</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connection with the Business Combination, VIH has filed the Registration Statement with the SEC, which includes a prospectus with respect to changing VIH’s jurisdiction of incorporation from the Cayman Islands to the State of Delaware and a proxy statement with respect to VIH’s shareholder meeting at which VIH shareholders will be asked to vote on the proposed Business Combination. VIH and Bakkt urge shareholders and other interested persons to read the Form S-4, as amended, including the proxy statement/prospectus, as well as other documents filed with the SEC, because these documents will contain important information about the Business Combination.</w:t>
      </w:r>
    </w:p>
    <w:p>
      <w:pPr>
        <w:spacing w:after="0" w:line="17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When available, the definitive proxy statement/prospectus and other relevant materials for the Business Combination will be mailed to shareholders of VIH as of a record date to be established for voting on the Business Combination. VIH’s shareholders will also be able to obtain copies of the preliminary proxy statement/prospectus, the definitive proxy statement/prospectus and other documents filed with the SEC, without charge, once available, at the SEC’s website at www.sec.gov. These documents (when they are available) can also be obtained free of charge from VIH upon written request to VIH by emailing vihinfo@victoryparkcapital.com or by directing a request to VIH’s secretary at c/o Victory Park Capital Advisors, LLC, 150 North Riverside Plaza, Suite 5200, Chicago, IL 60606.</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Solicitation</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VIH, Bakkt and their respective directors, managers, executive officers and other members of their management and employees, under SEC rules, may be deemed to be participants in the solicitation of proxies of VIH shareholders in connection with the Business Combination. Information regarding the persons who may, under SEC rules, be deemed participants in the solicitation of proxies to VIH’s shareholders in connection with the Business Combination is set forth in the preliminary proxy statement/prospectus contained in the Form S-4, as amended, and will also be included in the definitive proxy statement/prospectus for the Business Combination when available. Information concerning the interests of VIH and Bakkt’s participants in the solicitation, which may, in some cases, be different than those of VIH and Bakkt’s equity holders generally, is also set forth in the proxy statement/prospectus contained in the Form S-4, as amended, and will also be included in the definitive proxy statement/prospectus for the Business Combination when available.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Non-Solicitation</w:t>
      </w:r>
    </w:p>
    <w:p>
      <w:pPr>
        <w:spacing w:after="0" w:line="12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This communication is for informational purposes only and is not intended to and shall not constitute an offer to sell or the solicitation of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This communication contains “forward-looking statements” within the meaning of the Private Securities Litigation Reform Act of 1995. Such statements include, but are not limited to, statements about the timing of the closing of the Business Combination; our plans, objectives, expectations and intentions with respect to future operations; and other statements identified by words such as “will likely result,” “are expected to,” “will continue,” “is anticipated,” “estimated,” “believe,” “intend,” “plan,” “projection,” “outlook” or words of similar meaning. These forward-looking statements include, but are not limited to, statements regarding Bakkt’s industry and market sizes, future opportunities for VIH, Bakkt and the combined company, VIH’s and Bakkt’s estimated future results and the Business Combination, including the implied enterprise value, the expected transaction and ownership structure and the likelihood and ability of the parties to successfully consummate the Business Combination. Such forward-looking statements are based upon the current beliefs and expectations of our management and are inherently subject to</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0" w:right="499" w:bottom="1440" w:gutter="0" w:footer="0" w:header="0"/>
        </w:sectPr>
      </w:pPr>
    </w:p>
    <w:bookmarkStart w:id="2" w:name="page3"/>
    <w:bookmarkEnd w:id="2"/>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significant business, economic and competitive uncertainties and contingencies, many of which are difficult to predict and generally beyond our control.</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Actual results and the timing of events may differ materially from the results anticipated in these forward-looking statements.</w:t>
      </w:r>
    </w:p>
    <w:p>
      <w:pPr>
        <w:spacing w:after="0" w:line="211" w:lineRule="exact"/>
        <w:rPr>
          <w:sz w:val="20"/>
          <w:szCs w:val="20"/>
          <w:color w:val="auto"/>
        </w:rPr>
      </w:pPr>
    </w:p>
    <w:p>
      <w:pPr>
        <w:ind w:left="4"/>
        <w:spacing w:after="0" w:line="284" w:lineRule="auto"/>
        <w:rPr>
          <w:sz w:val="20"/>
          <w:szCs w:val="20"/>
          <w:color w:val="auto"/>
        </w:rPr>
      </w:pPr>
      <w:r>
        <w:rPr>
          <w:rFonts w:ascii="Arial" w:cs="Arial" w:eastAsia="Arial" w:hAnsi="Arial"/>
          <w:sz w:val="16"/>
          <w:szCs w:val="16"/>
          <w:color w:val="auto"/>
        </w:rPr>
        <w:t>In addition to factors previously disclosed in VIH’s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(i) inability to meet the closing conditions to the Business Combination, including the occurrence of any event, change or other circumstances that could give rise to the termination of the definitive agreement; (ii) the inability to complete the Business Combination due to the failure to obtain approval of VIH’s shareholders, the failure to achieve the minimum amount of cash available following any redemptions by VIH’s shareholders or the failure to meet the national stock exchange’s listing standards in connection with the consummation of the Business Combination; (iii) costs related to the Business Combination; (iv) a delay or failure to realize the expected benefits from the Business Combination;</w:t>
      </w:r>
    </w:p>
    <w:p>
      <w:pPr>
        <w:spacing w:after="0" w:line="2" w:lineRule="exact"/>
        <w:rPr>
          <w:sz w:val="20"/>
          <w:szCs w:val="20"/>
          <w:color w:val="auto"/>
        </w:rPr>
      </w:pPr>
    </w:p>
    <w:p>
      <w:pPr>
        <w:ind w:left="4" w:right="120" w:hanging="4"/>
        <w:spacing w:after="0" w:line="288" w:lineRule="auto"/>
        <w:tabs>
          <w:tab w:leader="none" w:pos="259" w:val="left"/>
        </w:tabs>
        <w:numPr>
          <w:ilvl w:val="0"/>
          <w:numId w:val="1"/>
        </w:numPr>
        <w:rPr>
          <w:rFonts w:ascii="Arial" w:cs="Arial" w:eastAsia="Arial" w:hAnsi="Arial"/>
          <w:sz w:val="16"/>
          <w:szCs w:val="16"/>
          <w:color w:val="auto"/>
        </w:rPr>
      </w:pPr>
      <w:r>
        <w:rPr>
          <w:rFonts w:ascii="Arial" w:cs="Arial" w:eastAsia="Arial" w:hAnsi="Arial"/>
          <w:sz w:val="16"/>
          <w:szCs w:val="16"/>
          <w:color w:val="auto"/>
        </w:rPr>
        <w:t>risks related to disruption of management time from ongoing business operations due to the Business Combination; (vi) the impact of the ongoing COVID-19 pandemic; (vii) changes in the markets in which Bakkt competes, including with respect to its competitive landscape, technology evolution or regulatory changes; (viii) changes in the markets that Bakkt targets; (ix) risk that Bakkt may not be able to execute its growth strategies, including identifying and executing acquisitions; and (x) risks relating to data security. The foregoing list of factors is not exhaustive. You should carefully consider the foregoing factors and the other risks and uncertainties described in the “Risk Factors” section of the Registration Statement and other documents filed by VIH from time to time with the SEC. These filings identify and address, or will identify and address, other important risks and uncertainties that could cause actual events and results to differ materially from those contained in the forward-looking statements.</w:t>
      </w:r>
    </w:p>
    <w:p>
      <w:pPr>
        <w:spacing w:after="0" w:line="168" w:lineRule="exact"/>
        <w:rPr>
          <w:sz w:val="20"/>
          <w:szCs w:val="20"/>
          <w:color w:val="auto"/>
        </w:rPr>
      </w:pPr>
    </w:p>
    <w:p>
      <w:pPr>
        <w:ind w:left="4" w:right="100"/>
        <w:spacing w:after="0" w:line="288" w:lineRule="auto"/>
        <w:rPr>
          <w:sz w:val="20"/>
          <w:szCs w:val="20"/>
          <w:color w:val="auto"/>
        </w:rPr>
      </w:pPr>
      <w:r>
        <w:rPr>
          <w:rFonts w:ascii="Arial" w:cs="Arial" w:eastAsia="Arial" w:hAnsi="Arial"/>
          <w:sz w:val="16"/>
          <w:szCs w:val="16"/>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VIH and Bakkt or the date of such information in the case of information from persons other than VIH or Bakkt, and VIH and Bakkt disclaim any intention or obligation to update any forward-looking statements as a result of developments occurring after the date of this communication. Forecasts and estimates regarding Bakkt’s industry and end markets are based on sources we believe to be reliable; however, there can be no assurance these forecasts and estimates will prove accurate in whole or in part. Annualized, pro forma, projected and estimated numbers are used for illustrative purposes only, are not forecasts and may not reflect actual results.</w:t>
      </w:r>
    </w:p>
    <w:p>
      <w:pPr>
        <w:spacing w:after="0" w:line="16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 Bakkt: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BakktIR@edelman.com</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Media</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Rachel Ford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rachel.ford@bakkt.com</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 VIH:</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vihinfo@victoryparkcapital.com</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Media</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Julia Fisher (Sahin)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Julia.Fisher@edelman.com</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w:t>
      </w:r>
    </w:p>
    <w:sectPr>
      <w:pgSz w:w="11900" w:h="16838" w:orient="portrait"/>
      <w:cols w:equalWidth="0" w:num="1">
        <w:col w:w="10984"/>
      </w:cols>
      <w:pgMar w:left="436"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5"/>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2021-07-07T07:58:01Z</dcterms:created>
  <dcterms:modified xsi:type="dcterms:W3CDTF">2021-07-07T07:58:01Z</dcterms:modified>
</cp:coreProperties>
</file>