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October 31,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40"/>
        </w:rPr>
      </w:pPr>
      <w:r>
        <w:rPr>
          <w:rFonts w:ascii="Times New Roman;serif" w:hAnsi="Times New Roman;serif"/>
          <w:b/>
          <w:color w:val="000000"/>
          <w:sz w:val="40"/>
        </w:rPr>
        <w:t>Bakkt Holdings,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721" w:type="dxa"/>
        <w:jc w:val="center"/>
        <w:tblInd w:w="0" w:type="dxa"/>
        <w:tblLayout w:type="fixed"/>
        <w:tblCellMar>
          <w:top w:w="28" w:type="dxa"/>
          <w:left w:w="28" w:type="dxa"/>
          <w:bottom w:w="28" w:type="dxa"/>
          <w:right w:w="28" w:type="dxa"/>
        </w:tblCellMar>
      </w:tblPr>
      <w:tblGrid>
        <w:gridCol w:w="1253"/>
        <w:gridCol w:w="1104"/>
        <w:gridCol w:w="1108"/>
        <w:gridCol w:w="109"/>
        <w:gridCol w:w="109"/>
        <w:gridCol w:w="109"/>
        <w:gridCol w:w="272"/>
        <w:gridCol w:w="272"/>
        <w:gridCol w:w="385"/>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One Liberty Plaza</w:t>
              <w:br/>
              <w:t>1 Liberty Street, Floor 3, Suite 305-306,</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10006</w:t>
            </w:r>
          </w:p>
        </w:tc>
      </w:tr>
      <w:tr>
        <w:trPr/>
        <w:tc>
          <w:tcPr>
            <w:tcW w:w="34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(678) 534-5849</w:t>
      </w:r>
    </w:p>
    <w:p>
      <w:pPr>
        <w:pStyle w:val="TextBody"/>
        <w:bidi w:val="0"/>
        <w:spacing w:before="0" w:after="0"/>
        <w:jc w:val="center"/>
        <w:rPr/>
      </w:pPr>
      <w:r>
        <w:rPr/>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erif" w:hAnsi="Times New Roman;serif"/>
                <w:b/>
                <w:color w:val="000000"/>
                <w:sz w:val="16"/>
              </w:rPr>
            </w:pPr>
            <w:r>
              <w:rPr>
                <w:rFonts w:ascii="Times New Roman;serif" w:hAnsi="Times New Roman;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Name of each exchange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bl>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31, 2025, David Clifton notified the Board of Directors (the “Board”) of Bakkt Holdings, Inc. (the “Company”) of his decision to resign as a director of the Company, effective immediately. Mr. Clifton’s resignation was not the result of any dispute or disagreement with the Company or the Board on any matter relating to the Company's operations, policies or practices.</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31 2025, the Company issued a press release announcing the resignation of Mr. David Clifton, effective October 31, 2025. A copy of the press release is attached hereto as Exhibit 99.1 and is incorporated herein by reference.</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7.01, including Exhibit 99.1, is being furnished and shall not be deemed “filed” for purposes of Section 18 of the Securities Exchange Act of 1934, as amended (the “Exchange Act”), or otherwise subject to the liabilities of that section.</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185" w:type="dxa"/>
        <w:jc w:val="left"/>
        <w:tblInd w:w="0" w:type="dxa"/>
        <w:tblLayout w:type="fixed"/>
        <w:tblCellMar>
          <w:top w:w="28" w:type="dxa"/>
          <w:left w:w="28" w:type="dxa"/>
          <w:bottom w:w="28" w:type="dxa"/>
          <w:right w:w="28" w:type="dxa"/>
        </w:tblCellMar>
      </w:tblPr>
      <w:tblGrid>
        <w:gridCol w:w="515"/>
        <w:gridCol w:w="454"/>
        <w:gridCol w:w="456"/>
        <w:gridCol w:w="1687"/>
        <w:gridCol w:w="1687"/>
        <w:gridCol w:w="2386"/>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576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a2025-1031xbkktxiceboard.htm">
              <w:r>
                <w:rPr>
                  <w:rStyle w:val="InternetLink"/>
                  <w:rFonts w:ascii="Times New Roman;serif" w:hAnsi="Times New Roman;serif"/>
                  <w:b w:val="false"/>
                  <w:color w:val="0000FF"/>
                  <w:sz w:val="20"/>
                  <w:u w:val="single"/>
                </w:rPr>
                <w:t>99.1</w:t>
              </w:r>
            </w:hyperlink>
          </w:p>
        </w:tc>
        <w:tc>
          <w:tcPr>
            <w:tcW w:w="576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a2025-1031xbkktxiceboard.htm">
              <w:r>
                <w:rPr>
                  <w:rStyle w:val="InternetLink"/>
                  <w:rFonts w:ascii="Times New Roman;serif" w:hAnsi="Times New Roman;serif"/>
                  <w:b w:val="false"/>
                  <w:color w:val="0000FF"/>
                  <w:sz w:val="20"/>
                  <w:u w:val="single"/>
                </w:rPr>
                <w:t>Press Release issued by Bakkt Holdings, Inc. dated October 31, 2025.</w:t>
              </w:r>
            </w:hyperlink>
          </w:p>
        </w:tc>
      </w:tr>
    </w:tbl>
    <w:p>
      <w:pPr>
        <w:pStyle w:val="TextBody"/>
        <w:bidi w:val="0"/>
        <w:spacing w:before="0" w:after="0"/>
        <w:jc w:val="left"/>
        <w:rPr/>
      </w:pPr>
      <w:r>
        <w:rPr/>
      </w:r>
    </w:p>
    <w:p>
      <w:pPr>
        <w:pStyle w:val="TextBody"/>
        <w:bidi w:val="0"/>
        <w:spacing w:before="240" w:after="283"/>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Dated: October 31, 2025</w:t>
      </w:r>
    </w:p>
    <w:tbl>
      <w:tblPr>
        <w:tblW w:w="4104" w:type="dxa"/>
        <w:jc w:val="left"/>
        <w:tblInd w:w="0" w:type="dxa"/>
        <w:tblLayout w:type="fixed"/>
        <w:tblCellMar>
          <w:top w:w="28" w:type="dxa"/>
          <w:left w:w="28" w:type="dxa"/>
          <w:bottom w:w="28" w:type="dxa"/>
          <w:right w:w="28" w:type="dxa"/>
        </w:tblCellMar>
      </w:tblPr>
      <w:tblGrid>
        <w:gridCol w:w="124"/>
        <w:gridCol w:w="109"/>
        <w:gridCol w:w="109"/>
        <w:gridCol w:w="374"/>
        <w:gridCol w:w="374"/>
        <w:gridCol w:w="374"/>
        <w:gridCol w:w="766"/>
        <w:gridCol w:w="766"/>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BAKKT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jc w:val="both"/>
        <w:rPr/>
      </w:pPr>
      <w:r>
        <w:rPr/>
      </w:r>
    </w:p>
    <w:p>
      <w:pPr>
        <w:pStyle w:val="TextBody"/>
        <w:bidi w:val="0"/>
        <w:spacing w:before="0" w:after="0"/>
        <w:jc w:val="center"/>
        <w:rPr/>
      </w:pPr>
      <w:bookmarkStart w:id="0" w:name="a2025-1031xbkktxiceboard.htm"/>
      <w:bookmarkStart w:id="1" w:name="ksa20251031xbkktxiceboard"/>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Bakkt and ICE Strengthen Long-Term Alignment Through Board Transition NEW YORK, NY – October 31, 2025 –Bakkt Holdings, Inc. (“Bakkt” or the “Company”) (NYSE:BKKT) announced today that David Clifton, an ICE executive and a founding member of Bakkt’s Board, has stepped down from his position on the Company’s Board, following years of service in establishing and guiding the Company’s foundation. Jeff Sprecher, Founder, Chair and CEO of ICE, commented, “ICE’s support for Bakkt has never been stronger. Under Akshay Naheta’s leadership and with Bakkt’s proven regulatory and technological foundation, we believe Bakkt is well-positioned for long-term success.” In addition to his role on the Board, Mr. Clifton also served as interim CEO of the Company in 2020, prior to its initial public offering. Under the terms of the IPO, ICE retained the right to designate one member of the Company’s Board for two years after the IPO, and designated Mr. Clifton for that position; however, Mr. Clifton served an additional two years to help build the business. The Company believes that the timing of this transition is appropriate: ICE remains a major shareholder fully aligned with Bakkt’s success, while Bakkt continues with an increasingly independent board and a new leadership team. Akshay Naheta, Bakkt’s CEO, stated, “We are grateful to David Clifton for his instrumental role in Bakkt’s journey from inception. We also value ICE’s enduring support as we approach the completion of our transformation this year and prepare to enter Bakkt’s next phase of growth starting in 2026.” Mr. Clifton said, “Bakkt was built to operate with the rigor and independence expected of a public company, and this transition reflects that maturity. I’m proud to have been a part of a business that continues to evolve under Akshay’s leadership and a strong, independent board.” About ICE Intercontinental Exchange, Inc. (NYSE: ICE) is a Fortune 500 company that designs, builds, and operates digital networks that connect people to opportunity. We provide financial technology and data services across major asset classes helping our customers access mission-critical workflow tools that increase transparency and efficiency. ICE’s futures, equity, and options exchanges -- including the New York Stock Exchange -- and clearing houses help people invest, raise capital and manage risk. We offer some of the world’s largest markets to trade and clear energy and environmental products. Our fixed income, data services and execution capabilities provide information, analytics and platforms that help our customers streamline processes and capitalize on opportunities. At ICE Mortgage Technology, we are transforming U.S. housing finance, from initial consumer engagement through loan production, closing, registration and the long-term servicing relationship. Together, ICE transforms, streamlines, and automates industries to connect our customers to opportunity. Trademarks of ICE and/or its affiliates include Intercontinental Exchange, ICE, ICE block design, NYSE and New York Stock Exchange. Information regarding additional trademarks and intellectual property rights of Intercontinental Exchange, Inc. and/or its affiliates is located here. Key Information Documents for certain products covered by the EU Packaged Retail and Insurance-based Investment Products Regulation can be accessed on the relevant exchange website under the heading “Key Information Documents (KIDS).”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Safe Harbor Statement under the Private Securities Litigation Reform Act of 1995 -- Statements in this press release regarding ICE's business that are not historical facts are "forward-looking statements" that involve risks and uncertainties. For a discussion of additional risks and uncertainties, which could cause actual results to differ from those contained in the forward-looking statements, see ICE's Securities and Exchange Commission (SEC) filings, including, but not limited to, the risk factors in ICE's Annual Report on Form 10-K for the year ended December 31, 2024, as filed with the SEC on February 6, 2025. About Bakkt Founded in 2018, Bakkt is building the backbone of next-generation financial infrastructure. The company provides solutions that enable institutional participation in the digital asset economy — spanning Bitcoin, tokenization, stablecoin payments, and AI-driven finance. With the scale, security, and regulatory compliance demanded by global institutions, Bakkt is positioned at the center of a generational transformation in what money is, how it moves, and how markets operate. Bakkt is headquartered in New York, NY. For more information, visit: https://www.bakkt.com/ | X @Bakkt | LinkedIn For investor and media inquiries, please contact: Investor Relations Yujia Zhai Orange Group yujia@orangegroupadvisors.com Media Luna PR Gregor@lunapr.io Laura@lunapr.io Source: Bakkt Holdings, Inc. Cautionary Note Regarding Forward-Looking Statements This release contains “forward-looking statements” within the meaning of Section 27A of the U.S. Securities Act of 1933, as amended, and Section 21E of the U.S. Securities and Exchange Act of 1934, as amended.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 Actual results and the timing of events may differ materially from the results anticipated in such forward- looking statements as a result of the following factors, among others: the Company’s ability to grow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manage growth profitably; whether the Company will be able to successfully integrate its operations with those of Distributed Technologies Research Ltd. (“DTR”), including its infrastructure, and achieve the expected benefits therefrom; the regulatory environment for crypto currencies and digital stablecoin payments; changes in the Company’s business strategy, including its adoption of a digital asset treasury strategy; the price of digital assets; risks associated with owning digital assets,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 its expected commercial 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June 30, 2025, and the risks regarding the Company’s adoption of its Treasury Strategy set forth on in Exhibit 99.1 to its Current Report on Form 8-K, dated as of the date hereof. You are cautioned not to place undue reliance on such forward-looking statements. Such forward-looking statements relate only to events as of the date on which such statements are made and are based on information available to us as of the date of this release.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2391</Words>
  <Characters>13805</Characters>
  <CharactersWithSpaces>16153</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a2025-1031xbkktxiceboard</dc:title>
</cp:coreProperties>
</file>