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ectPr>
          <w:pgSz w:w="11900" w:h="16838" w:orient="portrait"/>
          <w:cols w:equalWidth="0" w:num="1">
            <w:col w:w="10260"/>
          </w:cols>
          <w:pgMar w:left="320" w:top="225" w:right="1319" w:bottom="1440" w:gutter="0" w:footer="0" w:header="0"/>
        </w:sectPr>
      </w:pPr>
    </w:p>
    <w:p>
      <w:pPr>
        <w:spacing w:after="0" w:line="337" w:lineRule="exact"/>
        <w:rPr>
          <w:sz w:val="24"/>
          <w:szCs w:val="24"/>
          <w:color w:val="auto"/>
        </w:rPr>
      </w:pPr>
    </w:p>
    <w:tbl>
      <w:tblPr>
        <w:tblLayout w:type="fixed"/>
        <w:tblInd w:w="120" w:type="dxa"/>
        <w:tblCellMar>
          <w:top w:w="0" w:type="dxa"/>
          <w:left w:w="0" w:type="dxa"/>
          <w:bottom w:w="0" w:type="dxa"/>
          <w:right w:w="0" w:type="dxa"/>
        </w:tblCellMar>
      </w:tblPr>
      <w:tr>
        <w:trPr>
          <w:trHeight w:val="8741"/>
        </w:trPr>
        <w:tc>
          <w:tcPr>
            <w:tcW w:w="180" w:type="dxa"/>
            <w:vAlign w:val="bottom"/>
            <w:textDirection w:val="btLr"/>
          </w:tcPr>
          <w:p>
            <w:pPr>
              <w:spacing w:after="0"/>
              <w:rPr>
                <w:sz w:val="20"/>
                <w:szCs w:val="20"/>
                <w:color w:val="auto"/>
              </w:rPr>
            </w:pPr>
            <w:r>
              <w:rPr>
                <w:rFonts w:ascii="Arial" w:cs="Arial" w:eastAsia="Arial" w:hAnsi="Arial"/>
                <w:sz w:val="18"/>
                <w:szCs w:val="18"/>
                <w:b w:val="1"/>
                <w:bCs w:val="1"/>
                <w:color w:val="FF4338"/>
              </w:rPr>
              <w:t>supplement is not complete and may be changed. A registration statement relating to these securities</w:t>
            </w:r>
          </w:p>
        </w:tc>
        <w:tc>
          <w:tcPr>
            <w:tcW w:w="200" w:type="dxa"/>
            <w:vAlign w:val="bottom"/>
            <w:textDirection w:val="btLr"/>
          </w:tcPr>
          <w:p>
            <w:pPr>
              <w:spacing w:after="0"/>
              <w:rPr>
                <w:sz w:val="20"/>
                <w:szCs w:val="20"/>
                <w:color w:val="auto"/>
              </w:rPr>
            </w:pPr>
            <w:r>
              <w:rPr>
                <w:rFonts w:ascii="Arial" w:cs="Arial" w:eastAsia="Arial" w:hAnsi="Arial"/>
                <w:sz w:val="18"/>
                <w:szCs w:val="18"/>
                <w:b w:val="1"/>
                <w:bCs w:val="1"/>
                <w:color w:val="FF4338"/>
                <w:w w:val="99"/>
              </w:rPr>
              <w:t>Securities and Exchange Commission. This preliminary prospectus supplement and the</w:t>
            </w:r>
          </w:p>
        </w:tc>
        <w:tc>
          <w:tcPr>
            <w:tcW w:w="200" w:type="dxa"/>
            <w:vAlign w:val="bottom"/>
            <w:textDirection w:val="btLr"/>
          </w:tcPr>
          <w:p>
            <w:pPr>
              <w:spacing w:after="0"/>
              <w:rPr>
                <w:sz w:val="20"/>
                <w:szCs w:val="20"/>
                <w:color w:val="auto"/>
              </w:rPr>
            </w:pPr>
            <w:r>
              <w:rPr>
                <w:rFonts w:ascii="Arial" w:cs="Arial" w:eastAsia="Arial" w:hAnsi="Arial"/>
                <w:sz w:val="18"/>
                <w:szCs w:val="18"/>
                <w:b w:val="1"/>
                <w:bCs w:val="1"/>
                <w:color w:val="FF4338"/>
                <w:w w:val="99"/>
              </w:rPr>
              <w:t>an offer to sell these securities, and we are not soliciting offers to buy these securities in any</w:t>
            </w:r>
          </w:p>
        </w:tc>
        <w:tc>
          <w:tcPr>
            <w:tcW w:w="180" w:type="dxa"/>
            <w:vAlign w:val="bottom"/>
            <w:textDirection w:val="btLr"/>
          </w:tcPr>
          <w:p>
            <w:pPr>
              <w:spacing w:after="0"/>
              <w:rPr>
                <w:sz w:val="20"/>
                <w:szCs w:val="20"/>
                <w:color w:val="auto"/>
              </w:rPr>
            </w:pPr>
            <w:r>
              <w:rPr>
                <w:rFonts w:ascii="Arial" w:cs="Arial" w:eastAsia="Arial" w:hAnsi="Arial"/>
                <w:sz w:val="18"/>
                <w:szCs w:val="18"/>
                <w:b w:val="1"/>
                <w:bCs w:val="1"/>
                <w:color w:val="FF4338"/>
                <w:w w:val="99"/>
              </w:rPr>
              <w:t>is not permitted.</w:t>
            </w:r>
          </w:p>
        </w:tc>
      </w:tr>
      <w:tr>
        <w:trPr>
          <w:trHeight w:val="2980"/>
        </w:trPr>
        <w:tc>
          <w:tcPr>
            <w:tcW w:w="180" w:type="dxa"/>
            <w:vAlign w:val="bottom"/>
            <w:textDirection w:val="btLr"/>
          </w:tcPr>
          <w:p>
            <w:pPr>
              <w:spacing w:after="0"/>
              <w:rPr>
                <w:sz w:val="20"/>
                <w:szCs w:val="20"/>
                <w:color w:val="auto"/>
              </w:rPr>
            </w:pPr>
            <w:r>
              <w:rPr>
                <w:rFonts w:ascii="Arial" w:cs="Arial" w:eastAsia="Arial" w:hAnsi="Arial"/>
                <w:sz w:val="18"/>
                <w:szCs w:val="18"/>
                <w:b w:val="1"/>
                <w:bCs w:val="1"/>
                <w:color w:val="FF4338"/>
                <w:w w:val="99"/>
              </w:rPr>
              <w:t>The information in this prospectus</w:t>
            </w:r>
          </w:p>
        </w:tc>
        <w:tc>
          <w:tcPr>
            <w:tcW w:w="200" w:type="dxa"/>
            <w:vAlign w:val="bottom"/>
            <w:textDirection w:val="btLr"/>
          </w:tcPr>
          <w:p>
            <w:pPr>
              <w:spacing w:after="0"/>
              <w:rPr>
                <w:sz w:val="20"/>
                <w:szCs w:val="20"/>
                <w:color w:val="auto"/>
              </w:rPr>
            </w:pPr>
            <w:r>
              <w:rPr>
                <w:rFonts w:ascii="Arial" w:cs="Arial" w:eastAsia="Arial" w:hAnsi="Arial"/>
                <w:sz w:val="18"/>
                <w:szCs w:val="18"/>
                <w:b w:val="1"/>
                <w:bCs w:val="1"/>
                <w:color w:val="FF4338"/>
                <w:w w:val="99"/>
              </w:rPr>
              <w:t>has been declared effective by the</w:t>
            </w:r>
          </w:p>
        </w:tc>
        <w:tc>
          <w:tcPr>
            <w:tcW w:w="200" w:type="dxa"/>
            <w:vAlign w:val="bottom"/>
            <w:textDirection w:val="btLr"/>
          </w:tcPr>
          <w:p>
            <w:pPr>
              <w:spacing w:after="0"/>
              <w:rPr>
                <w:sz w:val="20"/>
                <w:szCs w:val="20"/>
                <w:color w:val="auto"/>
              </w:rPr>
            </w:pPr>
            <w:r>
              <w:rPr>
                <w:rFonts w:ascii="Arial" w:cs="Arial" w:eastAsia="Arial" w:hAnsi="Arial"/>
                <w:sz w:val="18"/>
                <w:szCs w:val="18"/>
                <w:b w:val="1"/>
                <w:bCs w:val="1"/>
                <w:color w:val="FF4338"/>
                <w:w w:val="99"/>
              </w:rPr>
              <w:t>accompanying prospectus are not</w:t>
            </w:r>
          </w:p>
        </w:tc>
        <w:tc>
          <w:tcPr>
            <w:tcW w:w="180" w:type="dxa"/>
            <w:vAlign w:val="bottom"/>
            <w:textDirection w:val="btLr"/>
          </w:tcPr>
          <w:p>
            <w:pPr>
              <w:spacing w:after="0"/>
              <w:rPr>
                <w:sz w:val="20"/>
                <w:szCs w:val="20"/>
                <w:color w:val="auto"/>
              </w:rPr>
            </w:pPr>
            <w:r>
              <w:rPr>
                <w:rFonts w:ascii="Arial" w:cs="Arial" w:eastAsia="Arial" w:hAnsi="Arial"/>
                <w:sz w:val="18"/>
                <w:szCs w:val="18"/>
                <w:b w:val="1"/>
                <w:bCs w:val="1"/>
                <w:color w:val="FF4338"/>
                <w:w w:val="99"/>
              </w:rPr>
              <w:t>jurisdiction where the offer or sale</w:t>
            </w: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6" w:lineRule="exact"/>
        <w:rPr>
          <w:sz w:val="24"/>
          <w:szCs w:val="24"/>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Registration No. 333-288361</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FF4338"/>
        </w:rPr>
        <w:t>Subject to Completion, Dated July 28, 2025</w:t>
      </w:r>
    </w:p>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 the Prospectus dated July 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2494280</wp:posOffset>
            </wp:positionH>
            <wp:positionV relativeFrom="paragraph">
              <wp:posOffset>161290</wp:posOffset>
            </wp:positionV>
            <wp:extent cx="908685" cy="3429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08685" cy="342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2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Pre-Funded Warrants to Purchase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2331720</wp:posOffset>
            </wp:positionH>
            <wp:positionV relativeFrom="paragraph">
              <wp:posOffset>225425</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ind w:right="240"/>
        <w:spacing w:after="0" w:line="256" w:lineRule="auto"/>
        <w:rPr>
          <w:sz w:val="20"/>
          <w:szCs w:val="20"/>
          <w:color w:val="auto"/>
        </w:rPr>
      </w:pPr>
      <w:r>
        <w:rPr>
          <w:rFonts w:ascii="Times New Roman" w:cs="Times New Roman" w:eastAsia="Times New Roman" w:hAnsi="Times New Roman"/>
          <w:sz w:val="17"/>
          <w:szCs w:val="17"/>
          <w:color w:val="auto"/>
        </w:rPr>
        <w:t>We are offering       shares of our Class A common stock, par value $0.0001 per share (the “Common Stock”) and, in lieu of Common Stock to certain investors that so choose, pre-funded warrants to purchase       shares of Common Stock (“Pre-Funded Warrants”). The purchase price of each Pre-Funded Warrants equals the price per share at which Common Stock is being sold to the public in this offering, minus $0.0001, and the exercise price of each Pre-Funded Warrants equals $0.0001 per share. We refer to the sale of the Common Stock and the Pre-Funded Warrants as the “Offering.”</w:t>
      </w:r>
    </w:p>
    <w:p>
      <w:pPr>
        <w:spacing w:after="0" w:line="186" w:lineRule="exact"/>
        <w:rPr>
          <w:sz w:val="24"/>
          <w:szCs w:val="24"/>
          <w:color w:val="auto"/>
        </w:rPr>
      </w:pPr>
    </w:p>
    <w:p>
      <w:pPr>
        <w:ind w:right="140"/>
        <w:spacing w:after="0" w:line="259" w:lineRule="auto"/>
        <w:rPr>
          <w:sz w:val="20"/>
          <w:szCs w:val="20"/>
          <w:color w:val="auto"/>
        </w:rPr>
      </w:pPr>
      <w:r>
        <w:rPr>
          <w:rFonts w:ascii="Times New Roman" w:cs="Times New Roman" w:eastAsia="Times New Roman" w:hAnsi="Times New Roman"/>
          <w:sz w:val="17"/>
          <w:szCs w:val="17"/>
          <w:color w:val="auto"/>
        </w:rPr>
        <w:t>Our Common Stock is traded on the New York Stock Exchange (“NYSE”) under the symbol “BKKT.” On July 25, 2025, the last reported sales price of our Common Stock on the NYSE was $18.06 per share. There is no established public trading market for the Pre-Funded Warrants, and we do not expect a market to develop. In addition, we do not intend to apply for a listing of the Pre-Funded Warrants on the NYSE, any other national securities exchange or any other nationally recognized trading system.</w:t>
      </w:r>
    </w:p>
    <w:p>
      <w:pPr>
        <w:spacing w:after="0" w:line="172" w:lineRule="exact"/>
        <w:rPr>
          <w:sz w:val="24"/>
          <w:szCs w:val="24"/>
          <w:color w:val="auto"/>
        </w:rPr>
      </w:pPr>
    </w:p>
    <w:p>
      <w:pPr>
        <w:ind w:right="16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our securities involves risks. You should read carefully and consider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included in this prospectus supplement on page S-8 and in our accompanying prospectus beginning on page 6 and in the documents that are incorporated by reference into this prospectus supplement before investing in our securities.</w:t>
      </w:r>
    </w:p>
    <w:p>
      <w:pPr>
        <w:spacing w:after="0" w:line="178" w:lineRule="exact"/>
        <w:rPr>
          <w:sz w:val="24"/>
          <w:szCs w:val="24"/>
          <w:color w:val="auto"/>
        </w:rPr>
      </w:pPr>
    </w:p>
    <w:p>
      <w:pPr>
        <w:ind w:right="60"/>
        <w:spacing w:after="0" w:line="267"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(“SEC”) nor any state securities commission has approved or disapproved of these securities or determined whether this prospectus supplement or the accompanying prospectus is truthful or complete. Any representation to the contrary is a criminal offense.</w:t>
      </w:r>
    </w:p>
    <w:p>
      <w:pPr>
        <w:spacing w:after="0" w:line="187" w:lineRule="exact"/>
        <w:rPr>
          <w:sz w:val="24"/>
          <w:szCs w:val="24"/>
          <w:color w:val="auto"/>
        </w:rPr>
      </w:pPr>
    </w:p>
    <w:tbl>
      <w:tblPr>
        <w:tblLayout w:type="fixed"/>
        <w:tblInd w:w="112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Per Pre-Funded</w:t>
            </w:r>
          </w:p>
        </w:tc>
        <w:tc>
          <w:tcPr>
            <w:tcW w:w="8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6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Public offering price</w:t>
            </w:r>
          </w:p>
        </w:tc>
        <w:tc>
          <w:tcPr>
            <w:tcW w:w="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          </w:t>
            </w: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 xml:space="preserve">          </w:t>
            </w:r>
          </w:p>
        </w:tc>
        <w:tc>
          <w:tcPr>
            <w:tcW w:w="3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          </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tcPr>
          <w:p>
            <w:pPr>
              <w:spacing w:after="0" w:line="202" w:lineRule="exact"/>
              <w:rPr>
                <w:sz w:val="20"/>
                <w:szCs w:val="20"/>
                <w:color w:val="auto"/>
              </w:rPr>
            </w:pPr>
            <w:r>
              <w:rPr>
                <w:rFonts w:ascii="Times New Roman" w:cs="Times New Roman" w:eastAsia="Times New Roman" w:hAnsi="Times New Roman"/>
                <w:sz w:val="16"/>
                <w:szCs w:val="16"/>
                <w:color w:val="auto"/>
              </w:rPr>
              <w:t>Underwriting discounts and commissions</w:t>
            </w:r>
            <w:r>
              <w:rPr>
                <w:rFonts w:ascii="Times New Roman" w:cs="Times New Roman" w:eastAsia="Times New Roman" w:hAnsi="Times New Roman"/>
                <w:sz w:val="23"/>
                <w:szCs w:val="23"/>
                <w:color w:val="auto"/>
                <w:vertAlign w:val="superscript"/>
              </w:rPr>
              <w:t>(1)</w:t>
            </w:r>
          </w:p>
        </w:tc>
        <w:tc>
          <w:tcPr>
            <w:tcW w:w="8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before expenses, to us</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1" w:lineRule="exact"/>
        <w:rPr>
          <w:sz w:val="24"/>
          <w:szCs w:val="24"/>
          <w:color w:val="auto"/>
        </w:rPr>
      </w:pPr>
    </w:p>
    <w:p>
      <w:pPr>
        <w:ind w:left="360" w:right="120" w:hanging="360"/>
        <w:spacing w:after="0" w:line="206" w:lineRule="auto"/>
        <w:tabs>
          <w:tab w:leader="none" w:pos="360" w:val="left"/>
        </w:tabs>
        <w:numPr>
          <w:ilvl w:val="0"/>
          <w:numId w:val="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We refer you to “Underwriting” beginning on page S-16 of this prospectus supplement for additional information regarding total underwriting compensation.</w:t>
      </w:r>
    </w:p>
    <w:p>
      <w:pPr>
        <w:spacing w:after="0" w:line="197" w:lineRule="exact"/>
        <w:rPr>
          <w:sz w:val="24"/>
          <w:szCs w:val="24"/>
          <w:color w:val="auto"/>
        </w:rPr>
      </w:pPr>
    </w:p>
    <w:p>
      <w:pPr>
        <w:ind w:left="380"/>
        <w:spacing w:after="0"/>
        <w:tabs>
          <w:tab w:leader="none" w:pos="7680" w:val="left"/>
        </w:tabs>
        <w:rPr>
          <w:sz w:val="20"/>
          <w:szCs w:val="20"/>
          <w:color w:val="auto"/>
        </w:rPr>
      </w:pPr>
      <w:r>
        <w:rPr>
          <w:rFonts w:ascii="Times New Roman" w:cs="Times New Roman" w:eastAsia="Times New Roman" w:hAnsi="Times New Roman"/>
          <w:sz w:val="17"/>
          <w:szCs w:val="17"/>
          <w:color w:val="auto"/>
        </w:rPr>
        <w:t xml:space="preserve">We have granted the underwriters an option for a period of 30 days to purchase up to an additional        </w:t>
        <w:tab/>
        <w:t>shares of our Common</w:t>
      </w:r>
    </w:p>
    <w:p>
      <w:pPr>
        <w:spacing w:after="0" w:line="25" w:lineRule="exact"/>
        <w:rPr>
          <w:sz w:val="24"/>
          <w:szCs w:val="24"/>
          <w:color w:val="auto"/>
        </w:rPr>
      </w:pPr>
    </w:p>
    <w:p>
      <w:pPr>
        <w:spacing w:after="0"/>
        <w:tabs>
          <w:tab w:leader="none" w:pos="2580" w:val="left"/>
        </w:tabs>
        <w:rPr>
          <w:sz w:val="20"/>
          <w:szCs w:val="20"/>
          <w:color w:val="auto"/>
        </w:rPr>
      </w:pPr>
      <w:r>
        <w:rPr>
          <w:rFonts w:ascii="Times New Roman" w:cs="Times New Roman" w:eastAsia="Times New Roman" w:hAnsi="Times New Roman"/>
          <w:sz w:val="17"/>
          <w:szCs w:val="17"/>
          <w:color w:val="auto"/>
        </w:rPr>
        <w:t xml:space="preserve">Stock and up to an additional        </w:t>
        <w:tab/>
        <w:t>Pre-Funded Warrants. If the underwriters exercise the option in full, the total underwriting</w:t>
      </w:r>
    </w:p>
    <w:p>
      <w:pPr>
        <w:spacing w:after="0" w:line="7" w:lineRule="exact"/>
        <w:rPr>
          <w:sz w:val="24"/>
          <w:szCs w:val="24"/>
          <w:color w:val="auto"/>
        </w:rPr>
      </w:pPr>
    </w:p>
    <w:p>
      <w:pPr>
        <w:spacing w:after="0"/>
        <w:tabs>
          <w:tab w:leader="none" w:pos="4020" w:val="left"/>
        </w:tabs>
        <w:rPr>
          <w:sz w:val="20"/>
          <w:szCs w:val="20"/>
          <w:color w:val="auto"/>
        </w:rPr>
      </w:pPr>
      <w:r>
        <w:rPr>
          <w:rFonts w:ascii="Times New Roman" w:cs="Times New Roman" w:eastAsia="Times New Roman" w:hAnsi="Times New Roman"/>
          <w:sz w:val="17"/>
          <w:szCs w:val="17"/>
          <w:color w:val="auto"/>
        </w:rPr>
        <w:t xml:space="preserve">discounts and commissions payable by us will be $       </w:t>
        <w:tab/>
        <w:t xml:space="preserve">million, and the total proceeds to us, before expenses, will be $       </w:t>
      </w:r>
    </w:p>
    <w:p>
      <w:pPr>
        <w:spacing w:after="0" w:line="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million. See “Underwriting” for more information.</w:t>
      </w:r>
    </w:p>
    <w:p>
      <w:pPr>
        <w:spacing w:after="0" w:line="205"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7"/>
          <w:szCs w:val="17"/>
          <w:color w:val="auto"/>
        </w:rPr>
        <w:t>Delivery of the shares of the Common Stock and Pre-Funded Warrants will be made on or about July    , 2025.</w:t>
      </w: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Joint Book-Running Managers</w:t>
      </w:r>
    </w:p>
    <w:p>
      <w:pPr>
        <w:spacing w:after="0" w:line="259" w:lineRule="exact"/>
        <w:rPr>
          <w:sz w:val="24"/>
          <w:szCs w:val="24"/>
          <w:color w:val="auto"/>
        </w:rPr>
      </w:pPr>
    </w:p>
    <w:p>
      <w:pPr>
        <w:sectPr>
          <w:pgSz w:w="11900" w:h="16838" w:orient="portrait"/>
          <w:cols w:equalWidth="0" w:num="2">
            <w:col w:w="880" w:space="100"/>
            <w:col w:w="9280"/>
          </w:cols>
          <w:pgMar w:left="320" w:top="225" w:right="1319" w:bottom="1440" w:gutter="0" w:footer="0" w:header="0"/>
          <w:type w:val="continuous"/>
        </w:sectPr>
      </w:pPr>
    </w:p>
    <w:p>
      <w:pPr>
        <w:spacing w:after="0" w:line="86" w:lineRule="exact"/>
        <w:rPr>
          <w:sz w:val="24"/>
          <w:szCs w:val="24"/>
          <w:color w:val="auto"/>
        </w:rPr>
      </w:pPr>
    </w:p>
    <w:p>
      <w:pPr>
        <w:ind w:left="980"/>
        <w:spacing w:after="0"/>
        <w:tabs>
          <w:tab w:leader="none" w:pos="8640" w:val="left"/>
        </w:tabs>
        <w:rPr>
          <w:sz w:val="20"/>
          <w:szCs w:val="20"/>
          <w:color w:val="auto"/>
        </w:rPr>
      </w:pPr>
      <w:r>
        <w:rPr>
          <w:rFonts w:ascii="Times New Roman" w:cs="Times New Roman" w:eastAsia="Times New Roman" w:hAnsi="Times New Roman"/>
          <w:sz w:val="29"/>
          <w:szCs w:val="29"/>
          <w:b w:val="1"/>
          <w:bCs w:val="1"/>
          <w:color w:val="auto"/>
        </w:rPr>
        <w:t>Clear Street</w:t>
      </w:r>
      <w:r>
        <w:rPr>
          <w:sz w:val="20"/>
          <w:szCs w:val="20"/>
          <w:color w:val="auto"/>
        </w:rPr>
        <w:tab/>
      </w:r>
      <w:r>
        <w:rPr>
          <w:rFonts w:ascii="Times New Roman" w:cs="Times New Roman" w:eastAsia="Times New Roman" w:hAnsi="Times New Roman"/>
          <w:sz w:val="28"/>
          <w:szCs w:val="28"/>
          <w:b w:val="1"/>
          <w:bCs w:val="1"/>
          <w:color w:val="auto"/>
        </w:rPr>
        <w:t>Cohen &amp; Co.</w:t>
      </w:r>
    </w:p>
    <w:p>
      <w:pPr>
        <w:sectPr>
          <w:pgSz w:w="11900" w:h="16838" w:orient="portrait"/>
          <w:cols w:equalWidth="0" w:num="1">
            <w:col w:w="10260"/>
          </w:cols>
          <w:pgMar w:left="320" w:top="225" w:right="1319" w:bottom="1440" w:gutter="0" w:footer="0" w:header="0"/>
          <w:type w:val="continuous"/>
        </w:sectPr>
      </w:pPr>
    </w:p>
    <w:p>
      <w:pPr>
        <w:spacing w:after="0" w:line="23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6"/>
          <w:szCs w:val="16"/>
          <w:b w:val="1"/>
          <w:bCs w:val="1"/>
          <w:color w:val="auto"/>
        </w:rPr>
        <w:t>The date of this prospectus supplement is July    , 2025.</w:t>
      </w:r>
    </w:p>
    <w:p>
      <w:pPr>
        <w:sectPr>
          <w:pgSz w:w="11900" w:h="16838" w:orient="portrait"/>
          <w:cols w:equalWidth="0" w:num="1">
            <w:col w:w="10260"/>
          </w:cols>
          <w:pgMar w:left="320" w:top="225" w:right="1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426"/>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40" w:type="dxa"/>
            <w:vAlign w:val="bottom"/>
            <w:gridSpan w:val="3"/>
          </w:tcPr>
          <w:p>
            <w:pPr>
              <w:jc w:val="center"/>
              <w:ind w:right="170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20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r>
      <w:tr>
        <w:trPr>
          <w:trHeight w:val="418"/>
        </w:trPr>
        <w:tc>
          <w:tcPr>
            <w:tcW w:w="344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5240" w:type="dxa"/>
            <w:vAlign w:val="bottom"/>
            <w:gridSpan w:val="5"/>
          </w:tcPr>
          <w:p>
            <w:pPr>
              <w:spacing w:after="0"/>
              <w:rPr>
                <w:sz w:val="24"/>
                <w:szCs w:val="24"/>
                <w:color w:val="auto"/>
              </w:rPr>
            </w:pP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S-ii</w:t>
            </w:r>
          </w:p>
        </w:tc>
      </w:tr>
      <w:tr>
        <w:trPr>
          <w:trHeight w:val="196"/>
        </w:trPr>
        <w:tc>
          <w:tcPr>
            <w:tcW w:w="644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STATEMENT REGARDING FORWARD-LOOKING INFORMATION</w:t>
            </w:r>
          </w:p>
        </w:tc>
        <w:tc>
          <w:tcPr>
            <w:tcW w:w="2240" w:type="dxa"/>
            <w:vAlign w:val="bottom"/>
          </w:tcPr>
          <w:p>
            <w:pPr>
              <w:spacing w:after="0"/>
              <w:rPr>
                <w:sz w:val="17"/>
                <w:szCs w:val="17"/>
                <w:color w:val="auto"/>
              </w:rPr>
            </w:pP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S-iii</w:t>
            </w:r>
          </w:p>
        </w:tc>
      </w:tr>
      <w:tr>
        <w:trPr>
          <w:trHeight w:val="196"/>
        </w:trPr>
        <w:tc>
          <w:tcPr>
            <w:tcW w:w="86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S-1</w:t>
            </w:r>
          </w:p>
        </w:tc>
      </w:tr>
      <w:tr>
        <w:trPr>
          <w:trHeight w:val="196"/>
        </w:trPr>
        <w:tc>
          <w:tcPr>
            <w:tcW w:w="12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2000" w:type="dxa"/>
            <w:vAlign w:val="bottom"/>
            <w:tcBorders>
              <w:top w:val="single" w:sz="8" w:color="0000EE"/>
            </w:tcBorders>
            <w:gridSpan w:val="14"/>
          </w:tcPr>
          <w:p>
            <w:pPr>
              <w:spacing w:after="0"/>
              <w:rPr>
                <w:sz w:val="17"/>
                <w:szCs w:val="17"/>
                <w:color w:val="auto"/>
              </w:rPr>
            </w:pPr>
          </w:p>
        </w:tc>
        <w:tc>
          <w:tcPr>
            <w:tcW w:w="5400" w:type="dxa"/>
            <w:vAlign w:val="bottom"/>
            <w:gridSpan w:val="7"/>
          </w:tcPr>
          <w:p>
            <w:pPr>
              <w:spacing w:after="0"/>
              <w:rPr>
                <w:sz w:val="17"/>
                <w:szCs w:val="17"/>
                <w:color w:val="auto"/>
              </w:rPr>
            </w:pP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S-6</w:t>
            </w:r>
          </w:p>
        </w:tc>
      </w:tr>
      <w:tr>
        <w:trPr>
          <w:trHeight w:val="196"/>
        </w:trPr>
        <w:tc>
          <w:tcPr>
            <w:tcW w:w="86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S-8</w:t>
            </w:r>
          </w:p>
        </w:tc>
      </w:tr>
      <w:tr>
        <w:trPr>
          <w:trHeight w:val="20"/>
        </w:trPr>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r>
      <w:tr>
        <w:trPr>
          <w:trHeight w:val="196"/>
        </w:trPr>
        <w:tc>
          <w:tcPr>
            <w:tcW w:w="15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7100" w:type="dxa"/>
            <w:vAlign w:val="bottom"/>
            <w:gridSpan w:val="18"/>
          </w:tcPr>
          <w:p>
            <w:pPr>
              <w:spacing w:after="0"/>
              <w:rPr>
                <w:sz w:val="17"/>
                <w:szCs w:val="17"/>
                <w:color w:val="auto"/>
              </w:rPr>
            </w:pP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S-11</w:t>
            </w:r>
          </w:p>
        </w:tc>
      </w:tr>
      <w:tr>
        <w:trPr>
          <w:trHeight w:val="196"/>
        </w:trPr>
        <w:tc>
          <w:tcPr>
            <w:tcW w:w="15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7100" w:type="dxa"/>
            <w:vAlign w:val="bottom"/>
            <w:gridSpan w:val="18"/>
          </w:tcPr>
          <w:p>
            <w:pPr>
              <w:spacing w:after="0"/>
              <w:rPr>
                <w:sz w:val="17"/>
                <w:szCs w:val="17"/>
                <w:color w:val="auto"/>
              </w:rPr>
            </w:pP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S-11</w:t>
            </w:r>
          </w:p>
        </w:tc>
      </w:tr>
      <w:tr>
        <w:trPr>
          <w:trHeight w:val="196"/>
        </w:trPr>
        <w:tc>
          <w:tcPr>
            <w:tcW w:w="14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6"/>
              </w:rPr>
              <w:t>CAPITALIZATION</w:t>
            </w:r>
          </w:p>
        </w:tc>
        <w:tc>
          <w:tcPr>
            <w:tcW w:w="7220" w:type="dxa"/>
            <w:vAlign w:val="bottom"/>
            <w:gridSpan w:val="19"/>
          </w:tcPr>
          <w:p>
            <w:pPr>
              <w:spacing w:after="0"/>
              <w:rPr>
                <w:sz w:val="17"/>
                <w:szCs w:val="17"/>
                <w:color w:val="auto"/>
              </w:rPr>
            </w:pP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S-11</w:t>
            </w:r>
          </w:p>
        </w:tc>
      </w:tr>
      <w:tr>
        <w:trPr>
          <w:trHeight w:val="196"/>
        </w:trPr>
        <w:tc>
          <w:tcPr>
            <w:tcW w:w="86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DESCRIPTION OF THE COMMON STOCK</w:t>
            </w: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S-12</w:t>
            </w:r>
          </w:p>
        </w:tc>
      </w:tr>
      <w:tr>
        <w:trPr>
          <w:trHeight w:val="20"/>
        </w:trPr>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r>
      <w:tr>
        <w:trPr>
          <w:trHeight w:val="196"/>
        </w:trPr>
        <w:tc>
          <w:tcPr>
            <w:tcW w:w="404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THE PRE-FUNDED WARRANTS</w:t>
            </w:r>
          </w:p>
        </w:tc>
        <w:tc>
          <w:tcPr>
            <w:tcW w:w="4640" w:type="dxa"/>
            <w:vAlign w:val="bottom"/>
            <w:gridSpan w:val="3"/>
          </w:tcPr>
          <w:p>
            <w:pPr>
              <w:spacing w:after="0"/>
              <w:rPr>
                <w:sz w:val="17"/>
                <w:szCs w:val="17"/>
                <w:color w:val="auto"/>
              </w:rPr>
            </w:pP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S-13</w:t>
            </w:r>
          </w:p>
        </w:tc>
      </w:tr>
      <w:tr>
        <w:trPr>
          <w:trHeight w:val="196"/>
        </w:trPr>
        <w:tc>
          <w:tcPr>
            <w:tcW w:w="8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DILUTION</w:t>
            </w:r>
          </w:p>
        </w:tc>
        <w:tc>
          <w:tcPr>
            <w:tcW w:w="7820" w:type="dxa"/>
            <w:vAlign w:val="bottom"/>
            <w:gridSpan w:val="23"/>
          </w:tcPr>
          <w:p>
            <w:pPr>
              <w:spacing w:after="0"/>
              <w:rPr>
                <w:sz w:val="17"/>
                <w:szCs w:val="17"/>
                <w:color w:val="auto"/>
              </w:rPr>
            </w:pP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S-14</w:t>
            </w:r>
          </w:p>
        </w:tc>
      </w:tr>
      <w:tr>
        <w:trPr>
          <w:trHeight w:val="196"/>
        </w:trPr>
        <w:tc>
          <w:tcPr>
            <w:tcW w:w="86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S-16</w:t>
            </w:r>
          </w:p>
        </w:tc>
      </w:tr>
      <w:tr>
        <w:trPr>
          <w:trHeight w:val="20"/>
        </w:trPr>
        <w:tc>
          <w:tcPr>
            <w:tcW w:w="76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r>
      <w:tr>
        <w:trPr>
          <w:trHeight w:val="196"/>
        </w:trPr>
        <w:tc>
          <w:tcPr>
            <w:tcW w:w="86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VALIDITY OF THE SECURITIES</w:t>
            </w: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S-24</w:t>
            </w:r>
          </w:p>
        </w:tc>
      </w:tr>
      <w:tr>
        <w:trPr>
          <w:trHeight w:val="196"/>
        </w:trPr>
        <w:tc>
          <w:tcPr>
            <w:tcW w:w="256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6120" w:type="dxa"/>
            <w:vAlign w:val="bottom"/>
            <w:gridSpan w:val="12"/>
          </w:tcPr>
          <w:p>
            <w:pPr>
              <w:spacing w:after="0"/>
              <w:rPr>
                <w:sz w:val="17"/>
                <w:szCs w:val="17"/>
                <w:color w:val="auto"/>
              </w:rPr>
            </w:pP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S-25</w:t>
            </w:r>
          </w:p>
        </w:tc>
      </w:tr>
      <w:tr>
        <w:trPr>
          <w:trHeight w:val="20"/>
        </w:trPr>
        <w:tc>
          <w:tcPr>
            <w:tcW w:w="760" w:type="dxa"/>
            <w:vAlign w:val="bottom"/>
            <w:shd w:val="clear" w:color="auto" w:fill="0000EE"/>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r>
      <w:tr>
        <w:trPr>
          <w:trHeight w:val="196"/>
        </w:trPr>
        <w:tc>
          <w:tcPr>
            <w:tcW w:w="86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S-25</w:t>
            </w:r>
          </w:p>
        </w:tc>
      </w:tr>
      <w:tr>
        <w:trPr>
          <w:trHeight w:val="371"/>
        </w:trPr>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12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426"/>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40" w:type="dxa"/>
            <w:vAlign w:val="bottom"/>
            <w:gridSpan w:val="3"/>
          </w:tcPr>
          <w:p>
            <w:pPr>
              <w:jc w:val="center"/>
              <w:ind w:right="172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20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r>
      <w:tr>
        <w:trPr>
          <w:trHeight w:val="418"/>
        </w:trPr>
        <w:tc>
          <w:tcPr>
            <w:tcW w:w="868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196"/>
        </w:trPr>
        <w:tc>
          <w:tcPr>
            <w:tcW w:w="222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6460" w:type="dxa"/>
            <w:vAlign w:val="bottom"/>
            <w:gridSpan w:val="14"/>
          </w:tcPr>
          <w:p>
            <w:pPr>
              <w:spacing w:after="0"/>
              <w:rPr>
                <w:sz w:val="17"/>
                <w:szCs w:val="17"/>
                <w:color w:val="auto"/>
              </w:rPr>
            </w:pP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208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600" w:type="dxa"/>
            <w:vAlign w:val="bottom"/>
            <w:gridSpan w:val="15"/>
          </w:tcPr>
          <w:p>
            <w:pPr>
              <w:spacing w:after="0"/>
              <w:rPr>
                <w:sz w:val="17"/>
                <w:szCs w:val="17"/>
                <w:color w:val="auto"/>
              </w:rPr>
            </w:pP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1240" w:type="dxa"/>
            <w:vAlign w:val="bottom"/>
            <w:gridSpan w:val="3"/>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880" w:type="dxa"/>
            <w:vAlign w:val="bottom"/>
            <w:gridSpan w:val="4"/>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r>
      <w:tr>
        <w:trPr>
          <w:trHeight w:val="196"/>
        </w:trPr>
        <w:tc>
          <w:tcPr>
            <w:tcW w:w="86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58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1340" w:type="dxa"/>
            <w:vAlign w:val="bottom"/>
            <w:tcBorders>
              <w:top w:val="single" w:sz="8" w:color="0000EE"/>
            </w:tcBorders>
            <w:gridSpan w:val="8"/>
          </w:tcPr>
          <w:p>
            <w:pPr>
              <w:spacing w:after="0"/>
              <w:rPr>
                <w:sz w:val="17"/>
                <w:szCs w:val="17"/>
                <w:color w:val="auto"/>
              </w:rPr>
            </w:pPr>
          </w:p>
        </w:tc>
        <w:tc>
          <w:tcPr>
            <w:tcW w:w="5760" w:type="dxa"/>
            <w:vAlign w:val="bottom"/>
            <w:gridSpan w:val="10"/>
          </w:tcPr>
          <w:p>
            <w:pPr>
              <w:spacing w:after="0"/>
              <w:rPr>
                <w:sz w:val="17"/>
                <w:szCs w:val="17"/>
                <w:color w:val="auto"/>
              </w:rPr>
            </w:pP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86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202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880" w:type="dxa"/>
            <w:vAlign w:val="bottom"/>
            <w:gridSpan w:val="4"/>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r>
      <w:tr>
        <w:trPr>
          <w:trHeight w:val="196"/>
        </w:trPr>
        <w:tc>
          <w:tcPr>
            <w:tcW w:w="30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5660" w:type="dxa"/>
            <w:vAlign w:val="bottom"/>
            <w:gridSpan w:val="9"/>
          </w:tcPr>
          <w:p>
            <w:pPr>
              <w:spacing w:after="0"/>
              <w:rPr>
                <w:sz w:val="17"/>
                <w:szCs w:val="17"/>
                <w:color w:val="auto"/>
              </w:rPr>
            </w:pP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24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6200" w:type="dxa"/>
            <w:vAlign w:val="bottom"/>
            <w:gridSpan w:val="13"/>
          </w:tcPr>
          <w:p>
            <w:pPr>
              <w:spacing w:after="0"/>
              <w:rPr>
                <w:sz w:val="17"/>
                <w:szCs w:val="17"/>
                <w:color w:val="auto"/>
              </w:rPr>
            </w:pP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20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6660" w:type="dxa"/>
            <w:vAlign w:val="bottom"/>
            <w:gridSpan w:val="17"/>
          </w:tcPr>
          <w:p>
            <w:pPr>
              <w:spacing w:after="0"/>
              <w:rPr>
                <w:sz w:val="17"/>
                <w:szCs w:val="17"/>
                <w:color w:val="auto"/>
              </w:rPr>
            </w:pP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86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204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6640" w:type="dxa"/>
            <w:vAlign w:val="bottom"/>
            <w:gridSpan w:val="16"/>
          </w:tcPr>
          <w:p>
            <w:pPr>
              <w:spacing w:after="0"/>
              <w:rPr>
                <w:sz w:val="17"/>
                <w:szCs w:val="17"/>
                <w:color w:val="auto"/>
              </w:rPr>
            </w:pP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20"/>
        </w:trPr>
        <w:tc>
          <w:tcPr>
            <w:tcW w:w="760" w:type="dxa"/>
            <w:vAlign w:val="bottom"/>
            <w:shd w:val="clear" w:color="auto" w:fill="0000EE"/>
          </w:tcPr>
          <w:p>
            <w:pPr>
              <w:spacing w:after="0" w:line="20" w:lineRule="exact"/>
              <w:rPr>
                <w:sz w:val="1"/>
                <w:szCs w:val="1"/>
                <w:color w:val="auto"/>
              </w:rPr>
            </w:pPr>
          </w:p>
        </w:tc>
        <w:tc>
          <w:tcPr>
            <w:tcW w:w="2340" w:type="dxa"/>
            <w:vAlign w:val="bottom"/>
            <w:gridSpan w:val="16"/>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880" w:type="dxa"/>
            <w:vAlign w:val="bottom"/>
            <w:gridSpan w:val="4"/>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r>
      <w:tr>
        <w:trPr>
          <w:trHeight w:val="196"/>
        </w:trPr>
        <w:tc>
          <w:tcPr>
            <w:tcW w:w="86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3100" w:type="dxa"/>
            <w:vAlign w:val="bottom"/>
            <w:tcBorders>
              <w:top w:val="single" w:sz="8" w:color="0000EE"/>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BY REFERENCE</w:t>
            </w:r>
          </w:p>
        </w:tc>
        <w:tc>
          <w:tcPr>
            <w:tcW w:w="700" w:type="dxa"/>
            <w:vAlign w:val="bottom"/>
            <w:tcBorders>
              <w:top w:val="single" w:sz="8" w:color="0000EE"/>
            </w:tcBorders>
            <w:gridSpan w:val="4"/>
          </w:tcPr>
          <w:p>
            <w:pPr>
              <w:spacing w:after="0"/>
              <w:rPr>
                <w:sz w:val="17"/>
                <w:szCs w:val="17"/>
                <w:color w:val="auto"/>
              </w:rPr>
            </w:pPr>
          </w:p>
        </w:tc>
        <w:tc>
          <w:tcPr>
            <w:tcW w:w="4880" w:type="dxa"/>
            <w:vAlign w:val="bottom"/>
            <w:gridSpan w:val="4"/>
          </w:tcPr>
          <w:p>
            <w:pPr>
              <w:spacing w:after="0"/>
              <w:rPr>
                <w:sz w:val="17"/>
                <w:szCs w:val="17"/>
                <w:color w:val="auto"/>
              </w:rPr>
            </w:pP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bl>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140"/>
          </w:cols>
          <w:pgMar w:left="320" w:top="455"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terms of the Offering and also adds to and updates information contained in the accompanying prospectus and the documents incorporated by reference into this prospectus supplement and the accompanying prospectus. The second part consists of a prospectus dated July 3, 2025, included in the registration statement on Form S-3 (No.</w:t>
      </w:r>
    </w:p>
    <w:p>
      <w:pPr>
        <w:spacing w:after="0" w:line="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333-288361). Since the accompanying prospectus provides general information about us, some of the information may not apply to this Offering. This prospectus supplement describes the specific details regarding this Offering. Generally, when we refer to the “prospectus,” we are referring to both parts of this document. Additional information is incorporated by reference in this prospectus supplement. If information in this prospectus supplement is inconsistent with the accompanying prospectus, you should rely on this prospectus supplement. You should read this prospectus supplement, the accompanying prospectus and any information incorporated by reference before you make any investment decision.</w:t>
      </w:r>
    </w:p>
    <w:p>
      <w:pPr>
        <w:spacing w:after="0" w:line="187"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Neither we nor the underwriters are making an offer to sell the securities in jurisdictions where the offer or sale is not permitted. The distribution of this prospectus supplement and the accompanying prospectus and the offer and sale of our securities in certain jurisdictions may be restricted by law. Persons outside the United States who come into possession of this prospectus supplement and the accompanying prospectus must inform themselves about and observe any restrictions relating to the offering of the securities and the distribution of this prospectus supplement and the accompanying prospectus outside the United States. This prospectus supplement and the accompanying prospectus do not constitute an offer of, or an invitation to purchase, any shares of Common Stock or any Pre-Funded Warrants in any jurisdiction in which such offer or invitation would be unlawful.</w:t>
      </w:r>
    </w:p>
    <w:p>
      <w:pPr>
        <w:spacing w:after="0" w:line="169"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You should rely only on information contained in this prospectus supplement, the accompanying prospectus and the documents we incorporate by reference in this prospectus supplement. We have not authorized anyone to provide you with information that is different from that contained in this prospectus supplement. We are not offering to sell or seeking offers to buy shares of Common Stock or Pre-Funded Warrants in jurisdictions where offers and sales are not permitted. The information contained in this prospectus supplement and the accompanying prospectus supplement is accurate only as of their respective dates, regardless of the time of delivery of this prospectus supplement or of any sale of our Common Stock or Pre-Funded Warrants.</w:t>
      </w:r>
    </w:p>
    <w:p>
      <w:pPr>
        <w:spacing w:after="0" w:line="18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Unless otherwise mentioned or unless the context requires otherwise, all references in this prospectus supplement to the “Company,” “we,” “us,” “our” and “Bakkt” refer to Bakkt Holdings, Inc., a Delaware corporation, and its consolidated subsidiaries.</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This prospectus supplement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supplement is a part, and you may obtain copies of those documents as described below under the section entitled “Where You Can Find More Information.”</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including documents incorporated by reference herein and therein, contain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that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included or incorporated by reference into this prospectus supplement and the accompanying prospectus may include, for example, statements about:</w:t>
      </w:r>
    </w:p>
    <w:p>
      <w:pPr>
        <w:spacing w:after="0" w:line="100"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for our products and services;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impacts from the adoption of our investment policy (“Investment Policy”);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(as defined below);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termination of the ICE Revolving Credit Facility (as defined below);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our loyalty business.</w:t>
      </w:r>
    </w:p>
    <w:p>
      <w:pPr>
        <w:spacing w:after="0" w:line="225"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they were made and reflect management’s expectations, forecasts and assumptions as of such date, and involve a number of judgments, known and/or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spacing w:after="0" w:line="183"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spacing w:after="0" w:line="81"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resulting from our finalization of our financial statements for and as of the quarter ended June 30, 2025;</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or new changes in facts or circumstances that may occur prior to the filing of our Quarterly Report on Form 10-Q for the quarter ended June 30, 2025 that are required to be included in such quarterly report;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implement our business plans or strategies;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and manage growth profitably;</w:t>
      </w:r>
    </w:p>
    <w:p>
      <w:pPr>
        <w:spacing w:after="0" w:line="130"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unable to obtain the applicable regulatory approvals to execute on the cooperation agreement with Distributed Technologies Research Global Ltd. (“DTR”);</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040"/>
          </w:cols>
          <w:pgMar w:left="320" w:top="455" w:right="5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finalizing the proposed commercial agreement with DTR, including whether such agreement will be executed on terms favorable to us or if at all, or be completed on the expected timeline, and whether we will be able to successfully integrate its operations with those of DTR, including its infrastructure, and achieve the expected benefits therefrom;</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environment for crypto currencies and digital stablecoin payments;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business strategy, including our adoption of the Investment Policy;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digital assets, including Bitcoin;</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owning digital assets, including Bitcoin, including price volatility, limited liquidity and trading volumes, relative anonymity, potential widespread susceptibility to market abuse and manipulation, compliance and internal control failures at exchanges and other risks inherent in its entirely electronic, virtual-form and decentralized network;</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fluctuation of our operating results, including because we may be required to account for our digital assets at fair value;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 the price of our purchase of digital assets pursuant to our Investment Policy;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market value of digital assets on our ability to satisfy our financial obligations, including any debt financings;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fair value gains on our digital asset holdings subjecting us to the corporate alternative minimum tax;</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commercial, regulatory and technical uncertainty regarding digital assets and enhanced regulatory oversight of companies holding digital assets including the possibility that regulators reclassify any digital assets we hold, including Bitcoin, as a security causing us to be in violation of securities laws and be classified as an “investment company” under the Investment Company Act of 1940;</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by other Bitcoin treasury companies and the availability of spot-traded products for Bitcoin;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regulatory oversight as a result of our Investment Policy;</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experiencing greater fraud, security failures or operational problems on digital asset trading venues compared to trading venues for more established asset classes, and any malfunction, breakdown or abandonment of the underlying blockchain protocols, or other technological difficulties, may prevent access to or use of such digital assets;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our expected digital asset holdings relative to non-digital assets;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use our digital asset holdings as a source of liquidity to the same extent as cash and cash equivalents, due to, for example, risks associated with digital assets and other risks inherent to its entirely electronic, virtual-form and decentralized network;</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or a third-party service provider experiencing a security breach or cyber-attack where unauthorized parties obtain access to digital assets;</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access to or theft or data loss of our digital assets, which could be unrecoverable due to the immutable nature of blockchain transactions;</w:t>
      </w:r>
    </w:p>
    <w:p>
      <w:pPr>
        <w:spacing w:after="0" w:line="67"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elect to hold our digital assets through a third-party custodian, the loss of direct control over our digital assets and dependence on the custodian’s security practices and operational integrity which may lead to the loss of its digital assets as a result of the insolvency of the custodian, theft by employees or insiders of the custodian or if the custodian’s security measures are compromised, including as a result of a cyber-attack;</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S-iv</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not being subject to the legal and regulatory protections applicable to investment companies such as mutual funds and exchange-traded funds, or to obligations applicable to investment advisers;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non-performance, breach of contract or other violations by counterparties assisting us in effecting our Investment Policy;</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and sources and uses of cash, including funds to satisfy our liquidity needs and continued access to the line of credit provided by Intercontinental Exchange Holdings, Inc.;</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in which we compete, including with respect to our competitive landscape, technology evolution or changes in applicable laws or regulations;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that we target;</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disruptions in the crypto, digital payments and stablecoin markets that subject us to additional risks, including the risk that banks may not provide banking services to us and market sentiments regarding crypto currencies, digital payments and stablecoins;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macroeconomic, geopolitical, business, and/or competitive factors;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launch new services and products, including with our expected commercial partners, or to profitably expand into new markets and services;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growth strategies, including identifying and executing acquisitions and divestitures and our initiatives to add new clients;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reach definitive agreements with our expected commercial counterparties;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complete a strategic transaction of the Loyalty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extensive government regulations, oversight, licensure and appraisals;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 and evolving regulatory regime governing blockchain technologies, stablecoins, digital payments and crypto;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effective internal controls and procedures;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exposure to any liability, protracted and costly litigation or reputational damage relating to our data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goodwill or other intangible assets impairments on our operating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securities on the NYSE; and</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indicated in this prospectus supplement and the accompanying prospectus, including those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any risk factors described in any amendments or supplements to this prospectus supplement, the accompanying prospectus and in the documents incorporated by reference herein.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S-v</w:t>
      </w:r>
    </w:p>
    <w:p>
      <w:pPr>
        <w:sectPr>
          <w:pgSz w:w="11900" w:h="16838" w:orient="portrait"/>
          <w:cols w:equalWidth="0" w:num="1">
            <w:col w:w="11140"/>
          </w:cols>
          <w:pgMar w:left="320" w:top="455"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706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that is presented in greater detail elsewhere, or incorporated by reference, in this prospectus supplement and the accompanying prospectus. It does not contain all of the information that may be important to you and your investment decision. Before investing in our securities, you should carefully read this entire prospectus, including the matters set forth under the section of this prospectus captioned “Risk Factors” and the financial statements and related notes and other information that we incorporate by reference herein, including our most recent Annual Report on Form 10-K and our Quarterly Reports on Form 10-Q filed subsequently to such Form 10-K.</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right="40" w:firstLine="426"/>
        <w:spacing w:after="0" w:line="256" w:lineRule="auto"/>
        <w:rPr>
          <w:sz w:val="20"/>
          <w:szCs w:val="20"/>
          <w:color w:val="auto"/>
        </w:rPr>
      </w:pPr>
      <w:r>
        <w:rPr>
          <w:rFonts w:ascii="Times New Roman" w:cs="Times New Roman" w:eastAsia="Times New Roman" w:hAnsi="Times New Roman"/>
          <w:sz w:val="18"/>
          <w:szCs w:val="18"/>
          <w:color w:val="auto"/>
        </w:rPr>
        <w:t>Founded in 2018, Bakkt operates technology that connects the digital economy by offering a platform for crypto and redeeming loyalty points. We enable our clients to deliver new opportunities to their customers through an interactive web experience or application programming interface solutions that unlock crypto and drive loyalty. The global market for crypto, while nascent, is rapidly evolving and expanding. We believe we are well-positioned to provide secure, licensed product solutions and grow with this evolving market. We believe our platform is well positioned to power commerce by enabling consumers, brands, and financial institutions to better manage, transact with and monetize crypto in exciting new ways.</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provide, or are working to provide, simplified solutions focused in the following areas:</w:t>
      </w:r>
    </w:p>
    <w:p>
      <w:pPr>
        <w:spacing w:after="0" w:line="3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Crypto</w:t>
      </w:r>
    </w:p>
    <w:p>
      <w:pPr>
        <w:spacing w:after="0" w:line="121" w:lineRule="exact"/>
        <w:rPr>
          <w:sz w:val="20"/>
          <w:szCs w:val="20"/>
          <w:color w:val="auto"/>
        </w:r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Our crypto trading platform provides consumers, businesses and institutions with the ability to buy, sell and store crypto in a simple, intuitive digital experience accessed via APIs or embedded web experience. We enable clients in various industries to provide their customers with the ability to transact in crypto directly in their trusted environments.</w:t>
      </w:r>
    </w:p>
    <w:p>
      <w:pPr>
        <w:spacing w:after="0" w:line="2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Loyalty</w:t>
      </w:r>
    </w:p>
    <w:p>
      <w:pPr>
        <w:spacing w:after="0" w:line="121"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We offer a full spectrum of content that clients can make available to their customers when redeeming loyalty currencies, thus driving consumer loyalty and engagement. Our redemption solutions span a variety of rewards categories including merchandise (such as Apple products and services), gift cards and digital experiences. In March 2025, we announced our investigation of strategic alternatives for our loyalty business as we work to realign our business with a crypto focus. As discussed further below under “– Recent Developments – Sale of Loyalty Business”, on July 23, 2025 we agreed to sell our loyalty business to Project Labrador Holdco, LLC, a wholly owned subsidiary of Roman DBDR Technology Advisors, Inc.</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Cooperation Agreement</w:t>
      </w:r>
    </w:p>
    <w:p>
      <w:pPr>
        <w:spacing w:after="0" w:line="121" w:lineRule="exact"/>
        <w:rPr>
          <w:sz w:val="20"/>
          <w:szCs w:val="20"/>
          <w:color w:val="auto"/>
        </w:rPr>
      </w:pPr>
    </w:p>
    <w:p>
      <w:pPr>
        <w:ind w:left="300" w:right="240" w:firstLine="426"/>
        <w:spacing w:after="0" w:line="289" w:lineRule="auto"/>
        <w:rPr>
          <w:sz w:val="20"/>
          <w:szCs w:val="20"/>
          <w:color w:val="auto"/>
        </w:rPr>
      </w:pPr>
      <w:r>
        <w:rPr>
          <w:rFonts w:ascii="Times New Roman" w:cs="Times New Roman" w:eastAsia="Times New Roman" w:hAnsi="Times New Roman"/>
          <w:sz w:val="17"/>
          <w:szCs w:val="17"/>
          <w:color w:val="auto"/>
        </w:rPr>
        <w:t>In March 2025, we entered into a Cooperation Agreement with DTR and Akshay Naheta, the sole stockholder of DTR (the “Cooperation Agreement”). Pursuant to the Cooperation Agreement, DTR will provide us with certain exclusive payment processing technology, APIs and infrastructure to be integrated into our platform for the enablement of global payments processing services in the jurisdictions where we operate.</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Updated Investment Policy</w:t>
      </w:r>
    </w:p>
    <w:p>
      <w:pPr>
        <w:spacing w:after="0" w:line="121" w:lineRule="exact"/>
        <w:rPr>
          <w:sz w:val="20"/>
          <w:szCs w:val="20"/>
          <w:color w:val="auto"/>
        </w:rPr>
      </w:pPr>
    </w:p>
    <w:p>
      <w:pPr>
        <w:ind w:left="300" w:right="380" w:firstLine="426"/>
        <w:spacing w:after="0" w:line="282" w:lineRule="auto"/>
        <w:rPr>
          <w:sz w:val="20"/>
          <w:szCs w:val="20"/>
          <w:color w:val="auto"/>
        </w:rPr>
      </w:pPr>
      <w:r>
        <w:rPr>
          <w:rFonts w:ascii="Times New Roman" w:cs="Times New Roman" w:eastAsia="Times New Roman" w:hAnsi="Times New Roman"/>
          <w:sz w:val="18"/>
          <w:szCs w:val="18"/>
          <w:color w:val="auto"/>
        </w:rPr>
        <w:t>In June 2025 we updated our Investment Policy to enable us to allocate capital into Bitcoin and other digital assets as part of our broader treasury and corporate strategy, subject to market conditions and the anticipated</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6959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56959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40"/>
        <w:spacing w:after="0" w:line="258" w:lineRule="auto"/>
        <w:rPr>
          <w:sz w:val="20"/>
          <w:szCs w:val="20"/>
          <w:color w:val="auto"/>
        </w:rPr>
      </w:pPr>
      <w:r>
        <w:rPr>
          <w:rFonts w:ascii="Times New Roman" w:cs="Times New Roman" w:eastAsia="Times New Roman" w:hAnsi="Times New Roman"/>
          <w:sz w:val="18"/>
          <w:szCs w:val="18"/>
          <w:color w:val="auto"/>
        </w:rPr>
        <w:t>liquidity needs of the business. We may acquire Bitcoin or other digital assets using excess cash, proceeds from future equity or debt financings, or other capital sources, subject to the limitation set forth in our Investment Policy. We also intend to explore further opportunistic financing alternatives, including the issuance of convertible notes, bonds, or other debt instruments, for the purpose of acquiring Bitcoin or other digital assets or otherwise in accordance with our Investment Policy. To date, we have not purchased any Bitcoin or other digital assets pursuant to our updated Investment Policy.</w:t>
      </w:r>
    </w:p>
    <w:p>
      <w:pPr>
        <w:spacing w:after="0" w:line="183"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There are risks associated with our Investment Policy, which may cause our business, financial condition, results of operations and future prospects to be materially adversely affected. For further details regarding the risks of implementing our strategy, refer to “</w:t>
      </w:r>
      <w:r>
        <w:rPr>
          <w:rFonts w:ascii="Times New Roman" w:cs="Times New Roman" w:eastAsia="Times New Roman" w:hAnsi="Times New Roman"/>
          <w:sz w:val="18"/>
          <w:szCs w:val="18"/>
          <w:i w:val="1"/>
          <w:iCs w:val="1"/>
          <w:color w:val="auto"/>
        </w:rPr>
        <w:t>Risk Factors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Update of our Investment Policy,</w:t>
      </w:r>
      <w:r>
        <w:rPr>
          <w:rFonts w:ascii="Times New Roman" w:cs="Times New Roman" w:eastAsia="Times New Roman" w:hAnsi="Times New Roman"/>
          <w:sz w:val="18"/>
          <w:szCs w:val="18"/>
          <w:color w:val="auto"/>
        </w:rPr>
        <w:t>” which is attached as Exhibit 99.1 to our Current Report on Form 8-K filed with the SEC on June 10,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is incorporated by reference herein.</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Preliminary Financial Results for Quarter Ended June 30, 2025</w:t>
      </w:r>
    </w:p>
    <w:p>
      <w:pPr>
        <w:spacing w:after="0" w:line="135" w:lineRule="exact"/>
        <w:rPr>
          <w:sz w:val="20"/>
          <w:szCs w:val="20"/>
          <w:color w:val="auto"/>
        </w:rPr>
      </w:pPr>
    </w:p>
    <w:p>
      <w:pPr>
        <w:ind w:left="1240" w:hanging="415"/>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for the second quarter of 2025 are estimated to be in a range of $577 million to $579 million.</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crypto revenues for the second quarter of 2025 are estimated to be in a range of $568 million to $569 million.</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loyalty revenues for the second quarter of 2025 are estimated to be in a range of $9 million to $10 million.</w:t>
      </w:r>
    </w:p>
    <w:p>
      <w:pPr>
        <w:spacing w:after="0" w:line="130" w:lineRule="exact"/>
        <w:rPr>
          <w:rFonts w:ascii="Times New Roman" w:cs="Times New Roman" w:eastAsia="Times New Roman" w:hAnsi="Times New Roman"/>
          <w:sz w:val="18"/>
          <w:szCs w:val="18"/>
          <w:color w:val="auto"/>
        </w:rPr>
      </w:pPr>
    </w:p>
    <w:p>
      <w:pPr>
        <w:ind w:left="1240" w:right="72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crypto costs and execution, clearing and brokerage fees for the second quarter of 2025 are estimated to be in a range of $565 million to $566 million.</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 cash and cash equivalents and restricted cash</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at June 30, 2025 are estimated to be in a range of $60 million to $62 million.</w:t>
      </w:r>
    </w:p>
    <w:p>
      <w:pPr>
        <w:spacing w:after="0" w:line="58"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access to $40 million of liquidity from the Revolving Credit Agreement, all of which is undrawn.</w:t>
      </w:r>
    </w:p>
    <w:p>
      <w:pPr>
        <w:spacing w:after="0" w:line="110"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used in operating activities (excluding customer funds payable) for the second quarter of 2025 is estimated to be in a range of $13 million to $15 million.</w:t>
      </w:r>
    </w:p>
    <w:p>
      <w:pPr>
        <w:spacing w:after="0" w:line="162" w:lineRule="exact"/>
        <w:rPr>
          <w:sz w:val="20"/>
          <w:szCs w:val="20"/>
          <w:color w:val="auto"/>
        </w:rPr>
      </w:pPr>
    </w:p>
    <w:p>
      <w:pPr>
        <w:ind w:left="300" w:right="40" w:firstLine="426"/>
        <w:spacing w:after="0" w:line="256" w:lineRule="auto"/>
        <w:rPr>
          <w:sz w:val="20"/>
          <w:szCs w:val="20"/>
          <w:color w:val="auto"/>
        </w:rPr>
      </w:pPr>
      <w:r>
        <w:rPr>
          <w:rFonts w:ascii="Times New Roman" w:cs="Times New Roman" w:eastAsia="Times New Roman" w:hAnsi="Times New Roman"/>
          <w:sz w:val="18"/>
          <w:szCs w:val="18"/>
          <w:color w:val="auto"/>
        </w:rPr>
        <w:t>The preliminary financial information set forth above has not been reviewed or audited by Bakkt’s independent registered accounting firm and is subject to revision and is anticipated to be finalized in connection with the completion of the Bakkt’s Quarterly Report on Form 10-Q for the quarter ended June 30, 2025. Bakkt’s preliminary estimates above are not a comprehensive statement of Bakkt’s financial results and are not necessarily indicative of the results to be expected as of or for the quarter ended June 30, 2025, or any future period. Accordingly, you should not place undue reliance on these preliminary estimates. Bakkt expects to report its second quarter 2025 results during a conference call in August, at which point it will discuss its second quarter 2025 financial results in more detail.</w:t>
      </w:r>
    </w:p>
    <w:p>
      <w:pPr>
        <w:spacing w:after="0" w:line="187" w:lineRule="exact"/>
        <w:rPr>
          <w:sz w:val="20"/>
          <w:szCs w:val="20"/>
          <w:color w:val="auto"/>
        </w:rPr>
      </w:pPr>
    </w:p>
    <w:p>
      <w:pPr>
        <w:ind w:left="300" w:right="80" w:firstLine="426"/>
        <w:spacing w:after="0" w:line="282" w:lineRule="auto"/>
        <w:rPr>
          <w:sz w:val="20"/>
          <w:szCs w:val="20"/>
          <w:color w:val="auto"/>
        </w:rPr>
      </w:pPr>
      <w:r>
        <w:rPr>
          <w:rFonts w:ascii="Times New Roman" w:cs="Times New Roman" w:eastAsia="Times New Roman" w:hAnsi="Times New Roman"/>
          <w:sz w:val="18"/>
          <w:szCs w:val="18"/>
          <w:color w:val="auto"/>
        </w:rPr>
        <w:t>During the course of Bakkt’s quarter-end closing procedures and review process, including the finalization of its financial statements for and as of the quarter ended June 30, 2025, Bakkt may identify items that would</w:t>
      </w:r>
    </w:p>
    <w:p>
      <w:pPr>
        <w:spacing w:after="0" w:line="135" w:lineRule="exact"/>
        <w:rPr>
          <w:sz w:val="20"/>
          <w:szCs w:val="20"/>
          <w:color w:val="auto"/>
        </w:rPr>
      </w:pPr>
    </w:p>
    <w:p>
      <w:pPr>
        <w:ind w:left="720" w:right="340" w:hanging="422"/>
        <w:spacing w:after="0" w:line="208" w:lineRule="auto"/>
        <w:tabs>
          <w:tab w:leader="none" w:pos="720" w:val="left"/>
        </w:tabs>
        <w:numPr>
          <w:ilvl w:val="0"/>
          <w:numId w:val="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Restricted cash is held to satisfy certain minimum capital requirements pursuant to regulatory requirements, or as collateral for insurance contracts and our purchasing card facility.</w:t>
      </w:r>
    </w:p>
    <w:p>
      <w:pPr>
        <w:spacing w:after="0" w:line="3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20"/>
          </w:cols>
          <w:pgMar w:left="320" w:top="455" w:right="6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36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62363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380"/>
        <w:spacing w:after="0" w:line="266" w:lineRule="auto"/>
        <w:rPr>
          <w:sz w:val="20"/>
          <w:szCs w:val="20"/>
          <w:color w:val="auto"/>
        </w:rPr>
      </w:pPr>
      <w:r>
        <w:rPr>
          <w:rFonts w:ascii="Times New Roman" w:cs="Times New Roman" w:eastAsia="Times New Roman" w:hAnsi="Times New Roman"/>
          <w:sz w:val="18"/>
          <w:szCs w:val="18"/>
          <w:color w:val="auto"/>
        </w:rPr>
        <w:t>require it to make adjustments, which may be material to the information presented above. As a result, the estimates above constitute forward-looking information and are subject to risks and uncertainties, including possible adjustments to preliminary results. See “Cautionary Note Regarding Forward-Looking Statements” for further details.</w:t>
      </w:r>
    </w:p>
    <w:p>
      <w:pPr>
        <w:spacing w:after="0" w:line="2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One-Time Option Awards</w:t>
      </w:r>
    </w:p>
    <w:p>
      <w:pPr>
        <w:spacing w:after="0" w:line="121" w:lineRule="exact"/>
        <w:rPr>
          <w:sz w:val="20"/>
          <w:szCs w:val="20"/>
          <w:color w:val="auto"/>
        </w:rPr>
      </w:pPr>
    </w:p>
    <w:p>
      <w:pPr>
        <w:ind w:left="300" w:right="100" w:firstLine="426"/>
        <w:spacing w:after="0" w:line="254" w:lineRule="auto"/>
        <w:rPr>
          <w:sz w:val="20"/>
          <w:szCs w:val="20"/>
          <w:color w:val="auto"/>
        </w:rPr>
      </w:pPr>
      <w:r>
        <w:rPr>
          <w:rFonts w:ascii="Times New Roman" w:cs="Times New Roman" w:eastAsia="Times New Roman" w:hAnsi="Times New Roman"/>
          <w:sz w:val="18"/>
          <w:szCs w:val="18"/>
          <w:color w:val="auto"/>
        </w:rPr>
        <w:t>In connection with the Offering, the Company’s Board of Directors and its Compensation Committee (the “Compensation Committee”) approved a one-time award of stock options to purchase up to           worth of Common Stock (the “Options”), in the aggregate, to 11 employees. No consideration was received by the Company for the granting of the Options. Due to the limited share reserve under the Bakkt Holdings, Inc. 2021 Omnibus Employee Incentive Plan (the “Omnibus Incentive Plan”), the Options were approved by the Board of Directors outside the Omnibus Incentive Plan and are subject to stockholder approval. Notwithstanding the foregoing, the Options will be governed in all respects as if issued under the Omnibus Incentive Plan, except with respect to the Omnibus Incentive Plan’s minimum vesting requirements. Accordingly, the Compensation Committee will administer the Options and have the authority in its sole discretion to, among other actions: construe, interpret and implement the Options; amend the Options in any respect without stockholder approval; and determine the treatment of the Options in the event of a change in control of the Company.</w:t>
      </w:r>
    </w:p>
    <w:p>
      <w:pPr>
        <w:spacing w:after="0" w:line="188"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Consistent with the purpose of the Omnibus Incentive Plan and subject to stockholder approval, the Options are structured as a commitment by the grantee to exercise a predetermined number of Options every quarter for eight quarters (such committed number of Options, the “Mandatory Exercise Options”) at an exercise price per share set forth in the applicable award agreement, which exercise price will be equal to the value of a share of Common Stock as negotiated in the Offering, which reflects a third-party negotiated fair market value, or to the extent required to comply with Section 409A of the Internal Revenue Code, the fair market value of a share of Common Stock on the date of grant. For each quarter in which the grantee exercises the Mandatory Exercise Options, the grantee will be entitled to exercise an additional number of Options (the “Optional Exercise Options”) which Optional Exercise Options will become exercisable for a period of up to two years. The grantee must personally fund the exercise price in order to exercise the Mandatory Exercise Options, as net settlement of the Mandatory Exercise Options will not be permitted. The grantee may either personally fund the exercise price in order to exercise the Optional Exercise Options or may elect to net settle the Optional Exercise Options.</w:t>
      </w:r>
    </w:p>
    <w:p>
      <w:pPr>
        <w:spacing w:after="0" w:line="194"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Subject to stockholder approval, the award pool for Options will be a minimum of           and a maximum of           (the “Total Pool”). The Total Pool will be divided into two sub-pools from which the grantees will receive options to purchase Common Stock in the following amounts:</w:t>
      </w:r>
    </w:p>
    <w:p>
      <w:pPr>
        <w:spacing w:after="0" w:line="79" w:lineRule="exact"/>
        <w:rPr>
          <w:sz w:val="20"/>
          <w:szCs w:val="20"/>
          <w:color w:val="auto"/>
        </w:rPr>
      </w:pPr>
    </w:p>
    <w:p>
      <w:pPr>
        <w:ind w:left="1240" w:right="140" w:hanging="523"/>
        <w:spacing w:after="0" w:line="267"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Pool One</w:t>
      </w:r>
      <w:r>
        <w:rPr>
          <w:rFonts w:ascii="Times New Roman" w:cs="Times New Roman" w:eastAsia="Times New Roman" w:hAnsi="Times New Roman"/>
          <w:sz w:val="18"/>
          <w:szCs w:val="18"/>
          <w:color w:val="auto"/>
        </w:rPr>
        <w:t>: 88% of the Total Pool will be allocated to Pool One. For each grantee in Pool One, 1/8 of their Options will become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exercisable each quarter (the “Quarterly Tranche”), with 20% of each Quarterly Tranche being Mandatory Exercise Options, and the remainder of the Quarterly Tranche being Optional Exercise Options.</w:t>
      </w:r>
    </w:p>
    <w:p>
      <w:pPr>
        <w:spacing w:after="0" w:line="78" w:lineRule="exact"/>
        <w:rPr>
          <w:rFonts w:ascii="Times New Roman" w:cs="Times New Roman" w:eastAsia="Times New Roman" w:hAnsi="Times New Roman"/>
          <w:sz w:val="18"/>
          <w:szCs w:val="18"/>
          <w:color w:val="auto"/>
        </w:rPr>
      </w:pPr>
    </w:p>
    <w:p>
      <w:pPr>
        <w:ind w:left="1240" w:right="80" w:hanging="523"/>
        <w:spacing w:after="0" w:line="267"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Pool Two</w:t>
      </w:r>
      <w:r>
        <w:rPr>
          <w:rFonts w:ascii="Times New Roman" w:cs="Times New Roman" w:eastAsia="Times New Roman" w:hAnsi="Times New Roman"/>
          <w:sz w:val="18"/>
          <w:szCs w:val="18"/>
          <w:color w:val="auto"/>
        </w:rPr>
        <w:t>: 12% of the Total Pool will be allocated to Pool Two. For each grantee in Pool Two, 1/8 of their Options will become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exercisable each quarter, with 10% of each Quarterly Tranche being Mandatory Exercise Options, and the remainder of the Quarterly Tranche being Optional Exercise Options.</w:t>
      </w:r>
    </w:p>
    <w:p>
      <w:pPr>
        <w:spacing w:after="0" w:line="67"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quarter, a Quarterly Tranche will become exercisable as follows:</w:t>
      </w:r>
    </w:p>
    <w:p>
      <w:pPr>
        <w:spacing w:after="0" w:line="130" w:lineRule="exact"/>
        <w:rPr>
          <w:rFonts w:ascii="Times New Roman" w:cs="Times New Roman" w:eastAsia="Times New Roman" w:hAnsi="Times New Roman"/>
          <w:sz w:val="18"/>
          <w:szCs w:val="18"/>
          <w:color w:val="auto"/>
        </w:rPr>
      </w:pPr>
    </w:p>
    <w:p>
      <w:pPr>
        <w:ind w:left="1640" w:right="760" w:hanging="289"/>
        <w:spacing w:after="0" w:line="282" w:lineRule="auto"/>
        <w:tabs>
          <w:tab w:leader="none" w:pos="16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Mandatory Exercise portion of the tranche will be exercisable over a two-day period in the applicable quarter (the “Mandatory Exercise Period”).</w:t>
      </w:r>
    </w:p>
    <w:p>
      <w:pPr>
        <w:spacing w:after="0" w:line="67" w:lineRule="exact"/>
        <w:rPr>
          <w:rFonts w:ascii="Times New Roman" w:cs="Times New Roman" w:eastAsia="Times New Roman" w:hAnsi="Times New Roman"/>
          <w:sz w:val="18"/>
          <w:szCs w:val="18"/>
          <w:color w:val="auto"/>
        </w:rPr>
      </w:pPr>
    </w:p>
    <w:p>
      <w:pPr>
        <w:ind w:left="1640" w:right="20" w:hanging="289"/>
        <w:spacing w:after="0" w:line="282" w:lineRule="auto"/>
        <w:tabs>
          <w:tab w:leader="none" w:pos="16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grantee exercises the Mandatory Exercise portion of the tranche during the Mandatory Exercise Period, then the remaining portion of the Quarterly Tranche will become exercisable for a</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20"/>
          </w:cols>
          <w:pgMar w:left="320" w:top="455" w:right="6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988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57988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680" w:right="440"/>
        <w:spacing w:after="0" w:line="282" w:lineRule="auto"/>
        <w:rPr>
          <w:sz w:val="20"/>
          <w:szCs w:val="20"/>
          <w:color w:val="auto"/>
        </w:rPr>
      </w:pPr>
      <w:r>
        <w:rPr>
          <w:rFonts w:ascii="Times New Roman" w:cs="Times New Roman" w:eastAsia="Times New Roman" w:hAnsi="Times New Roman"/>
          <w:sz w:val="18"/>
          <w:szCs w:val="18"/>
          <w:color w:val="auto"/>
        </w:rPr>
        <w:t>period of two years thereafter. The grantee may choose when within that two year period to exercise the Optional Exercise Options.</w:t>
      </w:r>
    </w:p>
    <w:p>
      <w:pPr>
        <w:spacing w:after="0" w:line="67" w:lineRule="exact"/>
        <w:rPr>
          <w:sz w:val="20"/>
          <w:szCs w:val="20"/>
          <w:color w:val="auto"/>
        </w:rPr>
      </w:pPr>
    </w:p>
    <w:p>
      <w:pPr>
        <w:ind w:left="1640" w:hanging="289"/>
        <w:spacing w:after="0" w:line="282" w:lineRule="auto"/>
        <w:tabs>
          <w:tab w:leader="none" w:pos="1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grantee does not exercise the Mandatory Exercise portion of any Quarterly Tranche during the Mandatory Exercise Period, then all remaining Options (for that quarter and all future quarters) will be forfeited.</w:t>
      </w:r>
    </w:p>
    <w:p>
      <w:pPr>
        <w:spacing w:after="0" w:line="162" w:lineRule="exact"/>
        <w:rPr>
          <w:sz w:val="20"/>
          <w:szCs w:val="20"/>
          <w:color w:val="auto"/>
        </w:rPr>
      </w:pPr>
    </w:p>
    <w:p>
      <w:pPr>
        <w:ind w:left="300" w:right="140" w:firstLine="426"/>
        <w:spacing w:after="0" w:line="258" w:lineRule="auto"/>
        <w:rPr>
          <w:sz w:val="20"/>
          <w:szCs w:val="20"/>
          <w:color w:val="auto"/>
        </w:rPr>
      </w:pPr>
      <w:r>
        <w:rPr>
          <w:rFonts w:ascii="Times New Roman" w:cs="Times New Roman" w:eastAsia="Times New Roman" w:hAnsi="Times New Roman"/>
          <w:sz w:val="18"/>
          <w:szCs w:val="18"/>
          <w:color w:val="auto"/>
        </w:rPr>
        <w:t>Subject to stockholder approval, any portion of the Options, including both the Mandatory Exercise portion and/or the Optional Exercise portion of any Quarterly Tranche, may be exercised on an accelerated basis prior to the applicable quarter in which the Quarterly Tranche would otherwise become exercisable (but not before the first Mandatory Exercise Period); provided, that any shares of Common Stock acquired on exercise of Optional Exercise Options will be subject to a trading lock up and will not be freely tradable, sellable or transferrable until the date on which the Optional Exercise Options would otherwise have become exercisable pursuant to the Quarterly Tranche schedule described above.</w:t>
      </w:r>
    </w:p>
    <w:p>
      <w:pPr>
        <w:spacing w:after="0" w:line="2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Sale of Loyalty Business</w:t>
      </w:r>
    </w:p>
    <w:p>
      <w:pPr>
        <w:spacing w:after="0" w:line="121" w:lineRule="exact"/>
        <w:rPr>
          <w:sz w:val="20"/>
          <w:szCs w:val="20"/>
          <w:color w:val="auto"/>
        </w:rPr>
      </w:pPr>
    </w:p>
    <w:p>
      <w:pPr>
        <w:ind w:left="300" w:right="40" w:firstLine="426"/>
        <w:spacing w:after="0" w:line="255" w:lineRule="auto"/>
        <w:rPr>
          <w:sz w:val="20"/>
          <w:szCs w:val="20"/>
          <w:color w:val="auto"/>
        </w:rPr>
      </w:pPr>
      <w:r>
        <w:rPr>
          <w:rFonts w:ascii="Times New Roman" w:cs="Times New Roman" w:eastAsia="Times New Roman" w:hAnsi="Times New Roman"/>
          <w:sz w:val="18"/>
          <w:szCs w:val="18"/>
          <w:color w:val="auto"/>
        </w:rPr>
        <w:t>On July 23, 2025, Bakkt Opco Holdings, LLC (“Opco”), a wholly owned subsidiary of the Company, entered into an Equity Purchase Agreement (the “Purchase Agreement”) by and among Opco, Project Labrador Holdco, LLC, a wholly owned subsidiary of Roman DBDR Technology Advisors, Inc. (the “Purchaser”), and Bridge2 Solutions, LLC, Aspire Loyalty Travel Solutions, LLC, Bridge2 Solutions Canada, Ltd., each a wholly owned subsidiary of Opco, and B2S Resale, LLC, an indirect wholly owned subsidiary of Opco (collectively, the “Acquired Companies”). Pursuant to the terms and subject to the conditions set forth in the Purchase Agreement, Opco has agreed to sell to the Purchaser all of the issued and outstanding equity interests of the Acquired Companies, which constitute the entities that conduct the loyalty and travel redemption business of the Company (the “Loyalty Business Sale”).</w:t>
      </w:r>
    </w:p>
    <w:p>
      <w:pPr>
        <w:spacing w:after="0" w:line="189" w:lineRule="exact"/>
        <w:rPr>
          <w:sz w:val="20"/>
          <w:szCs w:val="20"/>
          <w:color w:val="auto"/>
        </w:rPr>
      </w:pPr>
    </w:p>
    <w:p>
      <w:pPr>
        <w:ind w:left="300" w:firstLine="426"/>
        <w:spacing w:after="0" w:line="252" w:lineRule="auto"/>
        <w:rPr>
          <w:sz w:val="20"/>
          <w:szCs w:val="20"/>
          <w:color w:val="auto"/>
        </w:rPr>
      </w:pPr>
      <w:r>
        <w:rPr>
          <w:rFonts w:ascii="Times New Roman" w:cs="Times New Roman" w:eastAsia="Times New Roman" w:hAnsi="Times New Roman"/>
          <w:sz w:val="18"/>
          <w:szCs w:val="18"/>
          <w:color w:val="auto"/>
        </w:rPr>
        <w:t>The consideration to be paid to Opco in connection with the Loyalty Business Sale is $1.00, subject to certain adjustments following the Closing of the Loyalty Business Sale (the “Loyalty Business Sale Closing”). At the Loyalty Business Sale Closing, Opco shall deliver the equity of the Acquired Entities, together with an amount of cash equal to $11 million plus (i) the amount of the most negative working capital of the business that existed in the twelve months prior to the closing date and (ii) the amount of estimated indebtedness, subject to post-closing adjustments. Opco shall also place the Escrow Amount (defined below) into an escrow account, to hold funds for the indemnity obligations of Opco and the working capital adjustment and indebtedness adjustment, in each case as set forth in the Purchase Agreement and an accompanying escrow agreement. At the Loyalty Business Sale Closing, pursuant to an escrow agreement, Opco will deposit with the escrow agent (i) $1,000,000 into an indemnity escrow account (the “Indemnity Escrow Amount”), and (ii) $1,500,000 into a working capital adjustment escrow account (the “Adjustment Escrow Amount” and together with the Indemnity Escrow Amount, the “Escrow Amount”), in each case to be disbursed by the escrow agent in accordance with the terms of the Purchase Agreement and the escrow agreement. Subject to certain exceptions, on the applicable Escrow Termination Date (as defined in the Purchase Agreement), the escrow agent shall disburse the remaining Escrow Amount, if any. After the twelve-month anniversary of the closing date, the parties will determine whether the value of working capital delivered to the Purchaser at the Loyalty Business Sale Closing was greater than the greatest absolute value of working capital that existed in the twelve months following the closing date. If the value of working capital delivered to the Purchaser at the Loyalty Business Sale Closing was greater that such greatest absolute value, the Purchaser shall pay to Opco the difference between the value of working capital delivered to the Purchaser at the Loyalty Business Sale Closing and such greatest absolute value.</w:t>
      </w:r>
    </w:p>
    <w:p>
      <w:pPr>
        <w:spacing w:after="0" w:line="195" w:lineRule="exact"/>
        <w:rPr>
          <w:sz w:val="20"/>
          <w:szCs w:val="20"/>
          <w:color w:val="auto"/>
        </w:rPr>
      </w:pPr>
    </w:p>
    <w:p>
      <w:pPr>
        <w:ind w:left="300" w:right="120" w:firstLine="426"/>
        <w:spacing w:after="0" w:line="282" w:lineRule="auto"/>
        <w:rPr>
          <w:sz w:val="20"/>
          <w:szCs w:val="20"/>
          <w:color w:val="auto"/>
        </w:rPr>
      </w:pPr>
      <w:r>
        <w:rPr>
          <w:rFonts w:ascii="Times New Roman" w:cs="Times New Roman" w:eastAsia="Times New Roman" w:hAnsi="Times New Roman"/>
          <w:sz w:val="18"/>
          <w:szCs w:val="18"/>
          <w:color w:val="auto"/>
        </w:rPr>
        <w:t>Furthermore, in connection with the Loyalty Business Sale, the Company plans to enter into ancillary agreements including (i) a note issued by the Purchaser to Opco pursuant to which Opco will loan to the</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920"/>
          </w:cols>
          <w:pgMar w:left="320" w:top="455" w:right="6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567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25673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56" w:lineRule="auto"/>
        <w:rPr>
          <w:sz w:val="20"/>
          <w:szCs w:val="20"/>
          <w:color w:val="auto"/>
        </w:rPr>
      </w:pPr>
      <w:r>
        <w:rPr>
          <w:rFonts w:ascii="Times New Roman" w:cs="Times New Roman" w:eastAsia="Times New Roman" w:hAnsi="Times New Roman"/>
          <w:sz w:val="18"/>
          <w:szCs w:val="18"/>
          <w:color w:val="auto"/>
        </w:rPr>
        <w:t>Purchaser an amount equal to the restricted cash held by the Acquired Entities for the lesser of 18 months or the time the agreement is terminated pursuant to which such cash is restricted, (ii) the escrow agreement described above, and (iii) a transition services agreement pursuant to which Opco and the Purchaser or their respective affiliates will provide certain transition services to one another (the “Ancillary Agreements”). Consummation of the Loyalty Business Sale is subject to the satisfaction or waiver of certain conditions, including, but not limited to, the execution of certain of the Ancillary Agreements, the completion by the Purchaser of certain operational integrations, and the assignment of certain contracts to the Purchaser.</w:t>
      </w:r>
    </w:p>
    <w:p>
      <w:pPr>
        <w:spacing w:after="0" w:line="187"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The Loyalty Business Sale achieves a key component of the Company’s strategic transformation into a pure-play crypto infrastructure company, and is expected to close in the third quarter 2025. The Company will report the Loyalty business as a discontinued operation beginning in the quarter ending September 30, 2025, allowing management to focus resources on the Company’s core crypto offerings and stablecoin payments infrastructure.</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principal executive offices are located at 10000 Avalon Boulevard, Suite 1000, Alpharetta, Georgia 30009. Our telephone number is</w:t>
      </w:r>
    </w:p>
    <w:p>
      <w:pPr>
        <w:spacing w:after="0" w:line="27" w:lineRule="exact"/>
        <w:rPr>
          <w:sz w:val="20"/>
          <w:szCs w:val="20"/>
          <w:color w:val="auto"/>
        </w:rPr>
      </w:pPr>
    </w:p>
    <w:p>
      <w:pPr>
        <w:ind w:left="300" w:right="40" w:hanging="2"/>
        <w:spacing w:after="0" w:line="260" w:lineRule="auto"/>
        <w:tabs>
          <w:tab w:leader="none" w:pos="7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534-5849. Our website is https://www.bakkt.com. Information contained on, or that can be accessed through, our website is not a part of, and is not incorporated into, this prospectus, and the inclusion of our website address in this prospectus is an inactive textual reference only.</w:t>
      </w:r>
    </w:p>
    <w:p>
      <w:pPr>
        <w:spacing w:after="0" w:line="30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940"/>
          </w:cols>
          <w:pgMar w:left="320" w:top="455" w:right="6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95"/>
        </w:trPr>
        <w:tc>
          <w:tcPr>
            <w:tcW w:w="4080" w:type="dxa"/>
            <w:vAlign w:val="bottom"/>
            <w:tcBorders>
              <w:top w:val="single" w:sz="8" w:color="auto"/>
              <w:left w:val="single" w:sz="8" w:color="auto"/>
            </w:tcBorders>
          </w:tcPr>
          <w:p>
            <w:pPr>
              <w:spacing w:after="0"/>
              <w:rPr>
                <w:sz w:val="24"/>
                <w:szCs w:val="24"/>
                <w:color w:val="auto"/>
              </w:rPr>
            </w:pPr>
          </w:p>
        </w:tc>
        <w:tc>
          <w:tcPr>
            <w:tcW w:w="5700" w:type="dxa"/>
            <w:vAlign w:val="bottom"/>
            <w:tcBorders>
              <w:top w:val="single" w:sz="8" w:color="auto"/>
            </w:tcBorders>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right w:val="single" w:sz="8" w:color="auto"/>
            </w:tcBorders>
          </w:tcPr>
          <w:p>
            <w:pPr>
              <w:spacing w:after="0"/>
              <w:rPr>
                <w:sz w:val="24"/>
                <w:szCs w:val="24"/>
                <w:color w:val="auto"/>
              </w:rPr>
            </w:pPr>
          </w:p>
        </w:tc>
      </w:tr>
      <w:tr>
        <w:trPr>
          <w:trHeight w:val="459"/>
        </w:trPr>
        <w:tc>
          <w:tcPr>
            <w:tcW w:w="40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Bakkt Holdings, Inc.</w:t>
            </w:r>
          </w:p>
        </w:tc>
        <w:tc>
          <w:tcPr>
            <w:tcW w:w="18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r>
      <w:tr>
        <w:trPr>
          <w:trHeight w:val="473"/>
        </w:trPr>
        <w:tc>
          <w:tcPr>
            <w:tcW w:w="40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Common Stock offered by us</w:t>
            </w:r>
          </w:p>
        </w:tc>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shares of Common Stock</w:t>
            </w:r>
          </w:p>
        </w:tc>
        <w:tc>
          <w:tcPr>
            <w:tcW w:w="18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r>
      <w:tr>
        <w:trPr>
          <w:trHeight w:val="454"/>
        </w:trPr>
        <w:tc>
          <w:tcPr>
            <w:tcW w:w="40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Pre-Funded Warrants offered by us</w:t>
            </w:r>
          </w:p>
        </w:tc>
        <w:tc>
          <w:tcPr>
            <w:tcW w:w="6940" w:type="dxa"/>
            <w:vAlign w:val="bottom"/>
            <w:tcBorders>
              <w:right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color w:val="auto"/>
              </w:rPr>
              <w:t>We are also offering, in lieu of common stock to certain investors, Pre-Funded Warrants to</w:t>
            </w:r>
          </w:p>
        </w:tc>
      </w:tr>
      <w:tr>
        <w:trPr>
          <w:trHeight w:val="216"/>
        </w:trPr>
        <w:tc>
          <w:tcPr>
            <w:tcW w:w="4080" w:type="dxa"/>
            <w:vAlign w:val="bottom"/>
            <w:tcBorders>
              <w:left w:val="single" w:sz="8" w:color="auto"/>
            </w:tcBorders>
          </w:tcPr>
          <w:p>
            <w:pPr>
              <w:spacing w:after="0"/>
              <w:rPr>
                <w:sz w:val="18"/>
                <w:szCs w:val="18"/>
                <w:color w:val="auto"/>
              </w:rPr>
            </w:pPr>
          </w:p>
        </w:tc>
        <w:tc>
          <w:tcPr>
            <w:tcW w:w="1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purchase              </w:t>
            </w:r>
          </w:p>
        </w:tc>
        <w:tc>
          <w:tcPr>
            <w:tcW w:w="55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shares of our Common Stock. The purchase price of each Pre-Funded</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color w:val="auto"/>
              </w:rPr>
              <w:t>Warrant equals the price per share at which the Common Stock is being sold to the public</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color w:val="auto"/>
              </w:rPr>
              <w:t>in this Offering, minus $0.0001, and the exercise price of each Pre-Funded Warrant will be</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color w:val="auto"/>
              </w:rPr>
              <w:t>$0.0001 per share. Each Pre-Funded Warrant will be exercisable at any time after its</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color w:val="auto"/>
              </w:rPr>
              <w:t>original issuance and on or prior to 5:00 p.m. (New York City time), subject to an</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color w:val="auto"/>
              </w:rPr>
              <w:t>ownership limitation. See “Description of Pre-Funded Warrants.” This prospectus</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color w:val="auto"/>
              </w:rPr>
              <w:t>supplement also relates to the registration of the Common Stock issuable upon exercise of</w:t>
            </w:r>
          </w:p>
        </w:tc>
      </w:tr>
      <w:tr>
        <w:trPr>
          <w:trHeight w:val="234"/>
        </w:trPr>
        <w:tc>
          <w:tcPr>
            <w:tcW w:w="4080" w:type="dxa"/>
            <w:vAlign w:val="bottom"/>
            <w:tcBorders>
              <w:left w:val="single" w:sz="8" w:color="auto"/>
            </w:tcBorders>
          </w:tcPr>
          <w:p>
            <w:pPr>
              <w:spacing w:after="0"/>
              <w:rPr>
                <w:sz w:val="20"/>
                <w:szCs w:val="20"/>
                <w:color w:val="auto"/>
              </w:rPr>
            </w:pPr>
          </w:p>
        </w:tc>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such pre-funded warrants.</w:t>
            </w:r>
          </w:p>
        </w:tc>
        <w:tc>
          <w:tcPr>
            <w:tcW w:w="18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r>
      <w:tr>
        <w:trPr>
          <w:trHeight w:val="437"/>
        </w:trPr>
        <w:tc>
          <w:tcPr>
            <w:tcW w:w="40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 of Common</w:t>
            </w:r>
          </w:p>
        </w:tc>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8"/>
              </w:rPr>
              <w:t>We have granted the underwriters an option to purchase up to an additional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shares</w:t>
            </w:r>
          </w:p>
        </w:tc>
      </w:tr>
      <w:tr>
        <w:trPr>
          <w:trHeight w:val="220"/>
        </w:trPr>
        <w:tc>
          <w:tcPr>
            <w:tcW w:w="408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Stock and additional Pre-Funded Warrants</w:t>
            </w:r>
          </w:p>
        </w:tc>
        <w:tc>
          <w:tcPr>
            <w:tcW w:w="6940" w:type="dxa"/>
            <w:vAlign w:val="bottom"/>
            <w:tcBorders>
              <w:right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color w:val="auto"/>
              </w:rPr>
              <w:t>of our Common Stock and an additional Pre-Funded Warrants at the offering price from us</w:t>
            </w:r>
          </w:p>
        </w:tc>
      </w:tr>
      <w:tr>
        <w:trPr>
          <w:trHeight w:val="234"/>
        </w:trPr>
        <w:tc>
          <w:tcPr>
            <w:tcW w:w="4080" w:type="dxa"/>
            <w:vAlign w:val="bottom"/>
            <w:tcBorders>
              <w:left w:val="single" w:sz="8" w:color="auto"/>
            </w:tcBorders>
          </w:tcPr>
          <w:p>
            <w:pPr>
              <w:spacing w:after="0"/>
              <w:rPr>
                <w:sz w:val="20"/>
                <w:szCs w:val="20"/>
                <w:color w:val="auto"/>
              </w:rPr>
            </w:pPr>
          </w:p>
        </w:tc>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within 30 days of the date of this prospectus supplement.</w:t>
            </w:r>
          </w:p>
        </w:tc>
        <w:tc>
          <w:tcPr>
            <w:tcW w:w="18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r>
      <w:tr>
        <w:trPr>
          <w:trHeight w:val="459"/>
        </w:trPr>
        <w:tc>
          <w:tcPr>
            <w:tcW w:w="40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Common Stock Outstanding prior to Offering</w:t>
            </w:r>
          </w:p>
        </w:tc>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7,344,221 shares of Common Stock.</w:t>
            </w:r>
          </w:p>
        </w:tc>
        <w:tc>
          <w:tcPr>
            <w:tcW w:w="18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r>
      <w:tr>
        <w:trPr>
          <w:trHeight w:val="454"/>
        </w:trPr>
        <w:tc>
          <w:tcPr>
            <w:tcW w:w="40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Common Stock Outstanding after this Offering</w:t>
            </w:r>
          </w:p>
        </w:tc>
        <w:tc>
          <w:tcPr>
            <w:tcW w:w="6940" w:type="dxa"/>
            <w:vAlign w:val="bottom"/>
            <w:tcBorders>
              <w:right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color w:val="auto"/>
              </w:rPr>
              <w:t>         shares of Common Stock (or            shares if the underwriters exercise their</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color w:val="auto"/>
              </w:rPr>
              <w:t>option to purchase additional shares of our Common Stock in full). No effect is given to the</w:t>
            </w:r>
          </w:p>
        </w:tc>
      </w:tr>
      <w:tr>
        <w:trPr>
          <w:trHeight w:val="234"/>
        </w:trPr>
        <w:tc>
          <w:tcPr>
            <w:tcW w:w="4080" w:type="dxa"/>
            <w:vAlign w:val="bottom"/>
            <w:tcBorders>
              <w:left w:val="single" w:sz="8" w:color="auto"/>
            </w:tcBorders>
          </w:tcPr>
          <w:p>
            <w:pPr>
              <w:spacing w:after="0"/>
              <w:rPr>
                <w:sz w:val="20"/>
                <w:szCs w:val="20"/>
                <w:color w:val="auto"/>
              </w:rPr>
            </w:pPr>
          </w:p>
        </w:tc>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exercise of the Pre-Funded Warrants.</w:t>
            </w:r>
          </w:p>
        </w:tc>
        <w:tc>
          <w:tcPr>
            <w:tcW w:w="18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r>
      <w:tr>
        <w:trPr>
          <w:trHeight w:val="441"/>
        </w:trPr>
        <w:tc>
          <w:tcPr>
            <w:tcW w:w="40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We expect the net proceeds from this Offering will be approximately $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million (or</w:t>
            </w:r>
          </w:p>
        </w:tc>
      </w:tr>
      <w:tr>
        <w:trPr>
          <w:trHeight w:val="216"/>
        </w:trPr>
        <w:tc>
          <w:tcPr>
            <w:tcW w:w="4080" w:type="dxa"/>
            <w:vAlign w:val="bottom"/>
            <w:tcBorders>
              <w:left w:val="single" w:sz="8" w:color="auto"/>
            </w:tcBorders>
          </w:tcPr>
          <w:p>
            <w:pPr>
              <w:spacing w:after="0"/>
              <w:rPr>
                <w:sz w:val="18"/>
                <w:szCs w:val="18"/>
                <w:color w:val="auto"/>
              </w:rPr>
            </w:pPr>
          </w:p>
        </w:tc>
        <w:tc>
          <w:tcPr>
            <w:tcW w:w="1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approximately $ </w:t>
            </w:r>
          </w:p>
        </w:tc>
        <w:tc>
          <w:tcPr>
            <w:tcW w:w="550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         million if the underwriters exercise their option to purchase</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color w:val="auto"/>
              </w:rPr>
              <w:t>additional shares of our Common Stock and additional Pre-Funded Warrants in full) after</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color w:val="auto"/>
              </w:rPr>
              <w:t>deducting the underwriting discounts and commissions, as described in “Underwriting,”</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color w:val="auto"/>
              </w:rPr>
              <w:t>and estimated Offering expenses payable by us. We intend to use the net proceeds from this</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color w:val="auto"/>
              </w:rPr>
              <w:t>Offering to purchase Bitcoin and other digital assets in accordance with our Investment</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color w:val="auto"/>
              </w:rPr>
              <w:t>Policy, for working capital and for general corporate purposes. See “Use of Proceeds” on</w:t>
            </w:r>
          </w:p>
        </w:tc>
      </w:tr>
      <w:tr>
        <w:trPr>
          <w:trHeight w:val="234"/>
        </w:trPr>
        <w:tc>
          <w:tcPr>
            <w:tcW w:w="4080" w:type="dxa"/>
            <w:vAlign w:val="bottom"/>
            <w:tcBorders>
              <w:left w:val="single" w:sz="8" w:color="auto"/>
            </w:tcBorders>
          </w:tcPr>
          <w:p>
            <w:pPr>
              <w:spacing w:after="0"/>
              <w:rPr>
                <w:sz w:val="20"/>
                <w:szCs w:val="20"/>
                <w:color w:val="auto"/>
              </w:rPr>
            </w:pPr>
          </w:p>
        </w:tc>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page S-11 of this prospectus supplement.</w:t>
            </w:r>
          </w:p>
        </w:tc>
        <w:tc>
          <w:tcPr>
            <w:tcW w:w="18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r>
      <w:tr>
        <w:trPr>
          <w:trHeight w:val="441"/>
        </w:trPr>
        <w:tc>
          <w:tcPr>
            <w:tcW w:w="40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NYSE trading symbol</w:t>
            </w:r>
          </w:p>
        </w:tc>
        <w:tc>
          <w:tcPr>
            <w:tcW w:w="6940" w:type="dxa"/>
            <w:vAlign w:val="bottom"/>
            <w:tcBorders>
              <w:right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color w:val="auto"/>
              </w:rPr>
              <w:t>Our Common Stock is listed on the NYSE under the symbol “BKKT”. We do not intend to</w:t>
            </w:r>
          </w:p>
        </w:tc>
      </w:tr>
      <w:tr>
        <w:trPr>
          <w:trHeight w:val="216"/>
        </w:trPr>
        <w:tc>
          <w:tcPr>
            <w:tcW w:w="40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color w:val="auto"/>
              </w:rPr>
              <w:t>apply for listing of the Pre-Funded Warrants on the NYSE or any securities exchange or</w:t>
            </w:r>
          </w:p>
        </w:tc>
      </w:tr>
      <w:tr>
        <w:trPr>
          <w:trHeight w:val="234"/>
        </w:trPr>
        <w:tc>
          <w:tcPr>
            <w:tcW w:w="4080" w:type="dxa"/>
            <w:vAlign w:val="bottom"/>
            <w:tcBorders>
              <w:left w:val="single" w:sz="8" w:color="auto"/>
            </w:tcBorders>
          </w:tcPr>
          <w:p>
            <w:pPr>
              <w:spacing w:after="0"/>
              <w:rPr>
                <w:sz w:val="20"/>
                <w:szCs w:val="20"/>
                <w:color w:val="auto"/>
              </w:rPr>
            </w:pPr>
          </w:p>
        </w:tc>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nationally recognized trading system.</w:t>
            </w:r>
          </w:p>
        </w:tc>
        <w:tc>
          <w:tcPr>
            <w:tcW w:w="18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r>
      <w:tr>
        <w:trPr>
          <w:trHeight w:val="172"/>
        </w:trPr>
        <w:tc>
          <w:tcPr>
            <w:tcW w:w="4080" w:type="dxa"/>
            <w:vAlign w:val="bottom"/>
            <w:tcBorders>
              <w:left w:val="single" w:sz="8" w:color="auto"/>
              <w:bottom w:val="single" w:sz="8" w:color="auto"/>
            </w:tcBorders>
          </w:tcPr>
          <w:p>
            <w:pPr>
              <w:spacing w:after="0"/>
              <w:rPr>
                <w:sz w:val="14"/>
                <w:szCs w:val="14"/>
                <w:color w:val="auto"/>
              </w:rPr>
            </w:pPr>
          </w:p>
        </w:tc>
        <w:tc>
          <w:tcPr>
            <w:tcW w:w="5700" w:type="dxa"/>
            <w:vAlign w:val="bottom"/>
            <w:tcBorders>
              <w:bottom w:val="single" w:sz="8" w:color="auto"/>
            </w:tcBorders>
            <w:gridSpan w:val="2"/>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r>
      <w:tr>
        <w:trPr>
          <w:trHeight w:val="361"/>
        </w:trPr>
        <w:tc>
          <w:tcPr>
            <w:tcW w:w="4080" w:type="dxa"/>
            <w:vAlign w:val="bottom"/>
          </w:tcPr>
          <w:p>
            <w:pPr>
              <w:spacing w:after="0"/>
              <w:rPr>
                <w:sz w:val="24"/>
                <w:szCs w:val="24"/>
                <w:color w:val="auto"/>
              </w:rPr>
            </w:pPr>
          </w:p>
        </w:tc>
        <w:tc>
          <w:tcPr>
            <w:tcW w:w="570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S-6</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0473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30473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number of shares of our Common Stock to be outstanding immediately after the closing of this Offering is based on 7,344,221 shares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Common Stock outstanding as of July 25, 2025 and excludes, as of that date:</w:t>
      </w:r>
    </w:p>
    <w:p>
      <w:pPr>
        <w:spacing w:after="0" w:line="112" w:lineRule="exact"/>
        <w:rPr>
          <w:sz w:val="20"/>
          <w:szCs w:val="20"/>
          <w:color w:val="auto"/>
        </w:rPr>
      </w:pPr>
    </w:p>
    <w:p>
      <w:pPr>
        <w:ind w:left="1240" w:right="40" w:hanging="415"/>
        <w:spacing w:after="0" w:line="282"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7,177,076 shares of Common Stock reserved for the exchange of paired interests represented by our Class V common stock, par value $0.0001 per share (“Class V Common Stock”);</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285,615 shares of Common Stock reserved for the exercise of publicly traded warrants currently listed on the NYSE;</w:t>
      </w:r>
    </w:p>
    <w:p>
      <w:pPr>
        <w:spacing w:after="0" w:line="130"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3,091,730 shares of Common Stock reserved for outstanding equity awards and the remaining pool of incentive equity available under our Omnibus Incentive Plan;</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1,153,200 shares of Common Stock reserved for the exercise of Class 1 Warrants;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864,650 shares of Common Stock reserved for the exercise of Class 2 Warrants;</w:t>
      </w:r>
    </w:p>
    <w:p>
      <w:pPr>
        <w:spacing w:after="0" w:line="130" w:lineRule="exact"/>
        <w:rPr>
          <w:rFonts w:ascii="Times New Roman" w:cs="Times New Roman" w:eastAsia="Times New Roman" w:hAnsi="Times New Roman"/>
          <w:sz w:val="18"/>
          <w:szCs w:val="18"/>
          <w:color w:val="auto"/>
        </w:rPr>
      </w:pPr>
    </w:p>
    <w:p>
      <w:pPr>
        <w:jc w:val="both"/>
        <w:ind w:left="1240" w:right="120" w:hanging="415"/>
        <w:spacing w:after="0" w:line="266"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1,619,143 shares of Common Stock reserved for the exercise of the inducement grant provided to Akshay Naheta in connection with his appointment as the Company’s Co-Chief Executive Officer; provided, however, the reservation of these shares of Common Stock is subject to stockholder approval;</w:t>
      </w:r>
    </w:p>
    <w:p>
      <w:pPr>
        <w:spacing w:after="0" w:line="81" w:lineRule="exact"/>
        <w:rPr>
          <w:rFonts w:ascii="Times New Roman" w:cs="Times New Roman" w:eastAsia="Times New Roman" w:hAnsi="Times New Roman"/>
          <w:sz w:val="18"/>
          <w:szCs w:val="18"/>
          <w:color w:val="auto"/>
        </w:rPr>
      </w:pPr>
    </w:p>
    <w:p>
      <w:pPr>
        <w:jc w:val="both"/>
        <w:ind w:left="1240" w:hanging="415"/>
        <w:spacing w:after="0" w:line="266"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10,017,153 shares of Common Stock reserved for the issuance to YA II PN, LTD., a Cayman Islands exempt limited company (“YA”), upon conversion of the Company’s $25 million convertible debenture, dated June 18, 2025 (“Convertible Debenture”), sold to YA in a private placement (the “Private Placement”); and</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to be reserved for issuance in connection with the exercise of the Options.</w:t>
      </w:r>
    </w:p>
    <w:p>
      <w:pPr>
        <w:spacing w:after="0" w:line="34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0920"/>
          </w:cols>
          <w:pgMar w:left="320" w:top="455" w:right="6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Before purchasing the Common Stock or Pre-Funded Warrants offered by this prospectus supplement you should consider carefully the risk factors described in this prospectus supplement, the accompanying prospectus, as well as the risks, uncertainties and assumptions discussed under “Part I—Item 1A—Risk Factors” of our most recent Annual Report on Form 10-K and in “Part II—Item 1A—Risk Factors” of our Quarterly Reports on Form 10-Q filed subsequently to such Form 10-K that are incorporated herein by reference, as may be amended, supplemented or superseded from time to time by other reports we file with the SEC in the future. In addition, you should consider the risks, uncertainties and assumptions discussed under the heading “Risk Factors Related to the Update of Our Investment Policy” in Exhibit 99.1 to our Current Report on Form 8-K filed on June 10, 2025 that is incorporated by reference in this prospectus before you invest in our securities. The risks and uncertainties we have described are not the only ones we face. Additional risks and uncertainties not presently known to us or that we currently deem immaterial may also affect our operations.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shares of Common Stock in this Offering, you will suffer immediate dilution of your investment.</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public offering price of our Common Stock is substantially higher than the net tangible book value per share of our Common Stock. Therefore, if you purchase shares of our Common Stock in this Offering, you will pay a price per share that substantially exceeds our net tangible book value per share after giving effect to this Offering. If you purchase Common Stock in this offering, you will incur an immediate and substantial dilution in net tangible book value of $        per share, after giving effect to the sale by us of         shares in this Offering at the public offering price of $        per share. Furthermore, if the Pre-Funded Warrants offered hereby are exercised, you will experience further dilution. For a further description of the dilution that you will experience immediately after this offering, see “Dilution.” In addition, in the past, we have issued options to acquire Common Stock at prices significantly below the offering price. To the extent these outstanding options are ultimately exercised, you will incur additional dilution.</w:t>
      </w:r>
    </w:p>
    <w:p>
      <w:pPr>
        <w:spacing w:after="0" w:line="296"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will have broad discretion over the use of the net proceeds from this Offering, you may not agree with how we use the proceeds, and the proceeds may not be invested successfully.</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to purchase Bitcoin and other digital assets in accordance with our Investment Policy, for working capital and for general corporate purposes. Our management will have broad discretion in the application of the net proceeds from this Offering and could spend the proceeds in ways that do not improve our results of operations or enhance the value of our securities. The failure by management to apply these funds effectively could result in financial losses that could have a material adverse effect on our business and cause the price of our Common Stock to decline.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Future issuances and sales into the market of our Common Stock or other equity securities may reduce the market price of our securities.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Additional shares of our Common Stock or other equity securities may be issued and sold into the market in the future in connection with, among other things, the exercise of Options, the conversion of the Convertible Debenture into shares of Common Stock by YA, the exercise of the Pre-Funded Warrants, future acquisitions, repayment of outstanding indebtedness or grants under the Omnibus Incentive Plan, without stockholder approval in a number of circumstances. The issuance and sale into the market of additional shares of Common Stock or other equity securities could have, among other things, one or more of the following effects: our existing stockholders’ proportionate ownership interest will decrease; the amount of cash available per share, including for payment of dividends in the future, may decrease; the relative voting strength of each previously outstanding</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00"/>
          </w:cols>
          <w:pgMar w:left="320" w:top="455"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share of our Common Stock may be diminished; and the market price of our Common Stock may decline. Moreover, if such sales of equity securities occur at a deemed issuance price that is lower than the current conversion price of the Convertible Debenture, the fixed price component of the conversion price for the Convertible Debenture would adjust downward to the deemed issuance price pursuant to price adjustment protection contained within the Convertible Debenture.</w:t>
      </w:r>
    </w:p>
    <w:p>
      <w:pPr>
        <w:spacing w:after="0" w:line="284"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capital, and any additional capital we seek may not be available in the amount or at the time we need it, or on terms that would be acceptable to us.</w:t>
      </w:r>
    </w:p>
    <w:p>
      <w:pPr>
        <w:spacing w:after="0" w:line="5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We may need to raise funds in the future to execute our business plan. We may seek to raise additional capital to fund or expand our business, pursue strategic investments, and take advantage of financing or other opportunities that we believe to be in our best interests and the interests of our stockholders. Additional capital may be raised through the sale of common or preferred equity or convertible debt securities, entry into debt facilities or other third-party funding arrangements. The sale of equity and convertible debt securities may result in dilution to our stockholders and those securities may have rights senior to those of our Common Stock. Agreements entered into in connection with such capital raising activities could contain covenants that would restrict our operations or require us to relinquish certain rights. Additional capital may not be available on reasonable terms, or at all. If we cannot timely raise any needed funds, we may be forced to reduce our operating expenses, which could adversely affect our ability to implement our long-term strategic roadmap and grow our business.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securities may be volatile.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trading market for our securities has in the past been and could in the future be impacted by market volatility. During the 12 months ended July 25, 2025, the market price of our Common Stock has ranged from a high of $37.21 per share to a low of $6.81 per share. This market volatility could reduce the market price of our securities without regard to our operating performance. In addition, the trading price of our Common Stock could change significantly in response to actual or anticipated variations in our quarterly operating results, announcements by us or our competitors, factors affecting the crypto industry generally, changes in national or regional economic conditions, changes in securities analysts’ estimates for us or our competitors’ or industry’s future performance or general market conditions, making it more difficult for our securities to be sold at a favorable price or at all. The market price of our Common Stock could also be reduced by general market price declines or market volatility in the future or future declines or volatility in the prices of stocks for companies in our industry.</w:t>
      </w:r>
    </w:p>
    <w:p>
      <w:pPr>
        <w:spacing w:after="0" w:line="296"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5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anticipate that we will retain our earnings, if any, for future growth and therefore do not anticipate paying cash dividends in the future. As a result, only appreciation of the price of our Common Stock will provide a return to stockholders.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the Pre-Funded Warrants being offered in this offering.</w:t>
      </w:r>
    </w:p>
    <w:p>
      <w:pPr>
        <w:spacing w:after="0" w:line="12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There is no public trading market for the Pre-Funded Warrants being offered in this offering, and we do not expect a market to develop. In addition, we do not intend to apply to list the Pre-Funded Warrants on any securities exchange or nationally recognized trading system, including the NYSE. Without an active market, the liquidity of the Pre-Funded Warrants will be limited.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will not receive a significant amount or any additional funds upon the exercise of the Pre-Funded Warrants.</w:t>
      </w:r>
    </w:p>
    <w:p>
      <w:pPr>
        <w:spacing w:after="0" w:line="121"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Each Pre-Funded Warrant is exercisable for $0.0001 per share underlying such Pre-Funded Warrant which may be paid by way of a cashless exercise, meaning that the holder may not pay a cash purchase price upon exercise, but instead would receive upon such exercise the net number of shares of Common Stock determined according to the formula set forth in the Pre-Funded Warrant. Accordingly, we will not receive a significant amount or any additional funds upon the exercise of the Pre-Funded Warrants.</w:t>
      </w:r>
    </w:p>
    <w:p>
      <w:pPr>
        <w:spacing w:after="0" w:line="284" w:lineRule="exact"/>
        <w:rPr>
          <w:sz w:val="20"/>
          <w:szCs w:val="20"/>
          <w:color w:val="auto"/>
        </w:rPr>
      </w:pPr>
    </w:p>
    <w:p>
      <w:pPr>
        <w:ind w:left="12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Pre-Funded Warrants purchased in this offering will have no rights as stockholders until such holders exercise their Pre-Funded Warrants and acquire our Common Stock.</w:t>
      </w:r>
    </w:p>
    <w:p>
      <w:pPr>
        <w:spacing w:after="0" w:line="5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Until holders of Pre-Funded Warrant acquire our Common Stock upon exercise of the Pre-Funded Warrants, holders of Pre-Funded Warrants will have no rights with respect to the Common Stock underlying such Pre-Funded Warrants. Upon exercise of the Pre-Funded Warrants, the holders will be entitled to exercise the rights of a stockholder only as to matters for which the record date occurs after the exercise date.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Significant holders or beneficial holders of our Common Stock may not be permitted to exercise Pre-Funded Warrants that they hold.</w:t>
      </w:r>
    </w:p>
    <w:p>
      <w:pPr>
        <w:spacing w:after="0" w:line="121" w:lineRule="exact"/>
        <w:rPr>
          <w:sz w:val="20"/>
          <w:szCs w:val="20"/>
          <w:color w:val="auto"/>
        </w:rPr>
      </w:pPr>
    </w:p>
    <w:p>
      <w:pPr>
        <w:ind w:left="120" w:right="400" w:firstLine="440"/>
        <w:spacing w:after="0" w:line="276" w:lineRule="auto"/>
        <w:rPr>
          <w:sz w:val="20"/>
          <w:szCs w:val="20"/>
          <w:color w:val="auto"/>
        </w:rPr>
      </w:pPr>
      <w:r>
        <w:rPr>
          <w:rFonts w:ascii="Times New Roman" w:cs="Times New Roman" w:eastAsia="Times New Roman" w:hAnsi="Times New Roman"/>
          <w:sz w:val="17"/>
          <w:szCs w:val="17"/>
          <w:color w:val="auto"/>
        </w:rPr>
        <w:t>A holder of a Pre-Funded Warrant will not be entitled to exercise any portion of any Pre-Funded Warrant which, upon giving effect to such exercise, would cause (i) the aggregate number of shares of Common Stock beneficially owned by the holder (together with its affiliates) to exceed</w:t>
      </w:r>
    </w:p>
    <w:p>
      <w:pPr>
        <w:spacing w:after="0" w:line="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4.99% (or, at the holder’s option upon issuance, 9.99%) of the number of our shares of Common Stock outstanding immediately after giving effect to the exercise, or (ii) the combined voting power of our securities beneficially owned by the holder (together with its affiliates) to exceed 4.99% (or, at the holder’s option upon issuance, 9.99%) of the combined voting power of all of our securities then outstanding immediately after giving effect to the exercise, as such percentage ownership is determined in accordance with the terms of the Pre-Funded Warrants, which percentage may be increased or decreased upon 61 days’ prior notice. As a result, you may not be able to exercise your Pre-Funded Warrants for our Common Stock at a time when it would be financially beneficial for you to do so. In such circumstance you could seek to sell your Pre-Funded Warrants to realize value, but you may be unable to do so in the absence of an established trading market for the Pre-Funded Warrants.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expect the net proceeds from this Offering to be approximately $        million (or approximately $        million if the underwriters exercise their option to purchase additional shares of our Common Stock and additional Pre-Funded Warrants in full), after deducting underwriting discounts and commissions, as described in “Underwriting,” and estimated Offering expenses payable by us. We will receive nominal proceeds, if any, from the exercise of the Pre-Funded Warrants.</w:t>
      </w:r>
    </w:p>
    <w:p>
      <w:pPr>
        <w:spacing w:after="0" w:line="180"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this Offering to purchase Bitcoin and other digital assets in accordance with our Investment Policy, for working capital and for general corporate purposes.</w:t>
      </w:r>
    </w:p>
    <w:p>
      <w:pPr>
        <w:spacing w:after="0" w:line="16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supplement, we cannot specify with certainty all of the particular uses of the proceeds from this Offering. Accordingly, we will retain broad discretion over the use of such proceeds. Pending the use of the net proceeds from this Offering as described above, we intend to invest the net proceeds in short-term, investment-grade securities.</w:t>
      </w:r>
    </w:p>
    <w:p>
      <w:pPr>
        <w:spacing w:after="0" w:line="3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our future earnings, if any, for use in our business and therefore do not anticipate paying cash dividends in the foreseeable future. Payment of future dividends, if any, will be at the discretion of our Board of Directors after taking into account various factors, including our financial condition, operating results, current and anticipated cash needs and plans for expansion.</w:t>
      </w:r>
    </w:p>
    <w:p>
      <w:pPr>
        <w:spacing w:after="0" w:line="39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our capitalization as of March 31, 2025:</w:t>
      </w:r>
    </w:p>
    <w:p>
      <w:pPr>
        <w:spacing w:after="0" w:line="131"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 pro forma basis to give effect to (i) the issuance of 1,928,937 shares of Common Stock granted to our employees and members of our</w:t>
      </w:r>
    </w:p>
    <w:p>
      <w:pPr>
        <w:spacing w:after="0" w:line="39" w:lineRule="exact"/>
        <w:rPr>
          <w:sz w:val="20"/>
          <w:szCs w:val="20"/>
          <w:color w:val="auto"/>
        </w:rPr>
      </w:pPr>
    </w:p>
    <w:p>
      <w:pPr>
        <w:ind w:left="1080" w:right="60"/>
        <w:spacing w:after="0" w:line="252" w:lineRule="auto"/>
        <w:rPr>
          <w:sz w:val="20"/>
          <w:szCs w:val="20"/>
          <w:color w:val="auto"/>
        </w:rPr>
      </w:pPr>
      <w:r>
        <w:rPr>
          <w:rFonts w:ascii="Times New Roman" w:cs="Times New Roman" w:eastAsia="Times New Roman" w:hAnsi="Times New Roman"/>
          <w:sz w:val="18"/>
          <w:szCs w:val="18"/>
          <w:color w:val="auto"/>
        </w:rPr>
        <w:t>Board of Directors under our Omnibus Incentive Plan issued after March 31, 2025, (ii) the conversion of 698 shares of Class V Common Stock into Common Stock, (iii) our receipt of proceeds of $23,750,000 from the sale of the Convertible Debenture to YA, (iv) the conversion of $4,000,000 of the Convertible Debenture into 321,970 shares of Common Stock, (v) the repayment of $5,000,000 outstanding under our revolving credit facility and (vi) our issuance and sale of        shares of Common Stock and Pre-Funded Warrants to purchase    shares of Common Stock, after deducting estimated underwriting fees and commissions and estimated Offering expenses payable by us and application of the net proceeds of $        .</w:t>
      </w:r>
    </w:p>
    <w:p>
      <w:pPr>
        <w:spacing w:after="0" w:line="1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040"/>
          </w:cols>
          <w:pgMar w:left="320" w:top="455" w:right="5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You should read this table in conjunction with the information contained in this prospectus supplement and the accompanying prospectus and the information incorporated by reference from our Quarterly Report on Form 10-Q for the quarter ended March 31, 2025, including the historical financial statements and related notes included in the report.</w:t>
      </w:r>
    </w:p>
    <w:p>
      <w:pPr>
        <w:spacing w:after="0" w:line="19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080" w:type="dxa"/>
            <w:vAlign w:val="bottom"/>
          </w:tcPr>
          <w:p>
            <w:pPr>
              <w:spacing w:after="0"/>
              <w:rPr>
                <w:sz w:val="15"/>
                <w:szCs w:val="15"/>
                <w:color w:val="auto"/>
              </w:rPr>
            </w:pPr>
          </w:p>
        </w:tc>
        <w:tc>
          <w:tcPr>
            <w:tcW w:w="1840" w:type="dxa"/>
            <w:vAlign w:val="bottom"/>
            <w:tcBorders>
              <w:bottom w:val="single" w:sz="8" w:color="auto"/>
            </w:tcBorders>
            <w:gridSpan w:val="3"/>
          </w:tcPr>
          <w:p>
            <w:pPr>
              <w:jc w:val="center"/>
              <w:ind w:left="295"/>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080" w:type="dxa"/>
            <w:vAlign w:val="bottom"/>
          </w:tcPr>
          <w:p>
            <w:pPr>
              <w:spacing w:after="0"/>
              <w:rPr>
                <w:sz w:val="10"/>
                <w:szCs w:val="10"/>
                <w:color w:val="auto"/>
              </w:rPr>
            </w:pPr>
          </w:p>
        </w:tc>
        <w:tc>
          <w:tcPr>
            <w:tcW w:w="126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580" w:type="dxa"/>
            <w:vAlign w:val="bottom"/>
          </w:tcPr>
          <w:p>
            <w:pPr>
              <w:jc w:val="center"/>
              <w:ind w:left="300"/>
              <w:spacing w:after="0" w:line="118" w:lineRule="exact"/>
              <w:rPr>
                <w:sz w:val="20"/>
                <w:szCs w:val="20"/>
                <w:color w:val="auto"/>
              </w:rPr>
            </w:pPr>
            <w:r>
              <w:rPr>
                <w:rFonts w:ascii="Times New Roman" w:cs="Times New Roman" w:eastAsia="Times New Roman" w:hAnsi="Times New Roman"/>
                <w:sz w:val="13"/>
                <w:szCs w:val="13"/>
                <w:b w:val="1"/>
                <w:bCs w:val="1"/>
                <w:color w:val="auto"/>
              </w:rPr>
              <w:t>As</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080" w:type="dxa"/>
            <w:vAlign w:val="bottom"/>
          </w:tcPr>
          <w:p>
            <w:pPr>
              <w:spacing w:after="0"/>
              <w:rPr>
                <w:sz w:val="15"/>
                <w:szCs w:val="15"/>
                <w:color w:val="auto"/>
              </w:rPr>
            </w:pPr>
          </w:p>
        </w:tc>
        <w:tc>
          <w:tcPr>
            <w:tcW w:w="1260" w:type="dxa"/>
            <w:vAlign w:val="bottom"/>
            <w:tcBorders>
              <w:bottom w:val="single" w:sz="8" w:color="auto"/>
            </w:tcBorders>
            <w:gridSpan w:val="2"/>
            <w:vMerge w:val="continue"/>
          </w:tcPr>
          <w:p>
            <w:pPr>
              <w:spacing w:after="0"/>
              <w:rPr>
                <w:sz w:val="15"/>
                <w:szCs w:val="15"/>
                <w:color w:val="auto"/>
              </w:rPr>
            </w:pPr>
          </w:p>
        </w:tc>
        <w:tc>
          <w:tcPr>
            <w:tcW w:w="780" w:type="dxa"/>
            <w:vAlign w:val="bottom"/>
            <w:tcBorders>
              <w:bottom w:val="single" w:sz="8" w:color="auto"/>
            </w:tcBorders>
            <w:gridSpan w:val="2"/>
          </w:tcPr>
          <w:p>
            <w:pPr>
              <w:jc w:val="center"/>
              <w:ind w:left="10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1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080" w:type="dxa"/>
            <w:vAlign w:val="bottom"/>
          </w:tcPr>
          <w:p>
            <w:pPr>
              <w:spacing w:after="0"/>
              <w:rPr>
                <w:sz w:val="10"/>
                <w:szCs w:val="10"/>
                <w:color w:val="auto"/>
              </w:rPr>
            </w:pPr>
          </w:p>
        </w:tc>
        <w:tc>
          <w:tcPr>
            <w:tcW w:w="2040" w:type="dxa"/>
            <w:vAlign w:val="bottom"/>
            <w:gridSpan w:val="4"/>
          </w:tcPr>
          <w:p>
            <w:pPr>
              <w:jc w:val="center"/>
              <w:ind w:left="95"/>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 of U.S. dollars,</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080" w:type="dxa"/>
            <w:vAlign w:val="bottom"/>
          </w:tcPr>
          <w:p>
            <w:pPr>
              <w:spacing w:after="0"/>
              <w:rPr>
                <w:sz w:val="15"/>
                <w:szCs w:val="15"/>
                <w:color w:val="auto"/>
              </w:rPr>
            </w:pPr>
          </w:p>
        </w:tc>
        <w:tc>
          <w:tcPr>
            <w:tcW w:w="1840" w:type="dxa"/>
            <w:vAlign w:val="bottom"/>
            <w:gridSpan w:val="3"/>
          </w:tcPr>
          <w:p>
            <w:pPr>
              <w:jc w:val="center"/>
              <w:ind w:left="315"/>
              <w:spacing w:after="0"/>
              <w:rPr>
                <w:sz w:val="20"/>
                <w:szCs w:val="20"/>
                <w:color w:val="auto"/>
              </w:rPr>
            </w:pPr>
            <w:r>
              <w:rPr>
                <w:rFonts w:ascii="Times New Roman" w:cs="Times New Roman" w:eastAsia="Times New Roman" w:hAnsi="Times New Roman"/>
                <w:sz w:val="14"/>
                <w:szCs w:val="14"/>
                <w:b w:val="1"/>
                <w:bCs w:val="1"/>
                <w:color w:val="auto"/>
              </w:rPr>
              <w:t>except share data)</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23,010</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Restricted cash</w:t>
            </w:r>
            <w:r>
              <w:rPr>
                <w:rFonts w:ascii="Times New Roman" w:cs="Times New Roman" w:eastAsia="Times New Roman" w:hAnsi="Times New Roman"/>
                <w:sz w:val="25"/>
                <w:szCs w:val="25"/>
                <w:color w:val="auto"/>
                <w:vertAlign w:val="superscript"/>
              </w:rPr>
              <w:t>(1)</w:t>
            </w: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19,754</w:t>
            </w: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Amounts drawn under revolving credit facility</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440" w:type="dxa"/>
            <w:vAlign w:val="bottom"/>
          </w:tcPr>
          <w:p>
            <w:pPr>
              <w:spacing w:after="0"/>
              <w:rPr>
                <w:sz w:val="19"/>
                <w:szCs w:val="19"/>
                <w:color w:val="auto"/>
              </w:rPr>
            </w:pPr>
          </w:p>
        </w:tc>
        <w:tc>
          <w:tcPr>
            <w:tcW w:w="58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5,000</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0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Class A Common Stock ($0.0001 par value, 30,000,000 shares authorized,</w:t>
            </w: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6,656,355 shares issued and outstanding as of March 31, 2025 and</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shares pro forma as of the date of this prospectus supplement</w:t>
            </w: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0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Class V Common Stock ($0.0001 par value, 10,000,000 shares</w:t>
            </w: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authorized, 7,177,774 shares issued and outstanding as of March 31,</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2025 and 7,177,076 shares pro forma as of the date of this prospectus</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supplement</w:t>
            </w: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835,134</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(827)</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Accumulated deficit</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(790,250)</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44,059</w:t>
            </w:r>
          </w:p>
        </w:tc>
        <w:tc>
          <w:tcPr>
            <w:tcW w:w="44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37,500</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equity</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81,559</w:t>
            </w:r>
          </w:p>
        </w:tc>
        <w:tc>
          <w:tcPr>
            <w:tcW w:w="440" w:type="dxa"/>
            <w:vAlign w:val="bottom"/>
          </w:tcPr>
          <w:p>
            <w:pPr>
              <w:spacing w:after="0"/>
              <w:rPr>
                <w:sz w:val="20"/>
                <w:szCs w:val="20"/>
                <w:color w:val="auto"/>
              </w:rPr>
            </w:pPr>
          </w:p>
        </w:tc>
        <w:tc>
          <w:tcPr>
            <w:tcW w:w="58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119,323</w:t>
            </w:r>
          </w:p>
        </w:tc>
        <w:tc>
          <w:tcPr>
            <w:tcW w:w="4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hanging="424"/>
        <w:spacing w:after="0" w:line="208" w:lineRule="auto"/>
        <w:tabs>
          <w:tab w:leader="none" w:pos="540" w:val="left"/>
        </w:tabs>
        <w:numPr>
          <w:ilvl w:val="0"/>
          <w:numId w:val="1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Restricted cash is held to satisfy certain minimum capital requirements pursuant to regulatory requirements, or as collateral for insurance contracts and our purchasing card facility.</w:t>
      </w:r>
    </w:p>
    <w:p>
      <w:pPr>
        <w:spacing w:after="0" w:line="199" w:lineRule="exact"/>
        <w:rPr>
          <w:rFonts w:ascii="Times New Roman" w:cs="Times New Roman" w:eastAsia="Times New Roman" w:hAnsi="Times New Roman"/>
          <w:sz w:val="27"/>
          <w:szCs w:val="27"/>
          <w:color w:val="auto"/>
          <w:vertAlign w:val="superscript"/>
        </w:rPr>
      </w:pPr>
    </w:p>
    <w:p>
      <w:pPr>
        <w:ind w:left="560"/>
        <w:spacing w:after="0"/>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number of shares of our Common Stock in the table above excludes, as of March 31, 2025:</w:t>
      </w:r>
    </w:p>
    <w:p>
      <w:pPr>
        <w:spacing w:after="0" w:line="130" w:lineRule="exact"/>
        <w:rPr>
          <w:rFonts w:ascii="Times New Roman" w:cs="Times New Roman" w:eastAsia="Times New Roman" w:hAnsi="Times New Roman"/>
          <w:sz w:val="27"/>
          <w:szCs w:val="27"/>
          <w:color w:val="auto"/>
          <w:vertAlign w:val="superscript"/>
        </w:rPr>
      </w:pPr>
    </w:p>
    <w:p>
      <w:pPr>
        <w:ind w:left="1080" w:hanging="424"/>
        <w:spacing w:after="0"/>
        <w:tabs>
          <w:tab w:leader="none" w:pos="10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7,177,774 shares of Common Stock reserved for the exchange of paired interests represented by our Class V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285,619 shares of Common Stock reserved for the exercise of publicly traded warrants currently listed on the NYSE;</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2,454,434 shares of Common Stock reserved for outstanding equity awards and the remaining pool of incentive equity available under our Omnibus Incentive Plan;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1,153,200 shares of Common Stock reserved for the exercise of Class 1 Warrants;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864,650 shares of Common Stock reserved for the exercise of Class 2 Warrants.</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THE COMMON STOCK</w:t>
      </w:r>
    </w:p>
    <w:p>
      <w:pPr>
        <w:spacing w:after="0" w:line="229"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material terms and provisions of our Common Stock are described under the caption “Description of Capital Stock” in the accompanying prospectus and are incorporated herein by reference.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00"/>
          </w:cols>
          <w:pgMar w:left="320" w:top="455"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PRE-FUNDED WARRANTS</w:t>
      </w:r>
    </w:p>
    <w:p>
      <w:pPr>
        <w:spacing w:after="0" w:line="229"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brief summary of certain terms and conditions of the Pre-Funded Warrants being offered in this Offering. The following description is subject in all respects to the provisions contained in the Pre-Funded Warrants.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Pre-Funded Warrants will be issued as individual warrant agreements to the purchasers. The form of Pre-Funded Warrant will be filed as an exhibit to a Current Report on Form 8-K that we will file with the SEC.</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Pre-Funded Warrants will not expire until they are fully exercised.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Exercisability</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Pre-Funded Warrants are exercisable at any time after their original issuance. The Pre-Funded Warrants will be exercisable, at the option of the holder, in whole or in part by delivering to us a duly executed exercise notice and by payment in full of the exercise price in immediately available funds for the number of shares of Common Stock purchased upon such exercise. As an alternative to payment in immediately available funds, the holder may, in its sole discretion, elect to exercise the Pre-Funded Warrants through a cashless exercise, in which case the holder would receive upon such exercise the net number of shares of our Common Stock determined according to the formula set forth in the Pre-Funded Warrants. No fractional shares of our Common Stock will be issued in connection with the exercise of a Pre-Funded Warrant. In lieu of fractional shares, we will, at our election, either pay a cash adjustment in respect of such final fraction in an amount equal to such fraction multiplied by the Exercise Price (as defined in the Pre-Funded Warrant) or round up to the next whole share.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Limitations</w:t>
      </w:r>
    </w:p>
    <w:p>
      <w:pPr>
        <w:spacing w:after="0" w:line="121" w:lineRule="exact"/>
        <w:rPr>
          <w:sz w:val="20"/>
          <w:szCs w:val="20"/>
          <w:color w:val="auto"/>
        </w:rPr>
      </w:pPr>
    </w:p>
    <w:p>
      <w:pPr>
        <w:ind w:left="120" w:firstLine="440"/>
        <w:spacing w:after="0" w:line="239" w:lineRule="auto"/>
        <w:rPr>
          <w:sz w:val="20"/>
          <w:szCs w:val="20"/>
          <w:color w:val="auto"/>
        </w:rPr>
      </w:pPr>
      <w:r>
        <w:rPr>
          <w:rFonts w:ascii="Times New Roman" w:cs="Times New Roman" w:eastAsia="Times New Roman" w:hAnsi="Times New Roman"/>
          <w:sz w:val="18"/>
          <w:szCs w:val="18"/>
          <w:color w:val="auto"/>
        </w:rPr>
        <w:t>We may not effect the exercise of any Pre-Funded Warrant, and a holder will not be entitled to exercise any portion of any Pre-Funded Warrant to the extent that after giving effect to such exercise, the holder (together with the holder’s affiliates, and any other persons acting as a group together with the holder or any of the holder’s affiliates) would beneficially own in excess of 4.99% (or, at the holder’s option upon issuance, 9.99%) of the number of shares of our Common Stock outstanding immediately after giving effect to the issuance of shares of Common Stock issuable upon exercise of such Pre-Funded Warrant). A holder, upon notice to the Company, may increase or decrease the beneficial ownership limitation under the pre-funded warrant, provided that it in no event exceeds 19.99% of the number of shares of our common stock outstanding immediately after giving effect to the issuance of shares of Common Stock upon exercise of the Pre-Funded Warrant. Any such increase in the percentage will not be effective until the 61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day after such notice is delivered to the Company.</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Price</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exercise price of our shares of Common Stock purchasable upon the exercise of the Pre-Funded Warrants is $0.0001 per share. The exercise price of the Pre-Funded Warrants and the number of shares of Common Stock issuable upon exercise of the Pre-Funded Warrants is subject to appropriate adjustment in the event of certain stock dividends and distributions, stock splits, stock combinations, reclassifications or similar events affecting our shares of Common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Adjustments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In addition to the adjustments described under “Exercise Price” above, if we grant, issue or sell any Common Stock equivalents or rights to purchase stock, warrants, securities or other property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to all record holders of any class of shares of our Common Stock or declare or make any dividend or other distribution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of our assets (or rights to acquire our assets) to holders of shares of Common Stock, by way of return of capital or otherwise, then, in each case, each Pre-Funded Warrant holder will be entitled to acquire such rights or participate in such distribution, on the same terms as the holder could have acquired or participated if the holder held the number of shares of Common Stock acquirable upon complete exercise of the Pre-Funded Warrant without regard to any exercise limitations, subject to certain exceptions to the extent participation would result in the holder exceeding its beneficial ownership limitation under the Pre-Funded Warrant.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Transferability</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Subject to applicable laws, the Pre-Funded Warrants may be offered for transferred or assigned without our consent, in accordance with the terms of the Pre-Funded Warrants.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do not intend to list the pre-funded warrants on the NYSE, any other national securities exchange or any other nationally recognized trading system.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Fundamental Transactions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Upon the consummation of a fundamental transaction (as described in the Pre-Funded Warrants, and generally including any reclassification or compulsory share exchange of our Common Stock, the sale of all or substantially all of our properties or assets, our consolidation or merger with or into another person, or that results in the acquisition of more than 50% of our outstanding Common Stock, or a business combination, including a reorganization or recapitalization, whereby the counterparty acquires more than 50% of the voting power of our securities), a holder of the Pre-Funded Warrants will be entitled to receive, upon exercise of the Pre-Funded Warrants, the kind and amount of securities, cash or other property that such holder would have received had they exercised the Pre-Funded Warrants immediately prior to such fundamental transaction, without regard to any limitations on exercise contained in the Pre-Funded Warrants.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Rights as a Stockholder</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Except by virtue of such holder’s ownership of shares of our Common Stock, the holder of a Pre-Funded Warrant does not have the rights or privileges of a holder of shares of our Common Stock, including any voting rights, until such holder exercises the Pre-Funded Warrant.</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you purchase shares in this Offering, your interest will be diluted to the extent of the difference between the Offering price per share and the net tangible book value per share of our Common Stock after this Offering. Our net tangible book value as of March 31, 2025 was approximately</w:t>
      </w: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$10.7 million, or $0.77 per share of the aggregate of our outstanding Common Stock and our outstanding shares of Class V Common Stock. “Net tangible book value” is total assets minus the sum of liabilities, goodwill, intangible assets and operating leases. “Net tangible book value per share” is net tangible book value divided by the total number of shares of Common Stock and Class V Common Stock outstanding.</w:t>
      </w:r>
    </w:p>
    <w:p>
      <w:pPr>
        <w:spacing w:after="0" w:line="186"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After giving effect to the sale by us of        shares of Common Stock and Pre-Funded Warrants to purchase        shares of Common Stock in this Offering at the public offering price of $        per share and $        per Pre-Funded Warrant, and after deducting underwriting discounts and commissions, and other estimated Offering expenses payable by us of approximately $        million, our net tangible book value as of March 31, 2025 would have been approximately $        million, or $        per share of Common Stock. This amount represents an immediate increase in net tangible book value of $        per share to existing stockholders and an immediate dilution of $        per share to purchasers in this Offering.</w:t>
      </w:r>
    </w:p>
    <w:p>
      <w:pPr>
        <w:spacing w:after="0" w:line="33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 per share of Common Stock</w:t>
            </w:r>
          </w:p>
        </w:tc>
        <w:tc>
          <w:tcPr>
            <w:tcW w:w="1980" w:type="dxa"/>
            <w:vAlign w:val="bottom"/>
            <w:gridSpan w:val="5"/>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per share as of March 31, 2025</w:t>
            </w:r>
          </w:p>
        </w:tc>
        <w:tc>
          <w:tcPr>
            <w:tcW w:w="19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$0.77</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this Offering</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198"/>
        </w:trPr>
        <w:tc>
          <w:tcPr>
            <w:tcW w:w="5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tangible book value per share as of March 31, 2025 as adjusted after</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this Offering</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in this Offering</w:t>
            </w:r>
          </w:p>
        </w:tc>
        <w:tc>
          <w:tcPr>
            <w:tcW w:w="9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
        </w:trPr>
        <w:tc>
          <w:tcPr>
            <w:tcW w:w="5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the underwriters exercise in full their option to purchase an additional               shares of our Common Stock at the offering price of $          per share and an additional        Pre-Funded Warrants at the offering price of $      per Pre-Funded Warrant, the as adjusted net tangible book value per share after giving effect to this Offering, and after deducting underwriting discounts and commissions and estimated offering expenses payable by us, would be $          per share, representing an immediate increase to existing shareholders of $          per share, and immediate dilution in net tangible book value of $          per share to investors participating in this Offering.</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above discussion and tables are based on 6,656,355 shares of Common Stock outstanding as of March 31, 2025 and 7,177,774 shares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Class V Common Stock outstanding as of March 31, 2025, assumes no exercise of the Pre-Funded Warrants and excludes, as of that date:</w:t>
      </w:r>
    </w:p>
    <w:p>
      <w:pPr>
        <w:spacing w:after="0" w:line="112"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7,177,774 shares of Common Stock reserved for the exchange of paired interests represented by our Class V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285,619 shares of Common Stock reserved for the exercise of publicly traded warrants currently listed on the NYSE;</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2,454,434 shares of Common Stock reserved for outstanding equity awards and the remaining pool of incentive equity available under our Omnibus Incentive Plan;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1,153,200 shares of Common Stock reserved for the exercise of Class 1 Warrants;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864,650 shares of Common Stock reserved for the exercise of Class 2 Warrants.</w:t>
      </w:r>
    </w:p>
    <w:p>
      <w:pPr>
        <w:spacing w:after="0" w:line="225"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To the extent that any outstanding options or warrants are exercised, new options are issued under the Omnibus Incentive Plan, restricted stock awards vest, or we otherwise issue additional shares of Common Stock in the future, at a price less than the public Offering price, there will be further dilution to the investors.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080"/>
          </w:cols>
          <w:pgMar w:left="320" w:top="455" w:right="4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and the underwriters named below have entered into an underwriting agreement with respect to the securities being offered. Subject to certain conditions, each underwriter has severally agreed to purchase the number of shares and Pre-Funded Warrants indicated in the following table. Clear Street LLC and Cohen &amp; Company Capital Markets, a division of Cohen &amp; Company Securities, LLC (“Cohen &amp; Co.”). are the representatives of the underwriters.</w:t>
      </w:r>
    </w:p>
    <w:p>
      <w:pPr>
        <w:spacing w:after="0" w:line="18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940" w:type="dxa"/>
            <w:vAlign w:val="bottom"/>
            <w:vMerge w:val="restart"/>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3"/>
                <w:szCs w:val="13"/>
                <w:color w:val="auto"/>
              </w:rPr>
            </w:pP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6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Pre-Funded</w:t>
            </w:r>
          </w:p>
        </w:tc>
        <w:tc>
          <w:tcPr>
            <w:tcW w:w="0" w:type="dxa"/>
            <w:vAlign w:val="bottom"/>
          </w:tcPr>
          <w:p>
            <w:pPr>
              <w:spacing w:after="0"/>
              <w:rPr>
                <w:sz w:val="1"/>
                <w:szCs w:val="1"/>
                <w:color w:val="auto"/>
              </w:rPr>
            </w:pPr>
          </w:p>
        </w:tc>
      </w:tr>
      <w:tr>
        <w:trPr>
          <w:trHeight w:val="173"/>
        </w:trPr>
        <w:tc>
          <w:tcPr>
            <w:tcW w:w="6100" w:type="dxa"/>
            <w:vAlign w:val="bottom"/>
          </w:tcPr>
          <w:p>
            <w:pPr>
              <w:spacing w:after="0"/>
              <w:rPr>
                <w:sz w:val="15"/>
                <w:szCs w:val="15"/>
                <w:color w:val="auto"/>
              </w:rPr>
            </w:pPr>
          </w:p>
        </w:tc>
        <w:tc>
          <w:tcPr>
            <w:tcW w:w="94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5"/>
                <w:szCs w:val="15"/>
                <w:color w:val="auto"/>
              </w:rPr>
            </w:pP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0" w:type="dxa"/>
            <w:vAlign w:val="bottom"/>
          </w:tcPr>
          <w:p>
            <w:pPr>
              <w:spacing w:after="0"/>
              <w:rPr>
                <w:sz w:val="1"/>
                <w:szCs w:val="1"/>
                <w:color w:val="auto"/>
              </w:rPr>
            </w:pPr>
          </w:p>
        </w:tc>
      </w:tr>
      <w:tr>
        <w:trPr>
          <w:trHeight w:val="196"/>
        </w:trPr>
        <w:tc>
          <w:tcPr>
            <w:tcW w:w="61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Clear Street LLC</w:t>
            </w:r>
          </w:p>
        </w:tc>
        <w:tc>
          <w:tcPr>
            <w:tcW w:w="9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Cohen &amp; Co</w:t>
            </w:r>
          </w:p>
        </w:tc>
        <w:tc>
          <w:tcPr>
            <w:tcW w:w="940" w:type="dxa"/>
            <w:vAlign w:val="bottom"/>
          </w:tcPr>
          <w:p>
            <w:pPr>
              <w:jc w:val="right"/>
              <w:ind w:right="62"/>
              <w:spacing w:after="0"/>
              <w:rPr>
                <w:sz w:val="20"/>
                <w:szCs w:val="20"/>
                <w:color w:val="auto"/>
              </w:rPr>
            </w:pPr>
            <w:r>
              <w:rPr>
                <w:rFonts w:ascii="Times New Roman" w:cs="Times New Roman" w:eastAsia="Times New Roman" w:hAnsi="Times New Roman"/>
                <w:sz w:val="18"/>
                <w:szCs w:val="18"/>
                <w:color w:val="auto"/>
              </w:rPr>
              <w:t xml:space="preserve">          </w:t>
            </w:r>
          </w:p>
        </w:tc>
        <w:tc>
          <w:tcPr>
            <w:tcW w:w="280" w:type="dxa"/>
            <w:vAlign w:val="bottom"/>
          </w:tcPr>
          <w:p>
            <w:pPr>
              <w:spacing w:after="0"/>
              <w:rPr>
                <w:sz w:val="19"/>
                <w:szCs w:val="19"/>
                <w:color w:val="auto"/>
              </w:rPr>
            </w:pP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underwriters are committed to take and pay for all of the securities being offered, if any are taken, other than the shares covered by the option described below unless and until this option is exercised.</w:t>
      </w:r>
    </w:p>
    <w:p>
      <w:pPr>
        <w:spacing w:after="0" w:line="16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underwriters have an option to buy up to an additional        shares of Common Stock and an additional Pre-Funded Warrants from us. They may exercise that option for 30 days from the date of this prospectus supplement. If any shares or warrants are purchased pursuant to this option, the underwriters will severally purchase shares in approximately the same proportion as set forth in the table above.</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shows the per share, per Pre-Funded Warrant and total underwriting discounts and commissions to be paid to the underwriters by us. Such amounts are shown assuming both no exercise and full exercise of the underwriters’ option to purchase additional shares of Common Stock and additional Pre-Funded Warrants.</w:t>
      </w:r>
    </w:p>
    <w:p>
      <w:pPr>
        <w:spacing w:after="0" w:line="18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w:t>
            </w:r>
          </w:p>
        </w:tc>
        <w:tc>
          <w:tcPr>
            <w:tcW w:w="46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60" w:type="dxa"/>
            <w:vAlign w:val="bottom"/>
          </w:tcPr>
          <w:p>
            <w:pPr>
              <w:spacing w:after="0"/>
              <w:rPr>
                <w:sz w:val="13"/>
                <w:szCs w:val="13"/>
                <w:color w:val="auto"/>
              </w:rPr>
            </w:pP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Without</w:t>
            </w:r>
          </w:p>
        </w:tc>
        <w:tc>
          <w:tcPr>
            <w:tcW w:w="460" w:type="dxa"/>
            <w:vAlign w:val="bottom"/>
          </w:tcPr>
          <w:p>
            <w:pPr>
              <w:spacing w:after="0"/>
              <w:rPr>
                <w:sz w:val="12"/>
                <w:szCs w:val="12"/>
                <w:color w:val="auto"/>
              </w:rPr>
            </w:pPr>
          </w:p>
        </w:tc>
        <w:tc>
          <w:tcPr>
            <w:tcW w:w="9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With Full</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4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Pre-funded</w:t>
            </w:r>
          </w:p>
        </w:tc>
        <w:tc>
          <w:tcPr>
            <w:tcW w:w="4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Over-</w:t>
            </w:r>
          </w:p>
        </w:tc>
        <w:tc>
          <w:tcPr>
            <w:tcW w:w="460" w:type="dxa"/>
            <w:vAlign w:val="bottom"/>
          </w:tcPr>
          <w:p>
            <w:pPr>
              <w:spacing w:after="0"/>
              <w:rPr>
                <w:sz w:val="12"/>
                <w:szCs w:val="12"/>
                <w:color w:val="auto"/>
              </w:rPr>
            </w:pPr>
          </w:p>
        </w:tc>
        <w:tc>
          <w:tcPr>
            <w:tcW w:w="9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Over-</w:t>
            </w:r>
          </w:p>
        </w:tc>
        <w:tc>
          <w:tcPr>
            <w:tcW w:w="0" w:type="dxa"/>
            <w:vAlign w:val="bottom"/>
          </w:tcPr>
          <w:p>
            <w:pPr>
              <w:spacing w:after="0"/>
              <w:rPr>
                <w:sz w:val="1"/>
                <w:szCs w:val="1"/>
                <w:color w:val="auto"/>
              </w:rPr>
            </w:pPr>
          </w:p>
        </w:tc>
      </w:tr>
      <w:tr>
        <w:trPr>
          <w:trHeight w:val="173"/>
        </w:trPr>
        <w:tc>
          <w:tcPr>
            <w:tcW w:w="4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4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Allotment</w:t>
            </w:r>
          </w:p>
        </w:tc>
        <w:tc>
          <w:tcPr>
            <w:tcW w:w="460" w:type="dxa"/>
            <w:vAlign w:val="bottom"/>
          </w:tcPr>
          <w:p>
            <w:pPr>
              <w:spacing w:after="0"/>
              <w:rPr>
                <w:sz w:val="15"/>
                <w:szCs w:val="15"/>
                <w:color w:val="auto"/>
              </w:rPr>
            </w:pP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Allotment</w:t>
            </w:r>
          </w:p>
        </w:tc>
        <w:tc>
          <w:tcPr>
            <w:tcW w:w="0" w:type="dxa"/>
            <w:vAlign w:val="bottom"/>
          </w:tcPr>
          <w:p>
            <w:pPr>
              <w:spacing w:after="0"/>
              <w:rPr>
                <w:sz w:val="1"/>
                <w:szCs w:val="1"/>
                <w:color w:val="auto"/>
              </w:rPr>
            </w:pPr>
          </w:p>
        </w:tc>
      </w:tr>
      <w:tr>
        <w:trPr>
          <w:trHeight w:val="209"/>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4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4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4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19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98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Shares sold by the underwriters to the public will be offered at the public offering price set forth on the cover of this prospectus. Any shares sold by the underwriters to securities dealers may be sold at a discount of up to $        per share from the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 Sales of shares made outside of the United States may be made by affiliates of the underwriters. The underwriters have not been engaged to act as warrant agent for the Pre-Funded Warrants or to act as underwriter or agent or otherwise participate in the issuance of the shares of our Common Stock upon the exercise of the Pre-Funded Warrants.</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have also agreed to pay certain of the underwriters’ expenses relating to the Offering, including the fees of outside counsel to the Underwriters up to an aggregate of $75,000, the costs and expenses of the Company relating to investor presentations on any “road show” undertaken in connection with the marketing of the Offering, and all other third-party costs and expenses incident to the Offering or the performance of the obligations of the Company under the Underwriting Agreement.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00"/>
          </w:cols>
          <w:pgMar w:left="320" w:top="455"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We estimate that our share of the total expenses of the offering, excluding underwriting discounts and commissions, will be approximately $            million.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We have agreed to indemnify the several underwriters against certain liabilities, including liabilities under the Securities Act of 1933, as amended.</w:t>
      </w:r>
    </w:p>
    <w:p>
      <w:pPr>
        <w:spacing w:after="0" w:line="34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securities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securities may be offered to the public in that Relevant State at any time:</w:t>
      </w:r>
    </w:p>
    <w:p>
      <w:pPr>
        <w:spacing w:after="0" w:line="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to any legal entity which is a qualified investor as defined under Article 2 of the Prospectus Regulation;</w:t>
      </w:r>
    </w:p>
    <w:p>
      <w:pPr>
        <w:spacing w:after="0" w:line="117" w:lineRule="exact"/>
        <w:rPr>
          <w:sz w:val="20"/>
          <w:szCs w:val="20"/>
          <w:color w:val="auto"/>
        </w:rPr>
      </w:pPr>
    </w:p>
    <w:p>
      <w:pPr>
        <w:ind w:left="560" w:firstLine="423"/>
        <w:spacing w:after="0" w:line="282" w:lineRule="auto"/>
        <w:rPr>
          <w:sz w:val="20"/>
          <w:szCs w:val="20"/>
          <w:color w:val="auto"/>
        </w:rPr>
      </w:pPr>
      <w:r>
        <w:rPr>
          <w:rFonts w:ascii="Times New Roman" w:cs="Times New Roman" w:eastAsia="Times New Roman" w:hAnsi="Times New Roman"/>
          <w:sz w:val="18"/>
          <w:szCs w:val="18"/>
          <w:color w:val="auto"/>
        </w:rPr>
        <w:t>B. to fewer than 150 natural or legal persons (other than qualified investors as defined under Article 2 of the Prospectus Regulation), subject to obtaining the prior consent of the underwriter for any such offer; or</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in any other circumstances falling within Article 1(4) of the Prospectus Regulation,</w:t>
      </w:r>
    </w:p>
    <w:p>
      <w:pPr>
        <w:spacing w:after="0" w:line="225"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provided that no such offer of securities shall require us or the underwriter to publish a prospectus pursuant to Article 3 of the Prospectus Regulation or supplement a prospectus pursuant to Article 23 of the Prospectus Regulation.</w:t>
      </w:r>
    </w:p>
    <w:p>
      <w:pPr>
        <w:spacing w:after="0" w:line="162"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1(4) of the EU Prospectus Regulation, each financial intermediary will also be deemed to have represented, warranted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underwriters has been obtained to each such proposed offer or resale.</w:t>
      </w:r>
    </w:p>
    <w:p>
      <w:pPr>
        <w:spacing w:after="0" w:line="183"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the underwriters and their affiliates will rely upon the truth and accuracy of the foregoing representations, warranties and agreements. Notwithstanding the above, a person who is not a “qualified investor” and who has notified the underwriters of such fact in writing may, with the prior consent of the underwriters, be permitted to acquire shares in the offer.</w:t>
      </w:r>
    </w:p>
    <w:p>
      <w:pPr>
        <w:spacing w:after="0" w:line="176" w:lineRule="exact"/>
        <w:rPr>
          <w:sz w:val="20"/>
          <w:szCs w:val="20"/>
          <w:color w:val="auto"/>
        </w:rPr>
      </w:pPr>
    </w:p>
    <w:p>
      <w:pPr>
        <w:ind w:left="120" w:right="420" w:firstLine="440"/>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 as amended.</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121"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No securities have been offered or will be offered pursuant to the offering to the public in the United Kingdom prior to the publication of a prospectus in relation to the securities which has been approved by the Financial Conduct Authority, except that the securities may be offered to the public in the United Kingdom at any time:</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to any legal entity which is a qualified investor as defined under Article 2 of the UK Prospectus Regulation;</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080"/>
          </w:cols>
          <w:pgMar w:left="320" w:top="455" w:right="4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260" w:firstLine="423"/>
        <w:spacing w:after="0" w:line="282" w:lineRule="auto"/>
        <w:rPr>
          <w:sz w:val="20"/>
          <w:szCs w:val="20"/>
          <w:color w:val="auto"/>
        </w:rPr>
      </w:pPr>
      <w:r>
        <w:rPr>
          <w:rFonts w:ascii="Times New Roman" w:cs="Times New Roman" w:eastAsia="Times New Roman" w:hAnsi="Times New Roman"/>
          <w:sz w:val="18"/>
          <w:szCs w:val="18"/>
          <w:color w:val="auto"/>
        </w:rPr>
        <w:t>B. to fewer than 150 natural or legal persons (other than qualified investors as defined under Article 2 of the UK Prospectus Regulation), subject to obtaining the prior consent of the underwriter for any such offer; or</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in any other circumstances falling within Section 86 of the Financial Services and Markets Act 2000 (the “FMSA”),</w:t>
      </w:r>
    </w:p>
    <w:p>
      <w:pPr>
        <w:spacing w:after="0" w:line="225"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provided that no such offer of the securities shall require us or the underwriter to publish a prospectus pursuant to Section 85 of the FSMA or supplement a prospectus pursuant to Article 23 of the UK Prospectus Regulation.</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1(4) of the UK Prospectus Regulation, each financial intermediary will also be deemed to have represented, warranted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the United Kingdom to qualified investors as so defined or in circumstances in which the prior consent of the underwriters has been obtained to each such proposed offer or resale.</w:t>
      </w:r>
    </w:p>
    <w:p>
      <w:pPr>
        <w:spacing w:after="0" w:line="183"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the underwriters and their affiliates will rely upon the truth and accuracy of the foregoing representations, warranties and agreements. Notwithstanding the above, a person who is not a “qualified investor” and who has notified the underwriters of such fact in writing may, with the prior consent of the underwriters, be permitted to acquire shares in the offer.</w:t>
      </w:r>
    </w:p>
    <w:p>
      <w:pPr>
        <w:spacing w:after="0" w:line="176"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securities in the United Kingdom means the communication in any form and by any means of sufficient information on the terms of the offer and any securities to be offered so as to enable an investor to decide to purchase or subscribe for any securities and the expression “UK Prospectus Regulation” means Regulation (EU) 2017/1129 as it forms part of domestic law by virtue of the European Union (Withdrawal) Act 2018.</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securities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3"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 is not required to comply with the disclosure requirements of NI 33-105 regarding underwriter conflicts of interest in connection with this offering.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00"/>
          </w:cols>
          <w:pgMar w:left="320" w:top="455"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Israel</w:t>
      </w:r>
    </w:p>
    <w:p>
      <w:pPr>
        <w:spacing w:after="0" w:line="121" w:lineRule="exact"/>
        <w:rPr>
          <w:sz w:val="20"/>
          <w:szCs w:val="20"/>
          <w:color w:val="auto"/>
        </w:rPr>
      </w:pPr>
    </w:p>
    <w:p>
      <w:pPr>
        <w:ind w:left="120" w:right="80" w:firstLine="440"/>
        <w:spacing w:after="0" w:line="269" w:lineRule="auto"/>
        <w:rPr>
          <w:sz w:val="20"/>
          <w:szCs w:val="20"/>
          <w:color w:val="auto"/>
        </w:rPr>
      </w:pPr>
      <w:r>
        <w:rPr>
          <w:rFonts w:ascii="Times New Roman" w:cs="Times New Roman" w:eastAsia="Times New Roman" w:hAnsi="Times New Roman"/>
          <w:sz w:val="17"/>
          <w:szCs w:val="17"/>
          <w:color w:val="auto"/>
        </w:rPr>
        <w:t>This document does not constitute a prospectus under the Israeli Securities Law, 5728-1968, or the Securities Law, and has not been filed with or approved by the Israel Securities Authority. In Israel, this prospectus is being distributed only to, and is directed only at, and any offer of the shares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w:t>
      </w:r>
    </w:p>
    <w:p>
      <w:pPr>
        <w:spacing w:after="0" w:line="3"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or the Companies (Winding Up and Miscellaneous Provisions) Ordinance, or which do not constitute an invitation to the public within the meaning of the Securities and Futures Ordinance (Cap. 571 of the Laws of Hong Kong), or the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or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8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080"/>
          </w:cols>
          <w:pgMar w:left="320" w:top="455" w:right="4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or Regulation 32.</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 a trust (where the trustee is not an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accredited investor (as defined in Section 4A of the SFA)) whose sole purpose is to hold investments and each beneficiary of the trust is an accredited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investor, the beneficiaries’ rights and interest (howsoever described) in that trust shall not be transferable for 6 months after that trust has acquired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under Section 275 of the SFA except: (1) to an institutional investor under Section 274 of the SFA or to a relevant person (as defined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275(2) of the SFA), (2) where such transfer arises from an offer that is made on terms that such rights or interest are acquired at a consideration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not less than S$200,000 (or its equivalent in a foreign currency) for each transaction (whether such amount is to be paid for in cash or by exchange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securities or other assets), (3) where no consideration is or will be given for the transfer, (4) where the transfer is by operation of law, (5) as specified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276(7) of the SFA, or (6) as specified in Regulation 32.</w:t>
      </w:r>
    </w:p>
    <w:p>
      <w:pPr>
        <w:spacing w:after="0" w:line="3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Dubai</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relates to an Exempt Offer in accordance with the Offered Securities Rules of the Dubai Financial Services Authority (the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supplement.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Company</w:t>
      </w:r>
    </w:p>
    <w:p>
      <w:pPr>
        <w:spacing w:after="0" w:line="119"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7"/>
          <w:szCs w:val="17"/>
          <w:color w:val="auto"/>
        </w:rPr>
        <w:t xml:space="preserve">During the period commencing on and including the date hereof and ending on and including the (60th) day following the date of this Agreement (the “Company Lock-Up Period”) the Company will not, without the prior written consent of the Representatives (which consent may be withheld at the sole discretion of the Representatives), directly or indirectly offer, sell (including, without limitation, any short sale), assign, transfer, pledge, contract to sell, establish an open “put equivalent position” within the meaning of Rule 16a-1(h) under the Exchange Act, or otherwise dispose of, or announce the offering of, or submit or file any registration statement under the Securities Act in respect of, any shares of Class A Common Stock or Class V Common Stock, options, rights or warrants to acquire Class A Common Stock or Class V Common Stock or securities exchangeable or exercisable for or convertible into shares of Class A Common Stock or Class V Common Stock (collectively, “Covered Securities”) (other than is contemplated by this Agreement with respect to the Securities) or publicly announce any intention to do any of the foregoing;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the Company may</w:t>
      </w:r>
    </w:p>
    <w:p>
      <w:pPr>
        <w:ind w:left="120" w:right="20" w:hanging="4"/>
        <w:spacing w:after="0" w:line="251" w:lineRule="auto"/>
        <w:tabs>
          <w:tab w:leader="none" w:pos="36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issue Covered Securities pursuant to any director or employee stock option or incentive plan, stock ownership plan or dividend reinvestment plan of the Company in effect on the date hereof and described in the General Disclosure Package; (b) issue shares of Class A Common Stock or Class V Common Stock pursuant to the conversion, exercise or exchange of any other Covered Securities, which Covered Securities are outstanding on the date hereof and described in the General Disclosure Package (including any such securities issued pursuant to an Exempt Plan); (c) file a registration statement on Form S-8 or any successor form thereto; (d) issue Covered Securities, or enter into an agreement to issue Covered Securities, in connection with any merger, joint venture, strategic alliance, commercial or other collaborative transaction or the acquisition or license of the business, property, technology or other assets of another individual or entity;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Covered Securities (or the aggregate number of Class A Common Stock or Class V Common Stock issuable pursuant to such Covered Securities) that the Company may issue or agree to issue</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 xml:space="preserve">pursuant to this clause (d) shall not exceed 5% of the total outstanding share capital and voting power of the Company immediately following the issuance of such Covered Securities (or full exercise or conversion thereof, as applicable);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recipients thereof execute and deliver to the Representatives a Lock-up Agreement; and (e) upon exercise of the Options (as defined and described in the Pricing Prospectus and the Prospectus). The Company will direct its transfer agent to place stop transfer restrictions upon any securities of the Company that are bound by any Lock-Up Agreement. If any persons shall become directors or executive officers of the Company prior to the end of the Company Lock-Up Period, the Company shall cause each such person, prior to or contemporaneously with their appointment or election as a director or executive officer of the Company, to execute and deliver to the Representatives a Lock-Up Agreement.</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Directors, Officers and Intercontinental Exchange Holdings, Inc.</w:t>
      </w:r>
    </w:p>
    <w:p>
      <w:pPr>
        <w:spacing w:after="0" w:line="119"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7"/>
          <w:szCs w:val="17"/>
          <w:color w:val="auto"/>
        </w:rPr>
        <w:t>Each of our directors and executive officers and Intercontinental Exchange Holdings, Inc. (such persons, the “Lock-up Parties”), have agreed that, without the prior written consent of Clear Street LLC and Cohen &amp; Co., the Lock-up Parties will not, during the period ending 90 days after the date of this prospectus supplement (such period, the “Lock-up Period”), subject to certain exceptions, (i) offer for sale, sell, assign, transfer, pledge, contract to sell, lend or otherwise dispose of (or enter into any transaction or agreement that is designed to, or would reasonably be expected to, result in the disposition by any person at any time in the future of) any shares of Common Stock (including, without limitation, shares of Common Stock that may be deemed to be beneficially owned or subsequently acquired, or with respect to which the Lock-up Parties have or subsequently acquire the power of disposition, in accordance with the rules and regulations of the SEC and shares of Common Stock that may be issued upon exercise of any options or warrants) or securities convertible into or exercisable or exchangeable for shares of Common Stock (“Related Securities”), (ii) enter into any swap, hedge or similar agreement or arrangement (including, without limitation, the purchase or sale of, or entry into, any put or call option, or combination thereof, forward, swap or any other derivatives transaction or instrument, however described or defined) that transfers, is designed to transfer or reasonably could be expect to transfer (whether by the undersigned or someone other than the undersigned) in whole or in part, directly or indirectly, any of the economic benefits or risks of ownership of shares of Common Stock or any Related Securities, whether any such transaction described in clause</w:t>
      </w:r>
    </w:p>
    <w:p>
      <w:pPr>
        <w:spacing w:after="0" w:line="1" w:lineRule="exact"/>
        <w:rPr>
          <w:sz w:val="20"/>
          <w:szCs w:val="20"/>
          <w:color w:val="auto"/>
        </w:rPr>
      </w:pPr>
    </w:p>
    <w:p>
      <w:pPr>
        <w:ind w:left="120" w:right="40" w:hanging="4"/>
        <w:spacing w:after="0" w:line="270" w:lineRule="auto"/>
        <w:tabs>
          <w:tab w:leader="none" w:pos="33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 (ii) above is to be settled by delivery of shares of Common Stock or other securities of the Company, in cash or otherwise, (iii) make any demand for or exercise any right or cause to be confidentially submitted or filed a registration statement, including any amendments thereto, with respect to the registration of any shares of Common Stock or Related Securities, provided that, to the extent any Lock-up Parties have demand and/or piggyback registration rights under any registration rights agreement, investor rights agreement or similar agreement, such Lock-up Parties may notify the Company privately that such Lock-up Party is or will be exercising its demand and/or piggyback registration rights under any such agreement following the expiration of the Lock-Up Period and undertake preparations related thereto, or (iv) publicly disclose the intention to do any of the foregoing.</w:t>
      </w:r>
    </w:p>
    <w:p>
      <w:pPr>
        <w:spacing w:after="0" w:line="172"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foregoing restrictions do not apply to (i)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charitable gifts and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gifts, sales or other dispositions made exclusively between and among the members of the applicable Lock-up Parties’ family or affiliates, (ii) the exercise or settlement of stock options or other equity awards granted pursuant to the Company’s stock option/incentive plans or awards, (iii) any transfers by will or intestacy, (iv) any transfers pursuant to a court order or settlement agreement related to the distribution of assets in connection with the dissolution of a marriage or civil union, (v) transfers or dispositions to any trust for the direct or indirect benefit of the Lock-up Party or the immediate family of the Lock-up Party in a transaction not involving a disposition for value, or, if the Lock-up Party is a trust, to a trustor or beneficiary of the trust, or, if the undersigned is a corporation, partnership, limited liability company or other business entity, to another corporation, partnership, limited liability company or other business entity that controls, is controlled by or is under common control with the Lock-up Party or as part of a disposition, transfer or distribution by the Lock-up Party to partners, limited partners, stockholders, members or equityholders of the Lock-up Party, (vi) the exchange of the Company’s paired interests (each of which is a combination of one share of Class V common stock of the Company and one common unit of Bakkt Opco Holdings, LLC exchangeable into Common Stock) (the “Paired Interests”) into</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of Common Stock, or the exercise of the Company’s outstanding public warrants to purchase shares of Common Stock (the “Public Warrants”),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Company’s Class 1 warrants to purchase shares of Common Stock (the “Class 1 Warrants”) and the Company’s Class 2 warrants to purchase shares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Common Stock (the “Class 2 Warrants”), (vii) any transfers or commitments to transfer Paired Interests, Public Warrants, Class 1 Warrants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Class 2 Warrants, (viii) any transfers or commitments to transfer pursuant to a merger, consolidation, tender offer or other similar transaction involving a</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change of control or reverse merger, (ix) the transfer by a Lock-up Party of shares of Common Stock or any securities convertible into, exercisable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exchangeable for, shares of Common Stock to the Company upon a vesting or settlement event of the Company’s securities or upon the exercise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options or warrants to purchase the Company’s securities on a “cashless” or “net exercise” basis, or in a “sell-to-cover” transaction, in each case,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pursuant to any equity incentive plan or award of the Company and to the extent permitted by the instruments representing such options or warrants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outstanding as of the date of this prospectus supplement, (x) the transfer of shares of Common Stock or securities convertible into, or exercisable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exchangeable for, shares of Common Stock to the Company in connection with the termination of a Lock-up Party’s employment with the Company,</w:t>
      </w:r>
    </w:p>
    <w:p>
      <w:pPr>
        <w:spacing w:after="0" w:line="9" w:lineRule="exact"/>
        <w:rPr>
          <w:sz w:val="20"/>
          <w:szCs w:val="20"/>
          <w:color w:val="auto"/>
        </w:rPr>
      </w:pPr>
    </w:p>
    <w:p>
      <w:pPr>
        <w:ind w:left="120" w:right="80" w:hanging="4"/>
        <w:spacing w:after="0" w:line="251" w:lineRule="auto"/>
        <w:tabs>
          <w:tab w:leader="none" w:pos="42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that are approved by the prior written consent of Clear Street LLC and Cohen &amp; Co. and (xii) sales of shares of Common Stock purchased by a Lock-up Party on the open market following the date of this prospectus supplement; provided that (A) in the case of clauses (i) and (v), the transferee/donee agrees to be bound by the terms of a lock-up agreement, (B) in the case of clauses (ii), (vi), (vii), (viii) and (x), the Common Stock or other securities issued upon exercise or exchange thereof remain subject to the terms of a lock-up agreement, (C) in the case of clauses (i) and (v), the transfer or distribution does not involve a disposition for value, (D) in the case of clauses (iii), (iv), (v), (ix), (x) and (xii), that no filing under the Securities and Exchange Act of 1934, as amended (the “Exchange Act”), or other public filing, report or announcement will be voluntarily made, and any required filing under the Exchange Act made during the Lock-Up Period will clearly indicate in the footnotes thereto that the filing relates to the circumstances described in such clause.</w:t>
      </w:r>
    </w:p>
    <w:p>
      <w:pPr>
        <w:spacing w:after="0" w:line="19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the Lock-up Parties may (i) establish or enter into a trading plan pursuant to Rule 10b5-1 (“10b5-1 Trading Plan”) under the Exchange Act for the transfer of shares of Common Stock, provided, that such plan does not provide for any transfers of shares of Common Stock, and no filing under the Exchange Act or other public announcement will be required or voluntarily made by the undersigned or any other person in connection therewith, in each case during the Lock-Up Period, and (ii) transfer or sell shares of Common Stock pursuant to a 10b5-1 Trading Plan that was established on or prior to the date of this Lock-Up Letter Agreement and exists as of the date hereof, provided further, that, if the undersigned is required to file a report under Section 16(a) of the Exchange Act during the Lock-Up Period, such filing will state that such transaction has been executed under a 10b5-1 Trading Plan and will also state the date such 10b5-1 Trading Plan was established.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NYSE under the symbol “BKKT”. We do not intend to list the Pre-Funded Warrants on NYSE, any other national securities exchange or any other nationally recognized trading system.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Short Sales and Stabilizing Transactions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closing of the Offering.</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them because the representatives have repurchased shares sold by or for the account of such underwriter in stabilizing or short covering transactions.</w:t>
      </w:r>
    </w:p>
    <w:p>
      <w:pPr>
        <w:spacing w:after="0" w:line="176"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NYSE, in the over-the-counter market or otherwise.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Activities and Relationships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Company and to persons and entities with relationships with the Company, for which they received or will receive customary fees and expenses.</w:t>
      </w:r>
    </w:p>
    <w:p>
      <w:pPr>
        <w:spacing w:after="0" w:line="183" w:lineRule="exact"/>
        <w:rPr>
          <w:sz w:val="20"/>
          <w:szCs w:val="20"/>
          <w:color w:val="auto"/>
        </w:rPr>
      </w:pPr>
    </w:p>
    <w:p>
      <w:pPr>
        <w:ind w:left="120" w:right="60" w:firstLine="440"/>
        <w:spacing w:after="0" w:line="273" w:lineRule="auto"/>
        <w:rPr>
          <w:sz w:val="20"/>
          <w:szCs w:val="20"/>
          <w:color w:val="auto"/>
        </w:rPr>
      </w:pPr>
      <w:r>
        <w:rPr>
          <w:rFonts w:ascii="Times New Roman" w:cs="Times New Roman" w:eastAsia="Times New Roman" w:hAnsi="Times New Roman"/>
          <w:sz w:val="17"/>
          <w:szCs w:val="17"/>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Company (directly, as collateral securing other obligations or otherwise) and/or persons and entities with relationships with the Company.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Equiniti Trust Company. Its mailing address is 28 Liberty Street, 53rd Floor, New York, NY 10005 and its telephone number is (800) 937-5449.</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00"/>
          </w:cols>
          <w:pgMar w:left="320" w:top="455"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VALIDITY OF THE SECURITIES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validity of the Common Stock offered by this prospectus supplement has been passed upon for us by Sullivan &amp; Cromwell LLP, New York, New York. Reed Smith LLP, New York, New York, is acting as counsel for the underwriters in connection with this Offering.</w:t>
      </w:r>
    </w:p>
    <w:p>
      <w:pPr>
        <w:spacing w:after="0" w:line="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0920"/>
          </w:cols>
          <w:pgMar w:left="320" w:top="455" w:right="6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left="120" w:right="440" w:firstLine="440"/>
        <w:spacing w:after="0" w:line="289" w:lineRule="auto"/>
        <w:rPr>
          <w:sz w:val="20"/>
          <w:szCs w:val="20"/>
          <w:color w:val="auto"/>
        </w:rPr>
      </w:pPr>
      <w:r>
        <w:rPr>
          <w:rFonts w:ascii="Times New Roman" w:cs="Times New Roman" w:eastAsia="Times New Roman" w:hAnsi="Times New Roman"/>
          <w:sz w:val="17"/>
          <w:szCs w:val="17"/>
          <w:color w:val="auto"/>
        </w:rPr>
        <w:t>The consolidated financial statements of Bakkt Holdings, Inc. as of and for the year ended December 31, 2024 appearing in the Company’s Annual Report (Form 10-K) have been incorporated by reference herein in reliance upon the report of KPMG LLP, independent registered public accounting firm, included thereon, and incorporated by reference herein, and upon the authority of said firm as experts in accounting and auditing.</w:t>
      </w:r>
    </w:p>
    <w:p>
      <w:pPr>
        <w:spacing w:after="0" w:line="158"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Bakkt Holdings, Inc., at December 31, 2023 and for each of the two years in the period ended December 31, 2023 appearing in the Company’s Annual Report (Form 10-K) for the period ended December 31, 2024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such reports pertaining to such financial statements (to the extent covered by consents filed with the Securities and Exchange Commission) given on the authority of such firm as experts in accounting and auditing.</w:t>
      </w:r>
    </w:p>
    <w:p>
      <w:pPr>
        <w:spacing w:after="0" w:line="39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documents listed below are incorporated by reference into this prospectus:</w:t>
      </w:r>
    </w:p>
    <w:p>
      <w:pPr>
        <w:spacing w:after="0" w:line="131"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4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March 20, 2025 (our “Annual Report”);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48">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2025, filed with the SEC on May 12, 2025;</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Definitive Proxy Statement on </w:t>
      </w:r>
      <w:hyperlink r:id="rId49">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April 28, 2025, that are incorporated by reference into our Annual Report;</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18"/>
        </w:numPr>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March 17,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20,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31,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22,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10,</w:t>
        </w:r>
      </w:hyperlink>
      <w:r>
        <w:rPr>
          <w:rFonts w:ascii="Times New Roman" w:cs="Times New Roman" w:eastAsia="Times New Roman" w:hAnsi="Times New Roman"/>
          <w:sz w:val="18"/>
          <w:szCs w:val="18"/>
          <w:color w:val="auto"/>
        </w:rPr>
        <w:t xml:space="preserve"> </w:t>
      </w:r>
      <w:hyperlink r:id="rId51">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10,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13, 2025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20, 2025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our Current Report on Form 8-K/A filed with the Commission on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20,</w:t>
        </w:r>
      </w:hyperlink>
      <w:r>
        <w:rPr>
          <w:rFonts w:ascii="Times New Roman" w:cs="Times New Roman" w:eastAsia="Times New Roman" w:hAnsi="Times New Roman"/>
          <w:sz w:val="18"/>
          <w:szCs w:val="18"/>
          <w:color w:val="0000EE"/>
        </w:rPr>
        <w:t xml:space="preserve"> </w:t>
      </w:r>
      <w:hyperlink r:id="rId51">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 and</w:t>
        </w:r>
      </w:hyperlink>
    </w:p>
    <w:p>
      <w:pPr>
        <w:spacing w:after="0" w:line="81" w:lineRule="exact"/>
        <w:rPr>
          <w:rFonts w:ascii="Times New Roman" w:cs="Times New Roman" w:eastAsia="Times New Roman" w:hAnsi="Times New Roman"/>
          <w:sz w:val="18"/>
          <w:szCs w:val="18"/>
          <w:color w:val="0000EE"/>
        </w:rPr>
      </w:pPr>
    </w:p>
    <w:p>
      <w:pPr>
        <w:ind w:left="1080" w:right="2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securities contained in the Registration Statement on </w:t>
      </w:r>
      <w:hyperlink r:id="rId52">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thereto, filed on October 15, 2021, including any amendment or report filed for the purpose of updating such description.</w:t>
      </w:r>
    </w:p>
    <w:p>
      <w:pPr>
        <w:spacing w:after="0" w:line="162" w:lineRule="exact"/>
        <w:rPr>
          <w:rFonts w:ascii="Times New Roman" w:cs="Times New Roman" w:eastAsia="Times New Roman" w:hAnsi="Times New Roman"/>
          <w:sz w:val="18"/>
          <w:szCs w:val="18"/>
          <w:color w:val="0000EE"/>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 this prospectus is modified or superseded for purposes of the prospectus to the extent that a statement contained in this prospectus or in any other subsequently filed document that also is or is deemed to be incorporated by reference herein modifies or supersedes such statement.</w:t>
      </w:r>
    </w:p>
    <w:p>
      <w:pPr>
        <w:spacing w:after="0" w:line="176" w:lineRule="exact"/>
        <w:rPr>
          <w:rFonts w:ascii="Times New Roman" w:cs="Times New Roman" w:eastAsia="Times New Roman" w:hAnsi="Times New Roman"/>
          <w:sz w:val="18"/>
          <w:szCs w:val="18"/>
          <w:color w:val="0000EE"/>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prospectus is delivered, a copy of any or all of the information that has been incorporated by reference in this prospectus but not delivered with the prospectus.</w:t>
      </w:r>
    </w:p>
    <w:p>
      <w:pPr>
        <w:spacing w:after="0" w:line="162" w:lineRule="exact"/>
        <w:rPr>
          <w:rFonts w:ascii="Times New Roman" w:cs="Times New Roman" w:eastAsia="Times New Roman" w:hAnsi="Times New Roman"/>
          <w:sz w:val="18"/>
          <w:szCs w:val="18"/>
          <w:color w:val="0000EE"/>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We are an Exchange Act reporting company and are required to file periodic reports on Form 10-K and 10-Q and current reports on Form 8-K. The SEC maintains an internet website that contains reports, proxy and information statements, and other information regarding issuers that file electronically with the SEC, including Bakkt Holdings, Inc. at www.sec.gov/EDGAR. You may also access our reports and proxy statements free of charge at our website, www.bakkt.com, which website is not incorporated into this prospectus supplement.</w:t>
      </w:r>
    </w:p>
    <w:p>
      <w:pPr>
        <w:spacing w:after="0" w:line="180" w:lineRule="exact"/>
        <w:rPr>
          <w:rFonts w:ascii="Times New Roman" w:cs="Times New Roman" w:eastAsia="Times New Roman" w:hAnsi="Times New Roman"/>
          <w:sz w:val="18"/>
          <w:szCs w:val="18"/>
          <w:color w:val="0000EE"/>
        </w:rPr>
      </w:pPr>
    </w:p>
    <w:p>
      <w:pPr>
        <w:ind w:left="560"/>
        <w:spacing w:after="0"/>
        <w:rPr>
          <w:sz w:val="20"/>
          <w:szCs w:val="20"/>
          <w:color w:val="auto"/>
        </w:rPr>
      </w:pPr>
      <w:r>
        <w:rPr>
          <w:rFonts w:ascii="Times New Roman" w:cs="Times New Roman" w:eastAsia="Times New Roman" w:hAnsi="Times New Roman"/>
          <w:sz w:val="18"/>
          <w:szCs w:val="18"/>
          <w:color w:val="auto"/>
        </w:rPr>
        <w:t>You may obtain a copy of any of our filings, at no cost, by contacting us at:</w:t>
      </w:r>
    </w:p>
    <w:p>
      <w:pPr>
        <w:spacing w:after="0" w:line="200" w:lineRule="exact"/>
        <w:rPr>
          <w:rFonts w:ascii="Times New Roman" w:cs="Times New Roman" w:eastAsia="Times New Roman" w:hAnsi="Times New Roman"/>
          <w:sz w:val="18"/>
          <w:szCs w:val="18"/>
          <w:color w:val="0000EE"/>
        </w:rPr>
      </w:pPr>
    </w:p>
    <w:p>
      <w:pPr>
        <w:spacing w:after="0" w:line="237" w:lineRule="exact"/>
        <w:rPr>
          <w:rFonts w:ascii="Times New Roman" w:cs="Times New Roman" w:eastAsia="Times New Roman" w:hAnsi="Times New Roman"/>
          <w:sz w:val="18"/>
          <w:szCs w:val="18"/>
          <w:color w:val="0000EE"/>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10000 Avalon Boulevard, Suite 1000</w:t>
      </w:r>
    </w:p>
    <w:p>
      <w:pPr>
        <w:spacing w:after="0" w:line="31" w:lineRule="exact"/>
        <w:rPr>
          <w:rFonts w:ascii="Times New Roman" w:cs="Times New Roman" w:eastAsia="Times New Roman" w:hAnsi="Times New Roman"/>
          <w:sz w:val="18"/>
          <w:szCs w:val="18"/>
          <w:color w:val="0000EE"/>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Alpharetta, Georgia 30009</w:t>
      </w:r>
    </w:p>
    <w:p>
      <w:pPr>
        <w:spacing w:after="0" w:line="9" w:lineRule="exact"/>
        <w:rPr>
          <w:rFonts w:ascii="Times New Roman" w:cs="Times New Roman" w:eastAsia="Times New Roman" w:hAnsi="Times New Roman"/>
          <w:sz w:val="18"/>
          <w:szCs w:val="18"/>
          <w:color w:val="0000EE"/>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(678) 534-5849</w:t>
      </w:r>
    </w:p>
    <w:p>
      <w:pPr>
        <w:spacing w:after="0" w:line="139" w:lineRule="exact"/>
        <w:rPr>
          <w:rFonts w:ascii="Times New Roman" w:cs="Times New Roman" w:eastAsia="Times New Roman" w:hAnsi="Times New Roman"/>
          <w:sz w:val="18"/>
          <w:szCs w:val="18"/>
          <w:color w:val="0000EE"/>
        </w:rPr>
      </w:pPr>
    </w:p>
    <w:p>
      <w:pPr>
        <w:jc w:val="center"/>
        <w:ind w:right="-15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00"/>
          </w:cols>
          <w:pgMar w:left="320" w:top="455"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0" w:lineRule="exact"/>
        <w:rPr>
          <w:sz w:val="20"/>
          <w:szCs w:val="20"/>
          <w:color w:val="auto"/>
        </w:rPr>
      </w:pP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173990</wp:posOffset>
            </wp:positionV>
            <wp:extent cx="908685" cy="3340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908685"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$1,000,000,000</w:t>
      </w:r>
    </w:p>
    <w:p>
      <w:pPr>
        <w:spacing w:after="0" w:line="2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Class A Common Stock</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20" w:right="140" w:firstLine="440"/>
        <w:spacing w:after="0" w:line="277" w:lineRule="auto"/>
        <w:rPr>
          <w:sz w:val="20"/>
          <w:szCs w:val="20"/>
          <w:color w:val="auto"/>
        </w:rPr>
      </w:pPr>
      <w:r>
        <w:rPr>
          <w:rFonts w:ascii="Times New Roman" w:cs="Times New Roman" w:eastAsia="Times New Roman" w:hAnsi="Times New Roman"/>
          <w:sz w:val="17"/>
          <w:szCs w:val="17"/>
          <w:color w:val="auto"/>
        </w:rPr>
        <w:t>We may issue securities from time to time in one or more offerings, in amounts, at prices and on terms determined at the time of offering. This prospectus describes the general terms of these securities and the general manner in which these securities will be offered. We will provide the specific terms of these securities in supplements to this prospectus, which will also describe the specific manner in which these securities will be offered and may also supplement, update or amend information contained in this prospectus. You should read this prospectus and any applicable prospectus supplement before you invest. The aggregate offering price of the securities we sell pursuant to this prospectus will not exceed $1,000,000,000.</w:t>
      </w:r>
    </w:p>
    <w:p>
      <w:pPr>
        <w:spacing w:after="0" w:line="168"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securities may be sold directly to you, through agents or through underwriters and dealers. If agents, underwriters or dealers are used to sell the securities, we will name them and describe their compensation in a prospectus supplement. The price to the public of those securities and the net proceeds we expect to receive from that sale will also be set forth in a prospectus supplement.</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Class A common stock, par value $0.0001 per share (“Class A Common Stock”), and our public warrants to purchase Class A Common Stock are listed on the New York Stock Exchange (“NYSE”) under the symbols “BKKT” and “BKKT WS,” respectively. Each prospectus supplement will indicate whether the securities offered thereby will be listed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217805</wp:posOffset>
            </wp:positionV>
            <wp:extent cx="1474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20" w:firstLine="440"/>
        <w:spacing w:after="0" w:line="250" w:lineRule="auto"/>
        <w:rPr>
          <w:sz w:val="20"/>
          <w:szCs w:val="20"/>
          <w:color w:val="auto"/>
        </w:rPr>
      </w:pPr>
      <w:r>
        <w:rPr>
          <w:rFonts w:ascii="Times New Roman" w:cs="Times New Roman" w:eastAsia="Times New Roman" w:hAnsi="Times New Roman"/>
          <w:sz w:val="21"/>
          <w:szCs w:val="21"/>
          <w:b w:val="1"/>
          <w:bCs w:val="1"/>
          <w:color w:val="auto"/>
        </w:rPr>
        <w:t>Investing in these securities involves risks. Please carefully read the information under the headings “</w:t>
      </w:r>
      <w:r>
        <w:rPr>
          <w:rFonts w:ascii="Times New Roman" w:cs="Times New Roman" w:eastAsia="Times New Roman" w:hAnsi="Times New Roman"/>
          <w:sz w:val="21"/>
          <w:szCs w:val="21"/>
          <w:b w:val="1"/>
          <w:bCs w:val="1"/>
          <w:i w:val="1"/>
          <w:iCs w:val="1"/>
          <w:u w:val="single" w:color="auto"/>
          <w:color w:val="0000EE"/>
        </w:rPr>
        <w:t>Risk Factors</w:t>
      </w:r>
      <w:r>
        <w:rPr>
          <w:rFonts w:ascii="Times New Roman" w:cs="Times New Roman" w:eastAsia="Times New Roman" w:hAnsi="Times New Roman"/>
          <w:sz w:val="21"/>
          <w:szCs w:val="21"/>
          <w:b w:val="1"/>
          <w:bCs w:val="1"/>
          <w:color w:val="auto"/>
        </w:rPr>
        <w:t>” beginning on page 6 of this prospectus and “</w:t>
      </w:r>
      <w:r>
        <w:rPr>
          <w:rFonts w:ascii="Times New Roman" w:cs="Times New Roman" w:eastAsia="Times New Roman" w:hAnsi="Times New Roman"/>
          <w:sz w:val="21"/>
          <w:szCs w:val="21"/>
          <w:b w:val="1"/>
          <w:bCs w:val="1"/>
          <w:i w:val="1"/>
          <w:iCs w:val="1"/>
          <w:color w:val="auto"/>
        </w:rPr>
        <w:t>Item 1A – Risk Factors</w:t>
      </w:r>
      <w:r>
        <w:rPr>
          <w:rFonts w:ascii="Times New Roman" w:cs="Times New Roman" w:eastAsia="Times New Roman" w:hAnsi="Times New Roman"/>
          <w:sz w:val="21"/>
          <w:szCs w:val="21"/>
          <w:b w:val="1"/>
          <w:bCs w:val="1"/>
          <w:color w:val="auto"/>
        </w:rPr>
        <w:t>” of our most recent Annual Report on Form 10-K and any Quarterly Report on Form 10-Q filed subsequently to such Form 10-K that is incorporated by reference in this prospectus before you invest in our securities. In addition, please carefully read the information under the heading “Risk Factors Related to the Update of Our Investment Policy” in Exhibit 99.1 to our Current Report on Form 8-K filed on June 10, 2025 that is incorporated by reference in this prospectus before you invest in our securities.</w:t>
      </w:r>
    </w:p>
    <w:p>
      <w:pPr>
        <w:spacing w:after="0" w:line="176"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198120</wp:posOffset>
            </wp:positionV>
            <wp:extent cx="1474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July 3, 2025.</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60" w:type="dxa"/>
            <w:vAlign w:val="bottom"/>
          </w:tcPr>
          <w:p>
            <w:pPr>
              <w:jc w:val="right"/>
              <w:ind w:right="4411"/>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373"/>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194"/>
        </w:trPr>
        <w:tc>
          <w:tcPr>
            <w:tcW w:w="1580" w:type="dxa"/>
            <w:vAlign w:val="bottom"/>
            <w:tcBorders>
              <w:bottom w:val="single" w:sz="8" w:color="0000EE"/>
            </w:tcBorders>
            <w:gridSpan w:val="7"/>
          </w:tcPr>
          <w:p>
            <w:pPr>
              <w:spacing w:after="0" w:line="194" w:lineRule="exact"/>
              <w:rPr>
                <w:sz w:val="20"/>
                <w:szCs w:val="20"/>
                <w:color w:val="auto"/>
              </w:rPr>
            </w:pPr>
            <w:r>
              <w:rPr>
                <w:rFonts w:ascii="Times New Roman" w:cs="Times New Roman" w:eastAsia="Times New Roman" w:hAnsi="Times New Roman"/>
                <w:sz w:val="18"/>
                <w:szCs w:val="18"/>
                <w:color w:val="0000EE"/>
                <w:w w:val="98"/>
              </w:rPr>
              <w:t>About this Prospectus</w:t>
            </w:r>
          </w:p>
        </w:tc>
        <w:tc>
          <w:tcPr>
            <w:tcW w:w="2120" w:type="dxa"/>
            <w:vAlign w:val="bottom"/>
            <w:gridSpan w:val="6"/>
          </w:tcPr>
          <w:p>
            <w:pPr>
              <w:spacing w:after="0"/>
              <w:rPr>
                <w:sz w:val="16"/>
                <w:szCs w:val="16"/>
                <w:color w:val="auto"/>
              </w:rPr>
            </w:pPr>
          </w:p>
        </w:tc>
        <w:tc>
          <w:tcPr>
            <w:tcW w:w="72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ii</w:t>
            </w:r>
          </w:p>
        </w:tc>
      </w:tr>
      <w:tr>
        <w:trPr>
          <w:trHeight w:val="196"/>
        </w:trPr>
        <w:tc>
          <w:tcPr>
            <w:tcW w:w="37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7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5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180" w:type="dxa"/>
            <w:vAlign w:val="bottom"/>
            <w:gridSpan w:val="7"/>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196"/>
        </w:trPr>
        <w:tc>
          <w:tcPr>
            <w:tcW w:w="37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7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210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1600" w:type="dxa"/>
            <w:vAlign w:val="bottom"/>
            <w:gridSpan w:val="3"/>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196"/>
        </w:trPr>
        <w:tc>
          <w:tcPr>
            <w:tcW w:w="37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7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54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1520" w:type="dxa"/>
            <w:vAlign w:val="bottom"/>
            <w:gridSpan w:val="2"/>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37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Warrants</w:t>
            </w:r>
          </w:p>
        </w:tc>
        <w:tc>
          <w:tcPr>
            <w:tcW w:w="7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172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Units</w:t>
            </w:r>
          </w:p>
        </w:tc>
        <w:tc>
          <w:tcPr>
            <w:tcW w:w="1980" w:type="dxa"/>
            <w:vAlign w:val="bottom"/>
            <w:gridSpan w:val="5"/>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146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240" w:type="dxa"/>
            <w:vAlign w:val="bottom"/>
            <w:gridSpan w:val="8"/>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142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280" w:type="dxa"/>
            <w:vAlign w:val="bottom"/>
            <w:gridSpan w:val="9"/>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20"/>
        </w:trPr>
        <w:tc>
          <w:tcPr>
            <w:tcW w:w="540" w:type="dxa"/>
            <w:vAlign w:val="bottom"/>
            <w:shd w:val="clear" w:color="auto" w:fill="0000EE"/>
          </w:tcPr>
          <w:p>
            <w:pPr>
              <w:spacing w:after="0" w:line="20" w:lineRule="exact"/>
              <w:rPr>
                <w:sz w:val="1"/>
                <w:szCs w:val="1"/>
                <w:color w:val="auto"/>
              </w:rPr>
            </w:pPr>
          </w:p>
        </w:tc>
        <w:tc>
          <w:tcPr>
            <w:tcW w:w="1500" w:type="dxa"/>
            <w:vAlign w:val="bottom"/>
            <w:gridSpan w:val="8"/>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196"/>
        </w:trPr>
        <w:tc>
          <w:tcPr>
            <w:tcW w:w="37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7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204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820" w:type="dxa"/>
            <w:vAlign w:val="bottom"/>
            <w:tcBorders>
              <w:top w:val="single" w:sz="8" w:color="0000EE"/>
            </w:tcBorders>
            <w:gridSpan w:val="3"/>
          </w:tcPr>
          <w:p>
            <w:pPr>
              <w:spacing w:after="0"/>
              <w:rPr>
                <w:sz w:val="17"/>
                <w:szCs w:val="17"/>
                <w:color w:val="auto"/>
              </w:rPr>
            </w:pPr>
          </w:p>
        </w:tc>
        <w:tc>
          <w:tcPr>
            <w:tcW w:w="840" w:type="dxa"/>
            <w:vAlign w:val="bottom"/>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(the “SEC”) using a “shelf” registration process. Under this shelf registration process, we may from time to time sell any combination of the securities described in this prospectus in one or more offerings.</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that may be offered. Each time we sell securities, we will provide one or more prospectus supplements that will contain specific information about the terms of the offering. The prospectus supplement may also add, update or change information contained in this prospectus. You should read both this prospectus and any applicable prospectus supplement together with the additional information described under the heading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not authorized anyone to provide you with information that is different from that contained, or incorporated by reference, in this prospectus, any applicable prospectus supplement or in any related free writing prospectus. We take no responsibility for, and can provide no assurance as to the reliability of, any other information that others may give you. This prospectus and any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40"/>
          </w:cols>
          <w:pgMar w:left="320" w:top="455"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6992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6998970" cy="66992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firstLine="426"/>
        <w:spacing w:after="0" w:line="271" w:lineRule="auto"/>
        <w:rPr>
          <w:sz w:val="20"/>
          <w:szCs w:val="20"/>
          <w:color w:val="auto"/>
        </w:rPr>
      </w:pPr>
      <w:r>
        <w:rPr>
          <w:rFonts w:ascii="Times New Roman" w:cs="Times New Roman" w:eastAsia="Times New Roman" w:hAnsi="Times New Roman"/>
          <w:sz w:val="17"/>
          <w:szCs w:val="17"/>
          <w:i w:val="1"/>
          <w:iCs w:val="1"/>
          <w:color w:val="auto"/>
        </w:rPr>
        <w:t>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under the section of this prospectus captioned “Risk Factors” and the financial statements and related notes and other information that we incorporate by reference herein, including our most recent Annual Report on Form</w:t>
      </w:r>
    </w:p>
    <w:p>
      <w:pPr>
        <w:spacing w:after="0" w:line="1" w:lineRule="exact"/>
        <w:rPr>
          <w:sz w:val="20"/>
          <w:szCs w:val="20"/>
          <w:color w:val="auto"/>
        </w:rPr>
      </w:pPr>
    </w:p>
    <w:p>
      <w:pPr>
        <w:jc w:val="both"/>
        <w:ind w:left="300" w:right="300"/>
        <w:spacing w:after="0" w:line="255" w:lineRule="auto"/>
        <w:rPr>
          <w:sz w:val="20"/>
          <w:szCs w:val="20"/>
          <w:color w:val="auto"/>
        </w:rPr>
      </w:pPr>
      <w:r>
        <w:rPr>
          <w:rFonts w:ascii="Times New Roman" w:cs="Times New Roman" w:eastAsia="Times New Roman" w:hAnsi="Times New Roman"/>
          <w:sz w:val="18"/>
          <w:szCs w:val="18"/>
          <w:i w:val="1"/>
          <w:iCs w:val="1"/>
          <w:color w:val="auto"/>
        </w:rPr>
        <w:t>10-K and our Quarterly Reports on Form 10-Q filed subsequently to such Form 10-K. Unless the context indicates otherwise, references in this prospectus to “Bakkt Holdings, Inc.,” “Bakkt,” the “Company,” “we,” “our” and “us” refer, collectively, to Bakkt Holdings, Inc., a Delaware corporation, and its consolidated subsidiaries taken as a whole.</w:t>
      </w:r>
    </w:p>
    <w:p>
      <w:pPr>
        <w:spacing w:after="0" w:line="2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right="120" w:firstLine="426"/>
        <w:spacing w:after="0" w:line="256" w:lineRule="auto"/>
        <w:rPr>
          <w:sz w:val="20"/>
          <w:szCs w:val="20"/>
          <w:color w:val="auto"/>
        </w:rPr>
      </w:pPr>
      <w:r>
        <w:rPr>
          <w:rFonts w:ascii="Times New Roman" w:cs="Times New Roman" w:eastAsia="Times New Roman" w:hAnsi="Times New Roman"/>
          <w:sz w:val="18"/>
          <w:szCs w:val="18"/>
          <w:color w:val="auto"/>
        </w:rPr>
        <w:t>Founded in 2018, Bakkt operates technology that connects the digital economy by offering a platform for crypto and redeeming loyalty points. We enable our clients to deliver new opportunities to their customers through an interactive web experience or application programming interface (“API”) solutions that unlock crypto and drive loyalty. The global market for crypto, while nascent, is rapidly evolving and expanding. We believe we are well-positioned to provide secure, licensed product solutions and grow with this evolving market. We believe our platform is well positioned to power commerce by enabling consumers, brands, and financial institutions to better manage, transact with and monetize crypto in exciting new ways.</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provide, or are working to provide, simplified solutions focused in the following areas: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Crypto</w:t>
      </w:r>
    </w:p>
    <w:p>
      <w:pPr>
        <w:spacing w:after="0" w:line="135" w:lineRule="exact"/>
        <w:rPr>
          <w:sz w:val="20"/>
          <w:szCs w:val="20"/>
          <w:color w:val="auto"/>
        </w:rPr>
      </w:pPr>
    </w:p>
    <w:p>
      <w:pPr>
        <w:ind w:left="1240" w:right="160" w:hanging="415"/>
        <w:spacing w:after="0" w:line="266" w:lineRule="auto"/>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crypto trading platform provides consumers, businesses and institutions with the ability to buy, sell and store crypto in a simple, intuitive digital experience accessed via APIs or embedded web experience. We enable clients in various industries to provide their customers with the ability to transact in crypto directly in their trusted environments.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Loyalty</w:t>
      </w:r>
    </w:p>
    <w:p>
      <w:pPr>
        <w:spacing w:after="0" w:line="135" w:lineRule="exact"/>
        <w:rPr>
          <w:sz w:val="20"/>
          <w:szCs w:val="20"/>
          <w:color w:val="auto"/>
        </w:rPr>
      </w:pPr>
    </w:p>
    <w:p>
      <w:pPr>
        <w:ind w:left="1240" w:right="60" w:hanging="415"/>
        <w:spacing w:after="0" w:line="258" w:lineRule="auto"/>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a full spectrum of content that clients can make available to their customers when redeeming loyalty currencies, thus driving consumer loyalty and engagement. Our redemption solutions span a variety of rewards categories including merchandise (such as Apple products and services), gift cards and digital experiences. In March 2025, we announced our investigation of strategic alternatives for our loyalty business as we work to realign our business with a crypto focus. As we explore our options, including a potential sale or wind-down, we expect to reduce efforts to promote and grow this business.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Cooperation Agreement</w:t>
      </w:r>
    </w:p>
    <w:p>
      <w:pPr>
        <w:spacing w:after="0" w:line="121" w:lineRule="exact"/>
        <w:rPr>
          <w:sz w:val="20"/>
          <w:szCs w:val="20"/>
          <w:color w:val="auto"/>
        </w:rPr>
      </w:pPr>
    </w:p>
    <w:p>
      <w:pPr>
        <w:ind w:left="300" w:right="40" w:firstLine="426"/>
        <w:spacing w:after="0" w:line="261" w:lineRule="auto"/>
        <w:rPr>
          <w:sz w:val="20"/>
          <w:szCs w:val="20"/>
          <w:color w:val="auto"/>
        </w:rPr>
      </w:pPr>
      <w:r>
        <w:rPr>
          <w:rFonts w:ascii="Times New Roman" w:cs="Times New Roman" w:eastAsia="Times New Roman" w:hAnsi="Times New Roman"/>
          <w:sz w:val="18"/>
          <w:szCs w:val="18"/>
          <w:color w:val="auto"/>
        </w:rPr>
        <w:t>In March 2025, we entered into a Cooperation Agreement with Distributed Technologies Research Global Ltd. (“DTR”) and Akshay Naheta, the sole stockholder of DTR (the “Cooperation Agreement”). Pursuant to the Cooperation Agreement, DTR will provide us with certain exclusive payment processing technology, APIs and infrastructure to be integrated into our platform for the enablement of global payments processing services in the jurisdictions where we operate.</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Updated Investment Policy</w:t>
      </w:r>
    </w:p>
    <w:p>
      <w:pPr>
        <w:spacing w:after="0" w:line="121"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In June 2025 we updated our investment policy (“Investment Policy”) to enable us to allocate capital into Bitcoin and other digital assets as part of our broader treasury and corporate strategy, subject to market conditions and the anticipated liquidity needs of the business. We may acquire Bitcoin or other digital assets using excess</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20"/>
          </w:cols>
          <w:pgMar w:left="320" w:top="455" w:right="6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6217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6998970" cy="66217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00" w:right="100"/>
        <w:spacing w:after="0" w:line="270" w:lineRule="auto"/>
        <w:rPr>
          <w:sz w:val="20"/>
          <w:szCs w:val="20"/>
          <w:color w:val="auto"/>
        </w:rPr>
      </w:pPr>
      <w:r>
        <w:rPr>
          <w:rFonts w:ascii="Times New Roman" w:cs="Times New Roman" w:eastAsia="Times New Roman" w:hAnsi="Times New Roman"/>
          <w:sz w:val="17"/>
          <w:szCs w:val="17"/>
          <w:color w:val="auto"/>
        </w:rPr>
        <w:t>cash, proceeds from future equity or debt financings, or other capital sources, subject to the limitation set forth in our Investment Policy. We also intend to explore further opportunistic financing alternatives, including the issuance of convertible notes, bonds, or other debt instruments, for the purpose of acquiring Bitcoin or other digital assets or otherwise in accordance with the our Investment Policy. To date, we have not purchased any Bitcoin or other digital assets pursuant to our updated Investment Policy. There can be no assurance that we will enter into any such transactions.</w:t>
      </w:r>
    </w:p>
    <w:p>
      <w:pPr>
        <w:spacing w:after="0" w:line="3" w:lineRule="exact"/>
        <w:rPr>
          <w:sz w:val="20"/>
          <w:szCs w:val="20"/>
          <w:color w:val="auto"/>
        </w:rPr>
      </w:pPr>
    </w:p>
    <w:p>
      <w:pPr>
        <w:ind w:left="300" w:right="220"/>
        <w:spacing w:after="0" w:line="260" w:lineRule="auto"/>
        <w:rPr>
          <w:sz w:val="20"/>
          <w:szCs w:val="20"/>
          <w:color w:val="auto"/>
        </w:rPr>
      </w:pPr>
      <w:r>
        <w:rPr>
          <w:rFonts w:ascii="Times New Roman" w:cs="Times New Roman" w:eastAsia="Times New Roman" w:hAnsi="Times New Roman"/>
          <w:sz w:val="18"/>
          <w:szCs w:val="18"/>
          <w:color w:val="auto"/>
        </w:rPr>
        <w:t>The timing and magnitude of any such transactions will depend on market conditions, capital market receptivity, business performance and other strategic considerations.</w:t>
      </w:r>
    </w:p>
    <w:p>
      <w:pPr>
        <w:spacing w:after="0" w:line="181" w:lineRule="exact"/>
        <w:rPr>
          <w:sz w:val="20"/>
          <w:szCs w:val="20"/>
          <w:color w:val="auto"/>
        </w:rPr>
      </w:pPr>
    </w:p>
    <w:p>
      <w:pPr>
        <w:ind w:left="300" w:right="100" w:firstLine="426"/>
        <w:spacing w:after="0" w:line="261" w:lineRule="auto"/>
        <w:rPr>
          <w:sz w:val="20"/>
          <w:szCs w:val="20"/>
          <w:color w:val="auto"/>
        </w:rPr>
      </w:pPr>
      <w:r>
        <w:rPr>
          <w:rFonts w:ascii="Times New Roman" w:cs="Times New Roman" w:eastAsia="Times New Roman" w:hAnsi="Times New Roman"/>
          <w:sz w:val="18"/>
          <w:szCs w:val="18"/>
          <w:color w:val="auto"/>
        </w:rPr>
        <w:t>There are risks associated with our Investment Policy, which may cause our business, financial condition, results of operations and future prospects to be materially adversely affected. For further details regarding the risks of implementing our strategy, refer to “</w:t>
      </w:r>
      <w:r>
        <w:rPr>
          <w:rFonts w:ascii="Times New Roman" w:cs="Times New Roman" w:eastAsia="Times New Roman" w:hAnsi="Times New Roman"/>
          <w:sz w:val="18"/>
          <w:szCs w:val="18"/>
          <w:i w:val="1"/>
          <w:iCs w:val="1"/>
          <w:color w:val="auto"/>
        </w:rPr>
        <w:t>Risk Factors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Update of our Investment Policy,</w:t>
      </w:r>
      <w:r>
        <w:rPr>
          <w:rFonts w:ascii="Times New Roman" w:cs="Times New Roman" w:eastAsia="Times New Roman" w:hAnsi="Times New Roman"/>
          <w:sz w:val="18"/>
          <w:szCs w:val="18"/>
          <w:color w:val="auto"/>
        </w:rPr>
        <w:t>” which is attached as Exhibit 99.1 to our Current Report on Form 8-K filed with the SEC on June 10,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is incorporated by reference herein.</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21" w:lineRule="exact"/>
        <w:rPr>
          <w:sz w:val="20"/>
          <w:szCs w:val="20"/>
          <w:color w:val="auto"/>
        </w:rPr>
      </w:pPr>
    </w:p>
    <w:p>
      <w:pPr>
        <w:ind w:left="300" w:firstLine="426"/>
        <w:spacing w:after="0" w:line="289" w:lineRule="auto"/>
        <w:rPr>
          <w:sz w:val="20"/>
          <w:szCs w:val="20"/>
          <w:color w:val="auto"/>
        </w:rPr>
      </w:pPr>
      <w:r>
        <w:rPr>
          <w:rFonts w:ascii="Times New Roman" w:cs="Times New Roman" w:eastAsia="Times New Roman" w:hAnsi="Times New Roman"/>
          <w:sz w:val="17"/>
          <w:szCs w:val="17"/>
          <w:color w:val="auto"/>
        </w:rPr>
        <w:t>Investing in our securities involves numerous risks and uncertainties, including the risks and uncertainties described in the section titled “Risk Factors” and elsewhere in this prospectus. You should carefully consider these risks and uncertainties before investing in our securities. Below are some of these risks, any one of which could materially adversely affect our business, financial condition, results of operations and future prospects.</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Risks Related to Our Business, Finances and Operations</w:t>
      </w:r>
    </w:p>
    <w:p>
      <w:pPr>
        <w:spacing w:after="0" w:line="133" w:lineRule="exact"/>
        <w:rPr>
          <w:sz w:val="20"/>
          <w:szCs w:val="20"/>
          <w:color w:val="auto"/>
        </w:rPr>
      </w:pPr>
    </w:p>
    <w:p>
      <w:pPr>
        <w:ind w:left="1240" w:hanging="415"/>
        <w:spacing w:after="0"/>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model is newly developed and may encounter additional risks and challenges as it grows.</w:t>
      </w:r>
    </w:p>
    <w:p>
      <w:pPr>
        <w:spacing w:after="0" w:line="130"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has been designed to meet the needs of our clients and customers, and as such we must continually invest in our platform to meet their evolving needs as we look to grow our business.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operating history and a history of operating losses.</w:t>
      </w:r>
    </w:p>
    <w:p>
      <w:pPr>
        <w:spacing w:after="0" w:line="130" w:lineRule="exact"/>
        <w:rPr>
          <w:rFonts w:ascii="Times New Roman" w:cs="Times New Roman" w:eastAsia="Times New Roman" w:hAnsi="Times New Roman"/>
          <w:sz w:val="18"/>
          <w:szCs w:val="18"/>
          <w:color w:val="auto"/>
        </w:rPr>
      </w:pPr>
    </w:p>
    <w:p>
      <w:pPr>
        <w:ind w:left="1240" w:right="540" w:hanging="415"/>
        <w:spacing w:after="0" w:line="282"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retain or grow our relationships with our existing clients, our business, financial condition, results of operations and future prospects would be materially and adversely affected.</w:t>
      </w:r>
    </w:p>
    <w:p>
      <w:pPr>
        <w:spacing w:after="0" w:line="67" w:lineRule="exact"/>
        <w:rPr>
          <w:rFonts w:ascii="Times New Roman" w:cs="Times New Roman" w:eastAsia="Times New Roman" w:hAnsi="Times New Roman"/>
          <w:sz w:val="18"/>
          <w:szCs w:val="18"/>
          <w:color w:val="auto"/>
        </w:rPr>
      </w:pPr>
    </w:p>
    <w:p>
      <w:pPr>
        <w:ind w:left="1240" w:right="100" w:hanging="415"/>
        <w:spacing w:after="0" w:line="266"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current and prospective clients require the approval of their own regulators in order to deploy our solutions, and if they are unable to obtain those approvals on a timely basis, or at all, our results of operations and future prospects would be materially and adversely affected.</w:t>
      </w:r>
    </w:p>
    <w:p>
      <w:pPr>
        <w:spacing w:after="0" w:line="81" w:lineRule="exact"/>
        <w:rPr>
          <w:rFonts w:ascii="Times New Roman" w:cs="Times New Roman" w:eastAsia="Times New Roman" w:hAnsi="Times New Roman"/>
          <w:sz w:val="18"/>
          <w:szCs w:val="18"/>
          <w:color w:val="auto"/>
        </w:rPr>
      </w:pPr>
    </w:p>
    <w:p>
      <w:pPr>
        <w:ind w:left="1240" w:right="20" w:hanging="415"/>
        <w:spacing w:after="0" w:line="258"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large percentage of our revenue is concentrated with a single client that has notified us it will not be renewing its agreement with us. The loss of this client will materially and adversely affect our business, financial condition, results of operations and future prospects. Moreover, because of our B2B2C go-to-market model, the loss of any client – regardless of the reason – increases the risk that the customers that originally emanated from that client will transition to another provider or stop doing business with us, which would harm our business.</w:t>
      </w:r>
    </w:p>
    <w:p>
      <w:pPr>
        <w:spacing w:after="0" w:line="88"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anticipated benefits of past or future investments, strategic transactions, or acquisitions and integration of these acquisitions may disrupt our business and management.</w:t>
      </w:r>
    </w:p>
    <w:p>
      <w:pPr>
        <w:spacing w:after="0" w:line="67" w:lineRule="exact"/>
        <w:rPr>
          <w:rFonts w:ascii="Times New Roman" w:cs="Times New Roman" w:eastAsia="Times New Roman" w:hAnsi="Times New Roman"/>
          <w:sz w:val="18"/>
          <w:szCs w:val="18"/>
          <w:color w:val="auto"/>
        </w:rPr>
      </w:pPr>
    </w:p>
    <w:p>
      <w:pPr>
        <w:ind w:left="1240" w:right="100" w:hanging="415"/>
        <w:spacing w:after="0" w:line="266"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past, we have identified conditions and events that raised substantial doubt about our ability to continue as a going concern and it is possible that we may identify conditions and events in the future that raise substantial doubt about our ability to continue as a going concern.</w:t>
      </w:r>
    </w:p>
    <w:p>
      <w:pPr>
        <w:spacing w:after="0" w:line="81" w:lineRule="exact"/>
        <w:rPr>
          <w:rFonts w:ascii="Times New Roman" w:cs="Times New Roman" w:eastAsia="Times New Roman" w:hAnsi="Times New Roman"/>
          <w:sz w:val="18"/>
          <w:szCs w:val="18"/>
          <w:color w:val="auto"/>
        </w:rPr>
      </w:pPr>
    </w:p>
    <w:p>
      <w:pPr>
        <w:ind w:left="1240" w:right="20" w:hanging="415"/>
        <w:spacing w:after="0" w:line="266" w:lineRule="auto"/>
        <w:tabs>
          <w:tab w:leader="none" w:pos="12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expected benefits under the Cooperation Agreement with DTR, including failing to enter into a commercial agreement with or successfully integrating our platform with DTR’s technology, and may be unable to successfully negotiate the terms to acquire DTR, either of which could adversely affect our business, financial condition and results of operations.</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61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6998970" cy="626173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Risks Related to Crypto and Our Investment Policy</w:t>
      </w:r>
    </w:p>
    <w:p>
      <w:pPr>
        <w:spacing w:after="0" w:line="133" w:lineRule="exact"/>
        <w:rPr>
          <w:sz w:val="20"/>
          <w:szCs w:val="20"/>
          <w:color w:val="auto"/>
        </w:rPr>
      </w:pPr>
    </w:p>
    <w:p>
      <w:pPr>
        <w:ind w:left="1240" w:hanging="415"/>
        <w:spacing w:after="0"/>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crypto market subject us to additional risks, including the risk that banks may not provide banking services to us.</w:t>
      </w:r>
    </w:p>
    <w:p>
      <w:pPr>
        <w:spacing w:after="0" w:line="130" w:lineRule="exact"/>
        <w:rPr>
          <w:rFonts w:ascii="Times New Roman" w:cs="Times New Roman" w:eastAsia="Times New Roman" w:hAnsi="Times New Roman"/>
          <w:sz w:val="18"/>
          <w:szCs w:val="18"/>
          <w:color w:val="auto"/>
        </w:rPr>
      </w:pPr>
    </w:p>
    <w:p>
      <w:pPr>
        <w:ind w:left="1240" w:right="780" w:hanging="415"/>
        <w:spacing w:after="0" w:line="282" w:lineRule="auto"/>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a perception among regulators and others that crypto is used to facilitate illegal activity such as fraud, money laundering, tax evasion and ransomware scams.</w:t>
      </w:r>
    </w:p>
    <w:p>
      <w:pPr>
        <w:spacing w:after="0" w:line="67" w:lineRule="exact"/>
        <w:rPr>
          <w:rFonts w:ascii="Times New Roman" w:cs="Times New Roman" w:eastAsia="Times New Roman" w:hAnsi="Times New Roman"/>
          <w:sz w:val="18"/>
          <w:szCs w:val="18"/>
          <w:color w:val="auto"/>
        </w:rPr>
      </w:pPr>
    </w:p>
    <w:p>
      <w:pPr>
        <w:ind w:left="1240" w:right="40" w:hanging="415"/>
        <w:spacing w:after="0" w:line="266" w:lineRule="auto"/>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Crypto custodial solutions and related technology, including our systems and custodial arrangements, are subject to risks related to a loss of funds due to theft, employee or vendor sabotage, security and cybersecurity risks, system failures and other operational issues, the loss, destruction or other compromise of our private keys and a lack of sufficient insurance.</w:t>
      </w:r>
    </w:p>
    <w:p>
      <w:pPr>
        <w:spacing w:after="0" w:line="81" w:lineRule="exact"/>
        <w:rPr>
          <w:rFonts w:ascii="Times New Roman" w:cs="Times New Roman" w:eastAsia="Times New Roman" w:hAnsi="Times New Roman"/>
          <w:sz w:val="18"/>
          <w:szCs w:val="18"/>
          <w:color w:val="auto"/>
        </w:rPr>
      </w:pPr>
    </w:p>
    <w:p>
      <w:pPr>
        <w:ind w:left="1240" w:right="520" w:hanging="415"/>
        <w:spacing w:after="0" w:line="282" w:lineRule="auto"/>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safeguard and manage our and our customers’ crypto could adversely impact our business, operating results, and financial condition.</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Crypto does not have extensive historical precedent and distributed ledger technology continues to rapidly evolve.</w:t>
      </w:r>
    </w:p>
    <w:p>
      <w:pPr>
        <w:spacing w:after="0" w:line="130" w:lineRule="exact"/>
        <w:rPr>
          <w:rFonts w:ascii="Times New Roman" w:cs="Times New Roman" w:eastAsia="Times New Roman" w:hAnsi="Times New Roman"/>
          <w:sz w:val="18"/>
          <w:szCs w:val="18"/>
          <w:color w:val="auto"/>
        </w:rPr>
      </w:pPr>
    </w:p>
    <w:p>
      <w:pPr>
        <w:ind w:left="1240" w:right="260" w:hanging="415"/>
        <w:spacing w:after="0" w:line="282" w:lineRule="auto"/>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technical issues in connection with the integration of supported crypto assets and changes and upgrades to their underlying networks, which could adversely affect our business.</w:t>
      </w:r>
    </w:p>
    <w:p>
      <w:pPr>
        <w:spacing w:after="0" w:line="67" w:lineRule="exact"/>
        <w:rPr>
          <w:rFonts w:ascii="Times New Roman" w:cs="Times New Roman" w:eastAsia="Times New Roman" w:hAnsi="Times New Roman"/>
          <w:sz w:val="18"/>
          <w:szCs w:val="18"/>
          <w:color w:val="auto"/>
        </w:rPr>
      </w:pPr>
    </w:p>
    <w:p>
      <w:pPr>
        <w:ind w:left="1240" w:right="100" w:hanging="415"/>
        <w:spacing w:after="0" w:line="282" w:lineRule="auto"/>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results and the market price of our securities are expected to be affected by fluctuations in the price of digital assets we may acquire in accordance with our Investment Policy, including Bitcoin, which are highly volatile assets.</w:t>
      </w:r>
    </w:p>
    <w:p>
      <w:pPr>
        <w:spacing w:after="0" w:line="67"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financial results may fluctuate significantly, including because we account for digital assets we hold at fair value, which may subject us to the corporate alternative minimum tax under the Inflation Reduction Act of 2022.</w:t>
      </w:r>
    </w:p>
    <w:p>
      <w:pPr>
        <w:spacing w:after="0" w:line="67" w:lineRule="exact"/>
        <w:rPr>
          <w:rFonts w:ascii="Times New Roman" w:cs="Times New Roman" w:eastAsia="Times New Roman" w:hAnsi="Times New Roman"/>
          <w:sz w:val="18"/>
          <w:szCs w:val="18"/>
          <w:color w:val="auto"/>
        </w:rPr>
      </w:pPr>
    </w:p>
    <w:p>
      <w:pPr>
        <w:ind w:left="1240" w:right="220" w:hanging="415"/>
        <w:spacing w:after="0" w:line="282" w:lineRule="auto"/>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 the price of any purchases of Bitcoin and other digital assets we may acquire in accordance with our Investment Policy will be limited.</w:t>
      </w:r>
    </w:p>
    <w:p>
      <w:pPr>
        <w:spacing w:after="0" w:line="67" w:lineRule="exact"/>
        <w:rPr>
          <w:rFonts w:ascii="Times New Roman" w:cs="Times New Roman" w:eastAsia="Times New Roman" w:hAnsi="Times New Roman"/>
          <w:sz w:val="18"/>
          <w:szCs w:val="18"/>
          <w:color w:val="auto"/>
        </w:rPr>
      </w:pPr>
    </w:p>
    <w:p>
      <w:pPr>
        <w:ind w:left="1240" w:right="480" w:hanging="415"/>
        <w:spacing w:after="0" w:line="282" w:lineRule="auto"/>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decrease in the market value of any digital assets we may acquire in accordance with our Investment Policy could adversely affect our ability to satisfy financial obligations, including any debt financings.</w:t>
      </w:r>
    </w:p>
    <w:p>
      <w:pPr>
        <w:spacing w:after="0" w:line="67" w:lineRule="exact"/>
        <w:rPr>
          <w:rFonts w:ascii="Times New Roman" w:cs="Times New Roman" w:eastAsia="Times New Roman" w:hAnsi="Times New Roman"/>
          <w:sz w:val="18"/>
          <w:szCs w:val="18"/>
          <w:color w:val="auto"/>
        </w:rPr>
      </w:pPr>
    </w:p>
    <w:p>
      <w:pPr>
        <w:jc w:val="both"/>
        <w:ind w:left="1240" w:right="200" w:hanging="415"/>
        <w:spacing w:after="0" w:line="266" w:lineRule="auto"/>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implementation of our Investment Policy, competition by other digital asset companies and the availability of spot exchange-traded products for Bitcoin and other digital assets may adversely affect our business, financial condition, results of operations and future prospects.</w:t>
      </w:r>
    </w:p>
    <w:p>
      <w:pPr>
        <w:spacing w:after="0" w:line="81"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digital assets we may acquire in accordance with our Investment Policy may not be able to serve as a source of liquidity for us to the same extent as cash and cash equivalents.</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Risks Related to Regulation, Taxation and Laws</w:t>
      </w:r>
    </w:p>
    <w:p>
      <w:pPr>
        <w:spacing w:after="0" w:line="133" w:lineRule="exact"/>
        <w:rPr>
          <w:sz w:val="20"/>
          <w:szCs w:val="20"/>
          <w:color w:val="auto"/>
        </w:rPr>
      </w:pPr>
    </w:p>
    <w:p>
      <w:pPr>
        <w:ind w:left="1240" w:right="340" w:hanging="415"/>
        <w:spacing w:after="0" w:line="282" w:lineRule="auto"/>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government regulation, oversight, licensure and appraisals and our failure to comply could materially harm our business.</w:t>
      </w:r>
    </w:p>
    <w:p>
      <w:pPr>
        <w:spacing w:after="0" w:line="67" w:lineRule="exact"/>
        <w:rPr>
          <w:rFonts w:ascii="Times New Roman" w:cs="Times New Roman" w:eastAsia="Times New Roman" w:hAnsi="Times New Roman"/>
          <w:sz w:val="18"/>
          <w:szCs w:val="18"/>
          <w:color w:val="auto"/>
        </w:rPr>
      </w:pPr>
    </w:p>
    <w:p>
      <w:pPr>
        <w:ind w:left="1240" w:right="100" w:hanging="415"/>
        <w:spacing w:after="0" w:line="266" w:lineRule="auto"/>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regimes governing blockchain technologies and crypto are uncertain and may change rapidly. New regulations or policies may alter or significantly adversely affect our business practices with respect to crypto assets, and we may need to adapt our business to regulatory change quickly to succeed.</w:t>
      </w:r>
    </w:p>
    <w:p>
      <w:pPr>
        <w:spacing w:after="0" w:line="81" w:lineRule="exact"/>
        <w:rPr>
          <w:rFonts w:ascii="Times New Roman" w:cs="Times New Roman" w:eastAsia="Times New Roman" w:hAnsi="Times New Roman"/>
          <w:sz w:val="18"/>
          <w:szCs w:val="18"/>
          <w:color w:val="auto"/>
        </w:rPr>
      </w:pPr>
    </w:p>
    <w:p>
      <w:pPr>
        <w:ind w:left="1240" w:right="140" w:hanging="415"/>
        <w:spacing w:after="0" w:line="266" w:lineRule="auto"/>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crypto asset’s status as a “security” in any relevant jurisdiction is currently subject to a high degree of uncertainty, and if crypto assets on our platform are later determined to be securities, we may be subject to regulatory scrutiny, investigations, fines, and other penalties, which may adversely affect our business, operating results, and financial condition.</w:t>
      </w:r>
    </w:p>
    <w:p>
      <w:pPr>
        <w:spacing w:after="0" w:line="29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80"/>
          </w:cols>
          <w:pgMar w:left="320" w:top="455" w:right="6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6992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6998970" cy="66992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380" w:hanging="415"/>
        <w:spacing w:after="0" w:line="282" w:lineRule="auto"/>
        <w:tabs>
          <w:tab w:leader="none" w:pos="12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significant litigation risk and risk of regulatory liability and penalties. Any current or future litigation against us could be costly and time-consuming to defend.</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Risks Related to Information Technology and Data</w:t>
      </w:r>
    </w:p>
    <w:p>
      <w:pPr>
        <w:spacing w:after="0" w:line="133" w:lineRule="exact"/>
        <w:rPr>
          <w:sz w:val="20"/>
          <w:szCs w:val="20"/>
          <w:color w:val="auto"/>
        </w:rPr>
      </w:pPr>
    </w:p>
    <w:p>
      <w:pPr>
        <w:ind w:left="1240" w:right="120" w:hanging="415"/>
        <w:spacing w:after="0" w:line="282" w:lineRule="auto"/>
        <w:tabs>
          <w:tab w:leader="none" w:pos="1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cyberattacks, security incidents, or breaches could result in serious harm to our reputation, business and financial condition.</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Risks Related to Risk Management and Financial Reporting</w:t>
      </w:r>
    </w:p>
    <w:p>
      <w:pPr>
        <w:spacing w:after="0" w:line="133" w:lineRule="exact"/>
        <w:rPr>
          <w:sz w:val="20"/>
          <w:szCs w:val="20"/>
          <w:color w:val="auto"/>
        </w:rPr>
      </w:pPr>
    </w:p>
    <w:p>
      <w:pPr>
        <w:ind w:left="1240" w:right="400" w:hanging="415"/>
        <w:spacing w:after="0" w:line="282" w:lineRule="auto"/>
        <w:tabs>
          <w:tab w:leader="none" w:pos="12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maintain effective internal controls over financial reporting, we may be unable to produce timely and accurate financial statements, which could have a material effect on our business.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principal executive offices are located at 10000 Avalon Boulevard, Suite 1000, Alpharetta, Georgia 30009. Our telephone number is</w:t>
      </w:r>
    </w:p>
    <w:p>
      <w:pPr>
        <w:spacing w:after="0" w:line="27" w:lineRule="exact"/>
        <w:rPr>
          <w:sz w:val="20"/>
          <w:szCs w:val="20"/>
          <w:color w:val="auto"/>
        </w:rPr>
      </w:pPr>
    </w:p>
    <w:p>
      <w:pPr>
        <w:ind w:left="300" w:right="80" w:hanging="2"/>
        <w:spacing w:after="0" w:line="260" w:lineRule="auto"/>
        <w:tabs>
          <w:tab w:leader="none" w:pos="7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534-5849. Our website is </w:t>
      </w:r>
      <w:r>
        <w:rPr>
          <w:rFonts w:ascii="Times New Roman" w:cs="Times New Roman" w:eastAsia="Times New Roman" w:hAnsi="Times New Roman"/>
          <w:sz w:val="18"/>
          <w:szCs w:val="18"/>
          <w:i w:val="1"/>
          <w:iCs w:val="1"/>
          <w:color w:val="auto"/>
        </w:rPr>
        <w:t>https://www.bakkt.com</w:t>
      </w:r>
      <w:r>
        <w:rPr>
          <w:rFonts w:ascii="Times New Roman" w:cs="Times New Roman" w:eastAsia="Times New Roman" w:hAnsi="Times New Roman"/>
          <w:sz w:val="18"/>
          <w:szCs w:val="18"/>
          <w:color w:val="auto"/>
        </w:rPr>
        <w:t>. Information contained on, or that can be accessed through, our website is not a part of, and is not incorporated into, this prospectus, and the inclusion of our website address in this prospectus is an inactive textual reference only.</w:t>
      </w: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Securities That May Be Offered</w:t>
      </w:r>
    </w:p>
    <w:p>
      <w:pPr>
        <w:spacing w:after="0" w:line="121" w:lineRule="exact"/>
        <w:rPr>
          <w:sz w:val="20"/>
          <w:szCs w:val="20"/>
          <w:color w:val="auto"/>
        </w:rPr>
      </w:pPr>
    </w:p>
    <w:p>
      <w:pPr>
        <w:ind w:left="300" w:right="40" w:firstLine="426"/>
        <w:spacing w:after="0" w:line="261" w:lineRule="auto"/>
        <w:rPr>
          <w:sz w:val="20"/>
          <w:szCs w:val="20"/>
          <w:color w:val="auto"/>
        </w:rPr>
      </w:pPr>
      <w:r>
        <w:rPr>
          <w:rFonts w:ascii="Times New Roman" w:cs="Times New Roman" w:eastAsia="Times New Roman" w:hAnsi="Times New Roman"/>
          <w:sz w:val="18"/>
          <w:szCs w:val="18"/>
          <w:color w:val="auto"/>
        </w:rPr>
        <w:t>We may offer or sell Class A Common Stock, preferred stock, debt securities, warrants and units in one or more offerings and in any combination. The aggregate offering price of the securities we sell pursuant to this prospectus will not exceed $1,000,000,000. Each time securities are offered with this prospectus, we will provide a prospectus supplement that will describe the specific amounts, prices and terms of the securities being offered and the net proceeds we expect to receive from that sale.</w:t>
      </w:r>
    </w:p>
    <w:p>
      <w:pPr>
        <w:spacing w:after="0" w:line="180"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The securities may be sold to or through underwriters, dealers or agents or directly to purchasers or as otherwise set forth in the section of this prospectus captioned “Plan of Distribution.”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121" w:lineRule="exact"/>
        <w:rPr>
          <w:sz w:val="20"/>
          <w:szCs w:val="20"/>
          <w:color w:val="auto"/>
        </w:rPr>
      </w:pPr>
    </w:p>
    <w:p>
      <w:pPr>
        <w:ind w:left="300" w:right="320" w:firstLine="426"/>
        <w:spacing w:after="0" w:line="258" w:lineRule="auto"/>
        <w:rPr>
          <w:sz w:val="20"/>
          <w:szCs w:val="20"/>
          <w:color w:val="auto"/>
        </w:rPr>
      </w:pPr>
      <w:r>
        <w:rPr>
          <w:rFonts w:ascii="Times New Roman" w:cs="Times New Roman" w:eastAsia="Times New Roman" w:hAnsi="Times New Roman"/>
          <w:sz w:val="18"/>
          <w:szCs w:val="18"/>
          <w:color w:val="auto"/>
        </w:rPr>
        <w:t>We may offer shares of our Class A Common Stock either alone or underlying other registered securities convertible into our Class A Common Stock. Holders of our Class A Common Stock are entitled to receive dividends declared by our board of directors out of funds legally available for the payment of dividends, subject to rights, if any, of preferred stockholders. We have not paid dividends in the past and have no current plans to pay dividends. Each holder of Class A Common Stock is entitled to one vote per share. The holders of Class A Common Stock have no preemptive rights.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300" w:right="180" w:firstLine="426"/>
        <w:spacing w:after="0" w:line="256" w:lineRule="auto"/>
        <w:rPr>
          <w:sz w:val="20"/>
          <w:szCs w:val="20"/>
          <w:color w:val="auto"/>
        </w:rPr>
      </w:pPr>
      <w:r>
        <w:rPr>
          <w:rFonts w:ascii="Times New Roman" w:cs="Times New Roman" w:eastAsia="Times New Roman" w:hAnsi="Times New Roman"/>
          <w:sz w:val="18"/>
          <w:szCs w:val="18"/>
          <w:color w:val="auto"/>
        </w:rPr>
        <w:t>Our board of directors has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Each series of preferred stock offered by us will be more fully described in the particular prospectus supplement that will accompany this prospectus, including redemption provisions, rights in the event of our liquidation, dissolution or winding up, voting rights and rights to convert into Class A Common Stock.</w:t>
      </w:r>
    </w:p>
    <w:p>
      <w:pPr>
        <w:spacing w:after="0" w:line="3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0473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6998970" cy="30473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Debt Securities</w:t>
      </w:r>
    </w:p>
    <w:p>
      <w:pPr>
        <w:spacing w:after="0" w:line="121" w:lineRule="exact"/>
        <w:rPr>
          <w:sz w:val="20"/>
          <w:szCs w:val="20"/>
          <w:color w:val="auto"/>
        </w:rPr>
      </w:pPr>
    </w:p>
    <w:p>
      <w:pPr>
        <w:ind w:left="300" w:right="200" w:firstLine="426"/>
        <w:spacing w:after="0" w:line="277" w:lineRule="auto"/>
        <w:rPr>
          <w:sz w:val="20"/>
          <w:szCs w:val="20"/>
          <w:color w:val="auto"/>
        </w:rPr>
      </w:pPr>
      <w:r>
        <w:rPr>
          <w:rFonts w:ascii="Times New Roman" w:cs="Times New Roman" w:eastAsia="Times New Roman" w:hAnsi="Times New Roman"/>
          <w:sz w:val="17"/>
          <w:szCs w:val="17"/>
          <w:color w:val="auto"/>
        </w:rPr>
        <w:t>We may offer secured or unsecured obligations in the form of one or more series of senior or subordinated debt. The senior debt securities and the subordinated debt securities are together referred to in this prospectus as the “debt securities.”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shares of our Class A Common Stock.</w:t>
      </w:r>
    </w:p>
    <w:p>
      <w:pPr>
        <w:spacing w:after="0" w:line="168" w:lineRule="exact"/>
        <w:rPr>
          <w:sz w:val="20"/>
          <w:szCs w:val="20"/>
          <w:color w:val="auto"/>
        </w:rPr>
      </w:pPr>
    </w:p>
    <w:p>
      <w:pPr>
        <w:jc w:val="both"/>
        <w:ind w:left="300" w:right="240" w:firstLine="426"/>
        <w:spacing w:after="0" w:line="289" w:lineRule="auto"/>
        <w:rPr>
          <w:sz w:val="20"/>
          <w:szCs w:val="20"/>
          <w:color w:val="auto"/>
        </w:rPr>
      </w:pPr>
      <w:r>
        <w:rPr>
          <w:rFonts w:ascii="Times New Roman" w:cs="Times New Roman" w:eastAsia="Times New Roman" w:hAnsi="Times New Roman"/>
          <w:sz w:val="17"/>
          <w:szCs w:val="17"/>
          <w:color w:val="auto"/>
        </w:rPr>
        <w:t>The debt securities will be issued under an indenture between us and a trustee to be identified in an accompanying prospectus supplement. We have summarized the general features of the debt securities to be governed by the indenture in this prospectus and the form of indenture has been filed as an exhibit to the registration statement of which this prospectus forms a part. We encourage you to read the indenture.</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left="300" w:right="140" w:firstLine="426"/>
        <w:spacing w:after="0" w:line="282" w:lineRule="auto"/>
        <w:rPr>
          <w:sz w:val="20"/>
          <w:szCs w:val="20"/>
          <w:color w:val="auto"/>
        </w:rPr>
      </w:pPr>
      <w:r>
        <w:rPr>
          <w:rFonts w:ascii="Times New Roman" w:cs="Times New Roman" w:eastAsia="Times New Roman" w:hAnsi="Times New Roman"/>
          <w:sz w:val="18"/>
          <w:szCs w:val="18"/>
          <w:color w:val="auto"/>
        </w:rPr>
        <w:t>We may offer warrants for the purchase of Class A Common Stock, preferred stock or debt securities. We may offer warrants independently or together with other securities.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Units</w:t>
      </w:r>
    </w:p>
    <w:p>
      <w:pPr>
        <w:spacing w:after="0" w:line="121"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We may offer units comprised of one or more of the other classes of securities described in this prospectus in any combination. Each unit will be issued so that the holder of the unit is also the holder of each security included in the unit.</w:t>
      </w:r>
    </w:p>
    <w:p>
      <w:pPr>
        <w:spacing w:after="0" w:line="2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320" w:top="455" w:right="6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section in the applicable prospectus supplement captioned “Risk Factors,” together with all of the other information contained or incorporated by reference in the prospectus supplement or appearing or incorporated by reference in this prospectus. You should also consider the risks, uncertainties and assumptions discussed under “Part I—Item 1A—Risk Factors” of our most recent Annual Report on Form 10-K and in “Part II—Item 1A—Risk Factors” of our Quarterly Reports on Form 10-Q filed subsequently to such Form 10-K that are incorporated herein by reference, as may be amended, supplemented or superseded from time to time by other reports we file with the SEC in the future. In addition, you should consider the risks, uncertainties and assumptions discussed under the heading “Risk Factors Related to the Update of Our Investment Policy” in Exhibit 99.1 to our Current Report on Form 8-K filed on June 10, 2025 that is incorporated by reference in this prospectus before you invest in our securities. The risks and uncertainties we have described are not the only ones we face. Additional risks and uncertainties not presently known to us or that we currently deem immaterial may also affect our operations.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color w:val="auto"/>
        </w:rPr>
        <w:t>This prospectus, any accompanying prospectus supplement and the documents incorporated by reference herein and therein contain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that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included or incorporated by reference into this prospectus may include, for example, statements about:</w:t>
      </w:r>
    </w:p>
    <w:p>
      <w:pPr>
        <w:spacing w:after="0" w:line="100"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for our products and services;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impacts from the adoption of our updated Investment Policy.</w:t>
      </w:r>
    </w:p>
    <w:p>
      <w:pPr>
        <w:spacing w:after="0" w:line="225"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they were made and reflect management’s expectations, forecasts and assumptions as of such date, and involve a number of judgments, known and/or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spacing w:after="0" w:line="183"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spacing w:after="0" w:line="81"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and manage growth profitably;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unable to obtain the applicable regulatory approvals to execute on the cooperation agreement with DTR;</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finalizing the proposed commercial agreement with DTR, including whether such agreement will be executed on terms favorable to us or if at all, or be completed on the expected timeline, and whether we will be able to successfully integrate its operations with those of DTR, including its infrastructure, and achieve the expected benefits therefrom;</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environment for crypto currencies and digital stablecoin payments;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business strategy, including our adoption of the updated Investment Policy;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digital assets, including Bitcoin;</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owning digital assets, including Bitcoin, including price volatility, limited liquidity and trading volumes, relative anonymity, potential widespread susceptibility to market abuse and manipulation, compliance and internal control failures at exchanges and other risks inherent in its entirely electronic, virtual-form and decentralized network;</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fluctuation of our operating results, including because we may be required to account for our digital assets at fair value;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 the price of our purchase of digital assets pursuant to our updated Investment Policy;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market value of digital assets on our ability to satisfy our financial obligations, including any debt financings;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fair value gains on our digital asset holdings subjecting us to the corporate alternative minimum tax;</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commercial, regulatory and technical uncertainty regarding digital assets and enhanced regulatory oversight of companies holding digital assets including the possibility that regulators reclassify any digital assets we hold, including Bitcoin, as a security causing us to be in violation of securities laws and be classified as an “investment company” under the Investment Company Act of 1940;</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by other Bitcoin treasury companies and the availability of spot-traded products for Bitcoin;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regulatory oversight as a result of our updated Investment Policy;</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experiencing greater fraud, security failures or operational problems on digital asset trading venues compared to trading venues for more established asset classes, and any malfunction, breakdown or abandonment of the underlying blockchain protocols, or other technological difficulties, may prevent access to or use of such digital assets;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our expected digital asset holdings relative to non-digital assets;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use our digital asset holdings as a source of liquidity to the same extent as cash and cash equivalents, due to, for example, risks associated with digital assets and other risks inherent to its entirely electronic, virtual-form and decentralized network;</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or a third-party service provider experiencing a security breach or cyber-attack where unauthorized parties obtain access to digital assets;</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access to or theft or data loss of our digital assets, which could be unrecoverable due to the immutable nature of blockchain transactions;</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elect to hold our digital assets through a third-party custodian, the loss of direct control over our digital assets and dependence on the custodian’s security practices and operational integrity which may lead to the loss of its digital assets as a result of the insolvency of the custodian, theft by employees or insiders of the custodian or if the custodian’s security measures are compromised, including as a result of a cyber-attack;</w:t>
      </w:r>
    </w:p>
    <w:p>
      <w:pPr>
        <w:spacing w:after="0" w:line="85"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not being subject to the legal and regulatory protections applicable to investment companies such as mutual funds and exchange-traded funds, or to obligations applicable to investment advisers;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non-performance, breach of contract or other violations by counterparties assisting us in effecting our updated Investment Policy;</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and sources and uses of cash, including funds to satisfy our liquidity needs and continued access to the line of credit provided by Intercontinental Exchange Holdings, Inc.;</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in which we compete, including with respect to our competitive landscape, technology evolution or changes in applicable laws or regulations;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that we target;</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disruptions in the crypto, digital payments and stablecoin markets that subject us to additional risks, including the risk that banks may not provide banking services to us and market sentiments regarding crypto currencies, digital payments and stablecoins;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macroeconomic, geopolitical, business, and/or competitive factors;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60"/>
          </w:cols>
          <w:pgMar w:left="320" w:top="455" w:right="5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launch new services and products, including with our expected commercial partners, or to profitably expand into new markets and services;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growth strategies, including identifying and executing acquisitions and divestitures and our initiatives to add new clients;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reach definitive agreements with our expected commercial counterparties;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complete a strategic transaction of the Loyalty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extensive government regulations, oversight, licensure and appraisals;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 and evolving regulatory regime governing blockchain technologies, stablecoins, digital payments and crypto;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effective internal controls and procedures;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exposure to any liability, protracted and costly litigation or reputational damage relating to our data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goodwill or other intangible assets impairments on our operating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securities on the New York Stock Exchange; and</w:t>
      </w:r>
    </w:p>
    <w:p>
      <w:pPr>
        <w:spacing w:after="0" w:line="128" w:lineRule="exact"/>
        <w:rPr>
          <w:rFonts w:ascii="Times New Roman" w:cs="Times New Roman" w:eastAsia="Times New Roman" w:hAnsi="Times New Roman"/>
          <w:sz w:val="18"/>
          <w:szCs w:val="18"/>
          <w:color w:val="auto"/>
        </w:rPr>
      </w:pPr>
    </w:p>
    <w:p>
      <w:pPr>
        <w:ind w:left="1080" w:right="240" w:hanging="424"/>
        <w:spacing w:after="0" w:line="284"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indicated in this prospectus, including those set forth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any risk factors described in any amendments or supplements to this prospectus and in the documents incorporated by reference herein.</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40"/>
          </w:cols>
          <w:pgMar w:left="320" w:top="455"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will retain broad discretion over the use of the net proceeds to us from the sale of our securities under this prospectus. Unless otherwise provided in the applicable prospectus supplement, we currently expect to use the net proceeds that we receive from this offering for working capital and other general corporate purposes.</w:t>
      </w:r>
    </w:p>
    <w:p>
      <w:pPr>
        <w:spacing w:after="0" w:line="3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description of our capital stock is incorporated by reference to Exhibit 4.9 to our Annual Report on Form 10-K for the fiscal year ended December 31, 2024, filed with the SEC on March 20, 2025.</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60"/>
          </w:cols>
          <w:pgMar w:left="320" w:top="455" w:right="5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8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76"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The debt securities will be issued under an indenture between us and a trustee to be identified in an accompanying prospectus supplement. We have summarized select portions of the indenture below. The summary is not complete. The form of the indenture has been filed as an exhibit to the registration statement of which this prospectus forms a part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76"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81"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85" w:lineRule="exact"/>
        <w:rPr>
          <w:rFonts w:ascii="Times New Roman" w:cs="Times New Roman" w:eastAsia="Times New Roman" w:hAnsi="Times New Roman"/>
          <w:sz w:val="18"/>
          <w:szCs w:val="18"/>
          <w:color w:val="auto"/>
        </w:rPr>
      </w:pPr>
    </w:p>
    <w:p>
      <w:pPr>
        <w:jc w:val="both"/>
        <w:ind w:left="1080" w:right="6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81"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we may redeem the debt securities;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the terms and conditions upon which securities of the series shall be redeemed or purchased, in whole or in part, pursuant to such obligation;</w:t>
      </w:r>
    </w:p>
    <w:p>
      <w:pPr>
        <w:spacing w:after="0" w:line="81"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and interest on the debt securities will be made;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81"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described in this prospectus or in the indenture with respect to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a foreign currency unit or units, or if the principal of and any premium and interest on any series of debt securities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80"/>
          </w:cols>
          <w:pgMar w:left="320" w:top="455" w:right="4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21"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Each debt security will be represented by either one or more global securities registered in the name of a clearing agency registered under the Securities Exchange Act of 1934, as amended (the “Exchange Act”), which we refer to as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w:t>
      </w:r>
      <w:r>
        <w:rPr>
          <w:rFonts w:ascii="Times New Roman" w:cs="Times New Roman" w:eastAsia="Times New Roman" w:hAnsi="Times New Roman"/>
          <w:sz w:val="17"/>
          <w:szCs w:val="17"/>
          <w:i w:val="1"/>
          <w:iCs w:val="1"/>
          <w:color w:val="auto"/>
        </w:rPr>
        <w:t>Global Debt Securities and Book-Entry System</w:t>
      </w:r>
      <w:r>
        <w:rPr>
          <w:rFonts w:ascii="Times New Roman" w:cs="Times New Roman" w:eastAsia="Times New Roman" w:hAnsi="Times New Roman"/>
          <w:sz w:val="17"/>
          <w:szCs w:val="17"/>
          <w:color w:val="auto"/>
        </w:rPr>
        <w:t>” below, book-entry debt securities will not be issuable in certificated form.</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Certificated Debt Securities</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Global Debt Securities and Book-Entry System</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Each global debt security representing book-entry debt securities will be deposited with, or on behalf of, the depositary, and registered in the name of the depositary or a nominee of the depositary.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which we refer to as a successor person, unless:</w:t>
      </w:r>
    </w:p>
    <w:p>
      <w:pPr>
        <w:spacing w:after="0" w:line="67" w:lineRule="exact"/>
        <w:rPr>
          <w:sz w:val="20"/>
          <w:szCs w:val="20"/>
          <w:color w:val="auto"/>
        </w:rPr>
      </w:pPr>
    </w:p>
    <w:p>
      <w:pPr>
        <w:ind w:left="1080" w:right="6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corporation or the successor person (if other than us) is a corporation organized and validly existing under the laws of any U.S. domestic jurisdiction and expressly assumes our obligations on the debt securities and under the indenture;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560" w:right="1320" w:firstLine="96"/>
        <w:spacing w:after="0" w:line="578" w:lineRule="auto"/>
        <w:tabs>
          <w:tab w:leader="none" w:pos="1092"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after giving effect to the transaction, no Default or Event of Default, shall have occurred and be continuing. Notwithstanding the above, any of our subsidiaries may consolidate with, merge into or transfer all or part of its properties to us.</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131" w:lineRule="exact"/>
        <w:rPr>
          <w:sz w:val="20"/>
          <w:szCs w:val="20"/>
          <w:color w:val="auto"/>
        </w:rPr>
      </w:pPr>
    </w:p>
    <w:p>
      <w:pPr>
        <w:ind w:left="1080" w:right="16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us;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w:t>
      </w:r>
    </w:p>
    <w:p>
      <w:pPr>
        <w:spacing w:after="0" w:line="225"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158"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67" w:lineRule="exact"/>
        <w:rPr>
          <w:sz w:val="20"/>
          <w:szCs w:val="20"/>
          <w:color w:val="auto"/>
        </w:rPr>
      </w:pPr>
    </w:p>
    <w:p>
      <w:pPr>
        <w:ind w:left="1080" w:right="1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w:t>
      </w:r>
    </w:p>
    <w:p>
      <w:pPr>
        <w:spacing w:after="0" w:line="67"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2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covenants in the indenture described above under the heading “</w:t>
      </w:r>
      <w:r>
        <w:rPr>
          <w:rFonts w:ascii="Times New Roman" w:cs="Times New Roman" w:eastAsia="Times New Roman" w:hAnsi="Times New Roman"/>
          <w:sz w:val="18"/>
          <w:szCs w:val="18"/>
          <w:i w:val="1"/>
          <w:iCs w:val="1"/>
          <w:color w:val="auto"/>
        </w:rPr>
        <w:t>Consolidation, Merger and Sale of Assets</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debt securities of any series or secure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w:t>
      </w:r>
    </w:p>
    <w:p>
      <w:pPr>
        <w:spacing w:after="0" w:line="130" w:lineRule="exact"/>
        <w:rPr>
          <w:rFonts w:ascii="Times New Roman" w:cs="Times New Roman" w:eastAsia="Times New Roman" w:hAnsi="Times New Roman"/>
          <w:sz w:val="18"/>
          <w:szCs w:val="18"/>
          <w:color w:val="auto"/>
        </w:rPr>
      </w:pPr>
    </w:p>
    <w:p>
      <w:pPr>
        <w:ind w:left="5540" w:hanging="4884"/>
        <w:spacing w:after="0" w:line="454" w:lineRule="auto"/>
        <w:tabs>
          <w:tab w:leader="none" w:pos="109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 15</w:t>
      </w:r>
    </w:p>
    <w:p>
      <w:pPr>
        <w:sectPr>
          <w:pgSz w:w="11900" w:h="16838" w:orient="portrait"/>
          <w:cols w:equalWidth="0" w:num="1">
            <w:col w:w="11100"/>
          </w:cols>
          <w:pgMar w:left="320" w:top="455"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76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w:t>
      </w:r>
    </w:p>
    <w:p>
      <w:pPr>
        <w:spacing w:after="0" w:line="225"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81"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w:t>
      </w:r>
    </w:p>
    <w:p>
      <w:pPr>
        <w:spacing w:after="0" w:line="225"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291" w:lineRule="exact"/>
        <w:rPr>
          <w:sz w:val="20"/>
          <w:szCs w:val="20"/>
          <w:color w:val="auto"/>
        </w:rPr>
      </w:pPr>
    </w:p>
    <w:p>
      <w:pPr>
        <w:ind w:left="120" w:right="490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Defeasance of Debt Securities and Certain Covenants in Certain Circumstances </w:t>
      </w:r>
      <w:r>
        <w:rPr>
          <w:rFonts w:ascii="Times New Roman" w:cs="Times New Roman" w:eastAsia="Times New Roman" w:hAnsi="Times New Roman"/>
          <w:sz w:val="18"/>
          <w:szCs w:val="18"/>
          <w:i w:val="1"/>
          <w:iCs w:val="1"/>
          <w:color w:val="auto"/>
        </w:rPr>
        <w:t>Legal Defeasance</w:t>
      </w: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80"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Defeasance of Certain Covenants</w:t>
      </w:r>
    </w:p>
    <w:p>
      <w:pPr>
        <w:spacing w:after="0" w:line="119"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indenture provides that, unless otherwise provided by the terms of the applicable series of debt securities, upon compliance with certain conditions:</w:t>
      </w:r>
    </w:p>
    <w:p>
      <w:pPr>
        <w:spacing w:after="0" w:line="65" w:lineRule="exact"/>
        <w:rPr>
          <w:sz w:val="20"/>
          <w:szCs w:val="20"/>
          <w:color w:val="auto"/>
        </w:rPr>
      </w:pPr>
    </w:p>
    <w:p>
      <w:pPr>
        <w:ind w:left="1080" w:right="160" w:hanging="424"/>
        <w:spacing w:after="0" w:line="267"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w:t>
      </w:r>
      <w:r>
        <w:rPr>
          <w:rFonts w:ascii="Times New Roman" w:cs="Times New Roman" w:eastAsia="Times New Roman" w:hAnsi="Times New Roman"/>
          <w:sz w:val="18"/>
          <w:szCs w:val="18"/>
          <w:i w:val="1"/>
          <w:iCs w:val="1"/>
          <w:color w:val="auto"/>
        </w:rPr>
        <w:t>Consolidation, Merger and Sale of Assets</w:t>
      </w:r>
      <w:r>
        <w:rPr>
          <w:rFonts w:ascii="Times New Roman" w:cs="Times New Roman" w:eastAsia="Times New Roman" w:hAnsi="Times New Roman"/>
          <w:sz w:val="18"/>
          <w:szCs w:val="18"/>
          <w:color w:val="auto"/>
        </w:rPr>
        <w:t>” and certain other covenants set forth in the indenture, as well as any additional covenants which may be set forth in the applicable prospectus supplement; and</w:t>
      </w:r>
    </w:p>
    <w:p>
      <w:pPr>
        <w:spacing w:after="0" w:line="8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refer to this as covenant defeasance. The conditions include:</w:t>
      </w:r>
    </w:p>
    <w:p>
      <w:pPr>
        <w:spacing w:after="0" w:line="131" w:lineRule="exact"/>
        <w:rPr>
          <w:sz w:val="20"/>
          <w:szCs w:val="20"/>
          <w:color w:val="auto"/>
        </w:rPr>
      </w:pPr>
    </w:p>
    <w:p>
      <w:pPr>
        <w:ind w:left="1080" w:right="60" w:hanging="424"/>
        <w:spacing w:after="0" w:line="25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92"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the indenture or any other agreement to which we are a party;</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applicable series of debt securities shall have occurred or is continuing on the date of such deposit; and</w:t>
      </w:r>
    </w:p>
    <w:p>
      <w:pPr>
        <w:spacing w:after="0" w:line="67"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or Stockholders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None of our past, present or future directors, officers, employees or stockholders, as such, will have any liability for any of our obligations under the debt securities or the indenture or for any claim based on, or in</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80"/>
          </w:cols>
          <w:pgMar w:left="320" w:top="455" w:right="4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securities, will be governed by the laws of the State of New York.</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60"/>
          </w:cols>
          <w:pgMar w:left="320" w:top="455" w:right="5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debt securities, preferred stock or Class A Common Stock. We may offer warrants separately or together with one or more additional warrants, debt securities, preferred stock or Class A Common Stock, or any combination of those securities in the form of units, as described in the applicable prospectus supplement. If we issue warrants as part of a unit, the applicable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89" w:lineRule="exact"/>
        <w:rPr>
          <w:sz w:val="20"/>
          <w:szCs w:val="20"/>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offering price at which we will issue,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are to be sold separately or with other securities as parts of units;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equity securities purchasable upon exercise of the warrants;</w:t>
      </w:r>
    </w:p>
    <w:p>
      <w:pPr>
        <w:spacing w:after="0" w:line="130"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currency and terms of any debt securities that may be purchased upon exercise of the warrants;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debt securities, preferred stock or Class A Common Stock with which the warrants are issued and the number of warrants issued with each security;</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any warrants issued as part of a unit and the related debt securities, preferred stock or Class A Common Stock will be separately transferable;</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preferred stock or the number of shares of Class A Common Stock purchasable upon exercise of a warrant and the price at which those shares may be purchased;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and other provisions for changes to or adjustment in the exercise price, of the warrants,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or exercise of the warrants.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320" w:top="455"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We may issue units comprising two or more securities described in this prospectus in any combination. For example, we might issue units consisting of a combination of debt securities and warrants to purchase Class A Common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the section of this prospectus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particular issuance of units will describe the terms of those units, including, to the extent applicable, the following:</w:t>
      </w:r>
    </w:p>
    <w:p>
      <w:pPr>
        <w:spacing w:after="0" w:line="67" w:lineRule="exact"/>
        <w:rPr>
          <w:sz w:val="20"/>
          <w:szCs w:val="20"/>
          <w:color w:val="auto"/>
        </w:rPr>
      </w:pPr>
    </w:p>
    <w:p>
      <w:pPr>
        <w:ind w:left="1080" w:right="48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the securities comprising the units, including whether and under what circumstances those securities may be held or transferred separately;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for the issuance, payment, settlement, transfer or exchange of the units or of the securities comprising the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sell securities:</w:t>
      </w:r>
    </w:p>
    <w:p>
      <w:pPr>
        <w:spacing w:after="0" w:line="131"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we may issue the securities as a dividend or distribution or in a subscription rights offering to our existing securityholders.</w:t>
      </w:r>
    </w:p>
    <w:p>
      <w:pPr>
        <w:spacing w:after="0" w:line="22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of 1933, as amended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w:t>
      </w:r>
    </w:p>
    <w:p>
      <w:pPr>
        <w:spacing w:after="0" w:line="131" w:lineRule="exact"/>
        <w:rPr>
          <w:sz w:val="20"/>
          <w:szCs w:val="20"/>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that may be changed from time to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with respect to the securities of a particular series will describe the terms of the offering of the securities, including the following:</w:t>
      </w:r>
    </w:p>
    <w:p>
      <w:pPr>
        <w:spacing w:after="0" w:line="67"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agent or any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or purchase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names of any selling securityholders;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the agent or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exchanges on which the securities will be listed.</w:t>
      </w:r>
    </w:p>
    <w:p>
      <w:pPr>
        <w:spacing w:after="0" w:line="225"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55"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Agents, underwriters, dealers and other persons may be entitled under agreements that they may enter into with us to indemnification by us against certain civil liabilities, including liabilities under the Securities Act.</w:t>
      </w:r>
    </w:p>
    <w:p>
      <w:pPr>
        <w:spacing w:after="0" w:line="162" w:lineRule="exact"/>
        <w:rPr>
          <w:sz w:val="20"/>
          <w:szCs w:val="20"/>
          <w:color w:val="auto"/>
        </w:rPr>
      </w:pPr>
    </w:p>
    <w:p>
      <w:pPr>
        <w:ind w:left="120" w:right="240" w:firstLine="440"/>
        <w:spacing w:after="0" w:line="274" w:lineRule="auto"/>
        <w:rPr>
          <w:sz w:val="20"/>
          <w:szCs w:val="20"/>
          <w:color w:val="auto"/>
        </w:rPr>
      </w:pPr>
      <w:r>
        <w:rPr>
          <w:rFonts w:ascii="Times New Roman" w:cs="Times New Roman" w:eastAsia="Times New Roman" w:hAnsi="Times New Roman"/>
          <w:sz w:val="17"/>
          <w:szCs w:val="17"/>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78" w:lineRule="exact"/>
        <w:rPr>
          <w:sz w:val="20"/>
          <w:szCs w:val="20"/>
          <w:color w:val="auto"/>
        </w:rPr>
      </w:pPr>
    </w:p>
    <w:p>
      <w:pPr>
        <w:ind w:left="1080" w:right="14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underwriters and other persons acting as agents will not have any responsibility in respect of the validity or performance of delayed delivery contracts.</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76"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7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Under Rule 15c6-1 of the Exchange Act, trades in the secondary market generally are required to settle in one business day, unless the parties to any such trade expressly agree otherwise. The applicable prospectus supplement may provide that the original issue date for your securities may be more than one scheduled business day after the trade date for your securities. Accordingly, in such a case, if you wish to trade securities before the original issue date for your securities, you may be required to make alternative settlement arrangements to prevent a failed settlement.</w:t>
      </w:r>
    </w:p>
    <w:p>
      <w:pPr>
        <w:spacing w:after="0" w:line="18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VALIDITY OF THE SECURITIES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validity of the securities offered hereby will be passed upon for us by Sullivan &amp; Cromwell LLP, New York, New York. Additional legal matters may be passed on for us, or any underwriters, dealers or agents by counsel we will name in the applicable prospectus supplement.</w:t>
      </w:r>
    </w:p>
    <w:p>
      <w:pPr>
        <w:spacing w:after="0" w:line="94"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720"/>
          </w:cols>
          <w:pgMar w:left="320" w:top="455" w:right="8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left="120" w:right="320" w:firstLine="440"/>
        <w:spacing w:after="0" w:line="289" w:lineRule="auto"/>
        <w:rPr>
          <w:sz w:val="20"/>
          <w:szCs w:val="20"/>
          <w:color w:val="auto"/>
        </w:rPr>
      </w:pPr>
      <w:r>
        <w:rPr>
          <w:rFonts w:ascii="Times New Roman" w:cs="Times New Roman" w:eastAsia="Times New Roman" w:hAnsi="Times New Roman"/>
          <w:sz w:val="17"/>
          <w:szCs w:val="17"/>
          <w:color w:val="auto"/>
        </w:rPr>
        <w:t>The consolidated financial statements of Bakkt Holdings, Inc. as of and for the year ended December 31, 2024 appearing in the Company’s Annual Report (Form 10-K) have been incorporated by reference herein in reliance upon the report of KPMG LLP, independent registered public accounting firm, included thereon, and incorporated by reference herein, and upon the authority of said firm as experts in accounting and auditing.</w:t>
      </w:r>
    </w:p>
    <w:p>
      <w:pPr>
        <w:spacing w:after="0" w:line="15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Bakkt Holdings, Inc., at December 31, 2023 and for each of the two years in the period ended December 31, 2023 appearing in the Company’s Annual Report (Form 10-K) for the period ended December 31, 2024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such reports pertaining to such financial statements (to the extent covered by consents filed with the Securities and Exchange Commission) given on the authority of such firm as experts in accounting and auditing.</w:t>
      </w:r>
    </w:p>
    <w:p>
      <w:pPr>
        <w:spacing w:after="0" w:line="1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0"/>
          </w:cols>
          <w:pgMar w:left="320" w:top="455" w:right="5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Copies of certain information filed by us with the SEC are also available on our website at </w:t>
      </w:r>
      <w:r>
        <w:rPr>
          <w:rFonts w:ascii="Times New Roman" w:cs="Times New Roman" w:eastAsia="Times New Roman" w:hAnsi="Times New Roman"/>
          <w:sz w:val="18"/>
          <w:szCs w:val="18"/>
          <w:i w:val="1"/>
          <w:iCs w:val="1"/>
          <w:color w:val="auto"/>
        </w:rPr>
        <w:t>investors.bakkt.com</w:t>
      </w:r>
      <w:r>
        <w:rPr>
          <w:rFonts w:ascii="Times New Roman" w:cs="Times New Roman" w:eastAsia="Times New Roman" w:hAnsi="Times New Roman"/>
          <w:sz w:val="18"/>
          <w:szCs w:val="18"/>
          <w:color w:val="auto"/>
        </w:rPr>
        <w:t>. Information accessible on or through our website is not a part of this prospectus.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and any prospectus supplement is part of a registration statement that we filed with the SEC and do not contain all of the information in the registration statement. You should review the information and exhibits in the registration statement for further information on us and our consolidated subsidiaries and the securities that we are offering. Forms of any indenture or other documents establishing the terms of the offered securities are filed as exhibits to the registration statement of which this prospectus forms a part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455" w:right="4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that we file with the SEC, which means that we can disclose important information to you by referring you to those publicly available documents.</w:t>
      </w:r>
    </w:p>
    <w:p>
      <w:pPr>
        <w:spacing w:after="0" w:line="162"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until the offering of the securities under the registration statement of which this prospectus forms a part is terminated or completed:</w:t>
      </w:r>
    </w:p>
    <w:p>
      <w:pPr>
        <w:spacing w:after="0" w:line="97" w:lineRule="exact"/>
        <w:rPr>
          <w:sz w:val="20"/>
          <w:szCs w:val="20"/>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4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March 20, 2025 (our “Annual Report”);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48">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2025, filed with the SEC on May 12, 2025;</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w:t>
      </w:r>
      <w:hyperlink r:id="rId49">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on Schedule 14A, filed with the SEC on April 28, 2025, that are incorporated by reference into our Annual Report;</w:t>
      </w:r>
    </w:p>
    <w:p>
      <w:pPr>
        <w:spacing w:after="0" w:line="67" w:lineRule="exact"/>
        <w:rPr>
          <w:rFonts w:ascii="Times New Roman" w:cs="Times New Roman" w:eastAsia="Times New Roman" w:hAnsi="Times New Roman"/>
          <w:sz w:val="18"/>
          <w:szCs w:val="18"/>
          <w:color w:val="auto"/>
        </w:rPr>
      </w:pPr>
    </w:p>
    <w:p>
      <w:pPr>
        <w:jc w:val="both"/>
        <w:ind w:left="1080" w:right="100" w:hanging="424"/>
        <w:spacing w:after="0" w:line="266" w:lineRule="auto"/>
        <w:tabs>
          <w:tab w:leader="none" w:pos="1080" w:val="left"/>
        </w:tabs>
        <w:numPr>
          <w:ilvl w:val="0"/>
          <w:numId w:val="49"/>
        </w:numPr>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March 17,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20,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31,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22,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10,</w:t>
        </w:r>
      </w:hyperlink>
      <w:r>
        <w:rPr>
          <w:rFonts w:ascii="Times New Roman" w:cs="Times New Roman" w:eastAsia="Times New Roman" w:hAnsi="Times New Roman"/>
          <w:sz w:val="18"/>
          <w:szCs w:val="18"/>
          <w:color w:val="auto"/>
        </w:rPr>
        <w:t xml:space="preserve"> </w:t>
      </w:r>
      <w:hyperlink r:id="rId51">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10,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13, 2025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20, 2025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our Current Report on Form 8-K/A filed with the Commission on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20,</w:t>
        </w:r>
      </w:hyperlink>
      <w:r>
        <w:rPr>
          <w:rFonts w:ascii="Times New Roman" w:cs="Times New Roman" w:eastAsia="Times New Roman" w:hAnsi="Times New Roman"/>
          <w:sz w:val="18"/>
          <w:szCs w:val="18"/>
          <w:color w:val="0000EE"/>
        </w:rPr>
        <w:t xml:space="preserve"> </w:t>
      </w:r>
      <w:hyperlink r:id="rId51">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 and</w:t>
        </w:r>
      </w:hyperlink>
    </w:p>
    <w:p>
      <w:pPr>
        <w:spacing w:after="0" w:line="81" w:lineRule="exact"/>
        <w:rPr>
          <w:rFonts w:ascii="Times New Roman" w:cs="Times New Roman" w:eastAsia="Times New Roman" w:hAnsi="Times New Roman"/>
          <w:sz w:val="18"/>
          <w:szCs w:val="18"/>
          <w:color w:val="0000EE"/>
        </w:rPr>
      </w:pPr>
    </w:p>
    <w:p>
      <w:pPr>
        <w:ind w:left="108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securities contained in the Registration Statement on </w:t>
      </w:r>
      <w:hyperlink r:id="rId52">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relating thereto, filed on October 15, 2021, including any amendment or report filed for the purpose of updating such description.</w:t>
      </w:r>
    </w:p>
    <w:p>
      <w:pPr>
        <w:spacing w:after="0" w:line="162" w:lineRule="exact"/>
        <w:rPr>
          <w:rFonts w:ascii="Times New Roman" w:cs="Times New Roman" w:eastAsia="Times New Roman" w:hAnsi="Times New Roman"/>
          <w:sz w:val="18"/>
          <w:szCs w:val="18"/>
          <w:color w:val="0000EE"/>
        </w:rPr>
      </w:pPr>
    </w:p>
    <w:p>
      <w:pPr>
        <w:ind w:left="56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w:t>
      </w:r>
    </w:p>
    <w:p>
      <w:pPr>
        <w:spacing w:after="0" w:line="200" w:lineRule="exact"/>
        <w:rPr>
          <w:rFonts w:ascii="Times New Roman" w:cs="Times New Roman" w:eastAsia="Times New Roman" w:hAnsi="Times New Roman"/>
          <w:sz w:val="18"/>
          <w:szCs w:val="18"/>
          <w:color w:val="0000EE"/>
        </w:rPr>
      </w:pPr>
    </w:p>
    <w:p>
      <w:pPr>
        <w:spacing w:after="0" w:line="237" w:lineRule="exact"/>
        <w:rPr>
          <w:rFonts w:ascii="Times New Roman" w:cs="Times New Roman" w:eastAsia="Times New Roman" w:hAnsi="Times New Roman"/>
          <w:sz w:val="18"/>
          <w:szCs w:val="18"/>
          <w:color w:val="0000EE"/>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10000 Avalon Boulevard, Suite 1000</w:t>
      </w:r>
    </w:p>
    <w:p>
      <w:pPr>
        <w:spacing w:after="0" w:line="31" w:lineRule="exact"/>
        <w:rPr>
          <w:rFonts w:ascii="Times New Roman" w:cs="Times New Roman" w:eastAsia="Times New Roman" w:hAnsi="Times New Roman"/>
          <w:sz w:val="18"/>
          <w:szCs w:val="18"/>
          <w:color w:val="0000EE"/>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Alpharetta, Georgia 30009</w:t>
      </w:r>
    </w:p>
    <w:p>
      <w:pPr>
        <w:spacing w:after="0" w:line="9" w:lineRule="exact"/>
        <w:rPr>
          <w:rFonts w:ascii="Times New Roman" w:cs="Times New Roman" w:eastAsia="Times New Roman" w:hAnsi="Times New Roman"/>
          <w:sz w:val="18"/>
          <w:szCs w:val="18"/>
          <w:color w:val="0000EE"/>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(678) 534-5849</w:t>
      </w:r>
    </w:p>
    <w:p>
      <w:pPr>
        <w:spacing w:after="0" w:line="207" w:lineRule="exact"/>
        <w:rPr>
          <w:rFonts w:ascii="Times New Roman" w:cs="Times New Roman" w:eastAsia="Times New Roman" w:hAnsi="Times New Roman"/>
          <w:sz w:val="18"/>
          <w:szCs w:val="18"/>
          <w:color w:val="0000EE"/>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or any accompanying prospectus supplement.</w:t>
      </w:r>
    </w:p>
    <w:p>
      <w:pPr>
        <w:spacing w:after="0" w:line="94" w:lineRule="exact"/>
        <w:rPr>
          <w:rFonts w:ascii="Times New Roman" w:cs="Times New Roman" w:eastAsia="Times New Roman" w:hAnsi="Times New Roman"/>
          <w:sz w:val="18"/>
          <w:szCs w:val="18"/>
          <w:color w:val="0000EE"/>
        </w:rPr>
      </w:pPr>
    </w:p>
    <w:p>
      <w:pPr>
        <w:jc w:val="center"/>
        <w:ind w:right="-17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80"/>
          </w:cols>
          <w:pgMar w:left="320" w:top="455" w:right="4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3683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6995160" cy="36830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2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Pre-Funded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705485</wp:posOffset>
            </wp:positionV>
            <wp:extent cx="1474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245110</wp:posOffset>
            </wp:positionV>
            <wp:extent cx="1474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i w:val="1"/>
          <w:iCs w:val="1"/>
          <w:color w:val="auto"/>
        </w:rPr>
        <w:t>Joint Book-Running Managers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383"/>
        </w:trPr>
        <w:tc>
          <w:tcPr>
            <w:tcW w:w="5200" w:type="dxa"/>
            <w:vAlign w:val="bottom"/>
          </w:tcPr>
          <w:p>
            <w:pPr>
              <w:ind w:left="1960"/>
              <w:spacing w:after="0"/>
              <w:rPr>
                <w:sz w:val="20"/>
                <w:szCs w:val="20"/>
                <w:color w:val="auto"/>
              </w:rPr>
            </w:pPr>
            <w:r>
              <w:rPr>
                <w:rFonts w:ascii="Times New Roman" w:cs="Times New Roman" w:eastAsia="Times New Roman" w:hAnsi="Times New Roman"/>
                <w:sz w:val="29"/>
                <w:szCs w:val="29"/>
                <w:b w:val="1"/>
                <w:bCs w:val="1"/>
                <w:color w:val="auto"/>
              </w:rPr>
              <w:t>Clear Street</w:t>
            </w:r>
          </w:p>
        </w:tc>
        <w:tc>
          <w:tcPr>
            <w:tcW w:w="5820" w:type="dxa"/>
            <w:vAlign w:val="bottom"/>
          </w:tcPr>
          <w:p>
            <w:pPr>
              <w:ind w:left="2260"/>
              <w:spacing w:after="0"/>
              <w:rPr>
                <w:sz w:val="20"/>
                <w:szCs w:val="20"/>
                <w:color w:val="auto"/>
              </w:rPr>
            </w:pPr>
            <w:r>
              <w:rPr>
                <w:rFonts w:ascii="Times New Roman" w:cs="Times New Roman" w:eastAsia="Times New Roman" w:hAnsi="Times New Roman"/>
                <w:sz w:val="29"/>
                <w:szCs w:val="29"/>
                <w:b w:val="1"/>
                <w:bCs w:val="1"/>
                <w:color w:val="auto"/>
              </w:rPr>
              <w:t>Cohen &amp; Co.</w:t>
            </w:r>
          </w:p>
        </w:tc>
      </w:tr>
      <w:tr>
        <w:trPr>
          <w:trHeight w:val="641"/>
        </w:trPr>
        <w:tc>
          <w:tcPr>
            <w:tcW w:w="5200" w:type="dxa"/>
            <w:vAlign w:val="bottom"/>
          </w:tcPr>
          <w:p>
            <w:pPr>
              <w:ind w:left="4760"/>
              <w:spacing w:after="0"/>
              <w:rPr>
                <w:sz w:val="20"/>
                <w:szCs w:val="20"/>
                <w:color w:val="auto"/>
              </w:rPr>
            </w:pPr>
            <w:r>
              <w:rPr>
                <w:rFonts w:ascii="Times New Roman" w:cs="Times New Roman" w:eastAsia="Times New Roman" w:hAnsi="Times New Roman"/>
                <w:sz w:val="18"/>
                <w:szCs w:val="18"/>
                <w:b w:val="1"/>
                <w:bCs w:val="1"/>
                <w:color w:val="auto"/>
                <w:w w:val="82"/>
              </w:rPr>
              <w:t>July </w:t>
            </w:r>
          </w:p>
        </w:tc>
        <w:tc>
          <w:tcPr>
            <w:tcW w:w="58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 2025</w:t>
            </w:r>
          </w:p>
        </w:tc>
      </w:tr>
      <w:tr>
        <w:trPr>
          <w:trHeight w:val="648"/>
        </w:trPr>
        <w:tc>
          <w:tcPr>
            <w:tcW w:w="520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spacing w:after="0"/>
              <w:rPr>
                <w:sz w:val="24"/>
                <w:szCs w:val="24"/>
                <w:color w:val="auto"/>
              </w:rPr>
            </w:pPr>
          </w:p>
        </w:tc>
      </w:tr>
      <w:tr>
        <w:trPr>
          <w:trHeight w:val="95"/>
        </w:trPr>
        <w:tc>
          <w:tcPr>
            <w:tcW w:w="5200" w:type="dxa"/>
            <w:vAlign w:val="bottom"/>
            <w:tcBorders>
              <w:bottom w:val="single" w:sz="8" w:color="auto"/>
            </w:tcBorders>
          </w:tcPr>
          <w:p>
            <w:pPr>
              <w:spacing w:after="0"/>
              <w:rPr>
                <w:sz w:val="8"/>
                <w:szCs w:val="8"/>
                <w:color w:val="auto"/>
              </w:rPr>
            </w:pPr>
          </w:p>
        </w:tc>
        <w:tc>
          <w:tcPr>
            <w:tcW w:w="5820" w:type="dxa"/>
            <w:vAlign w:val="bottom"/>
            <w:tcBorders>
              <w:bottom w:val="single" w:sz="8" w:color="auto"/>
            </w:tcBorders>
          </w:tcPr>
          <w:p>
            <w:pPr>
              <w:spacing w:after="0"/>
              <w:rPr>
                <w:sz w:val="8"/>
                <w:szCs w:val="8"/>
                <w:color w:val="auto"/>
              </w:rPr>
            </w:pPr>
          </w:p>
        </w:tc>
      </w:tr>
    </w:tbl>
    <w:p>
      <w:pPr>
        <w:spacing w:after="0" w:line="1" w:lineRule="exact"/>
        <w:rPr>
          <w:sz w:val="20"/>
          <w:szCs w:val="20"/>
          <w:color w:val="auto"/>
        </w:rPr>
      </w:pPr>
    </w:p>
    <w:sectPr>
      <w:pgSz w:w="11900" w:h="16838" w:orient="portrait"/>
      <w:cols w:equalWidth="0" w:num="1">
        <w:col w:w="11140"/>
      </w:cols>
      <w:pgMar w:left="320" w:top="45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1)"/>
      <w:numFmt w:val="decimal"/>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1"/>
      <w:numFmt w:val="bullet"/>
      <w:start w:val="1"/>
    </w:lvl>
  </w:abstractNum>
  <w:abstractNum w:abstractNumId="7">
    <w:nsid w:val="836C40E"/>
    <w:multiLevelType w:val="hybridMultilevel"/>
    <w:lvl w:ilvl="0">
      <w:lvlJc w:val="left"/>
      <w:lvlText w:val="%1."/>
      <w:numFmt w:val="decimal"/>
      <w:start w:val="1"/>
    </w:lvl>
    <w:lvl w:ilvl="1">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1)"/>
      <w:numFmt w:val="decimal"/>
      <w:start w:val="678"/>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1)"/>
      <w:numFmt w:val="decimal"/>
      <w:start w:val="1"/>
    </w:lvl>
    <w:lvl w:ilvl="1">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1)"/>
      <w:numFmt w:val="lowerLetter"/>
      <w:start w:val="1"/>
    </w:lvl>
  </w:abstractNum>
  <w:abstractNum w:abstractNumId="15">
    <w:nsid w:val="22221A70"/>
    <w:multiLevelType w:val="hybridMultilevel"/>
    <w:lvl w:ilvl="0">
      <w:lvlJc w:val="left"/>
      <w:lvlText w:val="(%1)"/>
      <w:numFmt w:val="lowerRoman"/>
      <w:start w:val="1"/>
    </w:lvl>
  </w:abstractNum>
  <w:abstractNum w:abstractNumId="16">
    <w:nsid w:val="4516DDE9"/>
    <w:multiLevelType w:val="hybridMultilevel"/>
    <w:lvl w:ilvl="0">
      <w:lvlJc w:val="left"/>
      <w:lvlText w:val="(%1)"/>
      <w:numFmt w:val="lowerRoman"/>
      <w:start w:val="1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1)"/>
      <w:numFmt w:val="decimal"/>
      <w:start w:val="678"/>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
      <w:numFmt w:val="bullet"/>
      <w:start w:val="1"/>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jpe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47" Type="http://schemas.openxmlformats.org/officeDocument/2006/relationships/hyperlink" Target="http://www.sec.gov/ix?doc=/Archives/edgar/data/1820302/000162828025013959/bakkt-20241231.htm" TargetMode="External"/><Relationship Id="rId48" Type="http://schemas.openxmlformats.org/officeDocument/2006/relationships/hyperlink" Target="http://www.sec.gov/ix?doc=/Archives/edgar/data/1820302/000162828025024743/bakkt-20250331.htm" TargetMode="External"/><Relationship Id="rId49" Type="http://schemas.openxmlformats.org/officeDocument/2006/relationships/hyperlink" Target="http://www.sec.gov/ix?doc=/Archives/edgar/data/1820302/000162828025020274/bakkt-20250428.htm" TargetMode="External"/><Relationship Id="rId50" Type="http://schemas.openxmlformats.org/officeDocument/2006/relationships/hyperlink" Target="http://www.sec.gov/ix?doc=/Archives/edgar/data/1820302/000119312525138191/d76438d8k.htm" TargetMode="External"/><Relationship Id="rId51" Type="http://schemas.openxmlformats.org/officeDocument/2006/relationships/hyperlink" Target="http://www.sec.gov/ix?doc=/Archives/edgar/data/1820302/000162828025013995/bakkt-20250319.htm" TargetMode="External"/><Relationship Id="rId52" Type="http://schemas.openxmlformats.org/officeDocument/2006/relationships/hyperlink" Target="http://www.sec.gov/Archives/edgar/data/1820302/000119312521299620/d211377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2025-07-28T16:22:48Z</dcterms:created>
  <dcterms:modified xsi:type="dcterms:W3CDTF">2025-07-28T16:22:48Z</dcterms:modified>
</cp:coreProperties>
</file>