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October 19, 2025</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erif" w:hAnsi="Times New Roman;serif"/>
          <w:b/>
          <w:color w:val="000000"/>
          <w:sz w:val="40"/>
        </w:rPr>
      </w:pPr>
      <w:r>
        <w:rPr>
          <w:rFonts w:ascii="Times New Roman;serif" w:hAnsi="Times New Roman;serif"/>
          <w:b/>
          <w:color w:val="000000"/>
          <w:sz w:val="40"/>
        </w:rPr>
        <w:t>Bakkt Holdings,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98-1550750</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4721" w:type="dxa"/>
        <w:jc w:val="center"/>
        <w:tblInd w:w="0" w:type="dxa"/>
        <w:tblLayout w:type="fixed"/>
        <w:tblCellMar>
          <w:top w:w="28" w:type="dxa"/>
          <w:left w:w="28" w:type="dxa"/>
          <w:bottom w:w="28" w:type="dxa"/>
          <w:right w:w="28" w:type="dxa"/>
        </w:tblCellMar>
      </w:tblPr>
      <w:tblGrid>
        <w:gridCol w:w="1253"/>
        <w:gridCol w:w="1104"/>
        <w:gridCol w:w="1108"/>
        <w:gridCol w:w="109"/>
        <w:gridCol w:w="109"/>
        <w:gridCol w:w="109"/>
        <w:gridCol w:w="272"/>
        <w:gridCol w:w="272"/>
        <w:gridCol w:w="385"/>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One Liberty Plaza</w:t>
              <w:br/>
              <w:t>1 Liberty Street, Floor 3, Suite 305-306,</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New York,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10006</w:t>
            </w:r>
          </w:p>
        </w:tc>
      </w:tr>
      <w:tr>
        <w:trPr/>
        <w:tc>
          <w:tcPr>
            <w:tcW w:w="34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(678) 534-5849</w:t>
      </w:r>
    </w:p>
    <w:p>
      <w:pPr>
        <w:pStyle w:val="TextBody"/>
        <w:bidi w:val="0"/>
        <w:spacing w:before="0" w:after="0"/>
        <w:jc w:val="center"/>
        <w:rPr/>
      </w:pPr>
      <w:r>
        <w:rPr/>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92"/>
        <w:gridCol w:w="516"/>
        <w:gridCol w:w="516"/>
        <w:gridCol w:w="545"/>
        <w:gridCol w:w="516"/>
        <w:gridCol w:w="516"/>
        <w:gridCol w:w="516"/>
        <w:gridCol w:w="516"/>
        <w:gridCol w:w="516"/>
        <w:gridCol w:w="707"/>
        <w:gridCol w:w="516"/>
        <w:gridCol w:w="516"/>
        <w:gridCol w:w="516"/>
        <w:gridCol w:w="516"/>
        <w:gridCol w:w="516"/>
        <w:gridCol w:w="818"/>
        <w:gridCol w:w="516"/>
        <w:gridCol w:w="735"/>
      </w:tblGrid>
      <w:tr>
        <w:trPr/>
        <w:tc>
          <w:tcPr>
            <w:tcW w:w="69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153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120"/>
              <w:ind w:left="0" w:right="0" w:firstLine="14"/>
              <w:jc w:val="center"/>
              <w:rPr>
                <w:rFonts w:ascii="Times New Roman;serif" w:hAnsi="Times New Roman;serif"/>
                <w:b/>
                <w:color w:val="000000"/>
                <w:sz w:val="16"/>
              </w:rPr>
            </w:pPr>
            <w:r>
              <w:rPr>
                <w:rFonts w:ascii="Times New Roman;serif" w:hAnsi="Times New Roman;serif"/>
                <w:b/>
                <w:color w:val="000000"/>
                <w:sz w:val="16"/>
              </w:rPr>
              <w:t>Trading Symbol(s)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Name of each exchange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3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A Common Stock, par value $0.0001 per share</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BKKT</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New York Stock Exchange</w:t>
            </w:r>
          </w:p>
        </w:tc>
      </w:tr>
      <w:tr>
        <w:trPr/>
        <w:tc>
          <w:tcPr>
            <w:tcW w:w="330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Warrants to purchase Class A Common Stock</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BKKT WS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New York Stock Exchange</w:t>
            </w:r>
          </w:p>
        </w:tc>
      </w:tr>
    </w:tbl>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5.02. Departure of Directors or Certain Officers; Election of Directors; Appointment of Certain Officers; Compensatory Arrangements of Certain Officers.</w:t>
      </w:r>
    </w:p>
    <w:p>
      <w:pPr>
        <w:pStyle w:val="TextBody"/>
        <w:bidi w:val="0"/>
        <w:spacing w:lineRule="auto" w:line="288" w:before="120" w:after="100"/>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October 19, 2025, Bakkt Holdings, Inc.’s (the “Company”) Board of Directors (the “Board”) increased the size of the Board from seven to eight members and, upon the recommendation of its Nominating and Corporate Governance Committee, appointed Madelyn Alden Schwartzer, a/k/a Lyn Alden, to serve as a Class II director to fill the newly created vacancy. </w:t>
      </w:r>
    </w:p>
    <w:p>
      <w:pPr>
        <w:pStyle w:val="TextBody"/>
        <w:bidi w:val="0"/>
        <w:spacing w:lineRule="auto" w:line="288" w:before="120" w:after="10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Board has determined that Ms. Schwartzer is independent and meets the applicable independence requirements of the New York Stock Exchange. </w:t>
      </w:r>
    </w:p>
    <w:p>
      <w:pPr>
        <w:pStyle w:val="TextBody"/>
        <w:bidi w:val="0"/>
        <w:spacing w:lineRule="auto" w:line="288" w:before="120" w:after="10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are no transactions between the Company and Ms. Schwartzer that would require disclosure under Item 404(a) of Regulation S-K. There are no understandings or arrangements between Ms. Schwartzer or any other person pursuant to which Ms. Schwartzer was selected to serve as a director of the Board.</w:t>
      </w:r>
    </w:p>
    <w:p>
      <w:pPr>
        <w:pStyle w:val="TextBody"/>
        <w:bidi w:val="0"/>
        <w:spacing w:lineRule="auto" w:line="288" w:before="120" w:after="283"/>
        <w:ind w:left="0" w:right="0" w:firstLine="490"/>
        <w:jc w:val="left"/>
        <w:rPr/>
      </w:pPr>
      <w:r>
        <w:rPr>
          <w:rFonts w:ascii="Times New Roman;serif" w:hAnsi="Times New Roman;serif"/>
          <w:b w:val="false"/>
          <w:color w:val="000000"/>
          <w:sz w:val="20"/>
          <w:shd w:fill="FFFFFF" w:val="clear"/>
        </w:rPr>
        <w:t xml:space="preserve">Ms. Schwartzer, age 38, is a private investor and best-selling author. Since 2021, she has served on the Board of Electric Solidus Inc. (dba Swan Bitcoin), a Bitcoin financial services firm. Since 2022, she has been a founding advisor and, since 2024, a general partner, at Ego Death Capital, a bitcoin focused venture firm. In 2016 she founded Lyn Alden Media LLC, a private research firm. Previously, from 2009 to 2021, she held various engineering positions at the Federal Aviation Administration. In 2023 she authored the international bestselling book </w:t>
      </w:r>
      <w:r>
        <w:rPr>
          <w:rFonts w:ascii="Times New Roman;serif" w:hAnsi="Times New Roman;serif"/>
          <w:b w:val="false"/>
          <w:i/>
          <w:color w:val="000000"/>
          <w:sz w:val="20"/>
          <w:shd w:fill="FFFFFF" w:val="clear"/>
        </w:rPr>
        <w:t>Broken Money</w:t>
      </w:r>
      <w:r>
        <w:rPr>
          <w:color w:val="000000"/>
          <w:shd w:fill="FFFFFF" w:val="clear"/>
        </w:rPr>
        <w:t xml:space="preserve"> </w:t>
      </w:r>
      <w:r>
        <w:rPr>
          <w:rFonts w:ascii="Times New Roman;serif" w:hAnsi="Times New Roman;serif"/>
          <w:b w:val="false"/>
          <w:color w:val="000000"/>
          <w:sz w:val="20"/>
          <w:shd w:fill="FFFFFF" w:val="clear"/>
        </w:rPr>
        <w:t>about the past, present, and future of money through the lens of technology. Ms. Schwartzer’s work has been editorially featured or cited in the Wall Street Journal, the Financial Times, The New York Times, Business Insider, Marketwatch, Time’s Money Magazine, The Philadelphia Inquirer, The Street, CNBC, and US News and World Report. Ms. Schwartzer received a Bachelor of Science degree in Electrical Engineering from the Pennsylvania State University and a Master’s degree in Engineering Management from Rowan University.</w:t>
      </w:r>
    </w:p>
    <w:p>
      <w:pPr>
        <w:pStyle w:val="TextBody"/>
        <w:bidi w:val="0"/>
        <w:spacing w:lineRule="auto" w:line="288" w:before="24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Ms. Schwartzer will receive the standard non-employee director compensation for serving on the Board. The specific terms of such compensation were described in the Company’s proxy statement on Schedule 14A for the Company’s 2025 Annual Meeting of Stockholders, filed with the U.S. Securities and Exchange Commission on April 28, 2025.</w:t>
      </w:r>
    </w:p>
    <w:p>
      <w:pPr>
        <w:pStyle w:val="TextBody"/>
        <w:bidi w:val="0"/>
        <w:spacing w:lineRule="auto" w:line="288" w:before="24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appointment of Ms. Schwartzer as a member of the Board, the Company will enter into an Indemnification Agreement with Ms. Schwartzer pursuant to which the Company will agree to indemnify Ms. Schwartzer to the fullest extent permitted under Delaware law against liability that may arise by reason of her service to the Company and to advance her expenses incurred as a result of any proceeding against her to which she could be indemnified.</w:t>
      </w:r>
    </w:p>
    <w:p>
      <w:pPr>
        <w:pStyle w:val="TextBody"/>
        <w:bidi w:val="0"/>
        <w:spacing w:lineRule="auto" w:line="288" w:before="24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foregoing description of the Indemnification Agreement is qualified in its entirety by reference to the full text of such Indemnification Agreement, the form of which is filed as Exhibit 10.7 to the Company’s Current Report on Form 8-K filed on October 21, 2021 and incorporated in this Item 5.02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Dated: October 20, 2025</w:t>
      </w:r>
    </w:p>
    <w:tbl>
      <w:tblPr>
        <w:tblW w:w="4104" w:type="dxa"/>
        <w:jc w:val="left"/>
        <w:tblInd w:w="0" w:type="dxa"/>
        <w:tblLayout w:type="fixed"/>
        <w:tblCellMar>
          <w:top w:w="28" w:type="dxa"/>
          <w:left w:w="28" w:type="dxa"/>
          <w:bottom w:w="28" w:type="dxa"/>
          <w:right w:w="28" w:type="dxa"/>
        </w:tblCellMar>
      </w:tblPr>
      <w:tblGrid>
        <w:gridCol w:w="124"/>
        <w:gridCol w:w="109"/>
        <w:gridCol w:w="109"/>
        <w:gridCol w:w="374"/>
        <w:gridCol w:w="374"/>
        <w:gridCol w:w="374"/>
        <w:gridCol w:w="766"/>
        <w:gridCol w:w="766"/>
        <w:gridCol w:w="1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BAKKT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 D'Annunzio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 D’Annunzio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and Secretary</w:t>
            </w:r>
          </w:p>
        </w:tc>
      </w:tr>
    </w:tbl>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863</Words>
  <Characters>4688</Characters>
  <CharactersWithSpaces>5494</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