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001-39544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10000 AVALON BOULEVARD, SUITE 1000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678-534-5849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VPC Impact Acquisition Holdings Sponsor, LLC</w:t>
      </w:r>
    </w:p>
    <w:p>
      <w:pPr>
        <w:spacing w:after="0" w:line="79" w:lineRule="exact"/>
        <w:rPr>
          <w:sz w:val="24"/>
          <w:szCs w:val="24"/>
          <w:color w:val="auto"/>
        </w:rPr>
      </w:pPr>
    </w:p>
    <w:p>
      <w:pPr>
        <w:sectPr>
          <w:pgSz w:w="11900" w:h="16838" w:orient="portrait"/>
          <w:cols w:equalWidth="0" w:num="2">
            <w:col w:w="5740" w:space="460"/>
            <w:col w:w="5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Oppenheimer &amp; Co Inc</w:t>
            </w:r>
          </w:p>
        </w:tc>
        <w:tc>
          <w:tcPr>
            <w:tcW w:w="114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85 Broad st</w:t>
            </w:r>
          </w:p>
        </w:tc>
        <w:tc>
          <w:tcPr>
            <w:tcW w:w="1140" w:type="dxa"/>
            <w:vAlign w:val="bottom"/>
          </w:tcPr>
          <w:p>
            <w:pPr>
              <w:jc w:val="right"/>
              <w:ind w:right="372"/>
              <w:spacing w:after="0" w:line="243" w:lineRule="exact"/>
              <w:rPr>
                <w:sz w:val="20"/>
                <w:szCs w:val="20"/>
                <w:color w:val="auto"/>
              </w:rPr>
            </w:pPr>
            <w:r>
              <w:rPr>
                <w:rFonts w:ascii="Arial" w:cs="Arial" w:eastAsia="Arial" w:hAnsi="Arial"/>
                <w:sz w:val="22"/>
                <w:szCs w:val="22"/>
                <w:color w:val="auto"/>
                <w:w w:val="87"/>
              </w:rPr>
              <w:t>440585</w:t>
            </w: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New York  NY  10004</w:t>
            </w:r>
          </w:p>
        </w:tc>
        <w:tc>
          <w:tcPr>
            <w:tcW w:w="11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0"/>
                <w:szCs w:val="20"/>
                <w:color w:val="auto"/>
              </w:rPr>
            </w:pPr>
            <w:r>
              <w:rPr>
                <w:rFonts w:ascii="Arial" w:cs="Arial" w:eastAsia="Arial" w:hAnsi="Arial"/>
                <w:sz w:val="22"/>
                <w:szCs w:val="22"/>
                <w:color w:val="auto"/>
              </w:rPr>
              <w:t>885094.06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89395877</w:t>
            </w:r>
          </w:p>
        </w:tc>
        <w:tc>
          <w:tcPr>
            <w:tcW w:w="1280" w:type="dxa"/>
            <w:vAlign w:val="bottom"/>
          </w:tcPr>
          <w:p>
            <w:pPr>
              <w:ind w:left="40"/>
              <w:spacing w:after="0"/>
              <w:rPr>
                <w:sz w:val="20"/>
                <w:szCs w:val="20"/>
                <w:color w:val="auto"/>
              </w:rPr>
            </w:pPr>
            <w:r>
              <w:rPr>
                <w:rFonts w:ascii="Arial" w:cs="Arial" w:eastAsia="Arial" w:hAnsi="Arial"/>
                <w:sz w:val="22"/>
                <w:szCs w:val="22"/>
                <w:color w:val="auto"/>
              </w:rPr>
              <w:t>07/17/2023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3">
            <w:col w:w="2220" w:space="280"/>
            <w:col w:w="3500" w:space="10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60" w:space="480"/>
            <w:col w:w="3900" w:space="280"/>
            <w:col w:w="2620"/>
          </w:cols>
          <w:pgMar w:left="320" w:top="267" w:right="339" w:bottom="0" w:gutter="0" w:footer="0" w:header="0"/>
          <w:type w:val="continuous"/>
        </w:sectPr>
      </w:pPr>
    </w:p>
    <w:bookmarkStart w:id="1" w:name="page2"/>
    <w:bookmarkEnd w:id="1"/>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10/15/2021 SPAC Merger</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440585</w:t>
      </w:r>
      <w:r>
        <w:rPr>
          <w:sz w:val="20"/>
          <w:szCs w:val="20"/>
          <w:color w:val="auto"/>
        </w:rPr>
        <w:tab/>
      </w:r>
      <w:r>
        <w:rPr>
          <w:rFonts w:ascii="Arial" w:cs="Arial" w:eastAsia="Arial" w:hAnsi="Arial"/>
          <w:sz w:val="19"/>
          <w:szCs w:val="19"/>
          <w:color w:val="auto"/>
        </w:rPr>
        <w:t>10/15/2021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7"/>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05/18/2023 54914</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77571.00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07/11/2023 200000</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314000.00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07/12/2023 800000</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1256000.00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3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POA on file</w:t>
      </w:r>
    </w:p>
    <w:p>
      <w:pPr>
        <w:spacing w:after="0" w:line="79" w:lineRule="exact"/>
        <w:rPr>
          <w:sz w:val="20"/>
          <w:szCs w:val="20"/>
          <w:color w:val="auto"/>
        </w:rPr>
      </w:pPr>
    </w:p>
    <w:p>
      <w:pPr>
        <w:sectPr>
          <w:pgSz w:w="11900" w:h="16838" w:orient="portrait"/>
          <w:cols w:equalWidth="0" w:num="2">
            <w:col w:w="2300" w:space="720"/>
            <w:col w:w="822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07/18/2023</w:t>
      </w:r>
    </w:p>
    <w:p>
      <w:pPr>
        <w:spacing w:after="0" w:line="79" w:lineRule="exact"/>
        <w:rPr>
          <w:sz w:val="20"/>
          <w:szCs w:val="20"/>
          <w:color w:val="auto"/>
        </w:rPr>
      </w:pPr>
    </w:p>
    <w:p>
      <w:pPr>
        <w:sectPr>
          <w:pgSz w:w="11900" w:h="16838" w:orient="portrait"/>
          <w:cols w:equalWidth="0" w:num="2">
            <w:col w:w="2300" w:space="720"/>
            <w:col w:w="822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3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VPC Impact Acquisition Holdings Sponsor,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2023-07-18T18:02:44Z</dcterms:created>
  <dcterms:modified xsi:type="dcterms:W3CDTF">2023-07-18T18:02:44Z</dcterms:modified>
</cp:coreProperties>
</file>