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Collins Sean Roberts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BAKKT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10000 AVALON BOULEVARD,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Bakkt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BKKT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0"/>
        <w:gridCol w:w="911"/>
        <w:gridCol w:w="782"/>
        <w:gridCol w:w="605"/>
        <w:gridCol w:w="338"/>
        <w:gridCol w:w="1145"/>
        <w:gridCol w:w="420"/>
        <w:gridCol w:w="645"/>
        <w:gridCol w:w="1242"/>
        <w:gridCol w:w="960"/>
        <w:gridCol w:w="115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11/16/2023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2,751,943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2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2,751,943</w:t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</w:tr>
      <w:tr>
        <w:trPr/>
        <w:tc>
          <w:tcPr>
            <w:tcW w:w="20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11/16/2023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156,167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2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156,167</w:t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</w:tr>
      <w:tr>
        <w:trPr/>
        <w:tc>
          <w:tcPr>
            <w:tcW w:w="20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457,646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582,323</w:t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(2)(5)</w:t>
            </w:r>
            <w:r>
              <w:rPr/>
              <w:t xml:space="preserve"> </w:t>
            </w:r>
          </w:p>
        </w:tc>
      </w:tr>
    </w:tbl>
    <w:tbl>
      <w:tblPr>
        <w:tblW w:w="127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966"/>
        <w:gridCol w:w="906"/>
        <w:gridCol w:w="801"/>
        <w:gridCol w:w="891"/>
        <w:gridCol w:w="1101"/>
        <w:gridCol w:w="801"/>
        <w:gridCol w:w="936"/>
        <w:gridCol w:w="831"/>
        <w:gridCol w:w="1026"/>
      </w:tblGrid>
      <w:tr>
        <w:trPr>
          <w:tblHeader w:val="true"/>
        </w:trPr>
        <w:tc>
          <w:tcPr>
            <w:tcW w:w="127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Bakkt Opco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2,751,943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2,751,943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Bakkt Opco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156,167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156,167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securities held directly by Goldfinch Co-Invest I LP.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general partner of each of Goldfinch Co-Invest I LP, Goldfinch Co-Invest IB LP and Goldfinch Co-Invest IC LP is Goldfinch Co-Invest I GP LLC. The Reporting Person is a Managing Partner of Goldfinch Co-Invest I GP LLC. The Reporting Person disclaims beneficial ownership of the securities reported herein,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securities held directly by Goldfinch Co-Invest IB LP.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275,000 shares of Class A Common Stock subject to restricted stock units that remain subject to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securities held directly by Goldfinch Co-Invest IC LP.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Common units of Bakkt Opco Holdings, LLC ("Bakkt Opco Units") and an equal number of shares of the Issuer's Class V Common Stock are, subject to certain limitations, exchangeable from time to time at the holder's option into shares of the Issuer's Class A Common Stock on a one-for-one basis (or, at the Issuer's option, for cash).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/s/Marc D'Annunzio Attorney-in-Fact for Sean Roberts Collins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3512" TargetMode="External"/><Relationship Id="rId4" Type="http://schemas.openxmlformats.org/officeDocument/2006/relationships/hyperlink" Target="http://www.sec.gov/cgi-bin/browse-edgar?action=getcompany&amp;CIK=00018203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796</Words>
  <Characters>4297</Characters>
  <CharactersWithSpaces>4996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