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April 18, 2023</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271" w:type="dxa"/>
        <w:jc w:val="center"/>
        <w:tblInd w:w="0" w:type="dxa"/>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spacing w:before="0" w:after="0"/>
        <w:jc w:val="center"/>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w:t>
      </w:r>
    </w:p>
    <w:p>
      <w:pPr>
        <w:pStyle w:val="TextBody"/>
        <w:spacing w:lineRule="auto" w:line="240"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Officers; Compensatory Arrangements of Certain Officers.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April 18, 2023, in order to achieve an equal apportionment of membership among the three director classes of the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of Bakkt Holdings,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xml:space="preserve">), De’Ana Dow tendered her resignation as a Class III director, which became effective upon the Board reappointing Ms. Dow as a Class II director on April 18, 2023. Class II directors serve until the 2023 Annual Meeting of Stockholders and Class III directors serve until the 2024 Annual Meeting of Stockholders. The resignation and reappointment of Ms. Dow was effected solely for the purpose of achieving an equal apportionment of membership among the Board’s three classes of directors, and for all other purposes, Ms. Dow’s service on the Board is deemed to have continued uninterrupted.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Dow continues to serve on the Audit and Risk Committee of the Board and on the board of Bakkt Trust Company LLC. There are no changes or impacts to any of Ms. Dow’s compensation arrangements or unvested restricted stock units as a result of her resignation as a Class III director and reappointment as a Class II director.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arrangements or understandings between Ms. Dow and any other person pursuant to which Ms. Dow was selected as a director. Ms. Dow is not a party to any transaction required to be disclosed pursuant to Item 404(a) of Regulation S-K but may be a party to such a transaction in the future. </w:t>
      </w:r>
    </w:p>
    <w:p>
      <w:pPr>
        <w:pStyle w:val="TextBody"/>
        <w:spacing w:before="0" w:after="0"/>
        <w:ind w:left="0" w:right="0" w:firstLine="7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19, 2023</w:t>
      </w:r>
    </w:p>
    <w:p>
      <w:pPr>
        <w:pStyle w:val="TextBody"/>
        <w:spacing w:before="0" w:after="0"/>
        <w:rPr/>
      </w:pPr>
      <w:r>
        <w:rPr/>
      </w:r>
    </w:p>
    <w:tbl>
      <w:tblPr>
        <w:tblW w:w="4596" w:type="dxa"/>
        <w:jc w:val="left"/>
        <w:tblInd w:w="0" w:type="dxa"/>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626</Words>
  <CharactersWithSpaces>3894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