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4171ds3.htm"/>
        <w:bookmarkStart w:id="1" w:name="ksd84171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June 26, 2025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4"/>
        </w:rPr>
      </w:pPr>
      <w:r>
        <w:rPr>
          <w:rFonts w:ascii="Times New Roman" w:hAnsi="Times New Roman"/>
          <w:b/>
          <w:sz w:val="44"/>
        </w:rPr>
        <w:t xml:space="preserve">Bakkt Holdings, Inc. </w:t>
      </w:r>
    </w:p>
    <w:p>
      <w:pPr>
        <w:pStyle w:val="TextBody"/>
        <w:bidi w:val="0"/>
        <w:spacing w:before="8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98-1550750</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Number)</w:t>
            </w:r>
          </w:p>
        </w:tc>
      </w:tr>
    </w:tbl>
    <w:p>
      <w:pPr>
        <w:pStyle w:val="TextBody"/>
        <w:bidi w:val="0"/>
        <w:spacing w:before="80" w:after="0"/>
        <w:jc w:val="center"/>
        <w:rPr>
          <w:rFonts w:ascii="Times New Roman" w:hAnsi="Times New Roman"/>
          <w:b/>
          <w:sz w:val="18"/>
        </w:rPr>
      </w:pPr>
      <w:r>
        <w:rPr>
          <w:rFonts w:ascii="Times New Roman" w:hAnsi="Times New Roman"/>
          <w:b/>
          <w:sz w:val="18"/>
        </w:rPr>
        <w:t xml:space="preserve">10000 Avalon Boulevard, Suite 1000 Alpharetta, Georgia 30009 (678) 534-5849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8"/>
        </w:rPr>
      </w:pPr>
      <w:r>
        <w:rPr>
          <w:rFonts w:ascii="Times New Roman" w:hAnsi="Times New Roman"/>
          <w:b/>
          <w:sz w:val="18"/>
        </w:rPr>
        <w:t xml:space="preserve">Akshay Naheta Co-Chief Executive Officer 10000 Avalon Boulevard, Suite 1000 Alpharetta, Georgia 30009 (678) 534-5849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Jared Fishman</w:t>
              <w:br/>
              <w:t>Matthew Goodman</w:t>
              <w:br/>
              <w:t>Mario Schollmeyer</w:t>
              <w:br/>
              <w:t>Sullivan &amp; Cromwell</w:t>
              <w:br/>
              <w:t>125 Broad Street</w:t>
              <w:br/>
              <w:t>New York, NY 10004</w:t>
              <w:br/>
              <w:t>(212) 558-4000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Marc DAnnunzio</w:t>
              <w:br/>
              <w:t>General Counsel</w:t>
              <w:br/>
              <w:t>10000 Avalon Boulevard, Suite 1000</w:t>
              <w:br/>
              <w:t>Alpharetta, Georgia 30009</w:t>
              <w:br/>
              <w:t>(678) 534-5849</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8"/>
        </w:rPr>
      </w:pPr>
      <w:r>
        <w:rPr>
          <w:rFonts w:ascii="Times New Roman" w:hAnsi="Times New Roman"/>
          <w:b/>
          <w:sz w:val="18"/>
        </w:rPr>
        <w:t xml:space="preserve">From time to time after the effective date of this registration statement. </w:t>
      </w:r>
    </w:p>
    <w:p>
      <w:pPr>
        <w:pStyle w:val="TextBody"/>
        <w:bidi w:val="0"/>
        <w:spacing w:before="0" w:after="0"/>
        <w:jc w:val="center"/>
        <w:rPr>
          <w:rFonts w:ascii="Times New Roman" w:hAnsi="Times New Roman"/>
          <w:sz w:val="18"/>
        </w:rPr>
      </w:pPr>
      <w:r>
        <w:rPr>
          <w:rFonts w:ascii="Times New Roman" w:hAnsi="Times New Roman"/>
          <w:sz w:val="18"/>
        </w:rPr>
        <w:t xml:space="preserve">(Approximate date of commencement of proposed sale to the public) </w:t>
      </w:r>
    </w:p>
    <w:p>
      <w:pPr>
        <w:pStyle w:val="TextBody"/>
        <w:bidi w:val="0"/>
        <w:spacing w:before="8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8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8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please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8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8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1"/>
        <w:gridCol w:w="104"/>
        <w:gridCol w:w="4807"/>
        <w:gridCol w:w="133"/>
        <w:gridCol w:w="2629"/>
        <w:gridCol w:w="104"/>
        <w:gridCol w:w="267"/>
      </w:tblGrid>
      <w:tr>
        <w:trPr/>
        <w:tc>
          <w:tcPr>
            <w:tcW w:w="21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0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3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3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June 26, 2025 </w:t>
      </w:r>
    </w:p>
    <w:p>
      <w:pPr>
        <w:pStyle w:val="TextBody"/>
        <w:bidi w:val="0"/>
        <w:spacing w:before="36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0477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41910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Bakkt Holdings, Inc. </w:t>
      </w:r>
    </w:p>
    <w:p>
      <w:pPr>
        <w:pStyle w:val="TextBody"/>
        <w:bidi w:val="0"/>
        <w:spacing w:before="240" w:after="0"/>
        <w:ind w:left="960" w:right="960" w:hanging="0"/>
        <w:jc w:val="center"/>
        <w:rPr>
          <w:rFonts w:ascii="Times New Roman" w:hAnsi="Times New Roman"/>
          <w:b/>
          <w:sz w:val="32"/>
        </w:rPr>
      </w:pPr>
      <w:r>
        <w:rPr>
          <w:rFonts w:ascii="Times New Roman" w:hAnsi="Times New Roman"/>
          <w:b/>
          <w:sz w:val="32"/>
        </w:rPr>
        <w:t xml:space="preserve">Up to 10,339,123 Shares of Class A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This prospectus relates to the offer and sale by YA II PN, Ltd. (the Selling Stockholder) of up to 10,339,123 shares of Class A common stock, par value $0.0001 per share (the Class A Common Stock) of Bakkt Holdings, Inc. (the Company, we, us, or our).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We entered into that certain securities purchase agreement (the Purchase Agreement) with the Selling Stockholder, dated as of June 17, 2025, pursuant to which the Selling Stockholder purchased a $25 million convertible debenture (the Convertible Debenture) from us for a price of $23.75 million in a private placement on June 18, 2025 (the Closing Date). The Convertible Debenture matures on the first anniversary of the Closing Date, as may be extended at the option of the Selling Stockholder and is convertible, at the option of the Selling Stockholder, into shares of our Class A Common Stock. The price of the Class A Common Stock to the Selling Stockholder to be issued on conversion of the Convertible Debenture will be the lower of (i) $14.51 per share of Class A Common Stock (the Fixed Price) or (ii) 97% of the lowest daily volume weighted average price of the Class A Common Stock during the five consecutive trading days immediately preceding the conversion date (the Conversion Date), but which price shall not be lower than $2.418 per share of Class A Common Stock (the Floor Price).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We are registering these shares of Class A Common Stock for resale by the Selling Stockholder pursuant to the registration rights granted to the Selling Stockholder under that certain registration rights agreement we entered into with the Selling Stockholder, dated as of June 17, 2025 (the Registration Rights Agreement). Our registration of the Class A Common Stock covered by this prospectus does not mean that the Selling Stockholder will offer or sell any of the Class A Common Stock. The Selling Stockholder may offer all or part of the securities for resale from time to time through public or private transactions, at either prevailing market prices or at privately negotiated prices. The Selling Stockholder may sell these securities through ordinary brokerage transactions, directly to market makers of our shares or through any other means described in the section entitled </w:t>
      </w:r>
      <w:r>
        <w:rPr>
          <w:rFonts w:ascii="Times New Roman" w:hAnsi="Times New Roman"/>
          <w:i/>
          <w:sz w:val="18"/>
        </w:rPr>
        <w:t>Plan of Distribution</w:t>
      </w:r>
      <w:r>
        <w:rPr>
          <w:rFonts w:ascii="Times New Roman" w:hAnsi="Times New Roman"/>
          <w:sz w:val="18"/>
        </w:rPr>
        <w:t xml:space="preserve"> herein. In connection with any sales of Class A Common Stock offered hereunder, the Selling Stockholder, any underwriters, agents, brokers or dealers participating in such sales may be deemed to be underwriters within the meaning of the Securities Act of 1933, as amended (the Securities Act).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Our Class A Common Stock is currently traded on the New York Stock Exchange (NYSE) under the symbol BKKT. On June 25, 2025, the last reported sale price for our Class A Common Stock was $12.93 per share.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We will not receive any proceeds from the sale of the Class A Common Stock by the Selling Stockholder in the offering described in this prospectus. We have agreed to bear all of the expenses incurred in connection with the registration of the Class A Common Stock. The Selling Stockholder will pay or assume discounts, commissions, fees of underwriters, selling brokers or dealer managers and similar expenses, if any, incurred for the sale of the Class A Common Stock.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We may amend or supplement this prospectus from time to time by filing amendments or supplements as required. You should read this entire prospectus and any amendments or supplements carefully before you make your investment decision.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4"/>
        </w:rPr>
        <w:t>Investing in these securities involves risks. Please carefully read the information under the headings </w:t>
      </w:r>
      <w:hyperlink w:anchor="rom84171_3">
        <w:r>
          <w:rPr>
            <w:rStyle w:val="InternetLink"/>
            <w:rFonts w:ascii="Times New Roman" w:hAnsi="Times New Roman"/>
            <w:b/>
            <w:i/>
            <w:sz w:val="24"/>
          </w:rPr>
          <w:t>Risk Factors</w:t>
        </w:r>
      </w:hyperlink>
      <w:r>
        <w:rPr>
          <w:rFonts w:ascii="Times New Roman" w:hAnsi="Times New Roman"/>
          <w:b/>
          <w:sz w:val="24"/>
        </w:rPr>
        <w:t> beginning on page 6 of this prospectus and </w:t>
      </w:r>
      <w:r>
        <w:rPr>
          <w:rFonts w:ascii="Times New Roman" w:hAnsi="Times New Roman"/>
          <w:b/>
          <w:i/>
          <w:sz w:val="24"/>
        </w:rPr>
        <w:t>Item</w:t>
      </w:r>
      <w:r>
        <w:rPr>
          <w:rFonts w:ascii="Times New Roman" w:hAnsi="Times New Roman"/>
          <w:sz w:val="24"/>
        </w:rPr>
        <w:t> </w:t>
      </w:r>
      <w:r>
        <w:rPr>
          <w:rFonts w:ascii="Times New Roman" w:hAnsi="Times New Roman"/>
          <w:b/>
          <w:i/>
          <w:sz w:val="24"/>
        </w:rPr>
        <w:t>1A  Risk Factors</w:t>
      </w:r>
      <w:r>
        <w:rPr>
          <w:rFonts w:ascii="Times New Roman" w:hAnsi="Times New Roman"/>
          <w:b/>
          <w:sz w:val="24"/>
        </w:rPr>
        <w:t xml:space="preserve"> of our most recent Annual Report on Form 10-K and any Quarterly Report on Form 10-Q filed subsequently to such Form 10-K that is incorporated by reference in this prospectus before you invest in our securities. In addition, please carefully read the information under the heading Risk Factors Related to the Update of Our Investment Policy in Exhibit 99.1 to our Current Report on Form 8-K filed on June 10, 2025 that is incorporated by reference in this prospectus before you invest in our securities. </w:t>
      </w:r>
    </w:p>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sz w:val="18"/>
        </w:rPr>
      </w:pPr>
      <w:r>
        <w:rPr>
          <w:rFonts w:ascii="Times New Roman" w:hAnsi="Times New Roman"/>
          <w:b/>
          <w:sz w:val="18"/>
        </w:rPr>
        <w:t xml:space="preserve">The date of this prospectus is     , 2025.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0"/>
        <w:gridCol w:w="352"/>
        <w:gridCol w:w="90"/>
        <w:gridCol w:w="400"/>
        <w:gridCol w:w="63"/>
      </w:tblGrid>
      <w:tr>
        <w:trPr/>
        <w:tc>
          <w:tcPr>
            <w:tcW w:w="930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0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2">
              <w:r>
                <w:rPr>
                  <w:rStyle w:val="InternetLink"/>
                  <w:rFonts w:ascii="Times New Roman" w:hAnsi="Times New Roman"/>
                  <w:sz w:val="20"/>
                </w:rPr>
                <w:t>Prospectus Summary</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4">
              <w:r>
                <w:rPr>
                  <w:rStyle w:val="InternetLink"/>
                  <w:rFonts w:ascii="Times New Roman" w:hAnsi="Times New Roman"/>
                  <w:sz w:val="20"/>
                </w:rPr>
                <w:t>Forward-Looking Statements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6">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7">
              <w:r>
                <w:rPr>
                  <w:rStyle w:val="InternetLink"/>
                  <w:rFonts w:ascii="Times New Roman" w:hAnsi="Times New Roman"/>
                  <w:sz w:val="20"/>
                </w:rPr>
                <w:t>The Securities Purchase Agreement, the Convertible Debenture, the Guarantee Agreement and the Registration Rights Agreement</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8">
              <w:r>
                <w:rPr>
                  <w:rStyle w:val="InternetLink"/>
                  <w:rFonts w:ascii="Times New Roman" w:hAnsi="Times New Roman"/>
                  <w:sz w:val="20"/>
                </w:rPr>
                <w:t>Determination of Offering Price</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9">
              <w:r>
                <w:rPr>
                  <w:rStyle w:val="InternetLink"/>
                  <w:rFonts w:ascii="Times New Roman" w:hAnsi="Times New Roman"/>
                  <w:sz w:val="20"/>
                </w:rPr>
                <w:t>Selling Stockholder</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10">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11">
              <w:r>
                <w:rPr>
                  <w:rStyle w:val="InternetLink"/>
                  <w:rFonts w:ascii="Times New Roman" w:hAnsi="Times New Roman"/>
                  <w:sz w:val="20"/>
                </w:rPr>
                <w:t>Validity of the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12">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13">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14">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84171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to register the securities described in this prospectus for resale by the Selling Stockholder who may, from time to time, sell the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provides you with a general description of the securities that may be offered. A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 has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rom84171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 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or are working to provide, simplified solutions focused in the following areas: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Crypto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Our crypto trading platform provides consumers, businesses and institutions with the ability to buy, sell and store crypto in a simple, intuitive digital experience accessed via APIs or embedded web experience. We enable clients in various industries to provide their customers with the ability to transact in crypto directly in their trusted environments.</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Loyalty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In March 2025, we announced our investigation of strategic alternatives for our loyalty business as we work to realign our business with a crypto focus. As we explore our options, including a potential sale or wind-down, we expect to reduce efforts to promote and grow this business.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Cooperation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March 2025, we entered into a Cooperation Agreement with Distributed Technologies Research Global Ltd. (DTR) and Akshay Naheta, the sole stockholder of DTR (the Cooperation Agreement). Pursuant to the Cooperation Agreement, DTR will provide us with certain exclusive payment processing technology, APIs and infrastructure to be integrated into our platform for the enablement of global payments processing services in the jurisdictions where we operate.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Updated Investment Policy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2025 we updated our investment policy (Investment Policy) to enable us to allocate capital into Bitcoin and other digital assets as part of our broader treasury and corporate strategy, subject to market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and the anticipated liquidity needs of the business. We may acquire Bitcoin or other digital assets using excess cash, proceeds from future equity or debt financings, or other capital sources, subject to the limitation set forth in our Investment Policy. We also intend to explore further opportunistic financing alternatives, including the issuance of convertible notes, bonds, or other debt instruments, for the purpose of acquiring Bitcoin or other digital assets or otherwise in accordance with the our Investment Policy. To date, we have not purchased any Bitcoin or other digital assets pursuant to our updated Investment Policy. There can be no assurance that we will enter into any such transactions. The timing and magnitude of any such transactions will depend on market conditions, capital market receptivity, business performance and other strategic considerations.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There are risks associated with our Investment Policy, which may cause our business, financial condition, results of operations and future prospects to be materially adversely affected. For further details regarding the risks of implementing our strategy, refer to </w:t>
      </w:r>
      <w:r>
        <w:rPr>
          <w:rFonts w:ascii="Times New Roman" w:hAnsi="Times New Roman"/>
          <w:i/>
          <w:sz w:val="20"/>
          <w:bdr w:val="single" w:sz="8" w:space="1" w:color="000000"/>
        </w:rPr>
        <w:t>Risk Factors Related to the Update of our Investment Policy,</w:t>
      </w:r>
      <w:r>
        <w:rPr>
          <w:rFonts w:ascii="Times New Roman" w:hAnsi="Times New Roman"/>
          <w:sz w:val="20"/>
          <w:bdr w:val="single" w:sz="8" w:space="1" w:color="000000"/>
        </w:rPr>
        <w:t xml:space="preserve"> which is attached as Exhibit 99.1 to our Current Report on Form 8-K filed with the SEC on June 10, 2025 which is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our securities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future prospects.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Business, Finances and Operations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model is newly developed and may encounter additional risks and challenges as it grows.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platform has been designed to meet the needs of our clients and customers, and as such we must continually invest in our platform to meet their evolving needs as we look to grow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limited operating history and a history of operating losses.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attract, retain or grow our relationships with our existing clients, our business, financial condition, results of operations and future prospects would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our current and prospective clients require the approval of their own regulators in order to deploy our solutions, and if they are unable to obtain those approvals on a timely basis, or at all, our results of operations and future prospects would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large percentage of our revenue is concentrated with a single client that has notified us it will not be renewing its agreement with us. The loss of this client will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realize the anticipated benefits of past or future investments, strategic transactions, or acquisitions and integration of these acquisitions may disrupt our business and management.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realize the expected benefits under the Cooperation Agreement with DTR, including failing to enter into a commercial agreement with or successfully integrating our platform with DTRs technology, and may be unable to successfully negotiate the terms to acquire DTR, either of which could adversely affect our business, financial condition and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Crypto and Our Investment Policy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the crypto market subject us to additional risks, including the risk that banks may not provide banking services to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may be a perception among regulators and others that crypto is used to facilitate illegal activity such as fraud, money laundering, tax evasion and ransomware scams.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Crypto custodial solutions and related technology, including our systems and custodial arrangements, are subject to risks related to a loss of funds due to theft, employee or vendor sabotage, security and cybersecurity risks, system failures and other operational issues, the loss, destruction or other compromise of our private keys and a lack of sufficient insurance.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safeguard and manage our and our customers crypto could adversely impact our business, operating results,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Crypto does not have extensive historical precedent and distributed ledger technology continues to rapidly evolve.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encounter technical issues in connection with the integration of supported crypto assets and changes and upgrades to their underlying networks, which could adversely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results and the market price of our securities are expected to be affected by fluctuations in the price of digital assets we may acquire in accordance with our Investment Policy, including Bitcoin, which are highly volatile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quarterly financial results may fluctuate significantly, including because we account for digital assets we hold at fair value, which may subject us to the corporate alternative minimum tax under the Inflation Reduction Act of 2022.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time the price of any purchases of Bitcoin and other digital assets we may acquire in accordance with our Investment Policy will be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decrease in the market value of any digital assets we may acquire in accordance with our Investment Policy could adversely affect our ability to satisfy financial obligations, including any debt financings.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implementation of our Investment Policy, competition by other digital asset companies and the availability of spot exchange-traded products for Bitcoin and other digital assets may adversely affect our business, financial condition, results of operations and future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digital assets we may acquire as in accordance with our Investment Policy may not be able to serve as a source of liquidity for us to the same extent as cash and cash equivalents.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Regulation, Taxation and Laws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extensive government regulation, oversight, licensure and appraisals and our failure to comply could materially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regimes governing blockchain technologies and crypto are uncertain and may change rapidly. New regulations or policies may alter or significantly adversely affect our business practices with respect to crypto assets, and we may need to adapt our business to regulatory change quickly to succeed.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crypto assets status as a security in any relevant jurisdiction is currently subject to a high degree of uncertainty, and if crypto assets on our platform are later determined to be securities, we may be subject to regulatory scrutiny, investigations, fines, and other penalties, which may adversely affect our business, operating results, and financial condition.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significant litigation risk and risk of regulatory liability and penalties. Any current or future litigation against us could be costly and time-consuming to defend.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Information Technology and Data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perceived cyberattacks, security incidents, or breaches could result in serious harm to our reputation, business and financial condition.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Risk Management and Financial Reporting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effective internal controls over financial reporting, we may be unable to produce timely and accurate financial statements, which could have a material effect on our business.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10000 Avalon Boulevard, Suite 1000, Alpharetta, Georgia 30009. Our telephone number is (678) 534-5849. Our website is </w:t>
      </w:r>
      <w:r>
        <w:rPr>
          <w:rFonts w:ascii="Times New Roman" w:hAnsi="Times New Roman"/>
          <w:i/>
          <w:sz w:val="20"/>
          <w:bdr w:val="single" w:sz="8" w:space="1" w:color="000000"/>
        </w:rPr>
        <w:t>https://www.bakkt.com</w:t>
      </w:r>
      <w:r>
        <w:rPr>
          <w:rFonts w:ascii="Times New Roman" w:hAnsi="Times New Roman"/>
          <w:sz w:val="20"/>
          <w:bdr w:val="single" w:sz="8" w:space="1" w:color="000000"/>
        </w:rPr>
        <w:t xml:space="preserve">. Information contained on, or that can be accessed through, our website is not a part of, and is not incorporated into, this prospectus, and the inclusion of our website address in this prospectus is an inactive textual reference only.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Issuance of the Convertible Debenture to the Selling Stockholder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Purchase Agreement, the Selling Stockholder purchased a $25 million convertible debenture (the Convertible Debenture) from the Company for a price of $23.75 million (the Purchase Amount) in a private placement (the Private Placement). The Private Placement closed on June 18,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Convertible Debenture accrues interest on the outstanding principal balance at an annual rate equal to 0%, which will increase to an annual rate of 18% upon the occurrence of an Event of Default (as defined in the Convertible Debenture) for so long as the Event of Default remains uncured. The Convertible Debenture will mature on the first anniversary of the Closing Date, as may be extended at the option of the Selling Stockholder (the Maturity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so long as there is a balance outstanding under the Convertible Debenture, the Selling Stockholder, in its sole discretion, may deliver to the Company a conversion notice (the Conversion Notice) to cause any portion of the outstanding and unpaid balance under the Convertible Debenture to be converted (the Conversion Amount) into the Companys Class A Common Stock. The Conversion Amount will not exceed the balance owed under the Convertible Debenture on the date of delivery of the Conversion Notice.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shares of Class A Common Stock will be issued and sold to the Selling Stockholder at a per share price (the Conversion Price) equal to the lower of (i) $14.51 per share or (ii) 97% of the lowest daily volume weighted average price during the five consecutive trading days immediately preceding the Conversion Date (the Variable Price), but which Variable Price shall not be lower than $2.418. The shares of Class A Common Stock will be issued and sold to the Selling Stockholder at the Conversion Price that would be applicable to the Conversion Amount selected by the Selling Stockholder if such amount were to be converted as of the date of delivery of the Conversion Notice. The amount outstanding under the Convertible Debenture will then be offset by the Conversion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the extent any balance remains outstanding under the Convertible Debenture on the Maturity Date, the Company will pay to the Selling Stockholder such outstanding balance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Actual issuances of shares of Class A Common Stock to the Selling Stockholder on conversion of the Convertible Debenture will depend on a variety of factors, which may include, among other things, market conditions, the trading price of our Class A Common Stock and any determinations made by the Selling Stockholder as to the appropriateness and timing of acquiring shares under the Convertible Debenture.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See </w:t>
      </w:r>
      <w:r>
        <w:rPr>
          <w:rFonts w:ascii="Times New Roman" w:hAnsi="Times New Roman"/>
          <w:i/>
          <w:sz w:val="20"/>
          <w:bdr w:val="single" w:sz="8" w:space="1" w:color="000000"/>
        </w:rPr>
        <w:t>The Securities Purchase Agreement, The Convertible Debenture, The Guarantee Agreement And The Registration Rights Agreement</w:t>
      </w:r>
      <w:r>
        <w:rPr>
          <w:rFonts w:ascii="Times New Roman" w:hAnsi="Times New Roman"/>
          <w:sz w:val="20"/>
          <w:bdr w:val="single" w:sz="8" w:space="1" w:color="000000"/>
        </w:rPr>
        <w:t xml:space="preserve"> on page 10 of this prospectus for additional information.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That May Be Offered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Selling Stockholder may offer up to 10,339,123 shares of our Class A Common Stock. As at June 17, 2025, there are 6,969,532 shares of Class A Common Stock outstanding. After giving effect to the issuance of the maximum number of shares of Class A Common Stock offered hereunder, 17,308,655 shares of Class A Common Stock would be outstanding. If it becomes necessary for us to issue and sell to the Selling Stockholder over 2,827,906 shares of Class A Common Stock (the Exchange Cap) in connection with the Convertible Debenture, we must first obtain stockholder approval prior to issuing shares of the Class A Common Stock in excess of the Exchange Cap in accordance with the listing rules of the New York Stock Exchange (the NYSE Rules). It is possible we may not receive such stockholder approval.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may be sold to or through underwriters, dealers or agents or directly to purchasers or as otherwise set forth in the section of this prospectus captioned Plan of Distribution.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Class A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rom84171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Class A Common Stock involves a high degree of risk. Before you decide whether to purchase our Class A Common Stock in this offering, you should consider the risks described below,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In addition, you should consider the risks, uncertainties and assumptions discussed under the heading Risk Factors Related to the Update of Our Investment Policy in Exhibit 99.1 to our Current Report on Form 8-K filed on June 10, 2025 that is incorporated by reference in this prospectus before you invest in our securities. The risks and uncertainties we have described are not the only ones we face. Additional risks and uncertainties not presently known to us or that we currently deem immaterial may also affect our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It is not possible to predict the actual number of shares of Class A Common Stock we will issue to the Selling Stockholder on conversion of the Convertible Debenture. </w:t>
      </w:r>
    </w:p>
    <w:p>
      <w:pPr>
        <w:pStyle w:val="TextBody"/>
        <w:bidi w:val="0"/>
        <w:spacing w:before="120" w:after="0"/>
        <w:jc w:val="left"/>
        <w:rPr>
          <w:rFonts w:ascii="Times New Roman" w:hAnsi="Times New Roman"/>
          <w:sz w:val="20"/>
        </w:rPr>
      </w:pPr>
      <w:r>
        <w:rPr>
          <w:rFonts w:ascii="Times New Roman" w:hAnsi="Times New Roman"/>
          <w:sz w:val="20"/>
        </w:rPr>
        <w:t xml:space="preserve">The Selling Stockholder generally has the right to control the timing and amount of conversions of any amounts outstanding under the Convertible Debenture into our shares of Class A Common Stock. Generally, issuances of our Class A Common Stock to the Selling Stockholder on conversion of the Convertible Debenture will depend upon market conditions and other factors to be determined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Because the Conversion Price per share under the Convertible Debenture will fluctuate based on the market prices of our Class A Common Stock, it is not possible for us to predict, as of the date of this prospectus and prior to any such conversions, the number of shares of Class A Common Stock that we will issue to the Selling Stockholder under the Convertible Debenture or what the Conversion Price for such shares will be. </w:t>
      </w:r>
    </w:p>
    <w:p>
      <w:pPr>
        <w:pStyle w:val="TextBody"/>
        <w:bidi w:val="0"/>
        <w:spacing w:before="240" w:after="0"/>
        <w:jc w:val="left"/>
        <w:rPr>
          <w:rFonts w:ascii="Times New Roman" w:hAnsi="Times New Roman"/>
          <w:sz w:val="20"/>
        </w:rPr>
      </w:pPr>
      <w:r>
        <w:rPr>
          <w:rFonts w:ascii="Times New Roman" w:hAnsi="Times New Roman"/>
          <w:sz w:val="20"/>
        </w:rPr>
        <w:t xml:space="preserve">If it becomes necessary for us to issue and sell to the Selling Stockholder over the Exchange Cap of 2,827,906 shares in connection with the Convertible Debenture, we must first obtain stockholder approval prior to issuing shares of the Class A Common Stock in excess of the Exchange Cap in accordance with applicable NYSE Rules. It is possible we may not receive such stockholder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Convertible Debenture, the Selling Stockholder will generally have discretion to vary the timing, prices, and numbers of shares issued on conversion of the Convertible Debenture. After the Selling Stockholder has acquired such shares, the Selling Stockholder may resell all, some, or none of such shares at any time or from time to time in its discretion and at different prices. As a result, investors who purchase shares from the Selling Stockholder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Stockholder in this offering as a result of future sales made by us to the Selling Stockholder at prices lower than the prices such investors paid for their shares in this offering. In addition, if we issue a substantial number of shares to the Selling Stockholder on conversion of the Convertible Debenture, or if investors expect that we will do so, the actual sales of shares or the mere existence of our arrangement with the Selling Stockholder may make it more difficult for us to sell equity or equity-related securities in the future at a time and at a price that we might otherwise wish to effect such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Sales of a substantial number of our securities in the public market could cause the price of our shares of Class A Common Stock to fall. </w:t>
      </w:r>
    </w:p>
    <w:p>
      <w:pPr>
        <w:pStyle w:val="TextBody"/>
        <w:bidi w:val="0"/>
        <w:spacing w:before="120" w:after="0"/>
        <w:jc w:val="left"/>
        <w:rPr>
          <w:rFonts w:ascii="Times New Roman" w:hAnsi="Times New Roman"/>
          <w:sz w:val="20"/>
        </w:rPr>
      </w:pPr>
      <w:r>
        <w:rPr>
          <w:rFonts w:ascii="Times New Roman" w:hAnsi="Times New Roman"/>
          <w:sz w:val="20"/>
        </w:rPr>
        <w:t xml:space="preserve">The Selling Stockholder can resell, under this prospectus, up to 10,339,123 shares of Class A Common Stock. If all of the 10,339,123 shares offered for resale by the Selling Stockholder under this prospectus were issued and outstanding as of June 17, 2025 (without taking into account the 19.9% Exchange Cap limitation), such shares would represent approximately 42% of the total number of outstanding shares of voting securities of our Company. If it becomes necessary for us to issue and sell to the Selling Stockholder shares of Class A Common Stock in excess of the Exchange Cap in connection with the Convertible Debenture, we must first obtain stockholder approval prior to issuing shares of the Class A Common Stock in excess of the Exchange Cap in accordance with applicable NYSE Rules. </w:t>
      </w:r>
    </w:p>
    <w:p>
      <w:pPr>
        <w:pStyle w:val="TextBody"/>
        <w:bidi w:val="0"/>
        <w:spacing w:before="240" w:after="0"/>
        <w:jc w:val="left"/>
        <w:rPr>
          <w:rFonts w:ascii="Times New Roman" w:hAnsi="Times New Roman"/>
          <w:sz w:val="20"/>
        </w:rPr>
      </w:pPr>
      <w:r>
        <w:rPr>
          <w:rFonts w:ascii="Times New Roman" w:hAnsi="Times New Roman"/>
          <w:sz w:val="20"/>
        </w:rPr>
        <w:t xml:space="preserve">Sales of a substantial number of our shares of Class A Common Stock in the public market by the Selling Stockholder and/or by our other existing stockholders, or the perception that those sales might occur, could depress the market price of our shares of Class A Common Stock and could impair our ability to raise capital through the sale of additional equity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Ownership of Our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Future sales of our Class A Common Stock could lower our stock price and dilute existing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in the future, sell additional shares of Class A Common Stock in subsequent public or private offerings. We cannot predict the size or terms of future issuances of our Class A Common Stock or the effect, if any, that future sales and issuances of shares of our Class A Common Stock will have on the market price of our Class A Common Stock. Sales of substantial amounts of our Class A Common Stock, or the perception that such sales could occur, may adversely affect prevailing market prices for our Class A Common Stock. In addition, these sales may be dilutive to existing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fail to meet our publicly announced guidance or other expectations about our business, which would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We may provide guidance regarding our expected financial and business performance, such as projections regarding sales and production, as well as anticipated future revenue, gross margins, profitability, and cash flows. Correctly identifying key factors affecting business conditions and predicting future events is inherently an uncertain process and our guidance may not ultimately be accurate. Our guidance is based on certain assumptions such as those relating to anticipated production and sales volumes and average sales prices, supplier and commodity costs, and planned cost reductions. If our guidance is not accurate or varies from actual results due to our inability to meet our assumptions or the impact on our financial performance that could occur as a result of various risks and uncertainties, the market value of our Class A Common Stock could decline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Class A Common Stock after price appreciation, which may never occur, as the only way to realize any future gains on their investment. </w:t>
      </w:r>
    </w:p>
    <w:p>
      <w:pPr>
        <w:pStyle w:val="TextBody"/>
        <w:bidi w:val="0"/>
        <w:spacing w:before="480" w:after="0"/>
        <w:jc w:val="center"/>
        <w:rPr>
          <w:rFonts w:ascii="Times New Roman" w:hAnsi="Times New Roman"/>
          <w:b/>
          <w:sz w:val="20"/>
        </w:rPr>
      </w:pPr>
      <w:bookmarkStart w:id="6" w:name="rom84171_4"/>
      <w:bookmarkEnd w:id="6"/>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herein and therein contain forward-looking statements within the meaning of the federal securities laws,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for our products and services;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impacts from the adoption of our updated Investment Policy.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and manage growth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we may be unable to obtain the applicable regulatory approvals to execute on the cooperation agreement with DTR;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finalizing the proposed commercial agreement with DTR, including whether such agreement will be executed on terms favorable to us or if at all, or be completed on the expected timeline, and whether we will be able to successfully integrate its operations with those of DTR, including its infrastructure, and achieve the expected benefits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environment for crypto currencies and digital stablecoin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business strategy, including our adoption of the updated Investment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digital assets, including Bitcoin;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fluctuation of our operating results, including because we may be required to account for our digital assets at fair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time the price of our purchase of digital assets pursuant to our updated Investment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market value of digital assets on our ability to satisfy our financial obligations, including any debt financings;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unrealized fair value gains on our digital asset holdings subjecting us to the corporate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by other Bitcoin treasury companies and the availability of spot-traded products for Bitcoin;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enhanced regulatory oversight as a result of our updated Investment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concentration of our expected digital asset holdings relative to non-digital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use our digital asset holdings as a source of liquidity to the same extent as cash and cash equivalents, due to, for example, risks associated with digital assets and other risks inherent to its entirely electronic, virtual-form and decentralized network;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or a third-party service provider experiencing a security breach or cyber-attack where unauthorized parties obtain access to digital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access to or theft or data loss of our digital assets, which could be unrecoverable due to the immutable nature of blockchain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elect to hold our digital assets through a third-party custodian, the loss of direct control over our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compromised, including as a result of a cyber-attack;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not being subject to the legal and regulatory protections applicable to investment companies such as mutual funds and exchange-traded funds, or to obligations applicable to investment advisers;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non-performance, breach of contract or other violations by counterparties assisting us in effecting our updated Investment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capital requirements and sources and uses of cash, including funds to satisfy our liquidity needs and continued access to the line of credit provided by Intercontinental Exchange Holdings,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in which we compete, including with respect to our competitive landscape, technology evolution or changes in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markets that we target;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and disruptions in the crypto, digital payments and stablecoin markets that subject us to additional risks, including the risk that banks may not provide banking services to us and market sentiments regarding crypto currencies, digital payments and stablecoins;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we may be adversely affected by other macroeconomic, geopolitical, business, and/or competitive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launch new services and products, including with our expected commercial partners, or to profitably expand into new markets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our growth strategies, including identifying and executing acquisitions and divestitures and our initiatives to add new clients;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reach definitive agreements with our expected commercial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complete a strategic transaction of the Loyalty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extensive government regulations, oversight, licensure and appraisals;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uncertain and evolving regulatory regime governing blockchain technologies, stablecoins, digital payments and crypto;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effective internal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exposure to any liability, protracted and costly litigation or reputational damage relating to our data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goodwill or other intangible assets impairments on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securities on the New York Stock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risks and uncertainties indicated in this prospectus, including those set forth under </w:t>
            </w:r>
            <w:r>
              <w:rPr>
                <w:rFonts w:ascii="Times New Roman" w:hAnsi="Times New Roman"/>
                <w:i/>
                <w:sz w:val="20"/>
              </w:rPr>
              <w:t>Risk Factors</w:t>
            </w:r>
            <w:r>
              <w:rPr>
                <w:rFonts w:ascii="Times New Roman" w:hAnsi="Times New Roman"/>
                <w:sz w:val="20"/>
              </w:rPr>
              <w:t xml:space="preserve"> and any risk factors described in any amendments or supplements to this prospectus and in the documents incorporated by reference herein. </w:t>
            </w:r>
          </w:p>
        </w:tc>
      </w:tr>
    </w:tbl>
    <w:p>
      <w:pPr>
        <w:pStyle w:val="TextBody"/>
        <w:bidi w:val="0"/>
        <w:spacing w:before="480" w:after="0"/>
        <w:jc w:val="center"/>
        <w:rPr>
          <w:rFonts w:ascii="Times New Roman" w:hAnsi="Times New Roman"/>
          <w:b/>
          <w:sz w:val="20"/>
        </w:rPr>
      </w:pPr>
      <w:bookmarkStart w:id="7" w:name="rom84171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resale of shares of Class A Common Stock included in this prospectus by the Selling Stockholder. However, we have received net proceeds of $23,725,000 for the issuance of the Convertible Debenture, which we expect to use for working capital and other general corporate purposes. </w:t>
      </w:r>
    </w:p>
    <w:p>
      <w:pPr>
        <w:pStyle w:val="TextBody"/>
        <w:bidi w:val="0"/>
        <w:spacing w:before="480" w:after="0"/>
        <w:jc w:val="center"/>
        <w:rPr>
          <w:rFonts w:ascii="Times New Roman" w:hAnsi="Times New Roman"/>
          <w:b/>
          <w:sz w:val="20"/>
        </w:rPr>
      </w:pPr>
      <w:bookmarkStart w:id="8" w:name="rom84171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our capital stock is incorporated by reference to Exhibit 4.9 to our Annual Report on Form 10-K for the fiscal year ended December 31, 2024, filed with the SEC on March 20, 2025. </w:t>
      </w:r>
    </w:p>
    <w:p>
      <w:pPr>
        <w:pStyle w:val="TextBody"/>
        <w:bidi w:val="0"/>
        <w:spacing w:before="480" w:after="0"/>
        <w:jc w:val="center"/>
        <w:rPr>
          <w:rFonts w:ascii="Times New Roman" w:hAnsi="Times New Roman"/>
          <w:b/>
          <w:sz w:val="20"/>
        </w:rPr>
      </w:pPr>
      <w:bookmarkStart w:id="9" w:name="rom84171_7"/>
      <w:bookmarkEnd w:id="9"/>
      <w:r>
        <w:rPr>
          <w:rFonts w:ascii="Times New Roman" w:hAnsi="Times New Roman"/>
          <w:b/>
          <w:sz w:val="20"/>
        </w:rPr>
        <w:t xml:space="preserve">THE SECURITIES PURCHASE AGREEMENT, THE CONVERTIBLE DEBENTURE, THE GUARANTEE AGREEMENT AND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17, 2025, the Company entered into the Purchase Agreement with the Selling Stockholder. Pursuant to the terms of the Purchase Agreement, the Selling Stockholder purchased the $25 million Convertible Debenture from the Company for a Purchase Amount of $23.75 million in the Private Placement. The Private Placement closed on June 18, 2025. The Company intends to use the net proceeds from the Private Placement for working capital and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Debenture accrues interest on the outstanding principal balance at an annual rate equal to 0%, which will increase to an annual rate of 18% upon the occurrence of an Event of Default (as defined in the Convertible Debenture) for so long as the Event of Default remains uncured. The Convertible Debenture will mature on the Maturity Date, which is the first anniversary of the Closing Date, as may be extended at the option of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there is a balance outstanding under the Convertible Debenture, the Selling Stockholder, in its sole discretion, may deliver to the Company a Conversion Notice to cause any portion of the outstanding and unpaid balance under the Convertible Debenture to be converted (the Conversion Amount) into the Companys Class A Common Stock. The Conversion Amount will not exceed the balance owed under the Convertible Debenture on the date of delivery of the Conversion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of Class A Common Stock will be issued and sold to the Selling Stockholder at a Conversion Price per share equal to the lower of (i) $14.51 per share or (ii) a Variable Price of 97% of the lowest daily volume weighted average price during the five consecutive trading days immediately preceding the Conversion Date, but which Variable Price shall not be lower than $2.418. The shares of Class A Common Stock will be issued and sold to the Selling Stockholder at the Conversion Price that would be applicable to the Conversion Amount selected by the Selling Stockholder if such amount were to be converted as of the date of delivery of the Conversion Notice. The amount outstanding under the Convertible Debenture will then be offset by the Conversion Amount.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balance remains outstanding under the Convertible Debenture on the Maturity Date, the Company will pay to the Selling Stockholder such outstanding balance in cash.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paid the Selling Stockholder a one-time due diligence and structuring fee of $25,000. </w:t>
      </w:r>
    </w:p>
    <w:p>
      <w:pPr>
        <w:pStyle w:val="TextBody"/>
        <w:bidi w:val="0"/>
        <w:spacing w:before="240" w:after="0"/>
        <w:jc w:val="left"/>
        <w:rPr>
          <w:rFonts w:ascii="Times New Roman" w:hAnsi="Times New Roman"/>
          <w:sz w:val="20"/>
        </w:rPr>
      </w:pPr>
      <w:r>
        <w:rPr>
          <w:rFonts w:ascii="Times New Roman" w:hAnsi="Times New Roman"/>
          <w:sz w:val="20"/>
        </w:rPr>
        <w:t xml:space="preserve">Under NYSE Rules and pursuant to the Purchase Agreement, in no event may the Company issue to the Selling Stockholder shares of Class A Common Stock in excess of an Exchange Cap of 2,827,906 shares, which is 19.9% of our voting securities outstanding on the date of the Purchase Agreement, unless the Company obtains stockholder approval to issue shares of Class A Common Stock in excess of the Exchange Cap. The Company may issue any shares of Class A Common Stock under the Purchase Agreement only in compliance with applicable NYSE Rules.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may not issue any shares of Class A Common Stock to the Selling Stockholder under the Purchase Agreement or under the Convertible Debenture, if, when aggregated with all other shares of Class A Common Stock then beneficially owned by the Selling Stockholder, the Selling Stockholders beneficial ownership would exceed 4.99% of the then-outstanding shares of Class A Common Stock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cannot assign the Purchase Agreement or any rights or obligations thereunder without the prior written consent of the Selling Stockholder. The Selling Stockholder may assign all, or a portion, of its rights and obligations under the Purchase Agreement without the consent of the Company, in which event such assignee shall be deemed to be the Selling Stockholder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contains customary representations, covenants, warranties, conditions, and indemnification obligations of the parties, including limitations on the Companys incurrence of additional indebtedness, subject to certain exceptions. The representations, warranties, and covenants contained in the Purchase Agreement were made only for purposes of such agreement and as of specific dates, were solely for the benefit of the parties to such agreement and are subject to limitations agreed upon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obligations with respect to the Purchase Agreement and under the Convertible Debenture are guaranteed by Bakkt Opco Holdings, LLC, a Delaware limited liability company (Bakkt Opco), pursuant to a global guaranty agreement (the Guarantee Agreement) entered into by Bakkt Opco in favor of the Selling Stockholder on June 17, 2025.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Purchase Agreement, the Company entered into the Registration Rights Agreement with the Selling Stockholder, pursuant to which the Company agreed to use commercially reasonable efforts to file and have declared effective a registration statement to register the resale of the Class A Common Stock issued upon conversion of the Convertible Debenture. </w:t>
      </w:r>
    </w:p>
    <w:p>
      <w:pPr>
        <w:pStyle w:val="TextBody"/>
        <w:bidi w:val="0"/>
        <w:spacing w:before="240" w:after="0"/>
        <w:jc w:val="left"/>
        <w:rPr>
          <w:rFonts w:ascii="Times New Roman" w:hAnsi="Times New Roman"/>
          <w:sz w:val="20"/>
        </w:rPr>
      </w:pPr>
      <w:r>
        <w:rPr>
          <w:rFonts w:ascii="Times New Roman" w:hAnsi="Times New Roman"/>
          <w:sz w:val="20"/>
        </w:rPr>
        <w:t xml:space="preserve">Actual issuances of shares of Class A Common Stock to the Selling Stockholder on conversion of the Convertible Debenture will depend on a variety of factors, which may include, among other things, market conditions, the trading price of our Class A Common Stock and any determinations made by the Selling Stockholder as to the appropriateness and timing of acquiring shares under the Convertible Debenture.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 of the Purchase Agreement, the Convertible Debenture, the Guarantee Agreement and the Registration Rights Agreement does not purport to be complete and is qualified in its entirety by reference to the full text of the Purchase Agreement, which is attached hereto as Exhibit 10.1, the Convertible Debenture, which is filed as Exhibit 4.2, the Guarantee Agreement, which is attached hereto as Exhibit 4.3, and the Registration Rights Agreement, which is attached hereto as Exhibit 4.4, respectively, and each is incorporated herein by reference. </w:t>
      </w:r>
    </w:p>
    <w:p>
      <w:pPr>
        <w:pStyle w:val="TextBody"/>
        <w:bidi w:val="0"/>
        <w:spacing w:before="480" w:after="0"/>
        <w:jc w:val="center"/>
        <w:rPr>
          <w:rFonts w:ascii="Times New Roman" w:hAnsi="Times New Roman"/>
          <w:b/>
          <w:sz w:val="20"/>
        </w:rPr>
      </w:pPr>
      <w:bookmarkStart w:id="10" w:name="rom84171_8"/>
      <w:bookmarkEnd w:id="10"/>
      <w:r>
        <w:rPr>
          <w:rFonts w:ascii="Times New Roman" w:hAnsi="Times New Roman"/>
          <w:b/>
          <w:sz w:val="20"/>
        </w:rPr>
        <w:t xml:space="preserve">DETERMINATION OF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We cannot currently determine the price or prices at which shares of Class A Common Stock may be sold by the Selling Stockholder under this prospectus. </w:t>
      </w:r>
    </w:p>
    <w:p>
      <w:pPr>
        <w:pStyle w:val="TextBody"/>
        <w:bidi w:val="0"/>
        <w:spacing w:before="480" w:after="0"/>
        <w:jc w:val="center"/>
        <w:rPr>
          <w:rFonts w:ascii="Times New Roman" w:hAnsi="Times New Roman"/>
          <w:b/>
          <w:sz w:val="20"/>
        </w:rPr>
      </w:pPr>
      <w:bookmarkStart w:id="11" w:name="rom84171_9"/>
      <w:bookmarkEnd w:id="11"/>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 and sale by the Selling Stockholder from time to time of up to 10,339,123 shares of Class A Common Stock that may be issued by us to the Selling Stockholder upon conversion of the Convertible Debenture. For additional information regarding the issuance of the Convertible Debenture, see The </w:t>
      </w:r>
      <w:r>
        <w:rPr>
          <w:rFonts w:ascii="Times New Roman" w:hAnsi="Times New Roman"/>
          <w:i/>
          <w:sz w:val="20"/>
        </w:rPr>
        <w:t>Securities Purchase Agreement, The Convertible Debenture, The Guarantee Agreement and the Registration Rights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these 10,339,123 shares of Class A Common Stock for sale by the Selling Stockholder pursuant to the Registration Rights Agreement in order to permit the Selling Stockholder to offer the shares included in this prospectus for resale from time to time. Except for the transactions contemplated by the Purchase Agreement and ownership of the Convertible Debenture pursuant to the Purchase Agreement, and as set forth in the section titled Plan of Distribution in this prospectus, the Selling Stockholder has not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The percent of beneficial ownership in the table below is based on (i) 6,969,532 shares of Class A Common Stock issued and outstanding as of June 17, 2025 and (ii) the issuance to the Selling Stockholder of 366,045 Conversion Shares which as at the date of this prospectus has not occurred. Beneficial ownership is determined in accordance with the rules of the SEC. These rules generally attribute beneficial ownership of securities to persons who possess sole or shared voting power or investment power with respect to such securities. Based on the information provided to us by the Selling Stockholder, the Selling Stockholder has sole voting and investment power with respect to our shares of Class A Common Stock beneficially owned by it. Based on the information provided to us by the Selling Stockholder, the Selling Stockholder is not a broker-dealer or an affiliate of a broker-dealer.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in the column titled Maximum Number of Securities Being Offered represents all of the shares of Class A Common Stock being offered for resale by the Selling Stockholder under this prospectus. The Selling Stockholder may sell some, all, or none of the shares being offered for resale in this offering. If the Selling Stockholder exercises its right to convert the Convertible Debenture into Class A Common Stock, we do not know how long the Selling Stockholder will hold the shares before selling them, and we are not aware of any existing arrangements between the Selling Stockholder and any other stockholder, broker, dealer, underwriter, or agent relating to the sale or distribution of the Class A Common Stock being offered for resale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column titled Securities Owned After the Offering in the table below assumes the resale by the Selling Stockholder of all of the shares of Class A Common Stock being offered for resale pursuant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The number of ordinary shares that may actually be issued upon conversion of the Convertible Debenture pursuant to the terms thereof may be more than the number of shares being offered by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6"/>
        <w:gridCol w:w="120"/>
        <w:gridCol w:w="109"/>
        <w:gridCol w:w="1459"/>
        <w:gridCol w:w="109"/>
        <w:gridCol w:w="218"/>
        <w:gridCol w:w="109"/>
        <w:gridCol w:w="806"/>
        <w:gridCol w:w="275"/>
        <w:gridCol w:w="60"/>
        <w:gridCol w:w="82"/>
        <w:gridCol w:w="1513"/>
        <w:gridCol w:w="59"/>
        <w:gridCol w:w="120"/>
        <w:gridCol w:w="290"/>
        <w:gridCol w:w="678"/>
        <w:gridCol w:w="290"/>
        <w:gridCol w:w="581"/>
        <w:gridCol w:w="290"/>
        <w:gridCol w:w="681"/>
        <w:gridCol w:w="280"/>
      </w:tblGrid>
      <w:tr>
        <w:trPr/>
        <w:tc>
          <w:tcPr>
            <w:tcW w:w="20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07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Class A Common</w:t>
              <w:br/>
              <w:t>Stock Owned Before the</w:t>
              <w:br/>
              <w:t>Offering</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9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Maximum</w:t>
              <w:br/>
              <w:t>Number of</w:t>
              <w:br/>
              <w:t>Shares of</w:t>
              <w:br/>
              <w:t>Class A</w:t>
              <w:br/>
              <w:t>Common Stock</w:t>
              <w:br/>
              <w:t>Being Offered(2)</w:t>
            </w:r>
          </w:p>
        </w:tc>
        <w:tc>
          <w:tcPr>
            <w:tcW w:w="59"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Class A Common</w:t>
              <w:br/>
              <w:t>Stock Owned After the</w:t>
              <w:br/>
              <w:t>Offering</w:t>
            </w:r>
          </w:p>
        </w:tc>
        <w:tc>
          <w:tcPr>
            <w:tcW w:w="280" w:type="dxa"/>
            <w:tcBorders/>
            <w:vAlign w:val="bottom"/>
          </w:tcPr>
          <w:p>
            <w:pPr>
              <w:pStyle w:val="TableContents"/>
              <w:bidi w:val="0"/>
              <w:spacing w:before="0" w:after="283"/>
              <w:jc w:val="left"/>
              <w:rPr/>
            </w:pPr>
            <w:r>
              <w:rPr/>
              <w:t> </w:t>
            </w:r>
          </w:p>
        </w:tc>
      </w:tr>
      <w:tr>
        <w:trPr/>
        <w:tc>
          <w:tcPr>
            <w:tcW w:w="20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20" w:type="dxa"/>
            <w:tcBorders/>
            <w:vAlign w:val="bottom"/>
          </w:tcPr>
          <w:p>
            <w:pPr>
              <w:pStyle w:val="TableContents"/>
              <w:bidi w:val="0"/>
              <w:spacing w:before="0" w:after="283"/>
              <w:jc w:val="left"/>
              <w:rPr/>
            </w:pPr>
            <w:r>
              <w:rPr/>
              <w:t>  </w:t>
            </w:r>
          </w:p>
        </w:tc>
        <w:tc>
          <w:tcPr>
            <w:tcW w:w="15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Number(1)</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Percent(1)</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595" w:type="dxa"/>
            <w:gridSpan w:val="2"/>
            <w:vMerge w:val="continue"/>
            <w:tcBorders>
              <w:bottom w:val="single" w:sz="8" w:space="0" w:color="000000"/>
            </w:tcBorders>
            <w:tcMar>
              <w:bottom w:w="28" w:type="dxa"/>
            </w:tcMar>
            <w:vAlign w:val="bottom"/>
          </w:tcPr>
          <w:p>
            <w:pPr>
              <w:pStyle w:val="Normal"/>
              <w:bidi w:val="0"/>
              <w:jc w:val="left"/>
              <w:rPr/>
            </w:pPr>
            <w:r>
              <w:rPr/>
            </w:r>
          </w:p>
        </w:tc>
        <w:tc>
          <w:tcPr>
            <w:tcW w:w="59"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Number(3)</w:t>
            </w:r>
          </w:p>
        </w:tc>
        <w:tc>
          <w:tcPr>
            <w:tcW w:w="29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Percent(3)</w:t>
            </w:r>
          </w:p>
        </w:tc>
        <w:tc>
          <w:tcPr>
            <w:tcW w:w="280" w:type="dxa"/>
            <w:tcBorders/>
            <w:vAlign w:val="bottom"/>
          </w:tcPr>
          <w:p>
            <w:pPr>
              <w:pStyle w:val="TableContents"/>
              <w:bidi w:val="0"/>
              <w:spacing w:before="0" w:after="283"/>
              <w:jc w:val="left"/>
              <w:rPr/>
            </w:pPr>
            <w:r>
              <w:rPr/>
              <w:t> </w:t>
            </w:r>
          </w:p>
        </w:tc>
      </w:tr>
      <w:tr>
        <w:trPr/>
        <w:tc>
          <w:tcPr>
            <w:tcW w:w="2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YA II PN, LTD.(4)</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366,045</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3" w:type="dxa"/>
            <w:tcBorders/>
            <w:shd w:fill="CCEEFF" w:val="clear"/>
            <w:vAlign w:val="bottom"/>
          </w:tcPr>
          <w:p>
            <w:pPr>
              <w:pStyle w:val="TableContents"/>
              <w:bidi w:val="0"/>
              <w:spacing w:before="0" w:after="283"/>
              <w:jc w:val="right"/>
              <w:rPr/>
            </w:pPr>
            <w:r>
              <w:rPr/>
              <w:t>10,339,123</w:t>
            </w:r>
          </w:p>
        </w:tc>
        <w:tc>
          <w:tcPr>
            <w:tcW w:w="5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pPr>
            <w:r>
              <w:rPr/>
              <w:t>0</w:t>
            </w:r>
          </w:p>
        </w:tc>
        <w:tc>
          <w:tcPr>
            <w:tcW w:w="29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Conversion Shares issuable to the Selling Stockholder pursuant to the terms of the Convertible Debenture giving effect to the Beneficial Ownership Limitation. As at the date of this prospectus, the Selling Stockholder owns no shares of Common Stock, and the actual number of Conversion Shares that may be acquired by the Selling Stockholder is not currently known. The Conversion Shares issuable pursuant to the Convertible Debenture are subject to the Beneficial Ownership Limitation and the Exchange Cap, which restrict the Selling Stockholder from converting any portion of the outstanding balance under the Convertible Debenture that would result in the Selling Stockholder and its affiliates owning, upon such conversion, a number of shares of our Class A Common Stock in excess of the Beneficial Ownership Limitation or the Exchange Cap.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Class A Common Stock offered by this prospectus, consisting of the number of Conversion Shares issuable to the Selling Stockholder pursuant to the terms of the Convertible Debenture without giving effect to the Beneficial Ownership Limitation or the Exchange Cap.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the sale of all shares of Class A Common Stock being offered pursuant to this prospectus without giving effect to the Beneficial Ownership Limitation or the Exchange Cap.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decisions for YA II PN, Ltd. are made by Mr. Mark Angelo. The business address for YA II PN, Ltd. is 1012 Springfield Avenue, Mountainside, NJ 07092. </w:t>
            </w:r>
          </w:p>
        </w:tc>
      </w:tr>
    </w:tbl>
    <w:p>
      <w:pPr>
        <w:pStyle w:val="TextBody"/>
        <w:bidi w:val="0"/>
        <w:spacing w:before="480" w:after="0"/>
        <w:jc w:val="center"/>
        <w:rPr>
          <w:rFonts w:ascii="Times New Roman" w:hAnsi="Times New Roman"/>
          <w:b/>
          <w:sz w:val="20"/>
        </w:rPr>
      </w:pPr>
      <w:bookmarkStart w:id="12" w:name="rom84171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Class A Common Stock offered by this prospectus are being offered by the Selling Stockholder. The shares of Class A Common Stock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We will not receive any of the proceeds from the sale of shares of Class A Common Stock by the Selling Stockholder pursuant to this prospectus. The aggregate proceeds to the Selling Stockholder will be the purchase price of our Class A Common Stock less any discounts and commissions borne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sale of the shares of Class A Common Stock offered by this prospectus could be effected in one or more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brokers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involving cross or block trades, including 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brokers, dealers, or underwriters who may act solely as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their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market into an existing market for our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other ways not involving market makers or established business markets, including direct sales to purchasers or sales effected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by applicable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transfer the shares of Class A Common Stock in other circumstances, in which case the transferees, pledgees or other successors in interest will be the selling beneficial owners for purposes of this prospectus. In addition, the Selling Stockholder may elect to make a pro rata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of Class A Common Stock may be sold only through registered or licensed brokers or dealers. In addition, in certain states, the shares of Class A Common Stock may not be sold unless they have been registered or qualified for sale in the state or an exemption from the states registration or qualification requirement is available and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use one or more registered broker-dealers to effectuate all sales of our shares of Class A Common Stock issuable upon conversion of the Convertible Debenture. Such sales will be made at prices and at terms then prevailing or at prices related to the then current market price. Such registered broker-dealer may, in some circumstances (or instance if such registered broker-dealers involvement is not limited to receiving commission not in excess of the usual and customary distributors or sellers commissions), be considered to be an underwriter within the meaning of Section 2(a)(11) of the Securities Act. The Selling Stockholder has informed us that each such broker-dealer will receive commissions from the Selling Stockholder that will not exceed customary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Brokers, dealers, underwriters or agents participating in the distribution of the shares of Class A Common Stock offered by this prospectus may receive compensation in the form of commissions, discounts, or concessions from the purchasers, for whom the broker-dealers may act as agent, of the shares of Class A Common Stock sold by the Selling Stockholder through this prospectus. The compensation paid to any such particular broker-dealer by any such purchasers of shares of Class A Common Stock sold by the Selling Stockholder may be less than or in excess of customary commissions. Neither we nor the Selling Stockholder can presently estimate the amount of compensation that any agent will receive from any purchasers of ordinary shares sold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know of no existing arrangements between the Selling Stockholder or any other shareholder, broker, dealer, underwriter, or agent relating to the sale or distribution of our ordinary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with respect to any compensation paid or payable by the Selling Stockholder to any brokers, dealers, underwriters, or agents that participate in the distribution of such shares by the Selling Stockholder, and any other related information required to be disclosed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 and certain other persons against certain liabilities in connection with the offering of our ordinary shares issuable upon conversion of the Convertible Debenture, or, if such indemnity is unenforceable, to make the maximum contribution to the payment and satisfaction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has represented to us that it has not directly or indirectly, nor has any person acting on behalf of or pursuant to any understanding with the Selling Stockholder, engaged in any transactions in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Company (including, without limitation, any short sale (as such term is defined in Rule 200 of Regulation SHO of the Exchange Act) involving the Companys securities) during the period commencing as of the time that the Selling Stockholder first contacted the Company or the Companys agents regarding the specific investment in the Company contemplated by the Purchase Agreement and ending immediately prior to the execution of the Purchase Agreement by the Selling Stockholder. In addition, the Selling Stockholder has agreed that, from and after the date of the Purchase Agreement and ending when the Convertible Debenture no longer remains outstanding, none of the Selling Stockholder or any of its officers, or any entity managed or controlled by the Selling Stockholder (collectively, the Restricted Persons) directly or indirectly, engage in any short sale of the Class A Common Stock, either for its own principal account or for the principal account of any other Restricted Person. </w:t>
      </w:r>
    </w:p>
    <w:p>
      <w:pPr>
        <w:pStyle w:val="TextBody"/>
        <w:bidi w:val="0"/>
        <w:spacing w:before="240" w:after="0"/>
        <w:jc w:val="left"/>
        <w:rPr>
          <w:rFonts w:ascii="Times New Roman" w:hAnsi="Times New Roman"/>
          <w:sz w:val="20"/>
        </w:rPr>
      </w:pPr>
      <w:r>
        <w:rPr>
          <w:rFonts w:ascii="Times New Roman" w:hAnsi="Times New Roman"/>
          <w:sz w:val="20"/>
        </w:rPr>
        <w:t xml:space="preserve">This offering by the Selling Stockholder will terminate on the date that all shares of Class A Common Stock offered by this prospectus have been sold or the date on which all of such ordinary shares may be sold without any restrictions pursuant to Rule 144. </w:t>
      </w:r>
    </w:p>
    <w:p>
      <w:pPr>
        <w:pStyle w:val="TextBody"/>
        <w:bidi w:val="0"/>
        <w:spacing w:before="480" w:after="0"/>
        <w:jc w:val="center"/>
        <w:rPr>
          <w:rFonts w:ascii="Times New Roman" w:hAnsi="Times New Roman"/>
          <w:b/>
          <w:sz w:val="20"/>
        </w:rPr>
      </w:pPr>
      <w:bookmarkStart w:id="13" w:name="rom84171_11"/>
      <w:bookmarkEnd w:id="13"/>
      <w:r>
        <w:rPr>
          <w:rFonts w:ascii="Times New Roman" w:hAnsi="Times New Roman"/>
          <w:b/>
          <w:sz w:val="20"/>
        </w:rPr>
        <w:t xml:space="preserve">VALIDITY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Sullivan &amp; Cromwell LLP, New York, New York.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14" w:name="rom84171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Bakkt Holdings, Inc. as of and for the year ended December 31, 2024 appearing in the Companys Annual Report (Form 10-K), have been incorporated by reference herein in reliance upon the report of KPMG LLP, independent registered public accounting firm, included thereon, and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Bakkt Holdings, Inc., at December 31, 2023 and for each of the two years in the period ended December 31, 2023 appearing in the Companys Annual Report (Form 10-K) for the period ended December 31,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 </w:t>
      </w:r>
    </w:p>
    <w:p>
      <w:pPr>
        <w:pStyle w:val="TextBody"/>
        <w:bidi w:val="0"/>
        <w:spacing w:before="480" w:after="0"/>
        <w:jc w:val="center"/>
        <w:rPr>
          <w:rFonts w:ascii="Times New Roman" w:hAnsi="Times New Roman"/>
          <w:b/>
          <w:sz w:val="20"/>
        </w:rPr>
      </w:pPr>
      <w:bookmarkStart w:id="15" w:name="rom84171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www.sec.gov</w:t>
      </w:r>
      <w:r>
        <w:rPr>
          <w:rFonts w:ascii="Times New Roman" w:hAnsi="Times New Roman"/>
          <w:sz w:val="20"/>
        </w:rPr>
        <w:t xml:space="preserve">. Copies of certain information filed by us with the SEC are also available on our website at </w:t>
      </w:r>
      <w:r>
        <w:rPr>
          <w:rFonts w:ascii="Times New Roman" w:hAnsi="Times New Roman"/>
          <w:i/>
          <w:sz w:val="20"/>
        </w:rPr>
        <w:t>investors.bakkt.com</w:t>
      </w:r>
      <w:r>
        <w:rPr>
          <w:rFonts w:ascii="Times New Roman" w:hAnsi="Times New Roman"/>
          <w:sz w:val="20"/>
        </w:rPr>
        <w:t xml:space="preserve">. Information accessible on or through our website is not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84171_14"/>
      <w:bookmarkEnd w:id="16"/>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March 20, 2025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March 31, 2025, filed with the SEC on May 12,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filed with the SEC on April 28, 2025, that are incorporated by reference into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March  17, 2025</w:t>
              </w:r>
            </w:hyperlink>
            <w:r>
              <w:rPr>
                <w:rFonts w:ascii="Times New Roman" w:hAnsi="Times New Roman"/>
                <w:sz w:val="20"/>
              </w:rPr>
              <w:t xml:space="preserve">, </w:t>
            </w:r>
            <w:hyperlink r:id="rId7">
              <w:r>
                <w:rPr>
                  <w:rStyle w:val="InternetLink"/>
                  <w:rFonts w:ascii="Times New Roman" w:hAnsi="Times New Roman"/>
                  <w:sz w:val="20"/>
                </w:rPr>
                <w:t>March  20, 2025</w:t>
              </w:r>
            </w:hyperlink>
            <w:r>
              <w:rPr>
                <w:rFonts w:ascii="Times New Roman" w:hAnsi="Times New Roman"/>
                <w:sz w:val="20"/>
              </w:rPr>
              <w:t xml:space="preserve">, </w:t>
            </w:r>
            <w:hyperlink r:id="rId8">
              <w:r>
                <w:rPr>
                  <w:rStyle w:val="InternetLink"/>
                  <w:rFonts w:ascii="Times New Roman" w:hAnsi="Times New Roman"/>
                  <w:sz w:val="20"/>
                </w:rPr>
                <w:t>March  31, 2025</w:t>
              </w:r>
            </w:hyperlink>
            <w:r>
              <w:rPr>
                <w:rFonts w:ascii="Times New Roman" w:hAnsi="Times New Roman"/>
                <w:sz w:val="20"/>
              </w:rPr>
              <w:t xml:space="preserve">, </w:t>
            </w:r>
            <w:hyperlink r:id="rId9">
              <w:r>
                <w:rPr>
                  <w:rStyle w:val="InternetLink"/>
                  <w:rFonts w:ascii="Times New Roman" w:hAnsi="Times New Roman"/>
                  <w:sz w:val="20"/>
                </w:rPr>
                <w:t>April  22, 2025</w:t>
              </w:r>
            </w:hyperlink>
            <w:r>
              <w:rPr>
                <w:rFonts w:ascii="Times New Roman" w:hAnsi="Times New Roman"/>
                <w:sz w:val="20"/>
              </w:rPr>
              <w:t xml:space="preserve">, </w:t>
            </w:r>
            <w:hyperlink r:id="rId10">
              <w:r>
                <w:rPr>
                  <w:rStyle w:val="InternetLink"/>
                  <w:rFonts w:ascii="Times New Roman" w:hAnsi="Times New Roman"/>
                  <w:sz w:val="20"/>
                </w:rPr>
                <w:t>June  10, 2025</w:t>
              </w:r>
            </w:hyperlink>
            <w:r>
              <w:rPr>
                <w:rFonts w:ascii="Times New Roman" w:hAnsi="Times New Roman"/>
                <w:sz w:val="20"/>
              </w:rPr>
              <w:t xml:space="preserve">, </w:t>
            </w:r>
            <w:hyperlink r:id="rId11">
              <w:r>
                <w:rPr>
                  <w:rStyle w:val="InternetLink"/>
                  <w:rFonts w:ascii="Times New Roman" w:hAnsi="Times New Roman"/>
                  <w:sz w:val="20"/>
                </w:rPr>
                <w:t>June  10, 2025</w:t>
              </w:r>
            </w:hyperlink>
            <w:r>
              <w:rPr>
                <w:rFonts w:ascii="Times New Roman" w:hAnsi="Times New Roman"/>
                <w:sz w:val="20"/>
              </w:rPr>
              <w:t xml:space="preserve">, </w:t>
            </w:r>
            <w:hyperlink r:id="rId12">
              <w:r>
                <w:rPr>
                  <w:rStyle w:val="InternetLink"/>
                  <w:rFonts w:ascii="Times New Roman" w:hAnsi="Times New Roman"/>
                  <w:sz w:val="20"/>
                </w:rPr>
                <w:t>June  13, 2025</w:t>
              </w:r>
            </w:hyperlink>
            <w:r>
              <w:rPr>
                <w:rFonts w:ascii="Times New Roman" w:hAnsi="Times New Roman"/>
                <w:sz w:val="20"/>
              </w:rPr>
              <w:t xml:space="preserve"> and </w:t>
            </w:r>
            <w:hyperlink r:id="rId13">
              <w:r>
                <w:rPr>
                  <w:rStyle w:val="InternetLink"/>
                  <w:rFonts w:ascii="Times New Roman" w:hAnsi="Times New Roman"/>
                  <w:sz w:val="20"/>
                </w:rPr>
                <w:t>June 20, 2025</w:t>
              </w:r>
            </w:hyperlink>
            <w:r>
              <w:rPr>
                <w:rFonts w:ascii="Times New Roman" w:hAnsi="Times New Roman"/>
                <w:sz w:val="20"/>
              </w:rPr>
              <w:t xml:space="preserve"> and our Current Report on Form  8-K/A filed with the Commission on </w:t>
            </w:r>
            <w:hyperlink r:id="rId14">
              <w:r>
                <w:rPr>
                  <w:rStyle w:val="InternetLink"/>
                  <w:rFonts w:ascii="Times New Roman" w:hAnsi="Times New Roman"/>
                  <w:sz w:val="20"/>
                </w:rPr>
                <w:t>March 20,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securities contained in the Registration Statement on </w:t>
            </w:r>
            <w:hyperlink r:id="rId15">
              <w:r>
                <w:rPr>
                  <w:rStyle w:val="InternetLink"/>
                  <w:rFonts w:ascii="Times New Roman" w:hAnsi="Times New Roman"/>
                  <w:sz w:val="20"/>
                </w:rPr>
                <w:t>Form 8-A</w:t>
              </w:r>
            </w:hyperlink>
            <w:r>
              <w:rPr>
                <w:rFonts w:ascii="Times New Roman" w:hAnsi="Times New Roman"/>
                <w:sz w:val="20"/>
              </w:rPr>
              <w:t xml:space="preserve"> relating thereto, filed on October 15, 2021,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480" w:after="0"/>
        <w:jc w:val="center"/>
        <w:rPr>
          <w:rFonts w:ascii="Times New Roman" w:hAnsi="Times New Roman"/>
          <w:b/>
          <w:sz w:val="20"/>
        </w:rPr>
      </w:pPr>
      <w:r>
        <w:rPr>
          <w:rFonts w:ascii="Times New Roman" w:hAnsi="Times New Roman"/>
          <w:b/>
          <w:sz w:val="20"/>
        </w:rPr>
        <w:t xml:space="preserve">10000 Avalon Boulevard, Suite 1000 </w:t>
      </w:r>
    </w:p>
    <w:p>
      <w:pPr>
        <w:pStyle w:val="TextBody"/>
        <w:bidi w:val="0"/>
        <w:spacing w:before="0" w:after="0"/>
        <w:jc w:val="center"/>
        <w:rPr>
          <w:rFonts w:ascii="Times New Roman" w:hAnsi="Times New Roman"/>
          <w:b/>
          <w:sz w:val="20"/>
        </w:rPr>
      </w:pPr>
      <w:r>
        <w:rPr>
          <w:rFonts w:ascii="Times New Roman" w:hAnsi="Times New Roman"/>
          <w:b/>
          <w:sz w:val="20"/>
        </w:rPr>
        <w:t xml:space="preserve">Alpharetta, Georgia 30009 </w:t>
      </w:r>
    </w:p>
    <w:p>
      <w:pPr>
        <w:pStyle w:val="TextBody"/>
        <w:bidi w:val="0"/>
        <w:spacing w:before="0" w:after="0"/>
        <w:jc w:val="center"/>
        <w:rPr>
          <w:rFonts w:ascii="Times New Roman" w:hAnsi="Times New Roman"/>
          <w:b/>
          <w:sz w:val="20"/>
        </w:rPr>
      </w:pPr>
      <w:r>
        <w:rPr>
          <w:rFonts w:ascii="Times New Roman" w:hAnsi="Times New Roman"/>
          <w:b/>
          <w:sz w:val="20"/>
        </w:rPr>
        <w:t xml:space="preserve">(678) 534-5849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12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estimated expenses in connection with the issuance and distribution of the securities being registered: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58"/>
        <w:gridCol w:w="394"/>
        <w:gridCol w:w="141"/>
        <w:gridCol w:w="1283"/>
        <w:gridCol w:w="63"/>
      </w:tblGrid>
      <w:tr>
        <w:trPr/>
        <w:tc>
          <w:tcPr>
            <w:tcW w:w="5058"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5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to be Paid</w:t>
            </w:r>
          </w:p>
        </w:tc>
        <w:tc>
          <w:tcPr>
            <w:tcW w:w="63" w:type="dxa"/>
            <w:tcBorders/>
            <w:vAlign w:val="bottom"/>
          </w:tcPr>
          <w:p>
            <w:pPr>
              <w:pStyle w:val="TableContents"/>
              <w:bidi w:val="0"/>
              <w:spacing w:before="0" w:after="283"/>
              <w:jc w:val="left"/>
              <w:rPr/>
            </w:pPr>
            <w:r>
              <w:rPr/>
              <w:t> </w:t>
            </w:r>
          </w:p>
        </w:tc>
      </w:tr>
      <w:tr>
        <w:trPr/>
        <w:tc>
          <w:tcPr>
            <w:tcW w:w="5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9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83" w:type="dxa"/>
            <w:tcBorders/>
            <w:shd w:fill="CCEEFF" w:val="clear"/>
            <w:vAlign w:val="bottom"/>
          </w:tcPr>
          <w:p>
            <w:pPr>
              <w:pStyle w:val="TableContents"/>
              <w:bidi w:val="0"/>
              <w:spacing w:before="0" w:after="283"/>
              <w:jc w:val="right"/>
              <w:rPr/>
            </w:pPr>
            <w:r>
              <w:rPr/>
              <w:t>20,388.01</w:t>
            </w:r>
          </w:p>
        </w:tc>
        <w:tc>
          <w:tcPr>
            <w:tcW w:w="63" w:type="dxa"/>
            <w:tcBorders/>
            <w:shd w:fill="CCEEFF" w:val="clear"/>
            <w:vAlign w:val="bottom"/>
          </w:tcPr>
          <w:p>
            <w:pPr>
              <w:pStyle w:val="TableContents"/>
              <w:bidi w:val="0"/>
              <w:spacing w:before="0" w:after="283"/>
              <w:jc w:val="left"/>
              <w:rPr/>
            </w:pPr>
            <w:r>
              <w:rPr/>
              <w:t> </w:t>
            </w:r>
          </w:p>
        </w:tc>
      </w:tr>
      <w:tr>
        <w:trPr/>
        <w:tc>
          <w:tcPr>
            <w:tcW w:w="5058"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39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exchange listing fee</w:t>
            </w:r>
          </w:p>
        </w:tc>
        <w:tc>
          <w:tcPr>
            <w:tcW w:w="39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058"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39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9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058"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9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39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058" w:type="dxa"/>
            <w:tcBorders/>
          </w:tcPr>
          <w:p>
            <w:pPr>
              <w:pStyle w:val="TableContents"/>
              <w:bidi w:val="0"/>
              <w:spacing w:before="0" w:after="0"/>
              <w:jc w:val="left"/>
              <w:rPr>
                <w:rFonts w:ascii="Times New Roman" w:hAnsi="Times New Roman"/>
                <w:sz w:val="20"/>
              </w:rPr>
            </w:pPr>
            <w:r>
              <w:rPr>
                <w:rFonts w:ascii="Times New Roman" w:hAnsi="Times New Roman"/>
                <w:sz w:val="20"/>
              </w:rPr>
              <w:t>Trustees fees and expenses</w:t>
            </w:r>
          </w:p>
        </w:tc>
        <w:tc>
          <w:tcPr>
            <w:tcW w:w="39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39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05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center"/>
              <w:rPr/>
            </w:pPr>
            <w:r>
              <w:rPr/>
              <w:t>$20,388.01</w:t>
            </w:r>
          </w:p>
        </w:tc>
        <w:tc>
          <w:tcPr>
            <w:tcW w:w="6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(DGCL) authorizes a corporations board of directors to grant, and authorizes a court to award, indemnity to officers, directors and other corporate agents.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our company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DGCL;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they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non-employee directors may, through their relationships with their employers, be insured and/or indemnified against certain liabilities incurred in their capacity as 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12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3"/>
        <w:gridCol w:w="493"/>
        <w:gridCol w:w="8829"/>
      </w:tblGrid>
      <w:tr>
        <w:trPr/>
        <w:tc>
          <w:tcPr>
            <w:tcW w:w="883" w:type="dxa"/>
            <w:tcBorders/>
            <w:vAlign w:val="center"/>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sz w:val="4"/>
                <w:szCs w:val="4"/>
              </w:rPr>
            </w:pPr>
            <w:r>
              <w:rPr>
                <w:sz w:val="4"/>
                <w:szCs w:val="4"/>
              </w:rPr>
            </w:r>
          </w:p>
        </w:tc>
        <w:tc>
          <w:tcPr>
            <w:tcW w:w="8829" w:type="dxa"/>
            <w:tcBorders/>
            <w:vAlign w:val="center"/>
          </w:tcPr>
          <w:p>
            <w:pPr>
              <w:pStyle w:val="TableContents"/>
              <w:bidi w:val="0"/>
              <w:spacing w:before="0" w:after="283"/>
              <w:jc w:val="left"/>
              <w:rPr>
                <w:sz w:val="4"/>
                <w:szCs w:val="4"/>
              </w:rPr>
            </w:pPr>
            <w:r>
              <w:rPr>
                <w:sz w:val="4"/>
                <w:szCs w:val="4"/>
              </w:rPr>
            </w:r>
          </w:p>
        </w:tc>
      </w:tr>
      <w:tr>
        <w:trPr/>
        <w:tc>
          <w:tcPr>
            <w:tcW w:w="883" w:type="dxa"/>
            <w:tcBorders>
              <w:bottom w:val="single" w:sz="8" w:space="0" w:color="000000"/>
            </w:tcBorders>
            <w:tcMar>
              <w:bottom w:w="28" w:type="dxa"/>
            </w:tcMar>
            <w:vAlign w:val="bottom"/>
          </w:tcPr>
          <w:p>
            <w:pPr>
              <w:pStyle w:val="TableContents"/>
              <w:bidi w:val="0"/>
              <w:spacing w:before="0" w:after="283"/>
              <w:jc w:val="center"/>
              <w:rPr>
                <w:b/>
              </w:rPr>
            </w:pPr>
            <w:r>
              <w:rPr>
                <w:b/>
              </w:rPr>
              <w:t xml:space="preserve">Exhibit </w:t>
              <w:br/>
              <w:t>Number</w:t>
            </w:r>
          </w:p>
        </w:tc>
        <w:tc>
          <w:tcPr>
            <w:tcW w:w="493" w:type="dxa"/>
            <w:tcBorders/>
            <w:vAlign w:val="bottom"/>
          </w:tcPr>
          <w:p>
            <w:pPr>
              <w:pStyle w:val="TableContents"/>
              <w:bidi w:val="0"/>
              <w:spacing w:before="0" w:after="283"/>
              <w:jc w:val="left"/>
              <w:rPr/>
            </w:pPr>
            <w:r>
              <w:rPr/>
              <w:t>  </w:t>
            </w:r>
          </w:p>
        </w:tc>
        <w:tc>
          <w:tcPr>
            <w:tcW w:w="88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3.1</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r:id="rId16">
              <w:r>
                <w:rPr>
                  <w:rStyle w:val="InternetLink"/>
                </w:rPr>
                <w:t xml:space="preserve">Certificate of Incorporation of the Company, as currently in effect (incorporated by reference to Exhibit 3.1 to the Companys Form S-8 filed with the SEC on July 9, 2024). </w:t>
              </w:r>
            </w:hyperlink>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3.2</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r:id="rId17">
              <w:r>
                <w:rPr>
                  <w:rStyle w:val="InternetLink"/>
                </w:rPr>
                <w:t xml:space="preserve">Certificate of Amendment to the Companys Certificate of Incorporation, dated April  26, 2024 (incorporated by reference to Exhibit 3.1 to the Companys Form 8-K filed with the SEC on April 29, 2024). </w:t>
              </w:r>
            </w:hyperlink>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3.3</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r:id="rId18">
              <w:r>
                <w:rPr>
                  <w:rStyle w:val="InternetLink"/>
                </w:rPr>
                <w:t xml:space="preserve">Certificate of Amendment to the Companys Certificate of Incorporation, dated June  17, 2025 (incorporated by reference to Exhibit 3.1 to the Companys Form 8-K filed with the SEC on June 20, 2025). </w:t>
              </w:r>
            </w:hyperlink>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3.4</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r:id="rId19">
              <w:r>
                <w:rPr>
                  <w:rStyle w:val="InternetLink"/>
                </w:rPr>
                <w:t xml:space="preserve">Certificate of Amendment to the Companys Certificate of Incorporation, dated June  17, 2025 (incorporated by reference to Exhibit 3.2 to the Companys Form 8-K filed with the SEC on June 20, 2025). </w:t>
              </w:r>
            </w:hyperlink>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3.5</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r:id="rId20">
              <w:r>
                <w:rPr>
                  <w:rStyle w:val="InternetLink"/>
                </w:rPr>
                <w:t xml:space="preserve">By-Laws of the Company, as currently in effect (incorporated by reference to Exhibit  3.2 to the Companys Form 8-K filed with the SEC on October 21, 2021). </w:t>
              </w:r>
            </w:hyperlink>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4.1</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r:id="rId21">
              <w:r>
                <w:rPr>
                  <w:rStyle w:val="InternetLink"/>
                </w:rPr>
                <w:t xml:space="preserve">Specimen Class A Common Stock Certificate of the Company (incorporated by reference to Exhibit 4.1 to the Companys Form 8-K filed with the SEC on October 21, 2021). </w:t>
              </w:r>
            </w:hyperlink>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4.2</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r:id="rId22">
              <w:r>
                <w:rPr>
                  <w:rStyle w:val="InternetLink"/>
                </w:rPr>
                <w:t xml:space="preserve">Convertible Debenture, dated June 18, 2025 (incorporated by reference to Exhibit 10.2 to the Companys Current Report on Form 8-K filed with the SEC on June 20, 2025). </w:t>
              </w:r>
            </w:hyperlink>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4.3</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r:id="rId23">
              <w:r>
                <w:rPr>
                  <w:rStyle w:val="InternetLink"/>
                </w:rPr>
                <w:t>Global Guaranty Agreement, dated June 17, 2025, by Bakkt Opco Holdings, LLC in favor of YA II PN, LTD.</w:t>
              </w:r>
            </w:hyperlink>
            <w:r>
              <w:rPr/>
              <w:t xml:space="preserve"> (incorporated by reference to Exhibit 10.3 to the Companys Current Report on Form 8-K filed with the SEC on June 20, 2025).</w:t>
            </w:r>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4.4</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r:id="rId24">
              <w:r>
                <w:rPr>
                  <w:rStyle w:val="InternetLink"/>
                </w:rPr>
                <w:t>Registration Rights Agreement, dated as of June 17, 2025, between Bakkt Holdings, Inc. and YA II PN, LTD.</w:t>
              </w:r>
            </w:hyperlink>
            <w:r>
              <w:rPr/>
              <w:t xml:space="preserve"> (incorporated by reference to Exhibit 10.4 to the Companys Current Report on Form 8-K filed with the SEC on June 20, 2025).</w:t>
            </w:r>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5.1</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w:anchor="d84171dex51.htm">
              <w:r>
                <w:rPr>
                  <w:rStyle w:val="InternetLink"/>
                </w:rPr>
                <w:t xml:space="preserve">Opinion of Sullivan &amp; Cromwell LLP. </w:t>
              </w:r>
            </w:hyperlink>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10.1</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r:id="rId25">
              <w:r>
                <w:rPr>
                  <w:rStyle w:val="InternetLink"/>
                </w:rPr>
                <w:t xml:space="preserve">Purchase Agreement, dated June 17, 2025, by and between the Registrant and YA II PN, LTD. (incorporated by reference to Exhibit  10.1 to the Companys Form 8-K filed with the SEC on June 20, 2025. </w:t>
              </w:r>
            </w:hyperlink>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23.1</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w:anchor="d84171dex231.htm">
              <w:r>
                <w:rPr>
                  <w:rStyle w:val="InternetLink"/>
                </w:rPr>
                <w:t xml:space="preserve">Consent of Ernst &amp; Young LLP, independent registered public accounting firm of the Company. </w:t>
              </w:r>
            </w:hyperlink>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23.2</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w:anchor="d84171dex232.htm">
              <w:r>
                <w:rPr>
                  <w:rStyle w:val="InternetLink"/>
                </w:rPr>
                <w:t xml:space="preserve">Consent of KPMG LLP, independent registered public accounting firm of the Company. </w:t>
              </w:r>
            </w:hyperlink>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23.3</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w:anchor="d84171dex51.htm">
              <w:r>
                <w:rPr>
                  <w:rStyle w:val="InternetLink"/>
                </w:rPr>
                <w:t xml:space="preserve">Consent of Sullivan &amp; Cromwell LLP (included in the opinion filed as Exhibit 5.1 to this registration statement). </w:t>
              </w:r>
            </w:hyperlink>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24.1</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w:anchor="sig">
              <w:r>
                <w:rPr>
                  <w:rStyle w:val="InternetLink"/>
                </w:rPr>
                <w:t xml:space="preserve">Powers of Attorney (included on the signature page to this registration statement). </w:t>
              </w:r>
            </w:hyperlink>
          </w:p>
        </w:tc>
      </w:tr>
      <w:tr>
        <w:trPr>
          <w:trHeight w:val="120" w:hRule="atLeast"/>
        </w:trPr>
        <w:tc>
          <w:tcPr>
            <w:tcW w:w="883" w:type="dxa"/>
            <w:tcBorders/>
            <w:vAlign w:val="center"/>
          </w:tcPr>
          <w:p>
            <w:pPr>
              <w:pStyle w:val="TableContents"/>
              <w:bidi w:val="0"/>
              <w:spacing w:before="0" w:after="283"/>
              <w:jc w:val="left"/>
              <w:rPr>
                <w:sz w:val="4"/>
                <w:szCs w:val="4"/>
              </w:rPr>
            </w:pPr>
            <w:r>
              <w:rPr>
                <w:sz w:val="4"/>
                <w:szCs w:val="4"/>
              </w:rPr>
            </w:r>
          </w:p>
        </w:tc>
        <w:tc>
          <w:tcPr>
            <w:tcW w:w="9322" w:type="dxa"/>
            <w:gridSpan w:val="2"/>
            <w:tcBorders/>
            <w:vAlign w:val="center"/>
          </w:tcPr>
          <w:p>
            <w:pPr>
              <w:pStyle w:val="TableContents"/>
              <w:bidi w:val="0"/>
              <w:spacing w:before="0" w:after="283"/>
              <w:jc w:val="left"/>
              <w:rPr>
                <w:sz w:val="4"/>
                <w:szCs w:val="4"/>
              </w:rPr>
            </w:pPr>
            <w:r>
              <w:rPr>
                <w:sz w:val="4"/>
                <w:szCs w:val="4"/>
              </w:rPr>
            </w:r>
          </w:p>
        </w:tc>
      </w:tr>
      <w:tr>
        <w:trPr/>
        <w:tc>
          <w:tcPr>
            <w:tcW w:w="883" w:type="dxa"/>
            <w:tcBorders/>
          </w:tcPr>
          <w:p>
            <w:pPr>
              <w:pStyle w:val="TableContents"/>
              <w:bidi w:val="0"/>
              <w:spacing w:before="0" w:after="283"/>
              <w:jc w:val="left"/>
              <w:rPr/>
            </w:pPr>
            <w:r>
              <w:rPr/>
              <w:t> </w:t>
            </w:r>
            <w:r>
              <w:rPr/>
              <w:t>107</w:t>
            </w:r>
          </w:p>
        </w:tc>
        <w:tc>
          <w:tcPr>
            <w:tcW w:w="493"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w:anchor="d84171dexfilingfees.htm">
              <w:r>
                <w:rPr>
                  <w:rStyle w:val="InternetLink"/>
                </w:rPr>
                <w:t xml:space="preserve">Filing Fee Table. </w:t>
              </w:r>
            </w:hyperlink>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ig"/>
      <w:bookmarkEnd w:id="17"/>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Alpharetta, State of Georgia, on June 26,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19"/>
        <w:gridCol w:w="60"/>
        <w:gridCol w:w="3703"/>
      </w:tblGrid>
      <w:tr>
        <w:trPr/>
        <w:tc>
          <w:tcPr>
            <w:tcW w:w="31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HOLDINGS, INC.</w:t>
            </w:r>
          </w:p>
        </w:tc>
      </w:tr>
      <w:tr>
        <w:trPr>
          <w:trHeight w:val="240" w:hRule="atLeast"/>
        </w:trPr>
        <w:tc>
          <w:tcPr>
            <w:tcW w:w="319" w:type="dxa"/>
            <w:tcBorders/>
            <w:vAlign w:val="center"/>
          </w:tcPr>
          <w:p>
            <w:pPr>
              <w:pStyle w:val="TableContents"/>
              <w:bidi w:val="0"/>
              <w:spacing w:before="0" w:after="283"/>
              <w:jc w:val="left"/>
              <w:rPr>
                <w:sz w:val="4"/>
                <w:szCs w:val="4"/>
              </w:rPr>
            </w:pPr>
            <w:r>
              <w:rPr>
                <w:sz w:val="4"/>
                <w:szCs w:val="4"/>
              </w:rPr>
            </w:r>
          </w:p>
        </w:tc>
        <w:tc>
          <w:tcPr>
            <w:tcW w:w="3763" w:type="dxa"/>
            <w:gridSpan w:val="2"/>
            <w:tcBorders/>
            <w:vAlign w:val="center"/>
          </w:tcPr>
          <w:p>
            <w:pPr>
              <w:pStyle w:val="TableContents"/>
              <w:bidi w:val="0"/>
              <w:spacing w:before="0" w:after="283"/>
              <w:jc w:val="left"/>
              <w:rPr>
                <w:sz w:val="4"/>
                <w:szCs w:val="4"/>
              </w:rPr>
            </w:pPr>
            <w:r>
              <w:rPr>
                <w:sz w:val="4"/>
                <w:szCs w:val="4"/>
              </w:rPr>
            </w:r>
          </w:p>
        </w:tc>
      </w:tr>
      <w:tr>
        <w:trPr/>
        <w:tc>
          <w:tcPr>
            <w:tcW w:w="31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A. Main</w:t>
            </w:r>
          </w:p>
        </w:tc>
      </w:tr>
      <w:tr>
        <w:trPr/>
        <w:tc>
          <w:tcPr>
            <w:tcW w:w="3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Andrew A. Main</w:t>
            </w:r>
          </w:p>
          <w:p>
            <w:pPr>
              <w:pStyle w:val="TableContents"/>
              <w:bidi w:val="0"/>
              <w:spacing w:before="0" w:after="0"/>
              <w:jc w:val="left"/>
              <w:rPr>
                <w:rFonts w:ascii="Times New Roman" w:hAnsi="Times New Roman"/>
                <w:sz w:val="20"/>
              </w:rPr>
            </w:pPr>
            <w:r>
              <w:rPr>
                <w:rFonts w:ascii="Times New Roman" w:hAnsi="Times New Roman"/>
                <w:sz w:val="20"/>
              </w:rPr>
              <w:t>Co-Chief Executive Officer, President and</w:t>
            </w:r>
          </w:p>
          <w:p>
            <w:pPr>
              <w:pStyle w:val="TableContents"/>
              <w:bidi w:val="0"/>
              <w:spacing w:before="0" w:after="20"/>
              <w:jc w:val="left"/>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Akshay Naheta</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Akshay Naheta</w:t>
            </w:r>
          </w:p>
          <w:p>
            <w:pPr>
              <w:pStyle w:val="TableContents"/>
              <w:bidi w:val="0"/>
              <w:spacing w:before="0" w:after="20"/>
              <w:jc w:val="left"/>
              <w:rPr>
                <w:rFonts w:ascii="Times New Roman" w:hAnsi="Times New Roman"/>
                <w:sz w:val="20"/>
              </w:rPr>
            </w:pPr>
            <w:r>
              <w:rPr>
                <w:rFonts w:ascii="Times New Roman" w:hAnsi="Times New Roman"/>
                <w:sz w:val="20"/>
              </w:rPr>
              <w:t>Co-Chief Executive Officer and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that each person whose signature appears below hereby constitutes and appoints Andrew A. Main, Akshay Naheta, Karen Alexander and Marc DAnnunzio, or each one of them individually, as the undersigneds true and lawful attorney-in-fact and agents, with full power of substitution and resubstitution for such person and in such persons name, place and stead, in any and all capacities, to sign any and all amendments (including post-effective amendments, exhibits thereto, and other documents in connection therewith to this Registration Statement and any later registration statement filed by the registrant under Rule 462(b) of the Securities Act of 1933, which relates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such person might or could do in person, hereby ratifying and confirming all that each of said attorney-in-fact and agent,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below by the following persons on behalf of the registrant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7" w:type="dxa"/>
            <w:tcBorders/>
            <w:vAlign w:val="bottom"/>
          </w:tcPr>
          <w:p>
            <w:pPr>
              <w:pStyle w:val="TableContents"/>
              <w:bidi w:val="0"/>
              <w:spacing w:before="0" w:after="283"/>
              <w:jc w:val="left"/>
              <w:rPr/>
            </w:pPr>
            <w:r>
              <w:rPr/>
              <w:t>  </w:t>
            </w:r>
          </w:p>
        </w:tc>
        <w:tc>
          <w:tcPr>
            <w:tcW w:w="53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Andrew A. Main</w:t>
            </w:r>
          </w:p>
          <w:p>
            <w:pPr>
              <w:pStyle w:val="TableContents"/>
              <w:bidi w:val="0"/>
              <w:spacing w:before="0" w:after="20"/>
              <w:jc w:val="left"/>
              <w:rPr>
                <w:rFonts w:ascii="Times New Roman" w:hAnsi="Times New Roman"/>
                <w:sz w:val="20"/>
              </w:rPr>
            </w:pPr>
            <w:r>
              <w:rPr>
                <w:rFonts w:ascii="Times New Roman" w:hAnsi="Times New Roman"/>
                <w:sz w:val="20"/>
              </w:rPr>
              <w:t>Andrew A. Main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Co-Chief Executive Officer, President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Akshay Naheta</w:t>
            </w:r>
          </w:p>
          <w:p>
            <w:pPr>
              <w:pStyle w:val="TableContents"/>
              <w:bidi w:val="0"/>
              <w:spacing w:before="0" w:after="20"/>
              <w:jc w:val="left"/>
              <w:rPr>
                <w:rFonts w:ascii="Times New Roman" w:hAnsi="Times New Roman"/>
                <w:sz w:val="20"/>
              </w:rPr>
            </w:pPr>
            <w:r>
              <w:rPr>
                <w:rFonts w:ascii="Times New Roman" w:hAnsi="Times New Roman"/>
                <w:sz w:val="20"/>
              </w:rPr>
              <w:t>Akshay Naheta</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Co-Chief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Karen Alexander</w:t>
            </w:r>
          </w:p>
          <w:p>
            <w:pPr>
              <w:pStyle w:val="TableContents"/>
              <w:bidi w:val="0"/>
              <w:spacing w:before="0" w:after="20"/>
              <w:jc w:val="left"/>
              <w:rPr>
                <w:rFonts w:ascii="Times New Roman" w:hAnsi="Times New Roman"/>
                <w:sz w:val="20"/>
              </w:rPr>
            </w:pPr>
            <w:r>
              <w:rPr>
                <w:rFonts w:ascii="Times New Roman" w:hAnsi="Times New Roman"/>
                <w:sz w:val="20"/>
              </w:rPr>
              <w:t>Karen Alexander</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Joseph Henderson</w:t>
            </w:r>
          </w:p>
          <w:p>
            <w:pPr>
              <w:pStyle w:val="TableContents"/>
              <w:bidi w:val="0"/>
              <w:spacing w:before="0" w:after="20"/>
              <w:jc w:val="left"/>
              <w:rPr>
                <w:rFonts w:ascii="Times New Roman" w:hAnsi="Times New Roman"/>
                <w:sz w:val="20"/>
              </w:rPr>
            </w:pPr>
            <w:r>
              <w:rPr>
                <w:rFonts w:ascii="Times New Roman" w:hAnsi="Times New Roman"/>
                <w:sz w:val="20"/>
              </w:rPr>
              <w:t>Joseph Henderson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Chief Accounting Officer</w:t>
            </w:r>
          </w:p>
          <w:p>
            <w:pPr>
              <w:pStyle w:val="TableContents"/>
              <w:bidi w:val="0"/>
              <w:spacing w:before="0" w:after="20"/>
              <w:jc w:val="left"/>
              <w:rPr>
                <w:rFonts w:ascii="Times New Roman" w:hAnsi="Times New Roman"/>
                <w:sz w:val="20"/>
              </w:rPr>
            </w:pPr>
            <w:r>
              <w:rPr>
                <w:rFonts w:ascii="Times New Roman" w:hAnsi="Times New Roman"/>
                <w:sz w:val="20"/>
              </w:rPr>
              <w:t>(Principal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Sean Collins</w:t>
            </w:r>
          </w:p>
          <w:p>
            <w:pPr>
              <w:pStyle w:val="TableContents"/>
              <w:bidi w:val="0"/>
              <w:spacing w:before="0" w:after="20"/>
              <w:jc w:val="left"/>
              <w:rPr>
                <w:rFonts w:ascii="Times New Roman" w:hAnsi="Times New Roman"/>
                <w:sz w:val="20"/>
              </w:rPr>
            </w:pPr>
            <w:r>
              <w:rPr>
                <w:rFonts w:ascii="Times New Roman" w:hAnsi="Times New Roman"/>
                <w:sz w:val="20"/>
              </w:rPr>
              <w:t>Sean Collins</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Chair of the Board of Directors</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Colleen Brown</w:t>
            </w:r>
          </w:p>
          <w:p>
            <w:pPr>
              <w:pStyle w:val="TableContents"/>
              <w:bidi w:val="0"/>
              <w:spacing w:before="0" w:after="20"/>
              <w:jc w:val="left"/>
              <w:rPr>
                <w:rFonts w:ascii="Times New Roman" w:hAnsi="Times New Roman"/>
                <w:sz w:val="20"/>
              </w:rPr>
            </w:pPr>
            <w:r>
              <w:rPr>
                <w:rFonts w:ascii="Times New Roman" w:hAnsi="Times New Roman"/>
                <w:sz w:val="20"/>
              </w:rPr>
              <w:t>Colleen Brown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C. Clifton</w:t>
            </w:r>
          </w:p>
          <w:p>
            <w:pPr>
              <w:pStyle w:val="TableContents"/>
              <w:bidi w:val="0"/>
              <w:spacing w:before="0" w:after="20"/>
              <w:jc w:val="left"/>
              <w:rPr>
                <w:rFonts w:ascii="Times New Roman" w:hAnsi="Times New Roman"/>
                <w:sz w:val="20"/>
              </w:rPr>
            </w:pPr>
            <w:r>
              <w:rPr>
                <w:rFonts w:ascii="Times New Roman" w:hAnsi="Times New Roman"/>
                <w:sz w:val="20"/>
              </w:rPr>
              <w:t>David C. Clifton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DeAna Dow</w:t>
            </w:r>
          </w:p>
          <w:p>
            <w:pPr>
              <w:pStyle w:val="TableContents"/>
              <w:bidi w:val="0"/>
              <w:spacing w:before="0" w:after="20"/>
              <w:jc w:val="left"/>
              <w:rPr>
                <w:rFonts w:ascii="Times New Roman" w:hAnsi="Times New Roman"/>
                <w:sz w:val="20"/>
              </w:rPr>
            </w:pPr>
            <w:r>
              <w:rPr>
                <w:rFonts w:ascii="Times New Roman" w:hAnsi="Times New Roman"/>
                <w:sz w:val="20"/>
              </w:rPr>
              <w:t>DeAna Dow</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Michelle J. Goldberg</w:t>
            </w:r>
          </w:p>
          <w:p>
            <w:pPr>
              <w:pStyle w:val="TableContents"/>
              <w:bidi w:val="0"/>
              <w:spacing w:before="0" w:after="20"/>
              <w:jc w:val="left"/>
              <w:rPr>
                <w:rFonts w:ascii="Times New Roman" w:hAnsi="Times New Roman"/>
                <w:sz w:val="20"/>
              </w:rPr>
            </w:pPr>
            <w:r>
              <w:rPr>
                <w:rFonts w:ascii="Times New Roman" w:hAnsi="Times New Roman"/>
                <w:sz w:val="20"/>
              </w:rPr>
              <w:t>Michelle J. Goldberg</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Jill Simeone</w:t>
            </w:r>
          </w:p>
          <w:p>
            <w:pPr>
              <w:pStyle w:val="TableContents"/>
              <w:bidi w:val="0"/>
              <w:spacing w:before="0" w:after="20"/>
              <w:jc w:val="left"/>
              <w:rPr>
                <w:rFonts w:ascii="Times New Roman" w:hAnsi="Times New Roman"/>
                <w:sz w:val="20"/>
              </w:rPr>
            </w:pPr>
            <w:r>
              <w:rPr>
                <w:rFonts w:ascii="Times New Roman" w:hAnsi="Times New Roman"/>
                <w:sz w:val="20"/>
              </w:rPr>
              <w:t>Jill Simeone</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Gordon Watson</w:t>
            </w:r>
          </w:p>
          <w:p>
            <w:pPr>
              <w:pStyle w:val="TableContents"/>
              <w:bidi w:val="0"/>
              <w:spacing w:before="0" w:after="20"/>
              <w:jc w:val="left"/>
              <w:rPr>
                <w:rFonts w:ascii="Times New Roman" w:hAnsi="Times New Roman"/>
                <w:sz w:val="20"/>
              </w:rPr>
            </w:pPr>
            <w:r>
              <w:rPr>
                <w:rFonts w:ascii="Times New Roman" w:hAnsi="Times New Roman"/>
                <w:sz w:val="20"/>
              </w:rPr>
              <w:t>Gordon Watson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18" w:name="d84171dex51.htm"/>
      <w:bookmarkStart w:id="19" w:name="ksd84171dex51"/>
      <w:bookmarkEnd w:id="18"/>
      <w:bookmarkEnd w:id="19"/>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88"/>
        <w:gridCol w:w="120"/>
        <w:gridCol w:w="4397"/>
      </w:tblGrid>
      <w:tr>
        <w:trPr/>
        <w:tc>
          <w:tcPr>
            <w:tcW w:w="56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97" w:type="dxa"/>
            <w:tcBorders/>
            <w:vAlign w:val="center"/>
          </w:tcPr>
          <w:p>
            <w:pPr>
              <w:pStyle w:val="TableContents"/>
              <w:bidi w:val="0"/>
              <w:spacing w:before="0" w:after="283"/>
              <w:jc w:val="left"/>
              <w:rPr>
                <w:sz w:val="4"/>
                <w:szCs w:val="4"/>
              </w:rPr>
            </w:pPr>
            <w:r>
              <w:rPr>
                <w:sz w:val="4"/>
                <w:szCs w:val="4"/>
              </w:rPr>
            </w:r>
          </w:p>
        </w:tc>
      </w:tr>
      <w:tr>
        <w:trPr/>
        <w:tc>
          <w:tcPr>
            <w:tcW w:w="5688" w:type="dxa"/>
            <w:tcBorders/>
          </w:tcPr>
          <w:p>
            <w:pPr>
              <w:pStyle w:val="TableContents"/>
              <w:bidi w:val="0"/>
              <w:spacing w:before="0" w:after="0"/>
              <w:jc w:val="center"/>
              <w:rPr/>
            </w:pPr>
            <w:r>
              <w:rPr/>
              <w:drawing>
                <wp:inline distT="0" distB="0" distL="0" distR="0">
                  <wp:extent cx="2962275"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6"/>
                          <a:stretch>
                            <a:fillRect/>
                          </a:stretch>
                        </pic:blipFill>
                        <pic:spPr bwMode="auto">
                          <a:xfrm>
                            <a:off x="0" y="0"/>
                            <a:ext cx="2962275" cy="1905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TELEPHONE: 1-212-558-4000</w:t>
              <w:br/>
              <w:t>FACSIMILE: 1-212-558-3588</w:t>
            </w:r>
          </w:p>
          <w:p>
            <w:pPr>
              <w:pStyle w:val="TableContents"/>
              <w:bidi w:val="0"/>
              <w:spacing w:before="0" w:after="20"/>
              <w:jc w:val="center"/>
              <w:rPr>
                <w:rFonts w:ascii="Times New Roman" w:hAnsi="Times New Roman"/>
                <w:b/>
                <w:sz w:val="20"/>
              </w:rPr>
            </w:pPr>
            <w:r>
              <w:rPr>
                <w:rFonts w:ascii="Times New Roman" w:hAnsi="Times New Roman"/>
                <w:b/>
                <w:sz w:val="20"/>
              </w:rPr>
              <w:t>WWW.SULLCROM.COM</w:t>
            </w:r>
          </w:p>
        </w:tc>
        <w:tc>
          <w:tcPr>
            <w:tcW w:w="120" w:type="dxa"/>
            <w:tcBorders/>
            <w:vAlign w:val="bottom"/>
          </w:tcPr>
          <w:p>
            <w:pPr>
              <w:pStyle w:val="TableContents"/>
              <w:bidi w:val="0"/>
              <w:spacing w:before="0" w:after="283"/>
              <w:jc w:val="left"/>
              <w:rPr/>
            </w:pPr>
            <w:r>
              <w:rPr/>
              <w:t>  </w:t>
            </w:r>
          </w:p>
        </w:tc>
        <w:tc>
          <w:tcPr>
            <w:tcW w:w="4397" w:type="dxa"/>
            <w:tcBorders/>
          </w:tcPr>
          <w:p>
            <w:pPr>
              <w:pStyle w:val="TableContents"/>
              <w:bidi w:val="0"/>
              <w:spacing w:before="0" w:after="0"/>
              <w:jc w:val="center"/>
              <w:rPr>
                <w:rFonts w:ascii="Times New Roman" w:hAnsi="Times New Roman"/>
                <w:b/>
                <w:sz w:val="20"/>
              </w:rPr>
            </w:pPr>
            <w:r>
              <w:rPr>
                <w:rFonts w:ascii="Times New Roman" w:hAnsi="Times New Roman"/>
                <w:b/>
                <w:sz w:val="20"/>
              </w:rPr>
              <w:t>125 Broad Street</w:t>
              <w:br/>
              <w:t>New York, New York 10004-2498</w:t>
            </w:r>
          </w:p>
          <w:p>
            <w:pPr>
              <w:pStyle w:val="TableContents"/>
              <w:bidi w:val="0"/>
              <w:spacing w:before="0" w:after="0"/>
              <w:jc w:val="center"/>
              <w:rPr>
                <w:u w:val="single"/>
              </w:rPr>
            </w:pPr>
            <w:r>
              <w:rPr>
                <w:u w:val="single"/>
              </w:rPr>
              <w:t xml:space="preserve">       </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LOS ANGELES  PALO ALTO  WASHINGTON, D.C.</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BRUSSELS  FRANKFURT  LONDON  PARIS</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BEIJING  HONG KONG  TOKYO</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MELBOURNE  SYDNEY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June 26, 2025 </w:t>
      </w:r>
    </w:p>
    <w:p>
      <w:pPr>
        <w:pStyle w:val="TextBody"/>
        <w:bidi w:val="0"/>
        <w:spacing w:before="240" w:after="0"/>
        <w:jc w:val="left"/>
        <w:rPr>
          <w:rFonts w:ascii="Times New Roman" w:hAnsi="Times New Roman"/>
          <w:sz w:val="20"/>
        </w:rPr>
      </w:pPr>
      <w:r>
        <w:rPr>
          <w:rFonts w:ascii="Times New Roman" w:hAnsi="Times New Roman"/>
          <w:sz w:val="20"/>
        </w:rPr>
        <w:t xml:space="preserve">Bakkt Holdings, Inc., </w:t>
      </w:r>
    </w:p>
    <w:p>
      <w:pPr>
        <w:pStyle w:val="TextBody"/>
        <w:bidi w:val="0"/>
        <w:spacing w:before="0" w:after="0"/>
        <w:jc w:val="left"/>
        <w:rPr>
          <w:rFonts w:ascii="Times New Roman" w:hAnsi="Times New Roman"/>
          <w:sz w:val="20"/>
        </w:rPr>
      </w:pPr>
      <w:r>
        <w:rPr>
          <w:rFonts w:ascii="Times New Roman" w:hAnsi="Times New Roman"/>
          <w:sz w:val="20"/>
        </w:rPr>
        <w:t xml:space="preserve">10000 Avalon Boulevard, Suite 1000, </w:t>
      </w:r>
    </w:p>
    <w:p>
      <w:pPr>
        <w:pStyle w:val="TextBody"/>
        <w:bidi w:val="0"/>
        <w:spacing w:before="0" w:after="0"/>
        <w:jc w:val="left"/>
        <w:rPr>
          <w:rFonts w:ascii="Times New Roman" w:hAnsi="Times New Roman"/>
          <w:sz w:val="20"/>
        </w:rPr>
      </w:pPr>
      <w:r>
        <w:rPr>
          <w:rFonts w:ascii="Times New Roman" w:hAnsi="Times New Roman"/>
          <w:sz w:val="20"/>
        </w:rPr>
        <w:t xml:space="preserve">Alpharetta, Georgia, 30009.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registration under the Securities Act of 1933 (the Act) of 10,339,123 shares of Class A common stock, par value $0.0001 per share (Class A Common Stock), of Bakkt Holdings, Inc., a Delaware corporation (the Company), issuable upon conversion of the 0% Convertible Debenture due June 18, 2026 issued by the Company (the Convertible Debenture and, such shares of Class A Common Stock issuable upon conversion of the Convertible Debenture, the Securities), we, as your counsel, have examined such corporate records, certificates and other documents, and such questions of law, as we have considered necessary or appropriate for the purposes of this opinion. </w:t>
      </w:r>
    </w:p>
    <w:p>
      <w:pPr>
        <w:pStyle w:val="TextBody"/>
        <w:bidi w:val="0"/>
        <w:spacing w:before="240" w:after="0"/>
        <w:jc w:val="left"/>
        <w:rPr>
          <w:rFonts w:ascii="Times New Roman" w:hAnsi="Times New Roman"/>
          <w:sz w:val="20"/>
        </w:rPr>
      </w:pPr>
      <w:r>
        <w:rPr>
          <w:rFonts w:ascii="Times New Roman" w:hAnsi="Times New Roman"/>
          <w:sz w:val="20"/>
        </w:rPr>
        <w:t xml:space="preserve">Upon the basis of such examination, it is our opinion that when the registration statement relating to the Securities (the Registration Statement) has become effective under the Act and the Securities have been duly issued upon the conversion of the Convertible Debenture in accordance with the terms thereof, the Securities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foregoing opinion, we are not passing upon, and assume no responsibility for, any disclosure in any registration statement or any related prospectus or other offering material relating to the offer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Federal laws of the United States and the General Corporation Law of the State of Delaware, and we are expressing no opinion as to the effect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as to certain factual matters on information obtained from public officials, officers of the Company and other sources believed by us to be responsible.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54"/>
        <w:gridCol w:w="125"/>
        <w:gridCol w:w="4826"/>
      </w:tblGrid>
      <w:tr>
        <w:trPr/>
        <w:tc>
          <w:tcPr>
            <w:tcW w:w="525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26" w:type="dxa"/>
            <w:tcBorders/>
            <w:vAlign w:val="center"/>
          </w:tcPr>
          <w:p>
            <w:pPr>
              <w:pStyle w:val="TableContents"/>
              <w:bidi w:val="0"/>
              <w:spacing w:before="0" w:after="283"/>
              <w:jc w:val="left"/>
              <w:rPr>
                <w:sz w:val="4"/>
                <w:szCs w:val="4"/>
              </w:rPr>
            </w:pPr>
            <w:r>
              <w:rPr>
                <w:sz w:val="4"/>
                <w:szCs w:val="4"/>
              </w:rPr>
            </w:r>
          </w:p>
        </w:tc>
      </w:tr>
      <w:tr>
        <w:trPr/>
        <w:tc>
          <w:tcPr>
            <w:tcW w:w="5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Bakkt Holdings, Inc.</w:t>
            </w:r>
          </w:p>
        </w:tc>
        <w:tc>
          <w:tcPr>
            <w:tcW w:w="125" w:type="dxa"/>
            <w:tcBorders/>
            <w:vAlign w:val="bottom"/>
          </w:tcPr>
          <w:p>
            <w:pPr>
              <w:pStyle w:val="TableContents"/>
              <w:bidi w:val="0"/>
              <w:spacing w:before="0" w:after="283"/>
              <w:jc w:val="left"/>
              <w:rPr/>
            </w:pPr>
            <w:r>
              <w:rPr/>
              <w:t>  </w:t>
            </w:r>
          </w:p>
        </w:tc>
        <w:tc>
          <w:tcPr>
            <w:tcW w:w="4826" w:type="dxa"/>
            <w:tcBorders/>
            <w:vAlign w:val="bottom"/>
          </w:tcPr>
          <w:p>
            <w:pPr>
              <w:pStyle w:val="TableContents"/>
              <w:bidi w:val="0"/>
              <w:spacing w:before="0" w:after="283"/>
              <w:jc w:val="right"/>
              <w:rPr/>
            </w:pPr>
            <w:r>
              <w:rPr/>
              <w:t>-2-</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 to us under the heading Validity of the Securities in the prospectus. In giving such consent, we do not thereby admit that we are in the category of persons whose consent is required under Section 7 of the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SULLIVAN &amp; CROMWELL LLP</w:t>
            </w:r>
          </w:p>
        </w:tc>
      </w:tr>
    </w:tbl>
    <w:p>
      <w:pPr>
        <w:pStyle w:val="TextBody"/>
        <w:bidi w:val="0"/>
        <w:spacing w:before="0" w:after="0"/>
        <w:jc w:val="right"/>
        <w:rPr>
          <w:rFonts w:ascii="Times New Roman" w:hAnsi="Times New Roman"/>
          <w:b/>
          <w:sz w:val="20"/>
        </w:rPr>
      </w:pPr>
      <w:bookmarkStart w:id="20" w:name="d84171dex231.htm"/>
      <w:bookmarkStart w:id="21" w:name="ksd84171dex231"/>
      <w:bookmarkEnd w:id="20"/>
      <w:bookmarkEnd w:id="21"/>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Form S-3 Registration Statement and related prospectus of Bakkt Holdings, Inc. for the offer and sale of up to 10,339,123 shares of Class A Common Stock and to the incorporation by reference therein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with respect to the consolidated financial statements of Bakkt Holdings, Inc. for the fiscal year ended December 31, 2023,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Atlanta, Georgia </w:t>
      </w:r>
    </w:p>
    <w:p>
      <w:pPr>
        <w:pStyle w:val="TextBody"/>
        <w:bidi w:val="0"/>
        <w:spacing w:before="0" w:after="0"/>
        <w:jc w:val="left"/>
        <w:rPr>
          <w:rFonts w:ascii="Times New Roman" w:hAnsi="Times New Roman"/>
          <w:sz w:val="20"/>
        </w:rPr>
      </w:pPr>
      <w:r>
        <w:rPr>
          <w:rFonts w:ascii="Times New Roman" w:hAnsi="Times New Roman"/>
          <w:sz w:val="20"/>
        </w:rPr>
        <w:t xml:space="preserve">June 26, 2025 </w:t>
      </w:r>
    </w:p>
    <w:p>
      <w:pPr>
        <w:pStyle w:val="TextBody"/>
        <w:bidi w:val="0"/>
        <w:spacing w:before="0" w:after="0"/>
        <w:jc w:val="right"/>
        <w:rPr>
          <w:rFonts w:ascii="Times New Roman" w:hAnsi="Times New Roman"/>
          <w:b/>
          <w:sz w:val="20"/>
        </w:rPr>
      </w:pPr>
      <w:bookmarkStart w:id="22" w:name="d84171dex232.htm"/>
      <w:bookmarkStart w:id="23" w:name="ksd84171dex232"/>
      <w:bookmarkEnd w:id="22"/>
      <w:bookmarkEnd w:id="23"/>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reports dated March 19, 2025, with respect to the consolidated financial statements of Bakkt Holdings, Inc., and the effectiveness of internal control over financial reporting, appearing in the Companys Annual Report (Form 10-K) as of and for the year ended December 31, 2024 incorporated herein by reference, and to the reference to our firm under the heading Experts in the prospectus.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June 26, 2025 </w:t>
      </w:r>
    </w:p>
    <w:p>
      <w:pPr>
        <w:pStyle w:val="TextBody"/>
        <w:bidi w:val="0"/>
        <w:spacing w:before="0" w:after="0"/>
        <w:jc w:val="right"/>
        <w:rPr>
          <w:rFonts w:ascii="Times New Roman" w:hAnsi="Times New Roman"/>
          <w:b/>
          <w:sz w:val="20"/>
        </w:rPr>
      </w:pPr>
      <w:bookmarkStart w:id="24" w:name="d84171dexfilingfees.htm"/>
      <w:bookmarkStart w:id="25" w:name="ksd84171dexfilingfees"/>
      <w:bookmarkEnd w:id="24"/>
      <w:bookmarkEnd w:id="25"/>
      <w:r>
        <w:rPr>
          <w:rFonts w:ascii="Times New Roman" w:hAnsi="Times New Roman"/>
          <w:b/>
          <w:sz w:val="20"/>
        </w:rPr>
        <w:t xml:space="preserve">Exhibit 107 </w:t>
      </w:r>
      <w:r>
        <w:br w:type="page"/>
      </w:r>
    </w:p>
    <w:p>
      <w:pPr>
        <w:pStyle w:val="TextBody"/>
        <w:bidi w:val="0"/>
        <w:spacing w:before="200" w:after="0"/>
        <w:jc w:val="center"/>
        <w:rPr>
          <w:rFonts w:ascii="Times New Roman" w:hAnsi="Times New Roman"/>
          <w:sz w:val="20"/>
        </w:rPr>
      </w:pPr>
      <w:r>
        <w:rPr>
          <w:rFonts w:ascii="Times New Roman" w:hAnsi="Times New Roman"/>
          <w:sz w:val="20"/>
        </w:rPr>
        <w:t xml:space="preserve">Calculation of Filing Fee Tables </w:t>
      </w:r>
    </w:p>
    <w:p>
      <w:pPr>
        <w:pStyle w:val="TextBody"/>
        <w:bidi w:val="0"/>
        <w:spacing w:before="200" w:after="0"/>
        <w:jc w:val="center"/>
        <w:rPr>
          <w:rFonts w:ascii="Times New Roman" w:hAnsi="Times New Roman"/>
          <w:b/>
          <w:sz w:val="20"/>
        </w:rPr>
      </w:pPr>
      <w:r>
        <w:rPr>
          <w:rFonts w:ascii="Times New Roman" w:hAnsi="Times New Roman"/>
          <w:b/>
          <w:sz w:val="20"/>
        </w:rPr>
        <w:t xml:space="preserve">Form S-3 </w:t>
      </w:r>
    </w:p>
    <w:p>
      <w:pPr>
        <w:pStyle w:val="TextBody"/>
        <w:bidi w:val="0"/>
        <w:spacing w:before="200" w:after="0"/>
        <w:jc w:val="center"/>
        <w:rPr>
          <w:rFonts w:ascii="Times New Roman" w:hAnsi="Times New Roman"/>
          <w:sz w:val="20"/>
        </w:rPr>
      </w:pPr>
      <w:r>
        <w:rPr>
          <w:rFonts w:ascii="Times New Roman" w:hAnsi="Times New Roman"/>
          <w:sz w:val="20"/>
        </w:rPr>
        <w:t xml:space="preserve">(Form Type) </w:t>
      </w:r>
    </w:p>
    <w:p>
      <w:pPr>
        <w:pStyle w:val="TextBody"/>
        <w:bidi w:val="0"/>
        <w:spacing w:before="200" w:after="0"/>
        <w:jc w:val="center"/>
        <w:rPr>
          <w:rFonts w:ascii="Times New Roman" w:hAnsi="Times New Roman"/>
          <w:b/>
          <w:sz w:val="20"/>
        </w:rPr>
      </w:pPr>
      <w:r>
        <w:rPr>
          <w:rFonts w:ascii="Times New Roman" w:hAnsi="Times New Roman"/>
          <w:b/>
          <w:sz w:val="20"/>
        </w:rPr>
        <w:t xml:space="preserve">Bakkt Holdings, Inc. </w:t>
      </w:r>
    </w:p>
    <w:p>
      <w:pPr>
        <w:pStyle w:val="TextBody"/>
        <w:bidi w:val="0"/>
        <w:spacing w:before="200" w:after="0"/>
        <w:jc w:val="center"/>
        <w:rPr>
          <w:rFonts w:ascii="Times New Roman" w:hAnsi="Times New Roman"/>
          <w:sz w:val="20"/>
        </w:rPr>
      </w:pPr>
      <w:r>
        <w:rPr>
          <w:rFonts w:ascii="Times New Roman" w:hAnsi="Times New Roman"/>
          <w:sz w:val="20"/>
        </w:rPr>
        <w:t xml:space="preserve">(Exact Name of Each Registrant as Specified in its Charter) </w:t>
      </w:r>
    </w:p>
    <w:p>
      <w:pPr>
        <w:pStyle w:val="TextBody"/>
        <w:bidi w:val="0"/>
        <w:spacing w:before="200" w:after="0"/>
        <w:jc w:val="center"/>
        <w:rPr>
          <w:rFonts w:ascii="Times New Roman" w:hAnsi="Times New Roman"/>
          <w:sz w:val="20"/>
          <w:u w:val="single"/>
        </w:rPr>
      </w:pPr>
      <w:r>
        <w:rPr>
          <w:rFonts w:ascii="Times New Roman" w:hAnsi="Times New Roman"/>
          <w:sz w:val="20"/>
          <w:u w:val="single"/>
        </w:rPr>
        <w:t xml:space="preserve">Table 1: Newly Registered Securities </w:t>
      </w:r>
    </w:p>
    <w:tbl>
      <w:tblPr>
        <w:tblW w:w="12180" w:type="dxa"/>
        <w:jc w:val="center"/>
        <w:tblInd w:w="0" w:type="dxa"/>
        <w:tblLayout w:type="fixed"/>
        <w:tblCellMar>
          <w:top w:w="0" w:type="dxa"/>
          <w:left w:w="0" w:type="dxa"/>
          <w:bottom w:w="0" w:type="dxa"/>
          <w:right w:w="0" w:type="dxa"/>
        </w:tblCellMar>
      </w:tblPr>
      <w:tblGrid>
        <w:gridCol w:w="860"/>
        <w:gridCol w:w="60"/>
        <w:gridCol w:w="800"/>
        <w:gridCol w:w="60"/>
        <w:gridCol w:w="2255"/>
        <w:gridCol w:w="60"/>
        <w:gridCol w:w="1100"/>
        <w:gridCol w:w="60"/>
        <w:gridCol w:w="1370"/>
        <w:gridCol w:w="60"/>
        <w:gridCol w:w="995"/>
        <w:gridCol w:w="60"/>
        <w:gridCol w:w="1910"/>
        <w:gridCol w:w="60"/>
        <w:gridCol w:w="1250"/>
        <w:gridCol w:w="60"/>
        <w:gridCol w:w="1160"/>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6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6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center"/>
              <w:rPr/>
            </w:pPr>
            <w:r>
              <w:rPr/>
              <w:t>Security</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25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b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Fee</w:t>
              <w:br/>
              <w:t>Calculation</w:t>
              <w:br/>
              <w:t>or Carry</w:t>
              <w:b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center"/>
              <w:rPr/>
            </w:pPr>
            <w:r>
              <w:rPr/>
              <w:t>Amount</w:t>
              <w:b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 Aggregate</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Fee 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Amount of</w:t>
              <w:br/>
              <w:t>Registration</w:t>
              <w:br/>
              <w:t>Fee</w:t>
            </w:r>
          </w:p>
        </w:tc>
      </w:tr>
      <w:tr>
        <w:trPr>
          <w:trHeight w:val="15" w:hRule="atLeast"/>
        </w:trPr>
        <w:tc>
          <w:tcPr>
            <w:tcW w:w="86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60" w:type="dxa"/>
            <w:tcBorders>
              <w:left w:val="single" w:sz="2" w:space="0" w:color="000000"/>
              <w:bottom w:val="single" w:sz="2" w:space="0" w:color="000000"/>
            </w:tcBorders>
            <w:tcMar>
              <w:left w:w="160" w:type="dxa"/>
              <w:bottom w:w="28" w:type="dxa"/>
            </w:tcMar>
          </w:tcPr>
          <w:p>
            <w:pPr>
              <w:pStyle w:val="TableContents"/>
              <w:bidi w:val="0"/>
              <w:spacing w:before="0" w:after="0"/>
              <w:jc w:val="center"/>
              <w:rPr>
                <w:rFonts w:ascii="Times New Roman" w:hAnsi="Times New Roman"/>
                <w:sz w:val="20"/>
              </w:rPr>
            </w:pPr>
            <w:r>
              <w:rPr>
                <w:rFonts w:ascii="Times New Roman" w:hAnsi="Times New Roman"/>
                <w:sz w:val="20"/>
              </w:rPr>
              <w:t>Fees to Be</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0" w:type="dxa"/>
            <w:tcBorders>
              <w:bottom w:val="single" w:sz="2" w:space="0" w:color="000000"/>
            </w:tcBorders>
            <w:tcMar>
              <w:bottom w:w="28" w:type="dxa"/>
            </w:tcMar>
            <w:vAlign w:val="bottom"/>
          </w:tcPr>
          <w:p>
            <w:pPr>
              <w:pStyle w:val="TableContents"/>
              <w:bidi w:val="0"/>
              <w:spacing w:before="0" w:after="283"/>
              <w:jc w:val="center"/>
              <w:rPr/>
            </w:pPr>
            <w:r>
              <w:rPr/>
              <w:t>Equity</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55"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Class A common stock,</w:t>
            </w:r>
          </w:p>
          <w:p>
            <w:pPr>
              <w:pStyle w:val="TableContents"/>
              <w:bidi w:val="0"/>
              <w:spacing w:before="0" w:after="20"/>
              <w:jc w:val="center"/>
              <w:rPr>
                <w:rFonts w:ascii="Times New Roman" w:hAnsi="Times New Roman"/>
                <w:sz w:val="20"/>
              </w:rPr>
            </w:pPr>
            <w:r>
              <w:rPr>
                <w:rFonts w:ascii="Times New Roman" w:hAnsi="Times New Roman"/>
                <w:sz w:val="20"/>
              </w:rPr>
              <w:t>par value $0.0001 per share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0" w:type="dxa"/>
            <w:tcBorders>
              <w:bottom w:val="single" w:sz="2" w:space="0" w:color="000000"/>
            </w:tcBorders>
            <w:tcMar>
              <w:bottom w:w="28" w:type="dxa"/>
            </w:tcMar>
            <w:vAlign w:val="bottom"/>
          </w:tcPr>
          <w:p>
            <w:pPr>
              <w:pStyle w:val="TableContents"/>
              <w:bidi w:val="0"/>
              <w:spacing w:before="0" w:after="283"/>
              <w:jc w:val="center"/>
              <w:rPr/>
            </w:pPr>
            <w:r>
              <w:rPr/>
              <w:t>Other(2)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70" w:type="dxa"/>
            <w:tcBorders>
              <w:bottom w:val="single" w:sz="2" w:space="0" w:color="000000"/>
            </w:tcBorders>
            <w:tcMar>
              <w:bottom w:w="28" w:type="dxa"/>
            </w:tcMar>
            <w:vAlign w:val="bottom"/>
          </w:tcPr>
          <w:p>
            <w:pPr>
              <w:pStyle w:val="TableContents"/>
              <w:bidi w:val="0"/>
              <w:spacing w:before="0" w:after="283"/>
              <w:jc w:val="center"/>
              <w:rPr/>
            </w:pPr>
            <w:r>
              <w:rPr/>
              <w:t>10,339,123(1)</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center"/>
              <w:rPr/>
            </w:pPr>
            <w:r>
              <w:rPr/>
              <w:t>$12.88(2)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910" w:type="dxa"/>
            <w:tcBorders>
              <w:bottom w:val="single" w:sz="2" w:space="0" w:color="000000"/>
            </w:tcBorders>
            <w:tcMar>
              <w:bottom w:w="28" w:type="dxa"/>
            </w:tcMar>
            <w:vAlign w:val="bottom"/>
          </w:tcPr>
          <w:p>
            <w:pPr>
              <w:pStyle w:val="TableContents"/>
              <w:bidi w:val="0"/>
              <w:spacing w:before="0" w:after="283"/>
              <w:jc w:val="center"/>
              <w:rPr/>
            </w:pPr>
            <w:r>
              <w:rPr/>
              <w:t>$133,167,904.20(2)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50"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$153.10</w:t>
            </w:r>
          </w:p>
          <w:p>
            <w:pPr>
              <w:pStyle w:val="TableContents"/>
              <w:bidi w:val="0"/>
              <w:spacing w:before="0" w:after="20"/>
              <w:jc w:val="center"/>
              <w:rPr>
                <w:rFonts w:ascii="Times New Roman" w:hAnsi="Times New Roman"/>
                <w:sz w:val="20"/>
              </w:rPr>
            </w:pPr>
            <w:r>
              <w:rPr>
                <w:rFonts w:ascii="Times New Roman" w:hAnsi="Times New Roman"/>
                <w:sz w:val="20"/>
              </w:rPr>
              <w:t>per $1,000,000</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$20,388.01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up to 10,339,123 shares of Class A common stock, par value $0.0001 per share (Common Stock), of Bakkt Holdings, Inc. (the Company) that the Company may issue to YA II PN, Ltd, a Cayman Islands exempted company (the Selling Stockholder), upon conversion of the $25 million convertible debenture the Selling Stockholder purchased from the Company on June 18, 2025 which may be offered for sale by the Selling Stockholder on the terms and conditions described in the prospectus that forms a part of the Companys registration statement on Form S-3 to which this exhibit relates.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amount of registration fee pursuant to Rule 457(c) under the Securities Act. The proposed maximum offering price per unit and proposed maximum aggregate offering price are based on the average of the high and low sales price of the Common Stock as reported on the New York Stock Exchange on June 23, 2025 of $12.88.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20302/000162828025013959/bakkt-20241231.htm" TargetMode="External"/><Relationship Id="rId4" Type="http://schemas.openxmlformats.org/officeDocument/2006/relationships/hyperlink" Target="http://www.sec.gov/Archives/edgar/data/../../../ix?doc=/Archives/edgar/data/1820302/000162828025024743/bakkt-20250331.htm" TargetMode="External"/><Relationship Id="rId5" Type="http://schemas.openxmlformats.org/officeDocument/2006/relationships/hyperlink" Target="http://www.sec.gov/Archives/edgar/data/../../../ix?doc=/Archives/edgar/data/1820302/000162828025020274/bakkt-20250428.htm" TargetMode="External"/><Relationship Id="rId6" Type="http://schemas.openxmlformats.org/officeDocument/2006/relationships/hyperlink" Target="http://www.sec.gov/Archives/edgar/data/../../../ix?doc=/Archives/edgar/data/1820302/000162828025013121/bakkt-20250317.htm" TargetMode="External"/><Relationship Id="rId7" Type="http://schemas.openxmlformats.org/officeDocument/2006/relationships/hyperlink" Target="http://www.sec.gov/Archives/edgar/data/../../../ix?doc=/Archives/edgar/data/1820302/000162828025013900/bakkt-20250319.htm" TargetMode="External"/><Relationship Id="rId8" Type="http://schemas.openxmlformats.org/officeDocument/2006/relationships/hyperlink" Target="http://www.sec.gov/Archives/edgar/data/../../../ix?doc=/Archives/edgar/data/1820302/000162828025015682/bakkt-20250327.htm" TargetMode="External"/><Relationship Id="rId9" Type="http://schemas.openxmlformats.org/officeDocument/2006/relationships/hyperlink" Target="http://www.sec.gov/Archives/edgar/data/../../../ix?doc=/Archives/edgar/data/1820302/000162828025018854/bakkt-20250421.htm" TargetMode="External"/><Relationship Id="rId10" Type="http://schemas.openxmlformats.org/officeDocument/2006/relationships/hyperlink" Target="http://www.sec.gov/Archives/edgar/data/../../../ix?doc=/Archives/edgar/data/1820302/000119312525138191/d76438d8k.htm" TargetMode="External"/><Relationship Id="rId11" Type="http://schemas.openxmlformats.org/officeDocument/2006/relationships/hyperlink" Target="http://www.sec.gov/Archives/edgar/data/../../../ix?doc=/Archives/edgar/data/1820302/000162828025030475/bakkt-20250610.htm" TargetMode="External"/><Relationship Id="rId12" Type="http://schemas.openxmlformats.org/officeDocument/2006/relationships/hyperlink" Target="http://www.sec.gov/Archives/edgar/data/../../../ix?doc=/Archives/edgar/data/1820302/000162828025031314/bakkt-20250609.htm" TargetMode="External"/><Relationship Id="rId13" Type="http://schemas.openxmlformats.org/officeDocument/2006/relationships/hyperlink" Target="http://www.sec.gov/Archives/edgar/data/../../../ix?doc=/Archives/edgar/data/1820302/000119312525142918/d80998d8k.htm" TargetMode="External"/><Relationship Id="rId14" Type="http://schemas.openxmlformats.org/officeDocument/2006/relationships/hyperlink" Target="http://www.sec.gov/Archives/edgar/data/../../../ix?doc=/Archives/edgar/data/1820302/000162828025013995/bakkt-20250319.htm" TargetMode="External"/><Relationship Id="rId15" Type="http://schemas.openxmlformats.org/officeDocument/2006/relationships/hyperlink" Target="http://www.sec.gov/Archives/edgar/data/1820302/000119312521299620/d211377d8a12b.htm" TargetMode="External"/><Relationship Id="rId16" Type="http://schemas.openxmlformats.org/officeDocument/2006/relationships/hyperlink" Target="http://www.sec.gov/Archives/edgar/data/1820302/000119312524176416/d133420dex41.htm" TargetMode="External"/><Relationship Id="rId17" Type="http://schemas.openxmlformats.org/officeDocument/2006/relationships/hyperlink" Target="http://www.sec.gov/Archives/edgar/data/1820302/000182030224000080/bakkt-charteramendmentreve.htm" TargetMode="External"/><Relationship Id="rId18" Type="http://schemas.openxmlformats.org/officeDocument/2006/relationships/hyperlink" Target="http://www.sec.gov/Archives/edgar/data/1820302/000119312525142918/d80998dex31.htm" TargetMode="External"/><Relationship Id="rId19" Type="http://schemas.openxmlformats.org/officeDocument/2006/relationships/hyperlink" Target="http://www.sec.gov/Archives/edgar/data/1820302/000119312525142918/d80998dex32.htm" TargetMode="External"/><Relationship Id="rId20" Type="http://schemas.openxmlformats.org/officeDocument/2006/relationships/hyperlink" Target="http://www.sec.gov/Archives/edgar/data/1820302/000119312521303985/d219325dex32.htm" TargetMode="External"/><Relationship Id="rId21" Type="http://schemas.openxmlformats.org/officeDocument/2006/relationships/hyperlink" Target="http://www.sec.gov/Archives/edgar/data/1820302/000119312521303985/d219325dex41.htm" TargetMode="External"/><Relationship Id="rId22" Type="http://schemas.openxmlformats.org/officeDocument/2006/relationships/hyperlink" Target="http://www.sec.gov/Archives/edgar/data/1820302/000119312525142918/d80998dex102.htm" TargetMode="External"/><Relationship Id="rId23" Type="http://schemas.openxmlformats.org/officeDocument/2006/relationships/hyperlink" Target="http://www.sec.gov/Archives/edgar/data/1820302/000119312525142918/d80998dex103.htm" TargetMode="External"/><Relationship Id="rId24" Type="http://schemas.openxmlformats.org/officeDocument/2006/relationships/hyperlink" Target="http://www.sec.gov/Archives/edgar/data/1820302/000119312525142918/d80998dex104.htm" TargetMode="External"/><Relationship Id="rId25" Type="http://schemas.openxmlformats.org/officeDocument/2006/relationships/hyperlink" Target="http://www.sec.gov/Archives/edgar/data/1820302/000119312525142918/d80998dex101.htm" TargetMode="External"/><Relationship Id="rId26" Type="http://schemas.openxmlformats.org/officeDocument/2006/relationships/image" Target="media/image2.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15124</Words>
  <Characters>78895</Characters>
  <CharactersWithSpaces>94031</CharactersWithSpaces>
  <Paragraphs>1260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