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Michael Gavin Constantine</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4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02/24/2023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587,467</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2,659,236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80,000</w:t>
            </w:r>
            <w:r>
              <w:rPr>
                <w:rFonts w:ascii="Times New Roman" w:cs="Times New Roman" w:eastAsia="Times New Roman" w:hAnsi="Times New Roman"/>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2,739,236</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February 13,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2,225,439 shares of Class A Common Stock subject to RSU awards that remain subject to vesting.</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The RSUs shall vest in two equal annual installments on the first two anniversaries of February 13,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2,305,439 shares of Class A Common Stock subject to RSU awards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Gavin</w:t>
      </w:r>
      <w:r>
        <w:rPr>
          <w:sz w:val="20"/>
          <w:szCs w:val="20"/>
          <w:color w:val="auto"/>
        </w:rPr>
        <w:tab/>
      </w:r>
      <w:r>
        <w:rPr>
          <w:rFonts w:ascii="Times New Roman" w:cs="Times New Roman" w:eastAsia="Times New Roman" w:hAnsi="Times New Roman"/>
          <w:sz w:val="17"/>
          <w:szCs w:val="17"/>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Constantine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2023-03-01T10:40:28Z</dcterms:created>
  <dcterms:modified xsi:type="dcterms:W3CDTF">2023-03-01T10:40:28Z</dcterms:modified>
</cp:coreProperties>
</file>