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Martin John Gerard</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VPC Impact Acquisition Holdings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VIH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2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C/O VICTORY PARK CAPITAL ADVISORS, LLC</w:t>
      </w:r>
    </w:p>
    <w:p>
      <w:pPr>
        <w:spacing w:after="0" w:line="13"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150 NORTH RIVERSIDE PLAZA, SUITE 5200</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60606</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tbl>
      <w:tblPr>
        <w:tblLayout w:type="fixed"/>
        <w:tblInd w:w="183" w:type="dxa"/>
        <w:tblCellMar>
          <w:top w:w="0" w:type="dxa"/>
          <w:left w:w="0" w:type="dxa"/>
          <w:bottom w:w="0" w:type="dxa"/>
          <w:right w:w="0" w:type="dxa"/>
        </w:tblCellMar>
      </w:tblPr>
      <w:tr>
        <w:trPr>
          <w:trHeight w:val="254"/>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r>
      <w:tr>
        <w:trPr>
          <w:trHeight w:val="226"/>
        </w:trPr>
        <w:tc>
          <w:tcPr>
            <w:tcW w:w="240" w:type="dxa"/>
            <w:vAlign w:val="bottom"/>
          </w:tcPr>
          <w:p>
            <w:pPr>
              <w:spacing w:after="0" w:line="227" w:lineRule="exact"/>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r>
      <w:tr>
        <w:trPr>
          <w:trHeight w:val="202"/>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tcPr>
          <w:p>
            <w:pPr>
              <w:ind w:left="360"/>
              <w:spacing w:after="0"/>
              <w:rPr>
                <w:sz w:val="20"/>
                <w:szCs w:val="20"/>
                <w:color w:val="auto"/>
              </w:rPr>
            </w:pPr>
            <w:r>
              <w:rPr>
                <w:rFonts w:ascii="Arial" w:cs="Arial" w:eastAsia="Arial" w:hAnsi="Arial"/>
                <w:sz w:val="15"/>
                <w:szCs w:val="15"/>
                <w:color w:val="auto"/>
              </w:rPr>
              <w:t>below)</w:t>
            </w:r>
          </w:p>
        </w:tc>
      </w:tr>
    </w:tbl>
    <w:p>
      <w:pPr>
        <w:spacing w:after="0" w:line="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240" w:type="dxa"/>
            <w:vAlign w:val="bottom"/>
          </w:tcPr>
          <w:p>
            <w:pPr>
              <w:ind w:left="6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Officer Title: Chairman and Chief Executive Officer See Exhibit 24.1 - Power of Attorney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Roxane Picard,</w:t>
            </w:r>
          </w:p>
        </w:tc>
        <w:tc>
          <w:tcPr>
            <w:tcW w:w="7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firstLine="702"/>
        <w:spacing w:after="0" w:line="265" w:lineRule="auto"/>
        <w:rPr>
          <w:sz w:val="20"/>
          <w:szCs w:val="20"/>
          <w:color w:val="auto"/>
        </w:rPr>
      </w:pPr>
      <w:r>
        <w:rPr>
          <w:rFonts w:ascii="Courier New" w:cs="Courier New" w:eastAsia="Courier New" w:hAnsi="Courier New"/>
          <w:sz w:val="20"/>
          <w:szCs w:val="20"/>
          <w:color w:val="auto"/>
        </w:rPr>
        <w:t>The undersigned constitutes and appoints Elliott Smith, Bob Lehner, Roxane Picard, Samuel Chan, Brian Munsie and Amanda Karlsson, or any of them acting singly, as the undersigned's true and lawful attorneys-in-fact and agents, with full power of substitution and resubstitution, for the undersigned and in the undersigned's name, place and stead, to:</w:t>
      </w:r>
    </w:p>
    <w:p>
      <w:pPr>
        <w:spacing w:after="0" w:line="100" w:lineRule="exact"/>
        <w:rPr>
          <w:sz w:val="20"/>
          <w:szCs w:val="20"/>
          <w:color w:val="auto"/>
        </w:rPr>
      </w:pPr>
    </w:p>
    <w:p>
      <w:pPr>
        <w:ind w:right="619" w:firstLine="702"/>
        <w:spacing w:after="0" w:line="248" w:lineRule="auto"/>
        <w:tabs>
          <w:tab w:leader="none" w:pos="152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sign, and submit to the Securities and Exchange Commission (the "SEC") on its Electronic Data Gathering, Analysis, and Retrieval ("EDGAR")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117" w:lineRule="exact"/>
        <w:rPr>
          <w:rFonts w:ascii="Courier New" w:cs="Courier New" w:eastAsia="Courier New" w:hAnsi="Courier New"/>
          <w:sz w:val="20"/>
          <w:szCs w:val="20"/>
          <w:color w:val="auto"/>
        </w:rPr>
      </w:pPr>
    </w:p>
    <w:p>
      <w:pPr>
        <w:ind w:right="619" w:firstLine="702"/>
        <w:spacing w:after="0" w:line="247" w:lineRule="auto"/>
        <w:tabs>
          <w:tab w:leader="none" w:pos="152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sign any and all SEC statements of beneficial ownership of securities of VPC Impact Acquisition Holdings (the "Company")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120" w:lineRule="exact"/>
        <w:rPr>
          <w:sz w:val="20"/>
          <w:szCs w:val="20"/>
          <w:color w:val="auto"/>
        </w:rPr>
      </w:pPr>
    </w:p>
    <w:p>
      <w:pPr>
        <w:ind w:right="619" w:firstLine="702"/>
        <w:spacing w:after="0" w:line="275" w:lineRule="auto"/>
        <w:rPr>
          <w:sz w:val="20"/>
          <w:szCs w:val="20"/>
          <w:color w:val="auto"/>
        </w:rPr>
      </w:pPr>
      <w:r>
        <w:rPr>
          <w:rFonts w:ascii="Courier New" w:cs="Courier New" w:eastAsia="Courier New" w:hAnsi="Courier New"/>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87" w:lineRule="exact"/>
        <w:rPr>
          <w:sz w:val="20"/>
          <w:szCs w:val="20"/>
          <w:color w:val="auto"/>
        </w:rPr>
      </w:pPr>
    </w:p>
    <w:p>
      <w:pPr>
        <w:ind w:right="739" w:firstLine="702"/>
        <w:spacing w:after="0" w:line="275" w:lineRule="auto"/>
        <w:rPr>
          <w:sz w:val="20"/>
          <w:szCs w:val="20"/>
          <w:color w:val="auto"/>
        </w:rPr>
      </w:pPr>
      <w:r>
        <w:rPr>
          <w:rFonts w:ascii="Courier New" w:cs="Courier New" w:eastAsia="Courier New" w:hAnsi="Courier New"/>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Dated: September 9, 2020</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560"/>
        <w:spacing w:after="0"/>
        <w:rPr>
          <w:sz w:val="20"/>
          <w:szCs w:val="20"/>
          <w:color w:val="auto"/>
        </w:rPr>
      </w:pPr>
      <w:r>
        <w:rPr>
          <w:rFonts w:ascii="Courier New" w:cs="Courier New" w:eastAsia="Courier New" w:hAnsi="Courier New"/>
          <w:sz w:val="20"/>
          <w:szCs w:val="20"/>
          <w:color w:val="auto"/>
        </w:rPr>
        <w:t>By: /s/ John Martin</w:t>
      </w:r>
    </w:p>
    <w:p>
      <w:pPr>
        <w:spacing w:after="0" w:line="33"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w:t>
      </w:r>
    </w:p>
    <w:p>
      <w:pPr>
        <w:ind w:left="5040"/>
        <w:spacing w:after="0"/>
        <w:tabs>
          <w:tab w:leader="none" w:pos="584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18"/>
          <w:szCs w:val="18"/>
          <w:color w:val="auto"/>
        </w:rPr>
        <w:t>John Martin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5123"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2020-09-22T19:21:13Z</dcterms:created>
  <dcterms:modified xsi:type="dcterms:W3CDTF">2020-09-22T19:21:13Z</dcterms:modified>
</cp:coreProperties>
</file>