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4819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81901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400"/>
          </w:cols>
          <w:pgMar w:left="460" w:top="214" w:right="359" w:bottom="499"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Naheta Akshay Sudhir</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Bakkt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11/14/2025</w:t>
      </w:r>
    </w:p>
    <w:p>
      <w:pPr>
        <w:spacing w:after="0" w:line="20" w:lineRule="exact"/>
        <w:rPr>
          <w:sz w:val="24"/>
          <w:szCs w:val="24"/>
          <w:color w:val="auto"/>
        </w:rPr>
      </w:pPr>
      <w:r>
        <w:rPr>
          <w:sz w:val="24"/>
          <w:szCs w:val="24"/>
          <w:color w:val="auto"/>
        </w:rPr>
        <w:br w:type="column"/>
      </w:r>
    </w:p>
    <w:p>
      <w:pPr>
        <w:ind w:left="4" w:right="720" w:hanging="4"/>
        <w:spacing w:after="0" w:line="285"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964"/>
        <w:spacing w:after="0"/>
        <w:rPr>
          <w:sz w:val="20"/>
          <w:szCs w:val="20"/>
          <w:color w:val="auto"/>
        </w:rPr>
      </w:pPr>
      <w:r>
        <w:rPr>
          <w:rFonts w:ascii="Times New Roman" w:cs="Times New Roman" w:eastAsia="Times New Roman" w:hAnsi="Times New Roman"/>
          <w:sz w:val="16"/>
          <w:szCs w:val="16"/>
          <w:color w:val="0000FF"/>
        </w:rPr>
        <w:t>CEO and President</w:t>
      </w:r>
    </w:p>
    <w:p>
      <w:pPr>
        <w:spacing w:after="0" w:line="490" w:lineRule="exact"/>
        <w:rPr>
          <w:sz w:val="24"/>
          <w:szCs w:val="24"/>
          <w:color w:val="auto"/>
        </w:rPr>
      </w:pPr>
    </w:p>
    <w:p>
      <w:pPr>
        <w:sectPr>
          <w:pgSz w:w="11900" w:h="16838" w:orient="portrait"/>
          <w:cols w:equalWidth="0" w:num="3">
            <w:col w:w="3180" w:space="720"/>
            <w:col w:w="3116" w:space="720"/>
            <w:col w:w="3344"/>
          </w:cols>
          <w:pgMar w:left="460" w:top="214" w:right="359" w:bottom="499"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96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440" w:type="dxa"/>
            <w:vAlign w:val="bottom"/>
            <w:gridSpan w:val="6"/>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80" w:type="dxa"/>
            <w:vAlign w:val="bottom"/>
            <w:gridSpan w:val="9"/>
            <w:vMerge w:val="restart"/>
          </w:tcPr>
          <w:p>
            <w:pPr>
              <w:ind w:left="34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color w:val="0000FF"/>
              </w:rPr>
              <w:t>11/18/2025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34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5"/>
              </w:rPr>
              <w:t>NY</w:t>
            </w:r>
          </w:p>
        </w:tc>
        <w:tc>
          <w:tcPr>
            <w:tcW w:w="960" w:type="dxa"/>
            <w:vAlign w:val="bottom"/>
          </w:tcPr>
          <w:p>
            <w:pPr>
              <w:spacing w:after="0"/>
              <w:rPr>
                <w:sz w:val="7"/>
                <w:szCs w:val="7"/>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10006</w:t>
            </w:r>
          </w:p>
        </w:tc>
        <w:tc>
          <w:tcPr>
            <w:tcW w:w="16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5"/>
                <w:szCs w:val="5"/>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3"/>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11/14/2025</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803,861</w:t>
            </w:r>
            <w:r>
              <w:rPr>
                <w:rFonts w:ascii="Times New Roman" w:cs="Times New Roman" w:eastAsia="Times New Roman" w:hAnsi="Times New Roman"/>
                <w:sz w:val="20"/>
                <w:szCs w:val="20"/>
                <w:color w:val="008000"/>
                <w:vertAlign w:val="superscript"/>
              </w:rPr>
              <w:t>(1)</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rPr>
              <w:t>1,098,577</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8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vMerge w:val="restart"/>
          </w:tcPr>
          <w:p>
            <w:pPr>
              <w:jc w:val="right"/>
              <w:ind w:right="44"/>
              <w:spacing w:after="0"/>
              <w:rPr>
                <w:sz w:val="20"/>
                <w:szCs w:val="20"/>
                <w:color w:val="auto"/>
              </w:rPr>
            </w:pPr>
            <w:r>
              <w:rPr>
                <w:rFonts w:ascii="Times New Roman" w:cs="Times New Roman" w:eastAsia="Times New Roman" w:hAnsi="Times New Roman"/>
                <w:sz w:val="10"/>
                <w:szCs w:val="10"/>
                <w:color w:val="008000"/>
              </w:rPr>
              <w:t>(3)</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gridSpan w:val="2"/>
            <w:vMerge w:val="restart"/>
          </w:tcPr>
          <w:p>
            <w:pPr>
              <w:jc w:val="right"/>
              <w:ind w:right="222"/>
              <w:spacing w:after="0"/>
              <w:rPr>
                <w:sz w:val="20"/>
                <w:szCs w:val="20"/>
                <w:color w:val="auto"/>
              </w:rPr>
            </w:pPr>
            <w:r>
              <w:rPr>
                <w:rFonts w:ascii="Times New Roman" w:cs="Times New Roman" w:eastAsia="Times New Roman" w:hAnsi="Times New Roman"/>
                <w:sz w:val="10"/>
                <w:szCs w:val="10"/>
                <w:color w:val="008000"/>
              </w:rPr>
              <w:t>(4)(5)</w:t>
            </w:r>
          </w:p>
        </w:tc>
        <w:tc>
          <w:tcPr>
            <w:tcW w:w="680" w:type="dxa"/>
            <w:vAlign w:val="bottom"/>
          </w:tcPr>
          <w:p>
            <w:pPr>
              <w:spacing w:after="0"/>
              <w:rPr>
                <w:sz w:val="15"/>
                <w:szCs w:val="15"/>
                <w:color w:val="auto"/>
              </w:rPr>
            </w:pPr>
          </w:p>
        </w:tc>
        <w:tc>
          <w:tcPr>
            <w:tcW w:w="50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w w:val="99"/>
              </w:rPr>
              <w:t>803,861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11/14/2025</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M</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0000FF"/>
              </w:rPr>
              <w:t>803,861</w:t>
            </w:r>
          </w:p>
        </w:tc>
        <w:tc>
          <w:tcPr>
            <w:tcW w:w="740" w:type="dxa"/>
            <w:vAlign w:val="bottom"/>
            <w:gridSpan w:val="2"/>
            <w:vMerge w:val="continue"/>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03/21/2028</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2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803,856</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0"/>
                <w:szCs w:val="10"/>
                <w:color w:val="008000"/>
              </w:rPr>
              <w:t>(6)(7)(8)</w:t>
            </w:r>
          </w:p>
        </w:tc>
        <w:tc>
          <w:tcPr>
            <w:tcW w:w="680" w:type="dxa"/>
            <w:vAlign w:val="bottom"/>
            <w:vMerge w:val="restart"/>
          </w:tcPr>
          <w:p>
            <w:pPr>
              <w:jc w:val="right"/>
              <w:ind w:right="100"/>
              <w:spacing w:after="0"/>
              <w:rPr>
                <w:sz w:val="20"/>
                <w:szCs w:val="20"/>
                <w:color w:val="auto"/>
              </w:rPr>
            </w:pPr>
            <w:r>
              <w:rPr>
                <w:rFonts w:ascii="Times New Roman" w:cs="Times New Roman" w:eastAsia="Times New Roman" w:hAnsi="Times New Roman"/>
                <w:sz w:val="10"/>
                <w:szCs w:val="10"/>
                <w:color w:val="008000"/>
              </w:rPr>
              <w:t>(6)(7)(8)</w:t>
            </w: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1,308,725</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12"/>
                <w:szCs w:val="12"/>
                <w:color w:val="0000FF"/>
              </w:rPr>
              <w:t>1,308,725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-2056130</wp:posOffset>
            </wp:positionV>
            <wp:extent cx="28575" cy="2061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618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20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transaction reflects the vesting of performance stock units ("PSUs") upon the determination that the applicable performance conditions were satisfied. This amount represents a corresponding number of shares of the issuer's Class A Common Stock.</w:t>
      </w:r>
    </w:p>
    <w:p>
      <w:pPr>
        <w:ind w:left="40" w:right="32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11,426 restricted stock units ("RSUs"). Each RSU represents a contingent right to receive one share of the issuer's Class A Common Stock. The RSUs will vest on March 21, 2026, subject to the reporting person's continued employment with the issuer as of the vesting date.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an inducement grant of PSUs. Each PSU represents a contingent right to receive one share of the issuer's Class A Common Stock.</w:t>
      </w:r>
    </w:p>
    <w:p>
      <w:pPr>
        <w:spacing w:after="0" w:line="49" w:lineRule="exact"/>
        <w:rPr>
          <w:rFonts w:ascii="Times New Roman" w:cs="Times New Roman" w:eastAsia="Times New Roman" w:hAnsi="Times New Roman"/>
          <w:sz w:val="12"/>
          <w:szCs w:val="12"/>
          <w:color w:val="008000"/>
        </w:rPr>
      </w:pPr>
    </w:p>
    <w:p>
      <w:pPr>
        <w:ind w:left="40" w:right="30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PSUs are eligible to vest over a three-year performance period following March 21, 2025 (the "Vesting Commencement Date") based on attainment of certain stock price metrics as provided below (the "Performance Period"). A total of 535,909 of the total PSUs will vest, subject to the reporting person's continued employment with the issuer through such vesting date, if the issuer's stock price (measured based on a rolling 90-day volume-weighted average price "VWAP") appreciates at any point during the Performance Period by 100% above $9.33 per share (the "Reference Price"). [Continued to footnote 5]</w:t>
      </w:r>
    </w:p>
    <w:p>
      <w:pPr>
        <w:spacing w:after="0" w:line="13" w:lineRule="exact"/>
        <w:rPr>
          <w:rFonts w:ascii="Times New Roman" w:cs="Times New Roman" w:eastAsia="Times New Roman" w:hAnsi="Times New Roman"/>
          <w:sz w:val="12"/>
          <w:szCs w:val="12"/>
          <w:color w:val="008000"/>
        </w:rPr>
      </w:pPr>
    </w:p>
    <w:p>
      <w:pPr>
        <w:ind w:left="40" w:right="400" w:hanging="3"/>
        <w:spacing w:after="0" w:line="254"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For each additional 25% of stock price appreciation (measured based on a rolling 90-day VWAP) above the Reference Price during the Performance Period, limited to a maximum of eight (8) additional vesting tranches, an additional 133,976 PSUs could vest, subject to the reporting person's continued employment with the issuer through such vesting date. 803,861 of these PSUs vested on November 14, 2025. No PSUs would have vested in the event that the issuer's stock price (measured based on a rolling 90-day VWAP) did not appreciate above the Reference Price by at least 100% during the Performance Period.</w:t>
      </w:r>
    </w:p>
    <w:p>
      <w:pPr>
        <w:spacing w:after="0" w:line="160" w:lineRule="exact"/>
        <w:rPr>
          <w:rFonts w:ascii="Times New Roman" w:cs="Times New Roman" w:eastAsia="Times New Roman" w:hAnsi="Times New Roman"/>
          <w:sz w:val="12"/>
          <w:szCs w:val="12"/>
          <w:color w:val="008000"/>
        </w:rPr>
      </w:pPr>
    </w:p>
    <w:p>
      <w:pPr>
        <w:jc w:val="both"/>
        <w:ind w:left="40" w:right="180" w:hanging="3"/>
        <w:spacing w:after="0" w:line="25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7]</w:t>
      </w:r>
    </w:p>
    <w:p>
      <w:pPr>
        <w:spacing w:after="0" w:line="17" w:lineRule="exact"/>
        <w:rPr>
          <w:rFonts w:ascii="Times New Roman" w:cs="Times New Roman" w:eastAsia="Times New Roman" w:hAnsi="Times New Roman"/>
          <w:sz w:val="12"/>
          <w:szCs w:val="12"/>
          <w:color w:val="008000"/>
        </w:rPr>
      </w:pPr>
    </w:p>
    <w:p>
      <w:pPr>
        <w:ind w:left="40" w:right="26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6]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 [Continued to footnote 8]</w:t>
      </w:r>
    </w:p>
    <w:p>
      <w:pPr>
        <w:spacing w:after="0" w:line="13" w:lineRule="exact"/>
        <w:rPr>
          <w:rFonts w:ascii="Times New Roman" w:cs="Times New Roman" w:eastAsia="Times New Roman" w:hAnsi="Times New Roman"/>
          <w:sz w:val="12"/>
          <w:szCs w:val="12"/>
          <w:color w:val="008000"/>
        </w:rPr>
      </w:pPr>
    </w:p>
    <w:p>
      <w:pPr>
        <w:ind w:left="40" w:right="34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7]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 On November 12, 2025, the reporting person previously exercised his Committed Options for the first Quarterly Tranche in full, comprising 33,557 Options.</w:t>
      </w:r>
    </w:p>
    <w:p>
      <w:pPr>
        <w:spacing w:after="0" w:line="3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Marc D'Annunzio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-5080</wp:posOffset>
            </wp:positionV>
            <wp:extent cx="12630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in-Fact for Akshay Sudhir</w:t>
      </w:r>
      <w:r>
        <w:rPr>
          <w:sz w:val="20"/>
          <w:szCs w:val="20"/>
          <w:color w:val="auto"/>
        </w:rPr>
        <w:tab/>
      </w:r>
      <w:r>
        <w:rPr>
          <w:rFonts w:ascii="Times New Roman" w:cs="Times New Roman" w:eastAsia="Times New Roman" w:hAnsi="Times New Roman"/>
          <w:sz w:val="15"/>
          <w:szCs w:val="15"/>
          <w:color w:val="0000FF"/>
        </w:rPr>
        <w:t>11/18/2025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-12065</wp:posOffset>
            </wp:positionV>
            <wp:extent cx="18599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99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Naheta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-12065</wp:posOffset>
            </wp:positionV>
            <wp:extent cx="291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465" cy="7620"/>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4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2543"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2025-11-18T20:13:02Z</dcterms:created>
  <dcterms:modified xsi:type="dcterms:W3CDTF">2025-11-18T20:13:02Z</dcterms:modified>
</cp:coreProperties>
</file>