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July 7, 2025</w:t>
      </w:r>
    </w:p>
    <w:p>
      <w:pPr>
        <w:spacing w:after="0" w:line="2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333-288362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AMENDMENT NO. 1</w:t>
      </w:r>
    </w:p>
    <w:p>
      <w:pPr>
        <w:spacing w:after="0" w:line="3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TO</w:t>
      </w: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S-3</w:t>
      </w:r>
    </w:p>
    <w:p>
      <w:pPr>
        <w:spacing w:after="0" w:line="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125730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0"/>
          <w:szCs w:val="40"/>
          <w:b w:val="1"/>
          <w:bCs w:val="1"/>
          <w:color w:val="auto"/>
        </w:rPr>
        <w:t>Bakkt Holdings, Inc.</w:t>
      </w:r>
    </w:p>
    <w:p>
      <w:pPr>
        <w:spacing w:after="0" w:line="10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3" w:lineRule="exact"/>
        <w:rPr>
          <w:sz w:val="24"/>
          <w:szCs w:val="24"/>
          <w:color w:val="auto"/>
        </w:rPr>
      </w:pPr>
    </w:p>
    <w:tbl>
      <w:tblPr>
        <w:tblLayout w:type="fixed"/>
        <w:tblInd w:w="2080" w:type="dxa"/>
        <w:tblCellMar>
          <w:top w:w="0" w:type="dxa"/>
          <w:left w:w="0" w:type="dxa"/>
          <w:bottom w:w="0" w:type="dxa"/>
          <w:right w:w="0" w:type="dxa"/>
        </w:tblCellMar>
      </w:tblPr>
      <w:tr>
        <w:trPr>
          <w:trHeight w:val="198"/>
        </w:trPr>
        <w:tc>
          <w:tcPr>
            <w:tcW w:w="3700" w:type="dxa"/>
            <w:vAlign w:val="bottom"/>
          </w:tcPr>
          <w:p>
            <w:pPr>
              <w:jc w:val="center"/>
              <w:ind w:right="199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300" w:type="dxa"/>
            <w:vAlign w:val="bottom"/>
          </w:tcPr>
          <w:p>
            <w:pPr>
              <w:jc w:val="center"/>
              <w:ind w:left="1991"/>
              <w:spacing w:after="0"/>
              <w:rPr>
                <w:sz w:val="20"/>
                <w:szCs w:val="20"/>
                <w:color w:val="auto"/>
              </w:rPr>
            </w:pPr>
            <w:r>
              <w:rPr>
                <w:rFonts w:ascii="Times New Roman" w:cs="Times New Roman" w:eastAsia="Times New Roman" w:hAnsi="Times New Roman"/>
                <w:sz w:val="16"/>
                <w:szCs w:val="16"/>
                <w:b w:val="1"/>
                <w:bCs w:val="1"/>
                <w:color w:val="auto"/>
              </w:rPr>
              <w:t>98-1550750</w:t>
            </w:r>
          </w:p>
        </w:tc>
      </w:tr>
      <w:tr>
        <w:trPr>
          <w:trHeight w:val="135"/>
        </w:trPr>
        <w:tc>
          <w:tcPr>
            <w:tcW w:w="3700" w:type="dxa"/>
            <w:vAlign w:val="bottom"/>
          </w:tcPr>
          <w:p>
            <w:pPr>
              <w:jc w:val="center"/>
              <w:ind w:right="1991"/>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3300" w:type="dxa"/>
            <w:vAlign w:val="bottom"/>
          </w:tcPr>
          <w:p>
            <w:pPr>
              <w:jc w:val="center"/>
              <w:ind w:left="1991"/>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3700" w:type="dxa"/>
            <w:vAlign w:val="bottom"/>
          </w:tcPr>
          <w:p>
            <w:pPr>
              <w:jc w:val="center"/>
              <w:ind w:right="1991"/>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300" w:type="dxa"/>
            <w:vAlign w:val="bottom"/>
          </w:tcPr>
          <w:p>
            <w:pPr>
              <w:jc w:val="center"/>
              <w:ind w:left="1991"/>
              <w:spacing w:after="0"/>
              <w:rPr>
                <w:sz w:val="20"/>
                <w:szCs w:val="20"/>
                <w:color w:val="auto"/>
              </w:rPr>
            </w:pPr>
            <w:r>
              <w:rPr>
                <w:rFonts w:ascii="Times New Roman" w:cs="Times New Roman" w:eastAsia="Times New Roman" w:hAnsi="Times New Roman"/>
                <w:sz w:val="13"/>
                <w:szCs w:val="13"/>
                <w:b w:val="1"/>
                <w:bCs w:val="1"/>
                <w:color w:val="auto"/>
                <w:w w:val="96"/>
              </w:rPr>
              <w:t>Identification Number)</w:t>
            </w:r>
          </w:p>
        </w:tc>
      </w:tr>
    </w:tbl>
    <w:p>
      <w:pPr>
        <w:spacing w:after="0" w:line="4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10000 Avalon Boulevard, Suite 1000 Alpharetta, Georgia 30009 (678) 534-5849</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114935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Akshay Naheta Co-Chief Executive Officer 10000 Avalon Boulevard, Suite 1000 Alpharetta, Georgia 30009 (678) 534-5849</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114935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4" w:lineRule="exact"/>
        <w:rPr>
          <w:sz w:val="24"/>
          <w:szCs w:val="24"/>
          <w:color w:val="auto"/>
        </w:rPr>
      </w:pPr>
    </w:p>
    <w:tbl>
      <w:tblPr>
        <w:tblLayout w:type="fixed"/>
        <w:tblInd w:w="2160" w:type="dxa"/>
        <w:tblCellMar>
          <w:top w:w="0" w:type="dxa"/>
          <w:left w:w="0" w:type="dxa"/>
          <w:bottom w:w="0" w:type="dxa"/>
          <w:right w:w="0" w:type="dxa"/>
        </w:tblCellMar>
      </w:tblPr>
      <w:tr>
        <w:trPr>
          <w:trHeight w:val="214"/>
        </w:trPr>
        <w:tc>
          <w:tcPr>
            <w:tcW w:w="2300" w:type="dxa"/>
            <w:vAlign w:val="bottom"/>
          </w:tcPr>
          <w:p>
            <w:pPr>
              <w:spacing w:after="0"/>
              <w:rPr>
                <w:sz w:val="18"/>
                <w:szCs w:val="18"/>
                <w:color w:val="auto"/>
              </w:rPr>
            </w:pPr>
          </w:p>
        </w:tc>
        <w:tc>
          <w:tcPr>
            <w:tcW w:w="5240" w:type="dxa"/>
            <w:vAlign w:val="bottom"/>
          </w:tcPr>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tc>
      </w:tr>
      <w:tr>
        <w:trPr>
          <w:trHeight w:val="274"/>
        </w:trPr>
        <w:tc>
          <w:tcPr>
            <w:tcW w:w="2300" w:type="dxa"/>
            <w:vAlign w:val="bottom"/>
          </w:tcPr>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Jared Fishman</w:t>
            </w:r>
          </w:p>
        </w:tc>
        <w:tc>
          <w:tcPr>
            <w:tcW w:w="5240" w:type="dxa"/>
            <w:vAlign w:val="bottom"/>
          </w:tcPr>
          <w:p>
            <w:pPr>
              <w:jc w:val="center"/>
              <w:ind w:left="2659"/>
              <w:spacing w:after="0"/>
              <w:rPr>
                <w:sz w:val="20"/>
                <w:szCs w:val="20"/>
                <w:color w:val="auto"/>
              </w:rPr>
            </w:pPr>
            <w:r>
              <w:rPr>
                <w:rFonts w:ascii="Times New Roman" w:cs="Times New Roman" w:eastAsia="Times New Roman" w:hAnsi="Times New Roman"/>
                <w:sz w:val="16"/>
                <w:szCs w:val="16"/>
                <w:b w:val="1"/>
                <w:bCs w:val="1"/>
                <w:color w:val="auto"/>
              </w:rPr>
              <w:t>Marc D’Annunzio</w:t>
            </w:r>
          </w:p>
        </w:tc>
      </w:tr>
      <w:tr>
        <w:trPr>
          <w:trHeight w:val="203"/>
        </w:trPr>
        <w:tc>
          <w:tcPr>
            <w:tcW w:w="2300" w:type="dxa"/>
            <w:vAlign w:val="bottom"/>
          </w:tcPr>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Matthew Goodman</w:t>
            </w:r>
          </w:p>
        </w:tc>
        <w:tc>
          <w:tcPr>
            <w:tcW w:w="5240" w:type="dxa"/>
            <w:vAlign w:val="bottom"/>
          </w:tcPr>
          <w:p>
            <w:pPr>
              <w:jc w:val="center"/>
              <w:ind w:left="2679"/>
              <w:spacing w:after="0"/>
              <w:rPr>
                <w:sz w:val="20"/>
                <w:szCs w:val="20"/>
                <w:color w:val="auto"/>
              </w:rPr>
            </w:pPr>
            <w:r>
              <w:rPr>
                <w:rFonts w:ascii="Times New Roman" w:cs="Times New Roman" w:eastAsia="Times New Roman" w:hAnsi="Times New Roman"/>
                <w:sz w:val="16"/>
                <w:szCs w:val="16"/>
                <w:b w:val="1"/>
                <w:bCs w:val="1"/>
                <w:color w:val="auto"/>
              </w:rPr>
              <w:t>General Counsel</w:t>
            </w:r>
          </w:p>
        </w:tc>
      </w:tr>
      <w:tr>
        <w:trPr>
          <w:trHeight w:val="203"/>
        </w:trPr>
        <w:tc>
          <w:tcPr>
            <w:tcW w:w="2300" w:type="dxa"/>
            <w:vAlign w:val="bottom"/>
          </w:tcPr>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Mario Schollmeyer</w:t>
            </w:r>
          </w:p>
        </w:tc>
        <w:tc>
          <w:tcPr>
            <w:tcW w:w="5240" w:type="dxa"/>
            <w:vAlign w:val="bottom"/>
          </w:tcPr>
          <w:p>
            <w:pPr>
              <w:jc w:val="center"/>
              <w:ind w:left="2679"/>
              <w:spacing w:after="0"/>
              <w:rPr>
                <w:sz w:val="20"/>
                <w:szCs w:val="20"/>
                <w:color w:val="auto"/>
              </w:rPr>
            </w:pPr>
            <w:r>
              <w:rPr>
                <w:rFonts w:ascii="Times New Roman" w:cs="Times New Roman" w:eastAsia="Times New Roman" w:hAnsi="Times New Roman"/>
                <w:sz w:val="16"/>
                <w:szCs w:val="16"/>
                <w:b w:val="1"/>
                <w:bCs w:val="1"/>
                <w:color w:val="auto"/>
              </w:rPr>
              <w:t>10000 Avalon Boulevard, Suite 1000</w:t>
            </w:r>
          </w:p>
        </w:tc>
      </w:tr>
      <w:tr>
        <w:trPr>
          <w:trHeight w:val="203"/>
        </w:trPr>
        <w:tc>
          <w:tcPr>
            <w:tcW w:w="2300" w:type="dxa"/>
            <w:vAlign w:val="bottom"/>
          </w:tcPr>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Sullivan &amp; Cromwell</w:t>
            </w:r>
          </w:p>
        </w:tc>
        <w:tc>
          <w:tcPr>
            <w:tcW w:w="5240" w:type="dxa"/>
            <w:vAlign w:val="bottom"/>
          </w:tcPr>
          <w:p>
            <w:pPr>
              <w:jc w:val="center"/>
              <w:ind w:left="2679"/>
              <w:spacing w:after="0"/>
              <w:rPr>
                <w:sz w:val="20"/>
                <w:szCs w:val="20"/>
                <w:color w:val="auto"/>
              </w:rPr>
            </w:pPr>
            <w:r>
              <w:rPr>
                <w:rFonts w:ascii="Times New Roman" w:cs="Times New Roman" w:eastAsia="Times New Roman" w:hAnsi="Times New Roman"/>
                <w:sz w:val="16"/>
                <w:szCs w:val="16"/>
                <w:b w:val="1"/>
                <w:bCs w:val="1"/>
                <w:color w:val="auto"/>
              </w:rPr>
              <w:t>Alpharetta, Georgia 30009</w:t>
            </w:r>
          </w:p>
        </w:tc>
      </w:tr>
      <w:tr>
        <w:trPr>
          <w:trHeight w:val="203"/>
        </w:trPr>
        <w:tc>
          <w:tcPr>
            <w:tcW w:w="2300" w:type="dxa"/>
            <w:vAlign w:val="bottom"/>
          </w:tcPr>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125 Broad Street</w:t>
            </w:r>
          </w:p>
        </w:tc>
        <w:tc>
          <w:tcPr>
            <w:tcW w:w="5240" w:type="dxa"/>
            <w:vAlign w:val="bottom"/>
          </w:tcPr>
          <w:p>
            <w:pPr>
              <w:jc w:val="center"/>
              <w:ind w:left="2679"/>
              <w:spacing w:after="0"/>
              <w:rPr>
                <w:sz w:val="20"/>
                <w:szCs w:val="20"/>
                <w:color w:val="auto"/>
              </w:rPr>
            </w:pPr>
            <w:r>
              <w:rPr>
                <w:rFonts w:ascii="Times New Roman" w:cs="Times New Roman" w:eastAsia="Times New Roman" w:hAnsi="Times New Roman"/>
                <w:sz w:val="16"/>
                <w:szCs w:val="16"/>
                <w:b w:val="1"/>
                <w:bCs w:val="1"/>
                <w:color w:val="auto"/>
                <w:w w:val="99"/>
              </w:rPr>
              <w:t>(678) 534-5849</w:t>
            </w:r>
          </w:p>
        </w:tc>
      </w:tr>
      <w:tr>
        <w:trPr>
          <w:trHeight w:val="203"/>
        </w:trPr>
        <w:tc>
          <w:tcPr>
            <w:tcW w:w="2300" w:type="dxa"/>
            <w:vAlign w:val="bottom"/>
          </w:tcPr>
          <w:p>
            <w:pPr>
              <w:jc w:val="center"/>
              <w:ind w:right="739"/>
              <w:spacing w:after="0"/>
              <w:rPr>
                <w:sz w:val="20"/>
                <w:szCs w:val="20"/>
                <w:color w:val="auto"/>
              </w:rPr>
            </w:pPr>
            <w:r>
              <w:rPr>
                <w:rFonts w:ascii="Times New Roman" w:cs="Times New Roman" w:eastAsia="Times New Roman" w:hAnsi="Times New Roman"/>
                <w:sz w:val="16"/>
                <w:szCs w:val="16"/>
                <w:b w:val="1"/>
                <w:bCs w:val="1"/>
                <w:color w:val="auto"/>
                <w:w w:val="99"/>
              </w:rPr>
              <w:t>New York, NY 10004</w:t>
            </w:r>
          </w:p>
        </w:tc>
        <w:tc>
          <w:tcPr>
            <w:tcW w:w="5240" w:type="dxa"/>
            <w:vAlign w:val="bottom"/>
          </w:tcPr>
          <w:p>
            <w:pPr>
              <w:spacing w:after="0"/>
              <w:rPr>
                <w:sz w:val="17"/>
                <w:szCs w:val="17"/>
                <w:color w:val="auto"/>
              </w:rPr>
            </w:pPr>
          </w:p>
        </w:tc>
      </w:tr>
      <w:tr>
        <w:trPr>
          <w:trHeight w:val="212"/>
        </w:trPr>
        <w:tc>
          <w:tcPr>
            <w:tcW w:w="2300" w:type="dxa"/>
            <w:vAlign w:val="bottom"/>
          </w:tcPr>
          <w:p>
            <w:pPr>
              <w:jc w:val="center"/>
              <w:ind w:right="739"/>
              <w:spacing w:after="0"/>
              <w:rPr>
                <w:sz w:val="20"/>
                <w:szCs w:val="20"/>
                <w:color w:val="auto"/>
              </w:rPr>
            </w:pPr>
            <w:r>
              <w:rPr>
                <w:rFonts w:ascii="Times New Roman" w:cs="Times New Roman" w:eastAsia="Times New Roman" w:hAnsi="Times New Roman"/>
                <w:sz w:val="16"/>
                <w:szCs w:val="16"/>
                <w:b w:val="1"/>
                <w:bCs w:val="1"/>
                <w:color w:val="auto"/>
                <w:w w:val="99"/>
              </w:rPr>
              <w:t>(212) 558-4000</w:t>
            </w:r>
          </w:p>
        </w:tc>
        <w:tc>
          <w:tcPr>
            <w:tcW w:w="524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132080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5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From time to time after the effective date of this registration statement.</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(Approximate date of commencement of proposed sale to the public)</w:t>
      </w:r>
    </w:p>
    <w:p>
      <w:pPr>
        <w:spacing w:after="0" w:line="42" w:lineRule="exact"/>
        <w:rPr>
          <w:sz w:val="24"/>
          <w:szCs w:val="24"/>
          <w:color w:val="auto"/>
        </w:rPr>
      </w:pPr>
    </w:p>
    <w:p>
      <w:pPr>
        <w:ind w:left="120"/>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36" w:lineRule="exact"/>
        <w:rPr>
          <w:sz w:val="24"/>
          <w:szCs w:val="24"/>
          <w:color w:val="auto"/>
        </w:rPr>
      </w:pPr>
    </w:p>
    <w:p>
      <w:pPr>
        <w:ind w:left="120" w:right="10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34" w:lineRule="exact"/>
        <w:rPr>
          <w:sz w:val="24"/>
          <w:szCs w:val="24"/>
          <w:color w:val="auto"/>
        </w:rPr>
      </w:pPr>
    </w:p>
    <w:p>
      <w:pPr>
        <w:ind w:left="120" w:right="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4" w:lineRule="exact"/>
        <w:rPr>
          <w:sz w:val="24"/>
          <w:szCs w:val="24"/>
          <w:color w:val="auto"/>
        </w:rPr>
      </w:pPr>
    </w:p>
    <w:p>
      <w:pPr>
        <w:ind w:left="120" w:right="1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4" w:lineRule="exact"/>
        <w:rPr>
          <w:sz w:val="24"/>
          <w:szCs w:val="24"/>
          <w:color w:val="auto"/>
        </w:rPr>
      </w:pPr>
    </w:p>
    <w:p>
      <w:pPr>
        <w:ind w:left="120" w:right="60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48" w:lineRule="exact"/>
        <w:rPr>
          <w:sz w:val="24"/>
          <w:szCs w:val="24"/>
          <w:color w:val="auto"/>
        </w:rPr>
      </w:pPr>
    </w:p>
    <w:p>
      <w:pPr>
        <w:ind w:left="120" w:right="12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34" w:lineRule="exact"/>
        <w:rPr>
          <w:sz w:val="24"/>
          <w:szCs w:val="24"/>
          <w:color w:val="auto"/>
        </w:rPr>
      </w:pPr>
    </w:p>
    <w:p>
      <w:pPr>
        <w:ind w:left="120" w:right="4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120" w:type="dxa"/>
        <w:tblCellMar>
          <w:top w:w="0" w:type="dxa"/>
          <w:left w:w="0" w:type="dxa"/>
          <w:bottom w:w="0" w:type="dxa"/>
          <w:right w:w="0" w:type="dxa"/>
        </w:tblCellMar>
      </w:tblPr>
      <w:tr>
        <w:trPr>
          <w:trHeight w:val="230"/>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9"/>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62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Emerging growth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4" w:lineRule="exact"/>
        <w:rPr>
          <w:sz w:val="24"/>
          <w:szCs w:val="24"/>
          <w:color w:val="auto"/>
        </w:rPr>
      </w:pPr>
    </w:p>
    <w:p>
      <w:pPr>
        <w:ind w:left="120" w:right="3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8" w:lineRule="exact"/>
        <w:rPr>
          <w:sz w:val="24"/>
          <w:szCs w:val="24"/>
          <w:color w:val="auto"/>
        </w:rPr>
      </w:pPr>
    </w:p>
    <w:p>
      <w:pPr>
        <w:ind w:left="120" w:right="180"/>
        <w:spacing w:after="0" w:line="282"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43815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86995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25" w:right="439" w:bottom="867"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0260"/>
          </w:cols>
          <w:pgMar w:left="320" w:top="455" w:right="1319" w:bottom="1440" w:gutter="0" w:footer="0" w:header="0"/>
        </w:sectPr>
      </w:pPr>
    </w:p>
    <w:p>
      <w:pPr>
        <w:spacing w:after="0" w:line="200" w:lineRule="exact"/>
        <w:rPr>
          <w:sz w:val="20"/>
          <w:szCs w:val="20"/>
          <w:color w:val="auto"/>
        </w:rPr>
      </w:pPr>
    </w:p>
    <w:p>
      <w:pPr>
        <w:spacing w:after="0" w:line="306" w:lineRule="exact"/>
        <w:rPr>
          <w:sz w:val="20"/>
          <w:szCs w:val="20"/>
          <w:color w:val="auto"/>
        </w:rPr>
      </w:pPr>
    </w:p>
    <w:tbl>
      <w:tblPr>
        <w:tblLayout w:type="fixed"/>
        <w:tblInd w:w="120" w:type="dxa"/>
        <w:tblCellMar>
          <w:top w:w="0" w:type="dxa"/>
          <w:left w:w="0" w:type="dxa"/>
          <w:bottom w:w="0" w:type="dxa"/>
          <w:right w:w="0" w:type="dxa"/>
        </w:tblCellMar>
      </w:tblPr>
      <w:tr>
        <w:trPr>
          <w:trHeight w:val="2310"/>
        </w:trPr>
        <w:tc>
          <w:tcPr>
            <w:tcW w:w="180" w:type="dxa"/>
            <w:vAlign w:val="bottom"/>
            <w:textDirection w:val="btLr"/>
          </w:tcPr>
          <w:p>
            <w:pPr>
              <w:spacing w:after="0"/>
              <w:rPr>
                <w:sz w:val="20"/>
                <w:szCs w:val="20"/>
                <w:color w:val="auto"/>
              </w:rPr>
            </w:pPr>
            <w:r>
              <w:rPr>
                <w:rFonts w:ascii="Arial" w:cs="Arial" w:eastAsia="Arial" w:hAnsi="Arial"/>
                <w:sz w:val="18"/>
                <w:szCs w:val="18"/>
                <w:b w:val="1"/>
                <w:bCs w:val="1"/>
                <w:color w:val="FF4338"/>
                <w:w w:val="99"/>
              </w:rPr>
              <w:t>registration statement filed</w:t>
            </w:r>
          </w:p>
        </w:tc>
        <w:tc>
          <w:tcPr>
            <w:tcW w:w="380" w:type="dxa"/>
            <w:vAlign w:val="bottom"/>
            <w:textDirection w:val="btLr"/>
          </w:tcPr>
          <w:p>
            <w:pPr>
              <w:ind w:left="39"/>
              <w:spacing w:after="0"/>
              <w:rPr>
                <w:sz w:val="20"/>
                <w:szCs w:val="20"/>
                <w:color w:val="auto"/>
              </w:rPr>
            </w:pPr>
            <w:r>
              <w:rPr>
                <w:rFonts w:ascii="Arial" w:cs="Arial" w:eastAsia="Arial" w:hAnsi="Arial"/>
                <w:sz w:val="18"/>
                <w:szCs w:val="18"/>
                <w:b w:val="1"/>
                <w:bCs w:val="1"/>
                <w:color w:val="FF4338"/>
                <w:w w:val="99"/>
              </w:rPr>
              <w:t>and it is not soliciting an</w:t>
            </w:r>
          </w:p>
        </w:tc>
      </w:tr>
      <w:tr>
        <w:trPr>
          <w:trHeight w:val="1759"/>
        </w:trPr>
        <w:tc>
          <w:tcPr>
            <w:tcW w:w="180" w:type="dxa"/>
            <w:vAlign w:val="bottom"/>
            <w:textDirection w:val="btLr"/>
          </w:tcPr>
          <w:p>
            <w:pPr>
              <w:spacing w:after="0"/>
              <w:rPr>
                <w:sz w:val="20"/>
                <w:szCs w:val="20"/>
                <w:color w:val="auto"/>
              </w:rPr>
            </w:pPr>
            <w:r>
              <w:rPr>
                <w:rFonts w:ascii="Arial" w:cs="Arial" w:eastAsia="Arial" w:hAnsi="Arial"/>
                <w:sz w:val="18"/>
                <w:szCs w:val="18"/>
                <w:b w:val="1"/>
                <w:bCs w:val="1"/>
                <w:color w:val="FF4338"/>
                <w:w w:val="99"/>
              </w:rPr>
              <w:t>not be sold until the</w:t>
            </w:r>
          </w:p>
        </w:tc>
        <w:tc>
          <w:tcPr>
            <w:tcW w:w="380" w:type="dxa"/>
            <w:vAlign w:val="bottom"/>
            <w:textDirection w:val="btLr"/>
          </w:tcPr>
          <w:p>
            <w:pPr>
              <w:ind w:left="39"/>
              <w:spacing w:after="0"/>
              <w:rPr>
                <w:sz w:val="20"/>
                <w:szCs w:val="20"/>
                <w:color w:val="auto"/>
              </w:rPr>
            </w:pPr>
            <w:r>
              <w:rPr>
                <w:rFonts w:ascii="Arial" w:cs="Arial" w:eastAsia="Arial" w:hAnsi="Arial"/>
                <w:sz w:val="18"/>
                <w:szCs w:val="18"/>
                <w:b w:val="1"/>
                <w:bCs w:val="1"/>
                <w:color w:val="FF4338"/>
                <w:w w:val="99"/>
              </w:rPr>
              <w:t>sell these securities</w:t>
            </w:r>
          </w:p>
        </w:tc>
      </w:tr>
      <w:tr>
        <w:trPr>
          <w:trHeight w:val="7929"/>
        </w:trPr>
        <w:tc>
          <w:tcPr>
            <w:tcW w:w="180" w:type="dxa"/>
            <w:vAlign w:val="bottom"/>
            <w:textDirection w:val="btLr"/>
          </w:tcPr>
          <w:p>
            <w:pPr>
              <w:spacing w:after="0"/>
              <w:rPr>
                <w:sz w:val="20"/>
                <w:szCs w:val="20"/>
                <w:color w:val="auto"/>
              </w:rPr>
            </w:pPr>
            <w:r>
              <w:rPr>
                <w:rFonts w:ascii="Arial" w:cs="Arial" w:eastAsia="Arial" w:hAnsi="Arial"/>
                <w:sz w:val="18"/>
                <w:szCs w:val="18"/>
                <w:b w:val="1"/>
                <w:bCs w:val="1"/>
                <w:color w:val="FF4338"/>
                <w:w w:val="99"/>
              </w:rPr>
              <w:t>The information in this prospectus is not complete and may be changed. The securities may</w:t>
            </w:r>
          </w:p>
        </w:tc>
        <w:tc>
          <w:tcPr>
            <w:tcW w:w="380" w:type="dxa"/>
            <w:vAlign w:val="bottom"/>
            <w:textDirection w:val="btLr"/>
          </w:tcPr>
          <w:p>
            <w:pPr>
              <w:ind w:left="231"/>
              <w:spacing w:after="0"/>
              <w:rPr>
                <w:sz w:val="20"/>
                <w:szCs w:val="20"/>
                <w:color w:val="auto"/>
              </w:rPr>
            </w:pPr>
            <w:r>
              <w:rPr>
                <w:rFonts w:ascii="Arial" w:cs="Arial" w:eastAsia="Arial" w:hAnsi="Arial"/>
                <w:sz w:val="13"/>
                <w:szCs w:val="13"/>
                <w:b w:val="1"/>
                <w:bCs w:val="1"/>
                <w:color w:val="FF4338"/>
                <w:w w:val="78"/>
              </w:rPr>
              <w:t>with the Securities and Exchange Commission is effective. This prospectus is not an offer tooffertobuythesesecuritiesinanystatewheretheofferorsaleisnotpermitted.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4338"/>
        </w:rPr>
        <w:t>Subject to Completion, dated July 7, 2025</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2477135</wp:posOffset>
            </wp:positionH>
            <wp:positionV relativeFrom="paragraph">
              <wp:posOffset>173990</wp:posOffset>
            </wp:positionV>
            <wp:extent cx="942975"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4297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23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9"/>
          <w:szCs w:val="29"/>
          <w:b w:val="1"/>
          <w:bCs w:val="1"/>
          <w:color w:val="auto"/>
        </w:rPr>
        <w:t>Up to 10,339,123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172720</wp:posOffset>
            </wp:positionV>
            <wp:extent cx="12344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9" w:lineRule="exact"/>
        <w:rPr>
          <w:sz w:val="20"/>
          <w:szCs w:val="20"/>
          <w:color w:val="auto"/>
        </w:rPr>
      </w:pPr>
    </w:p>
    <w:p>
      <w:pPr>
        <w:ind w:right="20" w:firstLine="371"/>
        <w:spacing w:after="0" w:line="298" w:lineRule="auto"/>
        <w:rPr>
          <w:sz w:val="20"/>
          <w:szCs w:val="20"/>
          <w:color w:val="auto"/>
        </w:rPr>
      </w:pPr>
      <w:r>
        <w:rPr>
          <w:rFonts w:ascii="Times New Roman" w:cs="Times New Roman" w:eastAsia="Times New Roman" w:hAnsi="Times New Roman"/>
          <w:sz w:val="16"/>
          <w:szCs w:val="16"/>
          <w:color w:val="auto"/>
        </w:rPr>
        <w:t>This prospectus relates to the offer and sale by YA II PN, Ltd. (the “Selling Stockholder”) of up to 10,339,123 shares of Class A common stock, par value $0.0001 per share (the “Class A Common Stock”) of Bakkt Holdings, Inc. (the “Company,” “we,” “us,” or “our”).</w:t>
      </w:r>
    </w:p>
    <w:p>
      <w:pPr>
        <w:spacing w:after="0" w:line="56" w:lineRule="exact"/>
        <w:rPr>
          <w:sz w:val="20"/>
          <w:szCs w:val="20"/>
          <w:color w:val="auto"/>
        </w:rPr>
      </w:pPr>
    </w:p>
    <w:p>
      <w:pPr>
        <w:ind w:right="20" w:firstLine="371"/>
        <w:spacing w:after="0" w:line="268" w:lineRule="auto"/>
        <w:rPr>
          <w:sz w:val="20"/>
          <w:szCs w:val="20"/>
          <w:color w:val="auto"/>
        </w:rPr>
      </w:pPr>
      <w:r>
        <w:rPr>
          <w:rFonts w:ascii="Times New Roman" w:cs="Times New Roman" w:eastAsia="Times New Roman" w:hAnsi="Times New Roman"/>
          <w:sz w:val="16"/>
          <w:szCs w:val="16"/>
          <w:color w:val="auto"/>
        </w:rPr>
        <w:t>We entered into that certain securities purchase agreement (the “Purchase Agreement”) with the Selling Stockholder, dated as of June 17, 2025, pursuant to which the Selling Stockholder purchased a $25 million convertible debenture (the “Convertible Debenture”) from us for a price of $23.75 million in a private placement on June 18, 2025 (the “Closing Date”). The Convertible Debenture matures on the first anniversary of the Closing Date, as may be extended at the option of the Selling Stockholder and is convertible, at the option of the Selling Stockholder, into shares of our Class A Common Stock. The price of the Class A Common Stock to the Selling Stockholder to be issued on conversion of the Convertible Debenture will be the lower of (i) $14.51 per share of Class A Common Stock (the “Fixed Price”) or (ii) 97% of the lowest daily volume weighted average price of the Class A Common Stock during the five consecutive trading days immediately preceding the conversion date (the “Conversion Date”), but which price shall not be lower than $2.418 per share of Class A Common Stock (the “Floor Price”).</w:t>
      </w:r>
    </w:p>
    <w:p>
      <w:pPr>
        <w:spacing w:after="0" w:line="81" w:lineRule="exact"/>
        <w:rPr>
          <w:sz w:val="20"/>
          <w:szCs w:val="20"/>
          <w:color w:val="auto"/>
        </w:rPr>
      </w:pPr>
    </w:p>
    <w:p>
      <w:pPr>
        <w:ind w:firstLine="371"/>
        <w:spacing w:after="0" w:line="268" w:lineRule="auto"/>
        <w:rPr>
          <w:sz w:val="20"/>
          <w:szCs w:val="20"/>
          <w:color w:val="auto"/>
        </w:rPr>
      </w:pPr>
      <w:r>
        <w:rPr>
          <w:rFonts w:ascii="Times New Roman" w:cs="Times New Roman" w:eastAsia="Times New Roman" w:hAnsi="Times New Roman"/>
          <w:sz w:val="16"/>
          <w:szCs w:val="16"/>
          <w:color w:val="auto"/>
        </w:rPr>
        <w:t>We are registering these shares of Class A Common Stock for resale by the Selling Stockholder pursuant to the registration rights granted to the Selling Stockholder under that certain registration rights agreement we entered into with the Selling Stockholder, dated as of June 17, 2025 (the “Registration Rights Agreement”). Our registration of the Class A Common Stock covered by this prospectus does not mean that the Selling Stockholder will offer or sell any of the Class A Common Stock. The Selling Stockholder may offer all or part of the securities for resale from time to time through public or private transactions, at either prevailing market prices or at privately negotiated prices. The Selling Stockholder may sell these securities through ordinary brokerage transactions, directly to market makers of our shares or through any other means described in the section entitled “</w:t>
      </w:r>
      <w:r>
        <w:rPr>
          <w:rFonts w:ascii="Times New Roman" w:cs="Times New Roman" w:eastAsia="Times New Roman" w:hAnsi="Times New Roman"/>
          <w:sz w:val="16"/>
          <w:szCs w:val="16"/>
          <w:i w:val="1"/>
          <w:iCs w:val="1"/>
          <w:color w:val="auto"/>
        </w:rPr>
        <w:t>Plan of Distribution</w:t>
      </w:r>
      <w:r>
        <w:rPr>
          <w:rFonts w:ascii="Times New Roman" w:cs="Times New Roman" w:eastAsia="Times New Roman" w:hAnsi="Times New Roman"/>
          <w:sz w:val="16"/>
          <w:szCs w:val="16"/>
          <w:color w:val="auto"/>
        </w:rPr>
        <w:t>” herein. In connection with any sales of Class A Common Stock offered hereunder, the Selling Stockholder, any underwriters, agents, brokers or dealers participating in such sales may be deemed to be “underwriters” within the meaning of the Securities Act of 1933, as amended (the “Securities Act”).</w:t>
      </w:r>
    </w:p>
    <w:p>
      <w:pPr>
        <w:spacing w:after="0" w:line="81" w:lineRule="exact"/>
        <w:rPr>
          <w:sz w:val="20"/>
          <w:szCs w:val="20"/>
          <w:color w:val="auto"/>
        </w:rPr>
      </w:pPr>
    </w:p>
    <w:p>
      <w:pPr>
        <w:ind w:right="260" w:firstLine="371"/>
        <w:spacing w:after="0" w:line="298" w:lineRule="auto"/>
        <w:rPr>
          <w:sz w:val="20"/>
          <w:szCs w:val="20"/>
          <w:color w:val="auto"/>
        </w:rPr>
      </w:pPr>
      <w:r>
        <w:rPr>
          <w:rFonts w:ascii="Times New Roman" w:cs="Times New Roman" w:eastAsia="Times New Roman" w:hAnsi="Times New Roman"/>
          <w:sz w:val="16"/>
          <w:szCs w:val="16"/>
          <w:color w:val="auto"/>
        </w:rPr>
        <w:t>Our Class A Common Stock is currently traded on the New York Stock Exchange (“NYSE”) under the symbol “BKKT.” On June 25, 2025, the last reported sale price for our Class A Common Stock was $12.93 per share.</w:t>
      </w:r>
    </w:p>
    <w:p>
      <w:pPr>
        <w:spacing w:after="0" w:line="56" w:lineRule="exact"/>
        <w:rPr>
          <w:sz w:val="20"/>
          <w:szCs w:val="20"/>
          <w:color w:val="auto"/>
        </w:rPr>
      </w:pPr>
    </w:p>
    <w:p>
      <w:pPr>
        <w:jc w:val="both"/>
        <w:ind w:right="40" w:firstLine="371"/>
        <w:spacing w:after="0" w:line="275" w:lineRule="auto"/>
        <w:rPr>
          <w:sz w:val="20"/>
          <w:szCs w:val="20"/>
          <w:color w:val="auto"/>
        </w:rPr>
      </w:pPr>
      <w:r>
        <w:rPr>
          <w:rFonts w:ascii="Times New Roman" w:cs="Times New Roman" w:eastAsia="Times New Roman" w:hAnsi="Times New Roman"/>
          <w:sz w:val="16"/>
          <w:szCs w:val="16"/>
          <w:color w:val="auto"/>
        </w:rPr>
        <w:t>We will not receive any proceeds from the sale of the Class A Common Stock by the Selling Stockholder in the offering described in this prospectus. We have agreed to bear all of the expenses incurred in connection with the registration of the Class A Common Stock. The Selling Stockholder will pay or assume discounts, commissions, fees of underwriters, selling brokers or dealer managers and similar expenses, if any, incurred for the sale of the Class A Common Stock.</w:t>
      </w:r>
    </w:p>
    <w:p>
      <w:pPr>
        <w:spacing w:after="0" w:line="75" w:lineRule="exact"/>
        <w:rPr>
          <w:sz w:val="20"/>
          <w:szCs w:val="20"/>
          <w:color w:val="auto"/>
        </w:rPr>
      </w:pPr>
    </w:p>
    <w:p>
      <w:pPr>
        <w:ind w:right="120" w:firstLine="371"/>
        <w:spacing w:after="0" w:line="298" w:lineRule="auto"/>
        <w:rPr>
          <w:sz w:val="20"/>
          <w:szCs w:val="20"/>
          <w:color w:val="auto"/>
        </w:rPr>
      </w:pPr>
      <w:r>
        <w:rPr>
          <w:rFonts w:ascii="Times New Roman" w:cs="Times New Roman" w:eastAsia="Times New Roman" w:hAnsi="Times New Roman"/>
          <w:sz w:val="16"/>
          <w:szCs w:val="16"/>
          <w:color w:val="auto"/>
        </w:rPr>
        <w:t>We may amend or supplement this prospectus from time to time by filing amendments or supplements as required. You should read this entire prospectus and any amendments or supplements carefully before you make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121285</wp:posOffset>
            </wp:positionV>
            <wp:extent cx="12344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61" w:lineRule="exact"/>
        <w:rPr>
          <w:sz w:val="20"/>
          <w:szCs w:val="20"/>
          <w:color w:val="auto"/>
        </w:rPr>
      </w:pPr>
    </w:p>
    <w:p>
      <w:pPr>
        <w:ind w:right="140" w:firstLine="371"/>
        <w:spacing w:after="0" w:line="235" w:lineRule="auto"/>
        <w:rPr>
          <w:sz w:val="20"/>
          <w:szCs w:val="20"/>
          <w:color w:val="auto"/>
        </w:rPr>
      </w:pPr>
      <w:r>
        <w:rPr>
          <w:rFonts w:ascii="Times New Roman" w:cs="Times New Roman" w:eastAsia="Times New Roman" w:hAnsi="Times New Roman"/>
          <w:sz w:val="22"/>
          <w:szCs w:val="22"/>
          <w:b w:val="1"/>
          <w:bCs w:val="1"/>
          <w:color w:val="auto"/>
        </w:rPr>
        <w:t>Investing in these securities involves risks. Please carefully read the information under the headings “</w:t>
      </w:r>
      <w:r>
        <w:rPr>
          <w:rFonts w:ascii="Times New Roman" w:cs="Times New Roman" w:eastAsia="Times New Roman" w:hAnsi="Times New Roman"/>
          <w:sz w:val="22"/>
          <w:szCs w:val="22"/>
          <w:b w:val="1"/>
          <w:bCs w:val="1"/>
          <w:i w:val="1"/>
          <w:iCs w:val="1"/>
          <w:u w:val="single" w:color="auto"/>
          <w:color w:val="0000EE"/>
        </w:rPr>
        <w:t>Risk Factors</w:t>
      </w:r>
      <w:r>
        <w:rPr>
          <w:rFonts w:ascii="Times New Roman" w:cs="Times New Roman" w:eastAsia="Times New Roman" w:hAnsi="Times New Roman"/>
          <w:sz w:val="22"/>
          <w:szCs w:val="22"/>
          <w:b w:val="1"/>
          <w:bCs w:val="1"/>
          <w:color w:val="auto"/>
        </w:rPr>
        <w:t xml:space="preserve">” beginning on page 6 of this prospectus and “ </w:t>
      </w:r>
      <w:r>
        <w:rPr>
          <w:rFonts w:ascii="Times New Roman" w:cs="Times New Roman" w:eastAsia="Times New Roman" w:hAnsi="Times New Roman"/>
          <w:sz w:val="22"/>
          <w:szCs w:val="22"/>
          <w:b w:val="1"/>
          <w:bCs w:val="1"/>
          <w:i w:val="1"/>
          <w:iCs w:val="1"/>
          <w:color w:val="auto"/>
        </w:rPr>
        <w:t>Item 1A – Risk Factors</w:t>
      </w:r>
      <w:r>
        <w:rPr>
          <w:rFonts w:ascii="Times New Roman" w:cs="Times New Roman" w:eastAsia="Times New Roman" w:hAnsi="Times New Roman"/>
          <w:sz w:val="22"/>
          <w:szCs w:val="22"/>
          <w:b w:val="1"/>
          <w:bCs w:val="1"/>
          <w:color w:val="auto"/>
        </w:rPr>
        <w:t>” of our most recent Annual Report on Form 10-K and any Quarterly Report on Form 10-Q filed subsequently to such Form 10-K that is incorporated by reference in this prospectus before you invest in our securities. In addition, please carefully read the information under the heading “Risk Factors Related to the Update of Our Investment Policy” in Exhibit 99.1 to our Current Report on Form 8-K filed on June 10, 2025 that is incorporated by reference in this prospectus before you invest in our securities.</w:t>
      </w:r>
    </w:p>
    <w:p>
      <w:pPr>
        <w:spacing w:after="0" w:line="86" w:lineRule="exact"/>
        <w:rPr>
          <w:sz w:val="20"/>
          <w:szCs w:val="20"/>
          <w:color w:val="auto"/>
        </w:rPr>
      </w:pPr>
    </w:p>
    <w:p>
      <w:pPr>
        <w:ind w:right="400" w:firstLine="371"/>
        <w:spacing w:after="0" w:line="301"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128270</wp:posOffset>
            </wp:positionV>
            <wp:extent cx="12344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0" w:space="300"/>
            <w:col w:w="9280"/>
          </w:cols>
          <w:pgMar w:left="320" w:top="455" w:right="1319" w:bottom="1440" w:gutter="0" w:footer="0" w:header="0"/>
          <w:type w:val="continuous"/>
        </w:sectPr>
      </w:pPr>
    </w:p>
    <w:p>
      <w:pPr>
        <w:spacing w:after="0" w:line="10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6"/>
          <w:szCs w:val="16"/>
          <w:b w:val="1"/>
          <w:bCs w:val="1"/>
          <w:color w:val="auto"/>
        </w:rPr>
        <w:t>The date of this prospectus is             , 2025.</w:t>
      </w:r>
    </w:p>
    <w:p>
      <w:pPr>
        <w:sectPr>
          <w:pgSz w:w="11900" w:h="16838" w:orient="portrait"/>
          <w:cols w:equalWidth="0" w:num="1">
            <w:col w:w="10260"/>
          </w:cols>
          <w:pgMar w:left="320" w:top="455" w:right="131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2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158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9100" w:type="dxa"/>
            <w:vAlign w:val="bottom"/>
            <w:gridSpan w:val="7"/>
            <w:vMerge w:val="restart"/>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181"/>
        </w:trPr>
        <w:tc>
          <w:tcPr>
            <w:tcW w:w="1580" w:type="dxa"/>
            <w:vAlign w:val="bottom"/>
            <w:tcBorders>
              <w:bottom w:val="single" w:sz="8" w:color="0000EE"/>
            </w:tcBorders>
            <w:gridSpan w:val="6"/>
            <w:vMerge w:val="continue"/>
          </w:tcPr>
          <w:p>
            <w:pPr>
              <w:spacing w:after="0"/>
              <w:rPr>
                <w:sz w:val="15"/>
                <w:szCs w:val="15"/>
                <w:color w:val="auto"/>
              </w:rPr>
            </w:pPr>
          </w:p>
        </w:tc>
        <w:tc>
          <w:tcPr>
            <w:tcW w:w="9100" w:type="dxa"/>
            <w:vAlign w:val="bottom"/>
            <w:gridSpan w:val="7"/>
            <w:vMerge w:val="continue"/>
          </w:tcPr>
          <w:p>
            <w:pPr>
              <w:spacing w:after="0"/>
              <w:rPr>
                <w:sz w:val="15"/>
                <w:szCs w:val="15"/>
                <w:color w:val="auto"/>
              </w:rPr>
            </w:pPr>
          </w:p>
        </w:tc>
        <w:tc>
          <w:tcPr>
            <w:tcW w:w="28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6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5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9160" w:type="dxa"/>
            <w:vAlign w:val="bottom"/>
            <w:gridSpan w:val="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858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3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The Securities Purchase Agreement, the Convertible Debenture, the Guarantee Agreement and the Registration Rights Agreement</w:t>
            </w:r>
          </w:p>
        </w:tc>
        <w:tc>
          <w:tcPr>
            <w:tcW w:w="132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106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Determination of Offering Price</w:t>
            </w: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230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w:t>
            </w:r>
          </w:p>
        </w:tc>
        <w:tc>
          <w:tcPr>
            <w:tcW w:w="838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Validity of the Securities</w:t>
            </w:r>
          </w:p>
        </w:tc>
        <w:tc>
          <w:tcPr>
            <w:tcW w:w="890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106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820" w:type="dxa"/>
            <w:vAlign w:val="bottom"/>
            <w:tcBorders>
              <w:top w:val="single" w:sz="8" w:color="0000EE"/>
            </w:tcBorders>
            <w:gridSpan w:val="3"/>
          </w:tcPr>
          <w:p>
            <w:pPr>
              <w:spacing w:after="0"/>
              <w:rPr>
                <w:sz w:val="17"/>
                <w:szCs w:val="17"/>
                <w:color w:val="auto"/>
              </w:rPr>
            </w:pPr>
          </w:p>
        </w:tc>
        <w:tc>
          <w:tcPr>
            <w:tcW w:w="782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(the “SEC”) to register the securities described in this prospectus for resale by the Selling Stockholder who may, from time to time, sell the securities described in this prospectus.</w:t>
      </w:r>
    </w:p>
    <w:p>
      <w:pPr>
        <w:spacing w:after="0" w:line="162"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that may be offered. A prospectus supplement may also add, update or change information contained in this prospectus. You should read both this prospectus and any applicable prospectus supplement together with the additional information described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Neither we nor the Selling Stockholder has authorized anyone to provide you with information that is different from that contained, or incorporated by reference, in this prospectus, any applicable prospectus supplement or in any related free writing prospectus. We take no responsibility for, and can provide no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5620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65620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most recent Annual Report on</w:t>
      </w:r>
    </w:p>
    <w:p>
      <w:pPr>
        <w:spacing w:after="0" w:line="1"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i w:val="1"/>
          <w:iCs w:val="1"/>
          <w:color w:val="auto"/>
        </w:rPr>
        <w:t>Form 10-K and our Quarterly Reports on Form 10-Q filed subsequently to such Form 10-K. Unless the context indicates otherwise, references in this prospectus to “Bakkt Holdings, Inc.,” “Bakkt,” the “Company,” “we,” “our” and “us” refer, collectively, to Bakkt Holdings, Inc., a Delaware corporation, and its consolidated subsidiaries taken as a whole.</w:t>
      </w:r>
    </w:p>
    <w:p>
      <w:pPr>
        <w:spacing w:after="0" w:line="2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120" w:firstLine="426"/>
        <w:spacing w:after="0" w:line="256" w:lineRule="auto"/>
        <w:rPr>
          <w:sz w:val="20"/>
          <w:szCs w:val="20"/>
          <w:color w:val="auto"/>
        </w:rPr>
      </w:pPr>
      <w:r>
        <w:rPr>
          <w:rFonts w:ascii="Times New Roman" w:cs="Times New Roman" w:eastAsia="Times New Roman" w:hAnsi="Times New Roman"/>
          <w:sz w:val="18"/>
          <w:szCs w:val="18"/>
          <w:color w:val="auto"/>
        </w:rPr>
        <w:t>Founded in 2018, Bakkt operates technology that connects the digital economy by offering a platform for crypto and redeeming loyalty points. We enable our clients to deliver new opportunities to their customers through an interactive web experience or application programming interface (“API”) solutions that unlock crypto and drive loyalty. The global market for crypto, while nascent, is rapidly evolving and expanding. We believe we are well-positioned to provide secure, licensed product solutions and grow with this evolving market. We believe our platform is well positioned to power commerce by enabling consumers, brands, and financial institutions to better manage, transact with and monetize crypto in exciting new ways.</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provide, or are working to provide, simplified solutions focused in the following areas:</w:t>
      </w:r>
    </w:p>
    <w:p>
      <w:pPr>
        <w:spacing w:after="0" w:line="3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Crypto</w:t>
      </w:r>
    </w:p>
    <w:p>
      <w:pPr>
        <w:spacing w:after="0" w:line="135" w:lineRule="exact"/>
        <w:rPr>
          <w:sz w:val="20"/>
          <w:szCs w:val="20"/>
          <w:color w:val="auto"/>
        </w:rPr>
      </w:pPr>
    </w:p>
    <w:p>
      <w:pPr>
        <w:ind w:left="1240" w:right="160" w:hanging="415"/>
        <w:spacing w:after="0" w:line="266"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crypto trading platform provides consumers, businesses and institutions with the ability to buy, sell and store crypto in a simple, intuitive digital experience accessed via APIs or embedded web experience. We enable clients in various industries to provide their customers with the ability to transact in crypto directly in their trusted environments.</w:t>
      </w:r>
    </w:p>
    <w:p>
      <w:pPr>
        <w:spacing w:after="0" w:line="2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Loyalty</w:t>
      </w:r>
    </w:p>
    <w:p>
      <w:pPr>
        <w:spacing w:after="0" w:line="135" w:lineRule="exact"/>
        <w:rPr>
          <w:sz w:val="20"/>
          <w:szCs w:val="20"/>
          <w:color w:val="auto"/>
        </w:rPr>
      </w:pPr>
    </w:p>
    <w:p>
      <w:pPr>
        <w:ind w:left="1240" w:right="60" w:hanging="415"/>
        <w:spacing w:after="0" w:line="258"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a full spectrum of content that clients can make available to their customers when redeeming loyalty currencies, thus driving consumer loyalty and engagement. Our redemption solutions span a variety of rewards categories including merchandise (such as Apple products and services), gift cards and digital experiences. In March 2025, we announced our investigation of strategic alternatives for our loyalty business as we work to realign our business with a crypto focus. As we explore our options, including a potential sale or wind-down, we expect to reduce efforts to promote and grow this business.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Cooperation Agreement</w:t>
      </w:r>
    </w:p>
    <w:p>
      <w:pPr>
        <w:spacing w:after="0" w:line="121"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In March 2025, we entered into a Cooperation Agreement with Distributed Technologies Research Global Ltd. (“DTR”) and Akshay Naheta, the sole stockholder of DTR (the “Cooperation Agreement”). Pursuant to the Cooperation Agreement, DTR will provide us with certain exclusive payment processing technology, APIs and infrastructure to be integrated into our platform for the enablement of global payments processing services in the jurisdictions where we operate.</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Updated Investment Policy</w:t>
      </w:r>
    </w:p>
    <w:p>
      <w:pPr>
        <w:spacing w:after="0" w:line="121" w:lineRule="exact"/>
        <w:rPr>
          <w:sz w:val="20"/>
          <w:szCs w:val="20"/>
          <w:color w:val="auto"/>
        </w:rPr>
      </w:pPr>
    </w:p>
    <w:p>
      <w:pPr>
        <w:ind w:left="300" w:right="160" w:firstLine="426"/>
        <w:spacing w:after="0" w:line="282" w:lineRule="auto"/>
        <w:rPr>
          <w:sz w:val="20"/>
          <w:szCs w:val="20"/>
          <w:color w:val="auto"/>
        </w:rPr>
      </w:pPr>
      <w:r>
        <w:rPr>
          <w:rFonts w:ascii="Times New Roman" w:cs="Times New Roman" w:eastAsia="Times New Roman" w:hAnsi="Times New Roman"/>
          <w:sz w:val="18"/>
          <w:szCs w:val="18"/>
          <w:color w:val="auto"/>
        </w:rPr>
        <w:t>In June 2025 we updated our investment policy (“Investment Policy”) to enable us to allocate capital into Bitcoin and other digital assets as part of our broader treasury and corporate strategy, subject to market conditions</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320" w:top="455" w:right="6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3474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3474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color w:val="auto"/>
        </w:rPr>
        <w:t>and the anticipated liquidity needs of the business. We may acquire Bitcoin or other digital assets using excess cash, proceeds from future equity or debt financings, or other capital sources, subject to the limitation set forth in our Investment Policy. We also intend to explore further opportunistic financing alternatives, including the issuance of convertible notes, bonds, or other debt instruments, for the purpose of acquiring Bitcoin or other digital assets or otherwise in accordance with the our Investment Policy. To date, we have not purchased any Bitcoin or other digital assets pursuant to our updated Investment Policy. There can be no assurance that we will enter into any such transactions. The timing and magnitude of any such transactions will depend on market conditions, capital market receptivity, business performance and other strategic considerations.</w:t>
      </w:r>
    </w:p>
    <w:p>
      <w:pPr>
        <w:spacing w:after="0" w:line="187"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There are risks associated with our Investment Policy, which may cause our business, financial condition, results of operations and future prospects to be materially adversely affected. For further details regarding the risks of implementing our strategy, refer to “</w:t>
      </w:r>
      <w:r>
        <w:rPr>
          <w:rFonts w:ascii="Times New Roman" w:cs="Times New Roman" w:eastAsia="Times New Roman" w:hAnsi="Times New Roman"/>
          <w:sz w:val="18"/>
          <w:szCs w:val="18"/>
          <w:i w:val="1"/>
          <w:iCs w:val="1"/>
          <w:color w:val="auto"/>
        </w:rPr>
        <w:t>Risk Factors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Update of our Investment Policy,</w:t>
      </w:r>
      <w:r>
        <w:rPr>
          <w:rFonts w:ascii="Times New Roman" w:cs="Times New Roman" w:eastAsia="Times New Roman" w:hAnsi="Times New Roman"/>
          <w:sz w:val="18"/>
          <w:szCs w:val="18"/>
          <w:color w:val="auto"/>
        </w:rPr>
        <w:t>” which is attached as Exhibit 99.1 to our Current Report on Form 8-K filed with the SEC on June 10,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incorporated by reference herein.</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ind w:left="300" w:firstLine="426"/>
        <w:spacing w:after="0" w:line="289" w:lineRule="auto"/>
        <w:rPr>
          <w:sz w:val="20"/>
          <w:szCs w:val="20"/>
          <w:color w:val="auto"/>
        </w:rPr>
      </w:pPr>
      <w:r>
        <w:rPr>
          <w:rFonts w:ascii="Times New Roman" w:cs="Times New Roman" w:eastAsia="Times New Roman" w:hAnsi="Times New Roman"/>
          <w:sz w:val="17"/>
          <w:szCs w:val="17"/>
          <w:color w:val="auto"/>
        </w:rPr>
        <w:t>Investing in our securities involves numerous risks and uncertainties, including the risks and uncertainties described in the section titled “Risk Factors” and elsewhere in this prospectus. You should carefully consider these risks and uncertainties before investing in our securities. Below are some of these risks, any one of which could materially adversely affect our business, financial condition, results of operations and future prospects.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Risks Related to Our Business, Finances and Operations</w:t>
      </w:r>
    </w:p>
    <w:p>
      <w:pPr>
        <w:spacing w:after="0" w:line="133" w:lineRule="exact"/>
        <w:rPr>
          <w:sz w:val="20"/>
          <w:szCs w:val="20"/>
          <w:color w:val="auto"/>
        </w:rPr>
      </w:pPr>
    </w:p>
    <w:p>
      <w:pPr>
        <w:ind w:left="700" w:hanging="307"/>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is newly developed and may encounter additional risks and challenges as it grows.</w:t>
      </w:r>
    </w:p>
    <w:p>
      <w:pPr>
        <w:spacing w:after="0" w:line="130" w:lineRule="exact"/>
        <w:rPr>
          <w:rFonts w:ascii="Times New Roman" w:cs="Times New Roman" w:eastAsia="Times New Roman" w:hAnsi="Times New Roman"/>
          <w:sz w:val="18"/>
          <w:szCs w:val="18"/>
          <w:color w:val="auto"/>
        </w:rPr>
      </w:pPr>
    </w:p>
    <w:p>
      <w:pPr>
        <w:ind w:left="700" w:right="360" w:hanging="307"/>
        <w:spacing w:after="0" w:line="282"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has been designed to meet the needs of our clients and customers, and as such we must continually invest in our platform to meet their evolving needs as we look to grow our business.</w:t>
      </w:r>
    </w:p>
    <w:p>
      <w:pPr>
        <w:spacing w:after="0" w:line="67" w:lineRule="exact"/>
        <w:rPr>
          <w:rFonts w:ascii="Times New Roman" w:cs="Times New Roman" w:eastAsia="Times New Roman" w:hAnsi="Times New Roman"/>
          <w:sz w:val="18"/>
          <w:szCs w:val="18"/>
          <w:color w:val="auto"/>
        </w:rPr>
      </w:pPr>
    </w:p>
    <w:p>
      <w:pPr>
        <w:ind w:left="700" w:hanging="307"/>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operating history and a history of operating losses.</w:t>
      </w:r>
    </w:p>
    <w:p>
      <w:pPr>
        <w:spacing w:after="0" w:line="130" w:lineRule="exact"/>
        <w:rPr>
          <w:rFonts w:ascii="Times New Roman" w:cs="Times New Roman" w:eastAsia="Times New Roman" w:hAnsi="Times New Roman"/>
          <w:sz w:val="18"/>
          <w:szCs w:val="18"/>
          <w:color w:val="auto"/>
        </w:rPr>
      </w:pPr>
    </w:p>
    <w:p>
      <w:pPr>
        <w:ind w:left="700" w:right="300" w:hanging="307"/>
        <w:spacing w:after="0" w:line="282"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retain or grow our relationships with our existing clients, our business, financial condition, results of operations and future prospects would be materially and adversely affected.</w:t>
      </w:r>
    </w:p>
    <w:p>
      <w:pPr>
        <w:spacing w:after="0" w:line="67" w:lineRule="exact"/>
        <w:rPr>
          <w:rFonts w:ascii="Times New Roman" w:cs="Times New Roman" w:eastAsia="Times New Roman" w:hAnsi="Times New Roman"/>
          <w:sz w:val="18"/>
          <w:szCs w:val="18"/>
          <w:color w:val="auto"/>
        </w:rPr>
      </w:pPr>
    </w:p>
    <w:p>
      <w:pPr>
        <w:ind w:left="700" w:right="160" w:hanging="307"/>
        <w:spacing w:after="0" w:line="266"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current and prospective clients require the approval of their own regulators in order to deploy our solutions, and if they are unable to obtain those approvals on a timely basis, or at all, our results of operations and future prospects would be materially and adversely affected.</w:t>
      </w:r>
    </w:p>
    <w:p>
      <w:pPr>
        <w:spacing w:after="0" w:line="81" w:lineRule="exact"/>
        <w:rPr>
          <w:rFonts w:ascii="Times New Roman" w:cs="Times New Roman" w:eastAsia="Times New Roman" w:hAnsi="Times New Roman"/>
          <w:sz w:val="18"/>
          <w:szCs w:val="18"/>
          <w:color w:val="auto"/>
        </w:rPr>
      </w:pPr>
    </w:p>
    <w:p>
      <w:pPr>
        <w:ind w:left="700" w:right="160" w:hanging="307"/>
        <w:spacing w:after="0" w:line="281" w:lineRule="auto"/>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large percentage of our revenue is concentrated with a single client that has notified us it will not be renewing its agreement with us. The loss of this client will materially and adversely affect our business, financial condition, results of operations and future prospects. Moreover, because of our B2B2C go-to-market model, the loss of any client – regardless of the reason – increases the risk that the customers that originally emanated from that client will transition to another provider or stop doing business with us, which would harm our business.</w:t>
      </w:r>
    </w:p>
    <w:p>
      <w:pPr>
        <w:spacing w:after="0" w:line="69" w:lineRule="exact"/>
        <w:rPr>
          <w:rFonts w:ascii="Times New Roman" w:cs="Times New Roman" w:eastAsia="Times New Roman" w:hAnsi="Times New Roman"/>
          <w:sz w:val="17"/>
          <w:szCs w:val="17"/>
          <w:color w:val="auto"/>
        </w:rPr>
      </w:pPr>
    </w:p>
    <w:p>
      <w:pPr>
        <w:ind w:left="700" w:right="560" w:hanging="307"/>
        <w:spacing w:after="0" w:line="282"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anticipated benefits of past or future investments, strategic transactions, or acquisitions and integration of these acquisitions may disrupt our business and management.</w:t>
      </w:r>
    </w:p>
    <w:p>
      <w:pPr>
        <w:spacing w:after="0" w:line="67" w:lineRule="exact"/>
        <w:rPr>
          <w:rFonts w:ascii="Times New Roman" w:cs="Times New Roman" w:eastAsia="Times New Roman" w:hAnsi="Times New Roman"/>
          <w:sz w:val="18"/>
          <w:szCs w:val="18"/>
          <w:color w:val="auto"/>
        </w:rPr>
      </w:pPr>
    </w:p>
    <w:p>
      <w:pPr>
        <w:ind w:left="700" w:right="120" w:hanging="307"/>
        <w:spacing w:after="0" w:line="312" w:lineRule="auto"/>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past, we have identified conditions and events that raised substantial doubt about our ability to continue as a going concern and it is possible that we may identify conditions and events in the future that raise substantial doubt about our ability to continue as a going concern.</w:t>
      </w:r>
    </w:p>
    <w:p>
      <w:pPr>
        <w:spacing w:after="0" w:line="45" w:lineRule="exact"/>
        <w:rPr>
          <w:rFonts w:ascii="Times New Roman" w:cs="Times New Roman" w:eastAsia="Times New Roman" w:hAnsi="Times New Roman"/>
          <w:sz w:val="17"/>
          <w:szCs w:val="17"/>
          <w:color w:val="auto"/>
        </w:rPr>
      </w:pPr>
    </w:p>
    <w:p>
      <w:pPr>
        <w:ind w:left="700" w:right="20" w:hanging="307"/>
        <w:spacing w:after="0" w:line="266"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expected benefits under the Cooperation Agreement with DTR, including failing to enter into a commercial agreement with or successfully integrating our platform with DTR’s technology, and may be unable to successfully negotiate the terms to acquire DTR, either of which could adversely affect our business, financial condition and results of operations.</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245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612457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Risks Related to Crypto and Our Investment Policy</w:t>
      </w:r>
    </w:p>
    <w:p>
      <w:pPr>
        <w:spacing w:after="0" w:line="133" w:lineRule="exact"/>
        <w:rPr>
          <w:sz w:val="20"/>
          <w:szCs w:val="20"/>
          <w:color w:val="auto"/>
        </w:rPr>
      </w:pPr>
    </w:p>
    <w:p>
      <w:pPr>
        <w:ind w:left="700" w:hanging="307"/>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crypto market subject us to additional risks, including the risk that banks may not provide banking services to us.</w:t>
      </w:r>
    </w:p>
    <w:p>
      <w:pPr>
        <w:spacing w:after="0" w:line="130" w:lineRule="exact"/>
        <w:rPr>
          <w:rFonts w:ascii="Times New Roman" w:cs="Times New Roman" w:eastAsia="Times New Roman" w:hAnsi="Times New Roman"/>
          <w:sz w:val="18"/>
          <w:szCs w:val="18"/>
          <w:color w:val="auto"/>
        </w:rPr>
      </w:pPr>
    </w:p>
    <w:p>
      <w:pPr>
        <w:ind w:left="700" w:right="200" w:hanging="307"/>
        <w:spacing w:after="0" w:line="282"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a perception among regulators and others that crypto is used to facilitate illegal activity such as fraud, money laundering, tax evasion and ransomware scams.</w:t>
      </w:r>
    </w:p>
    <w:p>
      <w:pPr>
        <w:spacing w:after="0" w:line="67" w:lineRule="exact"/>
        <w:rPr>
          <w:rFonts w:ascii="Times New Roman" w:cs="Times New Roman" w:eastAsia="Times New Roman" w:hAnsi="Times New Roman"/>
          <w:sz w:val="18"/>
          <w:szCs w:val="18"/>
          <w:color w:val="auto"/>
        </w:rPr>
      </w:pPr>
    </w:p>
    <w:p>
      <w:pPr>
        <w:ind w:left="700" w:right="160" w:hanging="307"/>
        <w:spacing w:after="0" w:line="266"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 custodial solutions and related technology, including our systems and custodial arrangements, are subject to risks related to a loss of funds due to theft, employee or vendor sabotage, security and cybersecurity risks, system failures and other operational issues, the loss, destruction or other compromise of our private keys and a lack of sufficient insurance.</w:t>
      </w:r>
    </w:p>
    <w:p>
      <w:pPr>
        <w:spacing w:after="0" w:line="81" w:lineRule="exact"/>
        <w:rPr>
          <w:rFonts w:ascii="Times New Roman" w:cs="Times New Roman" w:eastAsia="Times New Roman" w:hAnsi="Times New Roman"/>
          <w:sz w:val="18"/>
          <w:szCs w:val="18"/>
          <w:color w:val="auto"/>
        </w:rPr>
      </w:pPr>
    </w:p>
    <w:p>
      <w:pPr>
        <w:ind w:left="700" w:right="400" w:hanging="307"/>
        <w:spacing w:after="0" w:line="282"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safeguard and manage our and our customers’ crypto could adversely impact our business, operating results, and financial condition.</w:t>
      </w:r>
    </w:p>
    <w:p>
      <w:pPr>
        <w:spacing w:after="0" w:line="67" w:lineRule="exact"/>
        <w:rPr>
          <w:rFonts w:ascii="Times New Roman" w:cs="Times New Roman" w:eastAsia="Times New Roman" w:hAnsi="Times New Roman"/>
          <w:sz w:val="18"/>
          <w:szCs w:val="18"/>
          <w:color w:val="auto"/>
        </w:rPr>
      </w:pPr>
    </w:p>
    <w:p>
      <w:pPr>
        <w:ind w:left="700" w:hanging="307"/>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 does not have extensive historical precedent and distributed ledger technology continues to rapidly evolve.</w:t>
      </w:r>
    </w:p>
    <w:p>
      <w:pPr>
        <w:spacing w:after="0" w:line="130" w:lineRule="exact"/>
        <w:rPr>
          <w:rFonts w:ascii="Times New Roman" w:cs="Times New Roman" w:eastAsia="Times New Roman" w:hAnsi="Times New Roman"/>
          <w:sz w:val="18"/>
          <w:szCs w:val="18"/>
          <w:color w:val="auto"/>
        </w:rPr>
      </w:pPr>
    </w:p>
    <w:p>
      <w:pPr>
        <w:ind w:left="700" w:hanging="307"/>
        <w:spacing w:after="0" w:line="282"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technical issues in connection with the integration of supported crypto assets and changes and upgrades to their underlying networks, which could adversely affect our business.</w:t>
      </w:r>
    </w:p>
    <w:p>
      <w:pPr>
        <w:spacing w:after="0" w:line="67" w:lineRule="exact"/>
        <w:rPr>
          <w:rFonts w:ascii="Times New Roman" w:cs="Times New Roman" w:eastAsia="Times New Roman" w:hAnsi="Times New Roman"/>
          <w:sz w:val="18"/>
          <w:szCs w:val="18"/>
          <w:color w:val="auto"/>
        </w:rPr>
      </w:pPr>
    </w:p>
    <w:p>
      <w:pPr>
        <w:ind w:left="700" w:right="300" w:hanging="307"/>
        <w:spacing w:after="0" w:line="282"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and the market price of our securities are expected to be affected by fluctuations in the price of digital assets we may acquire in accordance with our Investment Policy, including Bitcoin, which are highly volatile assets.</w:t>
      </w:r>
    </w:p>
    <w:p>
      <w:pPr>
        <w:spacing w:after="0" w:line="67" w:lineRule="exact"/>
        <w:rPr>
          <w:rFonts w:ascii="Times New Roman" w:cs="Times New Roman" w:eastAsia="Times New Roman" w:hAnsi="Times New Roman"/>
          <w:sz w:val="18"/>
          <w:szCs w:val="18"/>
          <w:color w:val="auto"/>
        </w:rPr>
      </w:pPr>
    </w:p>
    <w:p>
      <w:pPr>
        <w:ind w:left="700" w:right="200" w:hanging="307"/>
        <w:spacing w:after="0" w:line="282"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financial results may fluctuate significantly, including because we account for digital assets we hold at fair value, which may subject us to the corporate alternative minimum tax under the Inflation Reduction Act of 2022.</w:t>
      </w:r>
    </w:p>
    <w:p>
      <w:pPr>
        <w:spacing w:after="0" w:line="67" w:lineRule="exact"/>
        <w:rPr>
          <w:rFonts w:ascii="Times New Roman" w:cs="Times New Roman" w:eastAsia="Times New Roman" w:hAnsi="Times New Roman"/>
          <w:sz w:val="18"/>
          <w:szCs w:val="18"/>
          <w:color w:val="auto"/>
        </w:rPr>
      </w:pPr>
    </w:p>
    <w:p>
      <w:pPr>
        <w:ind w:left="700" w:right="280" w:hanging="307"/>
        <w:spacing w:after="0" w:line="282"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 the price of any purchases of Bitcoin and other digital assets we may acquire in accordance with our Investment Policy will be limited.</w:t>
      </w:r>
    </w:p>
    <w:p>
      <w:pPr>
        <w:spacing w:after="0" w:line="67" w:lineRule="exact"/>
        <w:rPr>
          <w:rFonts w:ascii="Times New Roman" w:cs="Times New Roman" w:eastAsia="Times New Roman" w:hAnsi="Times New Roman"/>
          <w:sz w:val="18"/>
          <w:szCs w:val="18"/>
          <w:color w:val="auto"/>
        </w:rPr>
      </w:pPr>
    </w:p>
    <w:p>
      <w:pPr>
        <w:ind w:left="700" w:right="320" w:hanging="307"/>
        <w:spacing w:after="0" w:line="282"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decrease in the market value of any digital assets we may acquire in accordance with our Investment Policy could adversely affect our ability to satisfy financial obligations, including any debt financings.</w:t>
      </w:r>
    </w:p>
    <w:p>
      <w:pPr>
        <w:spacing w:after="0" w:line="67" w:lineRule="exact"/>
        <w:rPr>
          <w:rFonts w:ascii="Times New Roman" w:cs="Times New Roman" w:eastAsia="Times New Roman" w:hAnsi="Times New Roman"/>
          <w:sz w:val="18"/>
          <w:szCs w:val="18"/>
          <w:color w:val="auto"/>
        </w:rPr>
      </w:pPr>
    </w:p>
    <w:p>
      <w:pPr>
        <w:ind w:left="700" w:right="40" w:hanging="307"/>
        <w:spacing w:after="0" w:line="312" w:lineRule="auto"/>
        <w:tabs>
          <w:tab w:leader="none" w:pos="7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implementation of our Investment Policy, competition by other digital asset companies and the availability of spot exchange-traded products for Bitcoin and other digital assets may adversely affect our business, financial condition, results of operations and future prospects.</w:t>
      </w:r>
    </w:p>
    <w:p>
      <w:pPr>
        <w:spacing w:after="0" w:line="45" w:lineRule="exact"/>
        <w:rPr>
          <w:rFonts w:ascii="Times New Roman" w:cs="Times New Roman" w:eastAsia="Times New Roman" w:hAnsi="Times New Roman"/>
          <w:sz w:val="17"/>
          <w:szCs w:val="17"/>
          <w:color w:val="auto"/>
        </w:rPr>
      </w:pPr>
    </w:p>
    <w:p>
      <w:pPr>
        <w:ind w:left="700" w:right="120" w:hanging="307"/>
        <w:spacing w:after="0" w:line="282"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digital assets we may acquire as in accordance with our Investment Policy may not be able to serve as a source of liquidity for us to the same extent as cash and cash equivalents.</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Risks Related to Regulation, Taxation and Laws</w:t>
      </w:r>
    </w:p>
    <w:p>
      <w:pPr>
        <w:spacing w:after="0" w:line="133" w:lineRule="exact"/>
        <w:rPr>
          <w:sz w:val="20"/>
          <w:szCs w:val="20"/>
          <w:color w:val="auto"/>
        </w:rPr>
      </w:pPr>
    </w:p>
    <w:p>
      <w:pPr>
        <w:ind w:left="700" w:right="200" w:hanging="307"/>
        <w:spacing w:after="0" w:line="282"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government regulation, oversight, licensure and appraisals and our failure to comply could materially harm our business.</w:t>
      </w:r>
    </w:p>
    <w:p>
      <w:pPr>
        <w:spacing w:after="0" w:line="67" w:lineRule="exact"/>
        <w:rPr>
          <w:rFonts w:ascii="Times New Roman" w:cs="Times New Roman" w:eastAsia="Times New Roman" w:hAnsi="Times New Roman"/>
          <w:sz w:val="18"/>
          <w:szCs w:val="18"/>
          <w:color w:val="auto"/>
        </w:rPr>
      </w:pPr>
    </w:p>
    <w:p>
      <w:pPr>
        <w:jc w:val="both"/>
        <w:ind w:left="700" w:hanging="307"/>
        <w:spacing w:after="0" w:line="266"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regimes governing blockchain technologies and crypto are uncertain and may change rapidly. New regulations or policies may alter or significantly adversely affect our business practices with respect to crypto assets, and we may need to adapt our business to regulatory change quickly to succeed.</w:t>
      </w:r>
    </w:p>
    <w:p>
      <w:pPr>
        <w:spacing w:after="0" w:line="81" w:lineRule="exact"/>
        <w:rPr>
          <w:rFonts w:ascii="Times New Roman" w:cs="Times New Roman" w:eastAsia="Times New Roman" w:hAnsi="Times New Roman"/>
          <w:sz w:val="18"/>
          <w:szCs w:val="18"/>
          <w:color w:val="auto"/>
        </w:rPr>
      </w:pPr>
    </w:p>
    <w:p>
      <w:pPr>
        <w:jc w:val="both"/>
        <w:ind w:left="700" w:right="180" w:hanging="307"/>
        <w:spacing w:after="0" w:line="266"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crypto asset’s status as a “security” in any relevant jurisdiction is currently subject to a high degree of uncertainty, and if crypto assets on our platform are later determined to be securities, we may be subject to regulatory scrutiny, investigations, fines, and other penalties, which may adversely affect our business, operating results, and financial condition.</w:t>
      </w:r>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320" w:top="455" w:right="6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877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62877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00" w:right="240" w:hanging="307"/>
        <w:spacing w:after="0" w:line="282" w:lineRule="auto"/>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significant litigation risk and risk of regulatory liability and penalties. Any current or future litigation against us could be costly and time-consuming to defend.</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Risks Related to Information Technology and Data</w:t>
      </w:r>
    </w:p>
    <w:p>
      <w:pPr>
        <w:spacing w:after="0" w:line="133" w:lineRule="exact"/>
        <w:rPr>
          <w:sz w:val="20"/>
          <w:szCs w:val="20"/>
          <w:color w:val="auto"/>
        </w:rPr>
      </w:pPr>
    </w:p>
    <w:p>
      <w:pPr>
        <w:ind w:left="700" w:right="640" w:hanging="307"/>
        <w:spacing w:after="0" w:line="282"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cyberattacks, security incidents, or breaches could result in serious harm to our reputation, business and financial condition.</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Risks Related to Risk Management and Financial Reporting</w:t>
      </w:r>
    </w:p>
    <w:p>
      <w:pPr>
        <w:spacing w:after="0" w:line="133" w:lineRule="exact"/>
        <w:rPr>
          <w:sz w:val="20"/>
          <w:szCs w:val="20"/>
          <w:color w:val="auto"/>
        </w:rPr>
      </w:pPr>
    </w:p>
    <w:p>
      <w:pPr>
        <w:ind w:left="700" w:right="240" w:hanging="307"/>
        <w:spacing w:after="0" w:line="282"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effective internal controls over financial reporting, we may be unable to produce timely and accurate financial statements, which could have a material effect on our business.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principal executive offices are located at 10000 Avalon Boulevard, Suite 1000, Alpharetta, Georgia 30009. Our telephone number is</w:t>
      </w:r>
    </w:p>
    <w:p>
      <w:pPr>
        <w:spacing w:after="0" w:line="27" w:lineRule="exact"/>
        <w:rPr>
          <w:sz w:val="20"/>
          <w:szCs w:val="20"/>
          <w:color w:val="auto"/>
        </w:rPr>
      </w:pPr>
    </w:p>
    <w:p>
      <w:pPr>
        <w:ind w:left="300" w:right="60" w:hanging="2"/>
        <w:spacing w:after="0" w:line="260" w:lineRule="auto"/>
        <w:tabs>
          <w:tab w:leader="none" w:pos="7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534-5849. Our website is </w:t>
      </w:r>
      <w:r>
        <w:rPr>
          <w:rFonts w:ascii="Times New Roman" w:cs="Times New Roman" w:eastAsia="Times New Roman" w:hAnsi="Times New Roman"/>
          <w:sz w:val="18"/>
          <w:szCs w:val="18"/>
          <w:i w:val="1"/>
          <w:iCs w:val="1"/>
          <w:color w:val="auto"/>
        </w:rPr>
        <w:t>https://www.bakkt.com</w:t>
      </w:r>
      <w:r>
        <w:rPr>
          <w:rFonts w:ascii="Times New Roman" w:cs="Times New Roman" w:eastAsia="Times New Roman" w:hAnsi="Times New Roman"/>
          <w:sz w:val="18"/>
          <w:szCs w:val="18"/>
          <w:color w:val="auto"/>
        </w:rPr>
        <w:t>. Information contained on, or that can be accessed through, our website is not a part of, and is not incorporated into, this prospectus, and the inclusion of our website address in this prospectus is an inactive textual reference only.</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Issuance of the Convertible Debenture to the Selling Stockholder</w:t>
      </w:r>
    </w:p>
    <w:p>
      <w:pPr>
        <w:spacing w:after="0" w:line="121" w:lineRule="exact"/>
        <w:rPr>
          <w:sz w:val="20"/>
          <w:szCs w:val="20"/>
          <w:color w:val="auto"/>
        </w:rPr>
      </w:pPr>
    </w:p>
    <w:p>
      <w:pPr>
        <w:ind w:left="300" w:right="200" w:firstLine="426"/>
        <w:spacing w:after="0" w:line="266" w:lineRule="auto"/>
        <w:rPr>
          <w:sz w:val="20"/>
          <w:szCs w:val="20"/>
          <w:color w:val="auto"/>
        </w:rPr>
      </w:pPr>
      <w:r>
        <w:rPr>
          <w:rFonts w:ascii="Times New Roman" w:cs="Times New Roman" w:eastAsia="Times New Roman" w:hAnsi="Times New Roman"/>
          <w:sz w:val="18"/>
          <w:szCs w:val="18"/>
          <w:color w:val="auto"/>
        </w:rPr>
        <w:t>Pursuant to the terms of the Purchase Agreement, the Selling Stockholder purchased a $25 million convertible debenture (the “Convertible Debenture”) from the Company for a price of $23.75 million (the “Purchase Amount”) in a private placement (the “Private Placement”). The Private Placement closed on June 18, 2025.</w:t>
      </w:r>
    </w:p>
    <w:p>
      <w:pPr>
        <w:spacing w:after="0" w:line="176" w:lineRule="exact"/>
        <w:rPr>
          <w:sz w:val="20"/>
          <w:szCs w:val="20"/>
          <w:color w:val="auto"/>
        </w:rPr>
      </w:pPr>
    </w:p>
    <w:p>
      <w:pPr>
        <w:ind w:left="300" w:right="400" w:firstLine="426"/>
        <w:spacing w:after="0" w:line="261" w:lineRule="auto"/>
        <w:rPr>
          <w:sz w:val="20"/>
          <w:szCs w:val="20"/>
          <w:color w:val="auto"/>
        </w:rPr>
      </w:pPr>
      <w:r>
        <w:rPr>
          <w:rFonts w:ascii="Times New Roman" w:cs="Times New Roman" w:eastAsia="Times New Roman" w:hAnsi="Times New Roman"/>
          <w:sz w:val="18"/>
          <w:szCs w:val="18"/>
          <w:color w:val="auto"/>
        </w:rPr>
        <w:t>The Convertible Debenture accrues interest on the outstanding principal balance at an annual rate equal to 0%, which will increase to an annual rate of 18% upon the occurrence of an Event of Default (as defined in the Convertible Debenture) for so long as the Event of Default remains uncured. The Convertible Debenture will mature on the first anniversary of the Closing Date, as may be extended at the option of the Selling Stockholder (the “Maturity Date”).</w:t>
      </w:r>
    </w:p>
    <w:p>
      <w:pPr>
        <w:spacing w:after="0" w:line="180" w:lineRule="exact"/>
        <w:rPr>
          <w:sz w:val="20"/>
          <w:szCs w:val="20"/>
          <w:color w:val="auto"/>
        </w:rPr>
      </w:pPr>
    </w:p>
    <w:p>
      <w:pPr>
        <w:ind w:left="300" w:right="160" w:firstLine="426"/>
        <w:spacing w:after="0" w:line="261" w:lineRule="auto"/>
        <w:rPr>
          <w:sz w:val="20"/>
          <w:szCs w:val="20"/>
          <w:color w:val="auto"/>
        </w:rPr>
      </w:pPr>
      <w:r>
        <w:rPr>
          <w:rFonts w:ascii="Times New Roman" w:cs="Times New Roman" w:eastAsia="Times New Roman" w:hAnsi="Times New Roman"/>
          <w:sz w:val="18"/>
          <w:szCs w:val="18"/>
          <w:color w:val="auto"/>
        </w:rPr>
        <w:t>For so long as there is a balance outstanding under the Convertible Debenture, the Selling Stockholder, in its sole discretion, may deliver to the Company a conversion notice (the “Conversion Notice”) to cause any portion of the outstanding and unpaid balance under the Convertible Debenture to be converted (the “Conversion Amount”) into the Company’s Class A Common Stock. The Conversion Amount will not exceed the balance owed under the Convertible Debenture on the date of delivery of the Conversion Notice.</w:t>
      </w:r>
    </w:p>
    <w:p>
      <w:pPr>
        <w:spacing w:after="0" w:line="180"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The shares of Class A Common Stock will be issued and sold to the Selling Stockholder at a per share price (the “Conversion Price”) equal to the lower of (i) $14.51 per share or (ii) 97% of the lowest daily volume weighted average price during the five consecutive trading days immediately preceding the Conversion Date (the “Variable Price”), but which Variable Price shall not be lower than $2.418. The shares of Class A Common Stock will be issued and sold to the Selling Stockholder at the Conversion Price that would be applicable to the Conversion Amount selected by the Selling Stockholder if such amount were to be converted as of the date of delivery of the Conversion Notice. The amount outstanding under the Convertible Debenture will then be offset by the Conversion Amount.</w:t>
      </w:r>
    </w:p>
    <w:p>
      <w:pPr>
        <w:spacing w:after="0" w:line="187" w:lineRule="exact"/>
        <w:rPr>
          <w:sz w:val="20"/>
          <w:szCs w:val="20"/>
          <w:color w:val="auto"/>
        </w:rPr>
      </w:pPr>
    </w:p>
    <w:p>
      <w:pPr>
        <w:ind w:left="300" w:right="220" w:firstLine="426"/>
        <w:spacing w:after="0" w:line="282" w:lineRule="auto"/>
        <w:rPr>
          <w:sz w:val="20"/>
          <w:szCs w:val="20"/>
          <w:color w:val="auto"/>
        </w:rPr>
      </w:pPr>
      <w:r>
        <w:rPr>
          <w:rFonts w:ascii="Times New Roman" w:cs="Times New Roman" w:eastAsia="Times New Roman" w:hAnsi="Times New Roman"/>
          <w:sz w:val="18"/>
          <w:szCs w:val="18"/>
          <w:color w:val="auto"/>
        </w:rPr>
        <w:t>To the extent any balance remains outstanding under the Convertible Debenture on the Maturity Date, the Company will pay to the Selling Stockholder such outstanding balance in cash.</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320" w:top="455" w:right="6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6645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36645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Actual issuances of shares of Class A Common Stock to the Selling Stockholder on conversion of the Convertible Debenture will depend on a variety of factors, which may include, among other things, market conditions, the trading price of our Class A Common Stock and any determinations made by the Selling Stockholder as to the appropriateness and timing of acquiring shares under the Convertible Debenture.</w:t>
      </w:r>
    </w:p>
    <w:p>
      <w:pPr>
        <w:spacing w:after="0" w:line="174" w:lineRule="exact"/>
        <w:rPr>
          <w:sz w:val="20"/>
          <w:szCs w:val="20"/>
          <w:color w:val="auto"/>
        </w:rPr>
      </w:pPr>
    </w:p>
    <w:p>
      <w:pPr>
        <w:ind w:left="300" w:right="20" w:firstLine="426"/>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The Securities Purchase Agreement, The Convertible Debenture, The Guarantee Agreement And The Registration Rights Agreement</w:t>
      </w:r>
      <w:r>
        <w:rPr>
          <w:rFonts w:ascii="Times New Roman" w:cs="Times New Roman" w:eastAsia="Times New Roman" w:hAnsi="Times New Roman"/>
          <w:sz w:val="18"/>
          <w:szCs w:val="18"/>
          <w:color w:val="auto"/>
        </w:rPr>
        <w:t>” on page 10 of this prospectus for additional information.</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Securities That May Be Offered</w:t>
      </w:r>
    </w:p>
    <w:p>
      <w:pPr>
        <w:spacing w:after="0" w:line="121"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The Selling Stockholder may offer up to 10,339,123 shares of our Class A Common Stock. As at June 17, 2025, there are 6,969,532 shares of Class A Common Stock outstanding. After giving effect to the issuance of the maximum number of shares of Class A Common Stock offered hereunder, 17,308,655 shares of Class A Common Stock would be outstanding. If it becomes necessary for us to issue and sell to the Selling Stockholder over 2,827,906 shares of Class A Common Stock (the “Exchange Cap”) in connection with the Convertible Debenture, we must first obtain stockholder approval prior to issuing shares of the Class A Common Stock in excess of the Exchange Cap in accordance with the listing rules of the New York Stock Exchange (the “NYSE Rules”). It is possible we may not receive such stockholder approval.</w:t>
      </w:r>
    </w:p>
    <w:p>
      <w:pPr>
        <w:spacing w:after="0" w:line="187"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The securities may be sold to or through underwriters, dealers or agents or directly to purchasers or as otherwise set forth in the section of this prospectus captioned “Plan of Distribution.”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21"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Holders of our Class A Common Stock are entitled to receive dividends declared by our board of directors out of funds legally available for the payment of dividends, subject to rights, if any, of preferred stockholders. We have not paid dividends in the past and have no current plans to pay dividends. Each holder of Class A Common Stock is entitled to one vote per share. The holders of Class A Common Stock have no preemptive rights.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An investment in our Class A Common Stock involves a high degree of risk. Before you decide whether to purchase our Class A Common Stock in this offering, you should consider the risks described below,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Annual Report on Form 10-K and in “Part II—Item 1A—Risk Factors” of our Quarterly Reports on Form 10-Q filed subsequently to such Form 10-K that are incorporated herein by reference, as may be amended, supplemented or superseded from time to time by other reports we file with the SEC in the future. In addition, you should consider the risks, uncertainties and assumptions discussed under the heading “Risk Factors Related to the Update of Our Investment Policy” in Exhibit 99.1 to our Current Report on Form 8-K filed on June 10, 2025 that is incorporated by reference in this prospectus before you invest in our securities. The risks and uncertainties we have described are not the only ones we face. Additional risks and uncertainties not presently known to us or that we currently deem immaterial may also affect our operations.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of Class A Common Stock we will issue to the Selling Stockholder on conversion of the Convertible Debenture.</w:t>
      </w:r>
    </w:p>
    <w:p>
      <w:pPr>
        <w:spacing w:after="0" w:line="5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Selling Stockholder generally has the right to control the timing and amount of conversions of any amounts outstanding under the Convertible Debenture into our shares of Class A Common Stock. Generally, issuances of our Class A Common Stock to the Selling Stockholder on conversion of the Convertible Debenture will depend upon market conditions and other factors to be determined by the Selling Stockholder.</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Because the Conversion Price per share under the Convertible Debenture will fluctuate based on the market prices of our Class A Common Stock, it is not possible for us to predict, as of the date of this prospectus and prior to any such conversions, the number of shares of Class A Common Stock that we will issue to the Selling Stockholder under the Convertible Debenture or what the Conversion Price for such shares will be.</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If it becomes necessary for us to issue and sell to the Selling Stockholder over the Exchange Cap of 2,827,906 shares in connection with the Convertible Debenture, we must first obtain stockholder approval prior to issuing shares of the Class A Common Stock in excess of the Exchange Cap in accordance with applicable NYSE Rules. It is possible we may not receive such stockholder approval.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Investors who buy shares at different times will likely pay different prices.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Pursuant to the Convertible Debenture, the Selling Stockholder will generally have discretion to vary the timing, prices, and numbers of shares issued on conversion of the Convertible Debenture. After the Selling Stockholder has acquired such shares, the Selling Stockholder may resell all, some, or none of such shares at any time or from time to time in its discretion and at different prices. As a result, investors who purchase shares from the Selling Stockholder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the Selling Stockholder in this offering as a result of future sales made by us to the Selling Stockholder at prices lower than the prices such investors paid for their shares in this offering. In addition, if we issue a substantial number of shares to the Selling Stockholder on conversion of the Convertible Debenture, or if investors expect that we will do so, the actual sales of shares or the mere existence of our arrangement with the Selling Stockholder may make it more difficult for us to sell equity or equity-related securities in the future at a time and at a price that we might otherwise wish to effect such sales.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our securities in the public market could cause the price of our shares of Class A Common Stock to fall.</w:t>
      </w:r>
    </w:p>
    <w:p>
      <w:pPr>
        <w:spacing w:after="0" w:line="121" w:lineRule="exact"/>
        <w:rPr>
          <w:sz w:val="20"/>
          <w:szCs w:val="20"/>
          <w:color w:val="auto"/>
        </w:rPr>
      </w:pPr>
    </w:p>
    <w:p>
      <w:pPr>
        <w:ind w:left="120" w:right="380" w:firstLine="440"/>
        <w:spacing w:after="0" w:line="276" w:lineRule="auto"/>
        <w:rPr>
          <w:sz w:val="20"/>
          <w:szCs w:val="20"/>
          <w:color w:val="auto"/>
        </w:rPr>
      </w:pPr>
      <w:r>
        <w:rPr>
          <w:rFonts w:ascii="Times New Roman" w:cs="Times New Roman" w:eastAsia="Times New Roman" w:hAnsi="Times New Roman"/>
          <w:sz w:val="17"/>
          <w:szCs w:val="17"/>
          <w:color w:val="auto"/>
        </w:rPr>
        <w:t>The Selling Stockholder can resell, under this prospectus, up to 10,339,123 shares of Class A Common Stock. If all of the 10,339,123 shares offered for resale by the Selling Stockholder under this prospectus were issued and outstanding as of June 17, 2025 (without taking into account the</w:t>
      </w:r>
    </w:p>
    <w:p>
      <w:pPr>
        <w:spacing w:after="0" w:line="1" w:lineRule="exact"/>
        <w:rPr>
          <w:sz w:val="20"/>
          <w:szCs w:val="20"/>
          <w:color w:val="auto"/>
        </w:rPr>
      </w:pPr>
    </w:p>
    <w:p>
      <w:pPr>
        <w:jc w:val="both"/>
        <w:ind w:left="120" w:right="60"/>
        <w:spacing w:after="0" w:line="253" w:lineRule="auto"/>
        <w:rPr>
          <w:sz w:val="20"/>
          <w:szCs w:val="20"/>
          <w:color w:val="auto"/>
        </w:rPr>
      </w:pPr>
      <w:r>
        <w:rPr>
          <w:rFonts w:ascii="Times New Roman" w:cs="Times New Roman" w:eastAsia="Times New Roman" w:hAnsi="Times New Roman"/>
          <w:sz w:val="18"/>
          <w:szCs w:val="18"/>
          <w:color w:val="auto"/>
        </w:rPr>
        <w:t>19.9% Exchange Cap limitation), such shares would represent approximately 42% of the total number of outstanding shares of voting securities of our Company. If it becomes necessary for us to issue and sell to the Selling Stockholder shares of Class A Common Stock in excess of the Exchange Cap in connection with the Convertible Debenture, we must first obtain stockholder approval prior to issuing shares of the Class A Common Stock in excess of the Exchange Cap in accordance with applicable NYSE Rules.</w:t>
      </w:r>
    </w:p>
    <w:p>
      <w:pPr>
        <w:spacing w:after="0" w:line="18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our shares of Class A Common Stock in the public market by the Selling Stockholder and/or by our other existing stockholders, or the perception that those sales might occur, could depress the market price of our shares of Class A Common Stock and could impair our ability to raise capital through the sale of additional equity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Class A 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Class A Common Stock could lower our stock price and dilute existing stockholders.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may, in the future, sell additional shares of Class A Common Stock in subsequent public or private offerings. We cannot predict the size or terms of future issuances of our Class A Common Stock or the effect, if any, that future sales and issuances of shares of our Class A Common Stock will have on the market price of our Class A Common Stock. Sales of substantial amounts of our Class A Common Stock, or the perception that such sales could occur, may adversely affect prevailing market prices for our Class A Common Stock. In addition, these sales may be dilutive to existing stockholders.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fail to meet our publicly announced guidance or other expectations about our business, which would cause our stock price to decline.</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may provide guidance regarding our expected financial and business performance, such as projections regarding sales and production, as well as anticipated future revenue, gross margins, profitability, and cash flows. Correctly identifying key factors affecting business conditions and predicting future events is inherently an uncertain process and our guidance may not ultimately be accurate. Our guidance is based on certain assumptions such as those relating to anticipated production and sales volumes and average sales prices, supplier and commodity costs, and planned cost reductions. If our guidance is not accurate or varies from actual results due to our inability to meet our assumptions or the impact on our financial performance that could occur as a result of various risks and uncertainties, the market value of our Class A Common Stock could decline significantly.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have never declared nor paid cash dividends on our capital stock. We currently intend to retain any future earnings to finance the operation and expansion of our business, and we do not expect to declare or pay any dividends in the foreseeable future. Consequently, stockholders must rely on sales of their Class A Common Stock after price appreciation, which may never occur, as the only way to realize any future gains on their investment.</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This prospectus, any accompanying prospectus supplement and the documents incorporated by reference herein and therein contain forward-looking statements within the meaning of the federal securities laws, which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that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included or incorporated by reference into this prospectus may include, for example, statements about:</w:t>
      </w:r>
    </w:p>
    <w:p>
      <w:pPr>
        <w:spacing w:after="0" w:line="97"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for our products and services;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impacts from the adoption of our updated Investment Policy.</w:t>
      </w:r>
    </w:p>
    <w:p>
      <w:pPr>
        <w:spacing w:after="0" w:line="225"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they were made and reflect management’s expectations, forecasts and assumptions as of such date,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83"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81"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manage growth profitably;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unable to obtain the applicable regulatory approvals to execute on the cooperation agreement with DTR;</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finalizing the proposed commercial agreement with DTR, including whether such agreement will be executed on terms favorable to us or if at all, or be completed on the expected timeline, and whether we will be able to successfully integrate its operations with those of DTR, including its infrastructure, and achieve the expected benefits therefrom;</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environment for crypto currencies and digital stablecoin payments;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strategy, including our adoption of the updated Investment Policy;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digital assets, including Bitcoin;</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owning digital assets, including Bitcoin, including price volatility, limited liquidity and trading volumes, relative anonymity, potential widespread susceptibility to market abuse and manipulation, compliance and internal control failures at exchanges and other risks inherent in its entirely electronic, virtual-form and decentralized network;</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fluctuation of our operating results, including because we may be required to account for our digital assets at fair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 the price of our purchase of digital assets pursuant to our updated Investment Policy;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market value of digital assets on our ability to satisfy our financial obligations, including any debt financings;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fair value gains on our digital asset holdings subjecting us to the corporate alternative minimum tax;</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commercial, regulatory and technical uncertainty regarding digital assets and enhanced regulatory oversight of companies holding digital assets including the possibility that regulators reclassify any digital assets we hold, including Bitcoin, as a security causing us to be in violation of securities laws and be classified as an “investment company” under the Investment Company Act of 1940;</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by other Bitcoin treasury companies and the availability of spot-traded products for Bitcoin;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regulatory oversight as a result of our updated Investment Policy;</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expected digital asset holdings relative to non-digital assets;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use our digital asset holdings as a source of liquidity to the same extent as cash and cash equivalents, due to, for example, risks associated with digital assets and other risks inherent to its entirely electronic, virtual-form and decentralized network;</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or a third-party service provider experiencing a security breach or cyber-attack where unauthorized parties obtain access to digital assets;</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access to or theft or data loss of our digital assets, which could be unrecoverable due to the immutable nature of blockchain transactions;</w:t>
      </w:r>
    </w:p>
    <w:p>
      <w:pPr>
        <w:spacing w:after="0" w:line="67"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elect to hold our digital assets through a third-party custodian, the loss of direct control over our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compromised, including as a result of a cyber-attack;</w:t>
      </w:r>
    </w:p>
    <w:p>
      <w:pPr>
        <w:spacing w:after="0" w:line="85"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not being subject to the legal and regulatory protections applicable to investment companies such as mutual funds and exchange-traded funds, or to obligations applicable to investment advisers;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non-performance, breach of contract or other violations by counterparties assisting us in effecting our updated Investment Policy;</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 including funds to satisfy our liquidity needs and continued access to the line of credit provided by Intercontinental Exchange Holdings, Inc.;</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in which we compete, including with respect to our competitive landscape, technology evolution or changes in applicable laws or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that we target;</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disruptions in the crypto, digital payments and stablecoin markets that subject us to additional risks, including the risk that banks may not provide banking services to us and market sentiments regarding crypto currencies, digital payments and stablecoins;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macroeconomic, geopolitical, business, and/or competitive factors;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launch new services and products, including with our expected commercial partners, or to profitably expand into new markets and services;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growth strategies, including identifying and executing acquisitions and divestitures and our initiatives to add new clients;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reach definitive agreements with our expected commercial counterparties;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a strategic transaction of the Loyalty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extensive government regulations, oversight, licensure and appraisals;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 and evolving regulatory regime governing blockchain technologies, stablecoins, digital payments and crypto;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effective internal controls and procedures;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exposure to any liability, protracted and costly litigation or reputational damage relating to our data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goodwill or other intangible assets impairments on our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securities on the New York Stock Exchange; and</w:t>
      </w:r>
    </w:p>
    <w:p>
      <w:pPr>
        <w:spacing w:after="0" w:line="128" w:lineRule="exact"/>
        <w:rPr>
          <w:rFonts w:ascii="Times New Roman" w:cs="Times New Roman" w:eastAsia="Times New Roman" w:hAnsi="Times New Roman"/>
          <w:sz w:val="18"/>
          <w:szCs w:val="18"/>
          <w:color w:val="auto"/>
        </w:rPr>
      </w:pPr>
    </w:p>
    <w:p>
      <w:pPr>
        <w:ind w:left="1080" w:right="140" w:hanging="424"/>
        <w:spacing w:after="0" w:line="284"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this prospectus, including those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any risk factors described in any amendments or supplements to this prospectus and in the documents incorporated by reference herein.</w:t>
      </w:r>
    </w:p>
    <w:p>
      <w:pPr>
        <w:spacing w:after="0" w:line="3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the resale of shares of Class A Common Stock included in this prospectus by the Selling Stockholder. However, we have received net proceeds of $23,725,000 for the issuance of the Convertible Debenture, which we expect to use for working capital and other general corporate purposes.</w:t>
      </w:r>
    </w:p>
    <w:p>
      <w:pPr>
        <w:spacing w:after="0" w:line="3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description of our capital stock is incorporated by reference to Exhibit 4.9 to our Annual Report on Form 10-K for the fiscal year ended December 31, 2024, filed with the SEC on March 20, 2025.</w:t>
      </w:r>
    </w:p>
    <w:p>
      <w:pPr>
        <w:spacing w:after="0" w:line="374" w:lineRule="exact"/>
        <w:rPr>
          <w:sz w:val="20"/>
          <w:szCs w:val="20"/>
          <w:color w:val="auto"/>
        </w:rPr>
      </w:pPr>
    </w:p>
    <w:p>
      <w:pPr>
        <w:jc w:val="center"/>
        <w:ind w:left="520" w:right="160"/>
        <w:spacing w:after="0" w:line="286" w:lineRule="auto"/>
        <w:rPr>
          <w:sz w:val="20"/>
          <w:szCs w:val="20"/>
          <w:color w:val="auto"/>
        </w:rPr>
      </w:pPr>
      <w:r>
        <w:rPr>
          <w:rFonts w:ascii="Times New Roman" w:cs="Times New Roman" w:eastAsia="Times New Roman" w:hAnsi="Times New Roman"/>
          <w:sz w:val="18"/>
          <w:szCs w:val="18"/>
          <w:b w:val="1"/>
          <w:bCs w:val="1"/>
          <w:color w:val="auto"/>
        </w:rPr>
        <w:t>THE SECURITIES PURCHASE AGREEMENT, THE CONVERTIBLE DEBENTURE, THE GUARANTEE AGREEMENT AND THE REGISTRATION RIGHTS AGREEMENT</w:t>
      </w:r>
    </w:p>
    <w:p>
      <w:pPr>
        <w:spacing w:after="0" w:line="15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On June 17, 2025, the Company entered into the Purchase Agreement with the Selling Stockholder. Pursuant to the terms of the Purchase Agreement, the Selling Stockholder purchased the $25 million Convertible Debenture from the Company for a Purchase Amount of $23.75 million in the Private Placement. The Private Placement closed on June 18, 2025. The Company intends to use the net proceeds from the Private Placement for working capital and general corporate purposes.</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Convertible Debenture accrues interest on the outstanding principal balance at an annual rate equal to 0%, which will increase to an annual rate of 18% upon the occurrence of an Event of Default (as defined in the Convertible Debenture) for so long as the Event of Default remains uncured. The Convertible Debenture will mature on the Maturity Date, which is the first anniversary of the Closing Date, as may be extended at the option of the Selling Stockholder.</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For so long as there is a balance outstanding under the Convertible Debenture, the Selling Stockholder, in its sole discretion, may deliver to the Company a Conversion Notice to cause any portion of the outstanding and unpaid balance under the Convertible Debenture to be converted (the “Conversion Amount”) into the Company’s Class A Common Stock. The Conversion Amount will not exceed the balance owed under the Convertible Debenture on the date of delivery of the Conversion Notice.</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40"/>
          </w:cols>
          <w:pgMar w:left="320" w:top="455" w:right="5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shares of Class A Common Stock will be issued and sold to the Selling Stockholder at a Conversion Price per share equal to the lower of</w:t>
      </w:r>
    </w:p>
    <w:p>
      <w:pPr>
        <w:spacing w:after="0" w:line="27" w:lineRule="exact"/>
        <w:rPr>
          <w:sz w:val="20"/>
          <w:szCs w:val="20"/>
          <w:color w:val="auto"/>
        </w:rPr>
      </w:pPr>
    </w:p>
    <w:p>
      <w:pPr>
        <w:ind w:left="120" w:right="260" w:hanging="4"/>
        <w:spacing w:after="0" w:line="253"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$14.51 per share or (ii) a Variable Price of 97% of the lowest daily volume weighted average price during the five consecutive trading days immediately preceding the Conversion Date, but which Variable Price shall not be lower than $2.418. The shares of Class A Common Stock will be issued and sold to the Selling Stockholder at the Conversion Price that would be applicable to the Conversion Amount selected by the Selling Stockholder if such amount were to be converted as of the date of delivery of the Conversion Notice. The amount outstanding under the Convertible Debenture will then be offset by the Conversion Amount.</w:t>
      </w:r>
    </w:p>
    <w:p>
      <w:pPr>
        <w:spacing w:after="0" w:line="187"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To the extent any balance remains outstanding under the Convertible Debenture on the Maturity Date, the Company will pay to the Selling Stockholder such outstanding balance in cash.</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paid the Selling Stockholder a one-time due diligence and structuring fee of $25,000.</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Under NYSE Rules and pursuant to the Purchase Agreement, in no event may the Company issue to the Selling Stockholder shares of Class A Common Stock in excess of an Exchange Cap of 2,827,906 shares, which is 19.9% of our voting securities outstanding on the date of the Purchase Agreement, unless the Company obtains stockholder approval to issue shares of Class A Common Stock in excess of the Exchange Cap. The Company may issue any shares of Class A Common Stock under the Purchase Agreement only in compliance with applicable NYSE Rules.</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the Company may not issue any shares of Class A Common Stock to the Selling Stockholder under the Purchase Agreement or under the Convertible Debenture, if, when aggregated with all other shares of Class A Common Stock then beneficially owned by the Selling Stockholder, the Selling Stockholder’s beneficial ownership would exceed 4.99% of the then-outstanding shares of Class A Common Stock (the “Beneficial Ownership Limitation”).</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cannot assign the Purchase Agreement or any rights or obligations thereunder without the prior written consent of the Selling Stockholder. The Selling Stockholder may assign all, or a portion, of its rights and obligations under the Purchase Agreement without the consent of the Company, in which event such assignee shall be deemed to be the Selling Stockholder thereunder.</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Purchase Agreement contains customary representations, covenants, warranties, conditions, and indemnification obligations of the parties, including limitations on the Company’s incurrence of additional indebtedness, subject to certain exceptions. The representations, warranties, and covenants contained in the Purchase Agreement were made only for purposes of such agreement and as of specific dates, were solely for the benefit of the parties to such agreement and are subject to limitations agreed upon by the parties.</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Company’s obligations with respect to the Purchase Agreement and under the Convertible Debenture are guaranteed by Bakkt Opco Holdings, LLC, a Delaware limited liability company (“Bakkt Opco”), pursuant to a global guaranty agreement (the “Guarantee Agreement”) entered into by Bakkt Opco in favor of the Selling Stockholder on June 17, 2025.</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Purchase Agreement, the Company entered into the Registration Rights Agreement with the Selling Stockholder, pursuant to which the Company agreed to use commercially reasonable efforts to file and have declared effective a registration statement to register the resale of the Class A Common Stock issued upon conversion of the Convertible Debenture.</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Actual issuances of shares of Class A Common Stock to the Selling Stockholder on conversion of the Convertible Debenture will depend on a variety of factors, which may include, among other things, market conditions, the trading price of our Class A Common Stock and any determinations made by the Selling Stockholder as to the appropriateness and timing of acquiring shares under the Convertible Debenture.</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40"/>
          </w:cols>
          <w:pgMar w:left="320" w:top="455" w:right="5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Purchase Agreement, the Convertible Debenture, the Guarantee Agreement and the Registration Rights Agreement does not purport to be complete and is qualified in its entirety by reference to the full text of the Purchase Agreement, which is attached hereto as Exhibit 10.1, the Convertible Debenture, which is filed as Exhibit 4.2, the Guarantee Agreement, which is attached hereto as Exhibit 4.3, and the Registration Rights Agreement, which is attached hereto as Exhibit 4.4, respectively, and each is incorporated herein by reference.</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2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cannot currently determine the price or prices at which shares of Class A Common Stock may be sold by the Selling Stockholder under this prospectus.</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This prospectus relates to the offer and sale by the Selling Stockholder from time to time of up to 10,339,123 shares of Class A Common Stock that may be issued by us to the Selling Stockholder upon conversion of the Convertible Debenture. For additional information regarding the issuance of the Convertible Debenture, see “The </w:t>
      </w:r>
      <w:r>
        <w:rPr>
          <w:rFonts w:ascii="Times New Roman" w:cs="Times New Roman" w:eastAsia="Times New Roman" w:hAnsi="Times New Roman"/>
          <w:sz w:val="18"/>
          <w:szCs w:val="18"/>
          <w:i w:val="1"/>
          <w:iCs w:val="1"/>
          <w:color w:val="auto"/>
        </w:rPr>
        <w:t>Securities Purchase Agreement, The Convertible Debenture, The Guarantee Agreement and the Registration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registering these 10,339,123 shares of Class A Common Stock for sale by the Selling Stockholder pursuant to the Registration Rights Agreement in order to permit the Selling Stockholder to offer the shares included in this prospectus for resale from time to time. Except for the transactions contemplated by the Purchase Agreement and ownership of the Convertible Debenture pursuant to the Purchase Agreement, and as set forth in the section titled “Plan of Distribution” in this prospectus, the Selling Stockholder has not had any material relationship with us within the past three years.</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percent of beneficial ownership in the table below is based on (i) 6,969,532 shares of Class A Common Stock issued and outstanding as of June 17, 2025 and (ii) the issuance to the Selling Stockholder of 366,045 Conversion Shares which as at the date of this prospectus has not occurred. Beneficial ownership is determined in accordance with the rules of the SEC. These rules generally attribute beneficial ownership of securities to persons who possess sole or shared voting power or investment power with respect to such securities. Based on the information provided to us by the Selling Stockholder, the Selling Stockholder has sole voting and investment power with respect to our shares of Class A Common Stock beneficially owned by it.</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number of shares in the column titled “Maximum Number of Securities Being Offered” represents all of the shares of Class A Common Stock being offered for resale by the Selling Stockholder under this prospectus. The Selling Stockholder may sell some, all, or none of the shares being offered for resale in this offering. If the Selling Stockholder exercises its right to convert the Convertible Debenture into Class A Common Stock, we do not know how long the Selling Stockholder will hold the shares before selling them, and we are not aware of any existing arrangements between the Selling Stockholder and any other stockholder, broker, dealer, underwriter, or agent relating to the sale or distribution of the Class A Common Stock being offered for resale by this prospectus.</w:t>
      </w:r>
    </w:p>
    <w:p>
      <w:pPr>
        <w:spacing w:after="0" w:line="18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column titled “Securities Owned After the Offering” in the table below assumes the resale by the Selling Stockholder of all of the shares of Class A Common Stock being offered for resale pursuant to this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prospectus. The number of ordinary shares that may actually be issued upon conversion of the Convertible Debenture pursuant to the terms thereof may be more than the number of shares being offered by this prospectus.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680" w:type="dxa"/>
            <w:vAlign w:val="bottom"/>
            <w:gridSpan w:val="4"/>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Shares of Class A Common</w:t>
            </w:r>
          </w:p>
        </w:tc>
        <w:tc>
          <w:tcPr>
            <w:tcW w:w="15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24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Shares of Class A Common</w:t>
            </w:r>
          </w:p>
        </w:tc>
        <w:tc>
          <w:tcPr>
            <w:tcW w:w="0" w:type="dxa"/>
            <w:vAlign w:val="bottom"/>
          </w:tcPr>
          <w:p>
            <w:pPr>
              <w:spacing w:after="0"/>
              <w:rPr>
                <w:sz w:val="1"/>
                <w:szCs w:val="1"/>
                <w:color w:val="auto"/>
              </w:rPr>
            </w:pPr>
          </w:p>
        </w:tc>
      </w:tr>
      <w:tr>
        <w:trPr>
          <w:trHeight w:val="54"/>
        </w:trPr>
        <w:tc>
          <w:tcPr>
            <w:tcW w:w="1760" w:type="dxa"/>
            <w:vAlign w:val="bottom"/>
          </w:tcPr>
          <w:p>
            <w:pPr>
              <w:spacing w:after="0"/>
              <w:rPr>
                <w:sz w:val="4"/>
                <w:szCs w:val="4"/>
                <w:color w:val="auto"/>
              </w:rPr>
            </w:pPr>
          </w:p>
        </w:tc>
        <w:tc>
          <w:tcPr>
            <w:tcW w:w="2820" w:type="dxa"/>
            <w:vAlign w:val="bottom"/>
          </w:tcPr>
          <w:p>
            <w:pPr>
              <w:spacing w:after="0"/>
              <w:rPr>
                <w:sz w:val="4"/>
                <w:szCs w:val="4"/>
                <w:color w:val="auto"/>
              </w:rPr>
            </w:pPr>
          </w:p>
        </w:tc>
        <w:tc>
          <w:tcPr>
            <w:tcW w:w="2680" w:type="dxa"/>
            <w:vAlign w:val="bottom"/>
            <w:gridSpan w:val="4"/>
            <w:vMerge w:val="continue"/>
          </w:tcPr>
          <w:p>
            <w:pPr>
              <w:spacing w:after="0"/>
              <w:rPr>
                <w:sz w:val="4"/>
                <w:szCs w:val="4"/>
                <w:color w:val="auto"/>
              </w:rPr>
            </w:pPr>
          </w:p>
        </w:tc>
        <w:tc>
          <w:tcPr>
            <w:tcW w:w="1520" w:type="dxa"/>
            <w:vAlign w:val="bottom"/>
            <w:gridSpan w:val="2"/>
            <w:vMerge w:val="restart"/>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22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7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680" w:type="dxa"/>
            <w:vAlign w:val="bottom"/>
            <w:gridSpan w:val="4"/>
            <w:vMerge w:val="restart"/>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Stock Beneficially Owned</w:t>
            </w:r>
          </w:p>
        </w:tc>
        <w:tc>
          <w:tcPr>
            <w:tcW w:w="1520" w:type="dxa"/>
            <w:vAlign w:val="bottom"/>
            <w:gridSpan w:val="2"/>
            <w:vMerge w:val="continue"/>
          </w:tcPr>
          <w:p>
            <w:pPr>
              <w:spacing w:after="0"/>
              <w:rPr>
                <w:sz w:val="8"/>
                <w:szCs w:val="8"/>
                <w:color w:val="auto"/>
              </w:rPr>
            </w:pPr>
          </w:p>
        </w:tc>
        <w:tc>
          <w:tcPr>
            <w:tcW w:w="2240" w:type="dxa"/>
            <w:vAlign w:val="bottom"/>
            <w:gridSpan w:val="4"/>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 Beneficially Owned</w:t>
            </w:r>
          </w:p>
        </w:tc>
        <w:tc>
          <w:tcPr>
            <w:tcW w:w="0" w:type="dxa"/>
            <w:vAlign w:val="bottom"/>
          </w:tcPr>
          <w:p>
            <w:pPr>
              <w:spacing w:after="0"/>
              <w:rPr>
                <w:sz w:val="1"/>
                <w:szCs w:val="1"/>
                <w:color w:val="auto"/>
              </w:rPr>
            </w:pPr>
          </w:p>
        </w:tc>
      </w:tr>
      <w:tr>
        <w:trPr>
          <w:trHeight w:val="54"/>
        </w:trPr>
        <w:tc>
          <w:tcPr>
            <w:tcW w:w="1760" w:type="dxa"/>
            <w:vAlign w:val="bottom"/>
          </w:tcPr>
          <w:p>
            <w:pPr>
              <w:spacing w:after="0"/>
              <w:rPr>
                <w:sz w:val="4"/>
                <w:szCs w:val="4"/>
                <w:color w:val="auto"/>
              </w:rPr>
            </w:pPr>
          </w:p>
        </w:tc>
        <w:tc>
          <w:tcPr>
            <w:tcW w:w="2820" w:type="dxa"/>
            <w:vAlign w:val="bottom"/>
          </w:tcPr>
          <w:p>
            <w:pPr>
              <w:spacing w:after="0"/>
              <w:rPr>
                <w:sz w:val="4"/>
                <w:szCs w:val="4"/>
                <w:color w:val="auto"/>
              </w:rPr>
            </w:pPr>
          </w:p>
        </w:tc>
        <w:tc>
          <w:tcPr>
            <w:tcW w:w="2680" w:type="dxa"/>
            <w:vAlign w:val="bottom"/>
            <w:gridSpan w:val="4"/>
            <w:vMerge w:val="continue"/>
          </w:tcPr>
          <w:p>
            <w:pPr>
              <w:spacing w:after="0"/>
              <w:rPr>
                <w:sz w:val="4"/>
                <w:szCs w:val="4"/>
                <w:color w:val="auto"/>
              </w:rPr>
            </w:pPr>
          </w:p>
        </w:tc>
        <w:tc>
          <w:tcPr>
            <w:tcW w:w="1520" w:type="dxa"/>
            <w:vAlign w:val="bottom"/>
            <w:gridSpan w:val="2"/>
            <w:vMerge w:val="restart"/>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22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7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0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Before the Offering</w:t>
            </w:r>
          </w:p>
        </w:tc>
        <w:tc>
          <w:tcPr>
            <w:tcW w:w="660" w:type="dxa"/>
            <w:vAlign w:val="bottom"/>
            <w:vMerge w:val="restart"/>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20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After the Offering</w:t>
            </w:r>
          </w:p>
        </w:tc>
        <w:tc>
          <w:tcPr>
            <w:tcW w:w="2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1760" w:type="dxa"/>
            <w:vAlign w:val="bottom"/>
          </w:tcPr>
          <w:p>
            <w:pPr>
              <w:spacing w:after="0"/>
              <w:rPr>
                <w:sz w:val="6"/>
                <w:szCs w:val="6"/>
                <w:color w:val="auto"/>
              </w:rPr>
            </w:pPr>
          </w:p>
        </w:tc>
        <w:tc>
          <w:tcPr>
            <w:tcW w:w="2820" w:type="dxa"/>
            <w:vAlign w:val="bottom"/>
          </w:tcPr>
          <w:p>
            <w:pPr>
              <w:spacing w:after="0"/>
              <w:rPr>
                <w:sz w:val="6"/>
                <w:szCs w:val="6"/>
                <w:color w:val="auto"/>
              </w:rPr>
            </w:pPr>
          </w:p>
        </w:tc>
        <w:tc>
          <w:tcPr>
            <w:tcW w:w="2020" w:type="dxa"/>
            <w:vAlign w:val="bottom"/>
            <w:tcBorders>
              <w:bottom w:val="single" w:sz="8" w:color="auto"/>
            </w:tcBorders>
            <w:gridSpan w:val="3"/>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520" w:type="dxa"/>
            <w:vAlign w:val="bottom"/>
            <w:gridSpan w:val="2"/>
            <w:vMerge w:val="restart"/>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020" w:type="dxa"/>
            <w:vAlign w:val="bottom"/>
            <w:tcBorders>
              <w:bottom w:val="single" w:sz="8" w:color="auto"/>
            </w:tcBorders>
            <w:gridSpan w:val="3"/>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2820" w:type="dxa"/>
            <w:vAlign w:val="bottom"/>
          </w:tcPr>
          <w:p>
            <w:pPr>
              <w:spacing w:after="0"/>
              <w:rPr>
                <w:sz w:val="4"/>
                <w:szCs w:val="4"/>
                <w:color w:val="auto"/>
              </w:rPr>
            </w:pP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Number</w:t>
            </w:r>
            <w:r>
              <w:rPr>
                <w:rFonts w:ascii="Times New Roman" w:cs="Times New Roman" w:eastAsia="Times New Roman" w:hAnsi="Times New Roman"/>
                <w:sz w:val="10"/>
                <w:szCs w:val="10"/>
                <w:b w:val="1"/>
                <w:bCs w:val="1"/>
                <w:color w:val="auto"/>
              </w:rPr>
              <w:t>(1)</w:t>
            </w:r>
          </w:p>
        </w:tc>
        <w:tc>
          <w:tcPr>
            <w:tcW w:w="140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Percent</w:t>
            </w:r>
            <w:r>
              <w:rPr>
                <w:rFonts w:ascii="Times New Roman" w:cs="Times New Roman" w:eastAsia="Times New Roman" w:hAnsi="Times New Roman"/>
                <w:sz w:val="10"/>
                <w:szCs w:val="10"/>
                <w:b w:val="1"/>
                <w:bCs w:val="1"/>
                <w:color w:val="auto"/>
              </w:rPr>
              <w:t>(1)</w:t>
            </w:r>
          </w:p>
        </w:tc>
        <w:tc>
          <w:tcPr>
            <w:tcW w:w="1520" w:type="dxa"/>
            <w:vAlign w:val="bottom"/>
            <w:gridSpan w:val="2"/>
            <w:vMerge w:val="continue"/>
          </w:tcPr>
          <w:p>
            <w:pPr>
              <w:spacing w:after="0"/>
              <w:rPr>
                <w:sz w:val="4"/>
                <w:szCs w:val="4"/>
                <w:color w:val="auto"/>
              </w:rPr>
            </w:pP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Number</w:t>
            </w:r>
            <w:r>
              <w:rPr>
                <w:rFonts w:ascii="Times New Roman" w:cs="Times New Roman" w:eastAsia="Times New Roman" w:hAnsi="Times New Roman"/>
                <w:sz w:val="10"/>
                <w:szCs w:val="10"/>
                <w:b w:val="1"/>
                <w:bCs w:val="1"/>
                <w:color w:val="auto"/>
              </w:rPr>
              <w:t>(3)</w:t>
            </w:r>
          </w:p>
        </w:tc>
        <w:tc>
          <w:tcPr>
            <w:tcW w:w="9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Percent</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165"/>
        </w:trPr>
        <w:tc>
          <w:tcPr>
            <w:tcW w:w="1760" w:type="dxa"/>
            <w:vAlign w:val="bottom"/>
            <w:tcBorders>
              <w:bottom w:val="single" w:sz="8" w:color="auto"/>
            </w:tcBorders>
            <w:vMerge w:val="continue"/>
          </w:tcPr>
          <w:p>
            <w:pPr>
              <w:spacing w:after="0"/>
              <w:rPr>
                <w:sz w:val="13"/>
                <w:szCs w:val="13"/>
                <w:color w:val="auto"/>
              </w:rPr>
            </w:pPr>
          </w:p>
        </w:tc>
        <w:tc>
          <w:tcPr>
            <w:tcW w:w="28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520" w:type="dxa"/>
            <w:vAlign w:val="bottom"/>
            <w:gridSpan w:val="2"/>
          </w:tcPr>
          <w:p>
            <w:pPr>
              <w:jc w:val="center"/>
              <w:ind w:right="520"/>
              <w:spacing w:after="0" w:line="160" w:lineRule="exact"/>
              <w:rPr>
                <w:sz w:val="20"/>
                <w:szCs w:val="20"/>
                <w:color w:val="auto"/>
              </w:rPr>
            </w:pPr>
            <w:r>
              <w:rPr>
                <w:rFonts w:ascii="Times New Roman" w:cs="Times New Roman" w:eastAsia="Times New Roman" w:hAnsi="Times New Roman"/>
                <w:sz w:val="14"/>
                <w:szCs w:val="14"/>
                <w:b w:val="1"/>
                <w:bCs w:val="1"/>
                <w:color w:val="auto"/>
              </w:rPr>
              <w:t>Being Offered</w:t>
            </w:r>
            <w:r>
              <w:rPr>
                <w:rFonts w:ascii="Times New Roman" w:cs="Times New Roman" w:eastAsia="Times New Roman" w:hAnsi="Times New Roman"/>
                <w:sz w:val="10"/>
                <w:szCs w:val="10"/>
                <w:b w:val="1"/>
                <w:bCs w:val="1"/>
                <w:color w:val="auto"/>
              </w:rPr>
              <w:t>(2)</w:t>
            </w:r>
          </w:p>
        </w:tc>
        <w:tc>
          <w:tcPr>
            <w:tcW w:w="1280" w:type="dxa"/>
            <w:vAlign w:val="bottom"/>
            <w:gridSpan w:val="2"/>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60" w:type="dxa"/>
            <w:vAlign w:val="bottom"/>
            <w:vMerge w:val="restart"/>
            <w:shd w:val="clear" w:color="auto" w:fill="CCEEFF"/>
          </w:tcPr>
          <w:p>
            <w:pPr>
              <w:spacing w:after="0" w:line="223" w:lineRule="exact"/>
              <w:rPr>
                <w:sz w:val="20"/>
                <w:szCs w:val="20"/>
                <w:color w:val="auto"/>
              </w:rPr>
            </w:pPr>
            <w:r>
              <w:rPr>
                <w:rFonts w:ascii="Times New Roman" w:cs="Times New Roman" w:eastAsia="Times New Roman" w:hAnsi="Times New Roman"/>
                <w:sz w:val="17"/>
                <w:szCs w:val="17"/>
                <w:color w:val="auto"/>
              </w:rPr>
              <w:t>YA II PN, LTD.</w:t>
            </w:r>
            <w:r>
              <w:rPr>
                <w:rFonts w:ascii="Times New Roman" w:cs="Times New Roman" w:eastAsia="Times New Roman" w:hAnsi="Times New Roman"/>
                <w:sz w:val="25"/>
                <w:szCs w:val="25"/>
                <w:color w:val="auto"/>
                <w:vertAlign w:val="superscript"/>
              </w:rPr>
              <w:t>(4)</w:t>
            </w:r>
          </w:p>
        </w:tc>
        <w:tc>
          <w:tcPr>
            <w:tcW w:w="282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60" w:type="dxa"/>
            <w:vAlign w:val="bottom"/>
            <w:vMerge w:val="continue"/>
            <w:shd w:val="clear" w:color="auto" w:fill="CCEEFF"/>
          </w:tcPr>
          <w:p>
            <w:pPr>
              <w:spacing w:after="0"/>
              <w:rPr>
                <w:sz w:val="17"/>
                <w:szCs w:val="17"/>
                <w:color w:val="auto"/>
              </w:rPr>
            </w:pPr>
          </w:p>
        </w:tc>
        <w:tc>
          <w:tcPr>
            <w:tcW w:w="2820" w:type="dxa"/>
            <w:vAlign w:val="bottom"/>
            <w:vMerge w:val="continue"/>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366,045</w:t>
            </w:r>
          </w:p>
        </w:tc>
        <w:tc>
          <w:tcPr>
            <w:tcW w:w="540" w:type="dxa"/>
            <w:vAlign w:val="bottom"/>
            <w:vMerge w:val="continue"/>
            <w:shd w:val="clear" w:color="auto" w:fill="CCEEFF"/>
          </w:tcPr>
          <w:p>
            <w:pPr>
              <w:spacing w:after="0"/>
              <w:rPr>
                <w:sz w:val="17"/>
                <w:szCs w:val="17"/>
                <w:color w:val="auto"/>
              </w:rPr>
            </w:pPr>
          </w:p>
        </w:tc>
        <w:tc>
          <w:tcPr>
            <w:tcW w:w="1400" w:type="dxa"/>
            <w:vAlign w:val="bottom"/>
            <w:gridSpan w:val="2"/>
            <w:shd w:val="clear" w:color="auto" w:fill="CCEEFF"/>
          </w:tcPr>
          <w:p>
            <w:pPr>
              <w:jc w:val="right"/>
              <w:ind w:right="520"/>
              <w:spacing w:after="0" w:line="203" w:lineRule="exact"/>
              <w:rPr>
                <w:sz w:val="20"/>
                <w:szCs w:val="20"/>
                <w:color w:val="auto"/>
              </w:rPr>
            </w:pPr>
            <w:r>
              <w:rPr>
                <w:rFonts w:ascii="Times New Roman" w:cs="Times New Roman" w:eastAsia="Times New Roman" w:hAnsi="Times New Roman"/>
                <w:sz w:val="18"/>
                <w:szCs w:val="18"/>
                <w:color w:val="auto"/>
              </w:rPr>
              <w:t>4.99%</w:t>
            </w:r>
          </w:p>
        </w:tc>
        <w:tc>
          <w:tcPr>
            <w:tcW w:w="10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10,339,123</w:t>
            </w:r>
          </w:p>
        </w:tc>
        <w:tc>
          <w:tcPr>
            <w:tcW w:w="520" w:type="dxa"/>
            <w:vAlign w:val="bottom"/>
            <w:vMerge w:val="continue"/>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520" w:type="dxa"/>
            <w:vAlign w:val="bottom"/>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220" w:hanging="424"/>
        <w:spacing w:after="0" w:line="253"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Conversion Shares issuable to the Selling Stockholder pursuant to the terms of the Convertible Debenture giving effect to the Beneficial Ownership Limitation. As at the date of this prospectus, the Selling Stockholder is not the holder of record of any shares of Common Stock, and the actual number of Conversion Shares that may be acquired by the Selling Stockholder is not currently known. The Conversion Shares issuable pursuant to the Convertible Debenture are subject to the Beneficial Ownership Limitation and the Exchange Cap, which restrict the Selling Stockholder from converting any portion of the outstanding balance under the Convertible Debenture that would result in the Selling Stockholder and its affiliates owning, upon such conversion, a number of shares of our Class A Common Stock in excess of the Beneficial Ownership Limitation or the Exchange Cap.</w:t>
      </w:r>
    </w:p>
    <w:p>
      <w:pPr>
        <w:spacing w:after="0" w:line="2"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offered by this prospectus, consisting of the number of Conversion Shares issuable to the Selling Stockholder pursuant to the terms of the Convertible Debenture without giving effect to the Beneficial Ownership Limitation or the Exchange Cap.</w:t>
      </w:r>
    </w:p>
    <w:p>
      <w:pPr>
        <w:spacing w:after="0" w:line="1" w:lineRule="exact"/>
        <w:rPr>
          <w:rFonts w:ascii="Times New Roman" w:cs="Times New Roman" w:eastAsia="Times New Roman" w:hAnsi="Times New Roman"/>
          <w:sz w:val="18"/>
          <w:szCs w:val="18"/>
          <w:color w:val="auto"/>
        </w:rPr>
      </w:pPr>
    </w:p>
    <w:p>
      <w:pPr>
        <w:ind w:left="540" w:right="720" w:hanging="424"/>
        <w:spacing w:after="0" w:line="250"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sale of all shares of Class A Common Stock being offered pursuant to this prospectus without giving effect to the Beneficial Ownership Limitation or the Exchange Cap.</w:t>
      </w:r>
    </w:p>
    <w:p>
      <w:pPr>
        <w:ind w:left="540" w:right="440" w:hanging="424"/>
        <w:spacing w:after="0" w:line="260"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decisions for YA II PN, Ltd. are made by Mr. Mark Angelo. The business address for YA II PN, Ltd. is 1012 Springfield Avenue, Mountainside, NJ 07092.</w:t>
      </w:r>
    </w:p>
    <w:p>
      <w:pPr>
        <w:spacing w:after="0" w:line="3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The shares of Class A Common Stock offered by this prospectus are being offered by the Selling Stockholder. The shares of Class A Common Stock may be sold or distributed from time to time by the Selling Stockholder directly to one or more purchasers or through brokers, dealers, or underwriters who may act solely as agents at market prices prevailing at the time of sale, at prices related to the prevailing market prices, at negotiated prices, or at fixed prices, which may be changed. We will not receive any of the proceeds from the sale of shares of Class A Common Stock by the Selling Stockholder pursuant to this prospectus. The aggregate proceeds to the Selling Stockholder will be the purchase price of our Class A Common Stock less any discounts and commissions borne by the Selling Stockholder.</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sale of the shares of Class A Common Stock offered by this prospectus could be effected in one or more of the following methods:</w:t>
      </w:r>
    </w:p>
    <w:p>
      <w:pPr>
        <w:spacing w:after="0" w:line="131" w:lineRule="exact"/>
        <w:rPr>
          <w:sz w:val="20"/>
          <w:szCs w:val="20"/>
          <w:color w:val="auto"/>
        </w:rPr>
      </w:pPr>
    </w:p>
    <w:p>
      <w:pPr>
        <w:ind w:left="540" w:hanging="316"/>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brokers’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540" w:right="380" w:hanging="316"/>
        <w:spacing w:after="0" w:line="282"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involving cross or block trades, including block trades in which the broker-dealer will attempt to sell the shares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brokers, dealers, or underwriters who may act solely as agents;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their account;</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into an existing market for our ordinary shares;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ways not involving market makers or established business markets, including direct sales to purchasers or sales effected through agents;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hanging="316"/>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 or</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Selling Stockholder may transfer the shares of Class A Common Stock in other circumstances, in which case the transferees, pledgees or other successors in interest will be the selling beneficial owners for purposes of this prospectus. In addition, the Selling Stockholder may elect to make a</w:t>
      </w:r>
    </w:p>
    <w:p>
      <w:pPr>
        <w:jc w:val="both"/>
        <w:ind w:left="120" w:right="20"/>
        <w:spacing w:after="0" w:line="253" w:lineRule="auto"/>
        <w:rPr>
          <w:sz w:val="20"/>
          <w:szCs w:val="20"/>
          <w:color w:val="auto"/>
        </w:rPr>
      </w:pPr>
      <w:r>
        <w:rPr>
          <w:rFonts w:ascii="Times New Roman" w:cs="Times New Roman" w:eastAsia="Times New Roman" w:hAnsi="Times New Roman"/>
          <w:sz w:val="18"/>
          <w:szCs w:val="18"/>
          <w:color w:val="auto"/>
        </w:rPr>
        <w:t>pro rata in-kind distribution of securities to its members, partners or shareholders pursuant to the registration statement of which this prospectus is a part by delivering a prospectus with a plan of distribution. Such members, partners or shareholders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89" w:lineRule="exact"/>
        <w:rPr>
          <w:sz w:val="20"/>
          <w:szCs w:val="20"/>
          <w:color w:val="auto"/>
        </w:rPr>
      </w:pPr>
    </w:p>
    <w:p>
      <w:pPr>
        <w:ind w:left="120" w:right="420" w:firstLine="440"/>
        <w:spacing w:after="0" w:line="289" w:lineRule="auto"/>
        <w:rPr>
          <w:sz w:val="20"/>
          <w:szCs w:val="20"/>
          <w:color w:val="auto"/>
        </w:rPr>
      </w:pPr>
      <w:r>
        <w:rPr>
          <w:rFonts w:ascii="Times New Roman" w:cs="Times New Roman" w:eastAsia="Times New Roman" w:hAnsi="Times New Roman"/>
          <w:sz w:val="17"/>
          <w:szCs w:val="17"/>
          <w:color w:val="auto"/>
        </w:rPr>
        <w:t>In order to comply with the securities laws of certain states, if applicable, the shares of Class A Common Stock may be sold only through registered or licensed brokers or dealers. In addition, in certain states, the shares of Class A Common Stock may not be sold unless they have been registered or qualified for sale in the state or an exemption from the state’s registration or qualification requirement is available and complied with.</w:t>
      </w:r>
    </w:p>
    <w:p>
      <w:pPr>
        <w:spacing w:after="0" w:line="158"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Selling Stockholder may use one or more registered broker-dealers to effectuate all sales of our shares of Class A Common Stock issuable upon conversion of the Convertible Debenture. Such sales will be made at prices and at terms then prevailing or at prices related to the then current market price. Such registered broker-dealer may, in some circumstances (or instance if such registered broker-dealer’s involvement is not limited to receiving commission not in excess of the usual and customary distributors’ or sellers’ commissions), be considered to be an underwriter within the meaning of Section 2(a)(11) of the Securities Act. The Selling Stockholder has informed us that each such broker-dealer will receive commissions from the Selling Stockholder that will not exceed customary brokerage commissions.</w:t>
      </w:r>
    </w:p>
    <w:p>
      <w:pPr>
        <w:spacing w:after="0" w:line="187" w:lineRule="exact"/>
        <w:rPr>
          <w:sz w:val="20"/>
          <w:szCs w:val="20"/>
          <w:color w:val="auto"/>
        </w:rPr>
      </w:pPr>
    </w:p>
    <w:p>
      <w:pPr>
        <w:jc w:val="both"/>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Brokers, dealers, underwriters or agents participating in the distribution of the shares of Class A Common Stock offered by this prospectus may receive compensation in the form of commissions, discounts, or concessions from the purchasers, for whom the broker-dealers may act as agent, of the shares of Class A Common Stock sold by the Selling Stockholder through this prospectus. The compensation paid to any such particular broker-dealer by any such purchasers of shares of Class A Common Stock sold by the Selling Stockholder may be less than or in excess of customary commissions. Neither we nor the Selling Stockholder can presently estimate the amount of compensation that any agent will receive from any purchasers of ordinary shares sold by the Selling Stockholder.</w:t>
      </w:r>
    </w:p>
    <w:p>
      <w:pPr>
        <w:spacing w:after="0" w:line="18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know of no existing arrangements between the Selling Stockholder or any other shareholder, broker, dealer, underwriter, or agent relating to the sale or distribution of our ordinary shares offered by this prospectus.</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offered by this prospectus by the Selling Stockholder, including with respect to any compensation paid or payable by the Selling Stockholder to any brokers, dealers, underwriters, or agents that participate in the distribution of such shares by the Selling Stockholder, and any other related information required to be disclosed under the Securities Act.</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have agreed to indemnify the Selling Stockholder and certain other persons against certain liabilities in connection with the offering of our ordinary shares issuable upon conversion of the Convertible Debenture, or, if such indemnity is unenforceable, to make the maximum contribution to the payment and satisfaction of such liabilities.</w:t>
      </w:r>
    </w:p>
    <w:p>
      <w:pPr>
        <w:spacing w:after="0" w:line="176"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Selling Stockholder has represented to us that it has not directly or indirectly, nor has any person acting on behalf of or pursuant to any understanding with the Selling Stockholder, engaged in any transactions in the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of the Company (including, without limitation, any “short sale” (as such term is defined in Rule 200 of Regulation SHO of the Exchange Act) involving the Company’s securities) during the period commencing as of the time that the Selling Stockholder first contacted the Company or the Company’s agents regarding the specific investment in the Company contemplated by the Purchase Agreement and ending immediately prior to the execution of the Purchase Agreement by the Selling Stockholder. In addition, the Selling Stockholder has agreed that, from and after the date of the Purchase Agreement and ending when the Convertible Debenture no longer remains outstanding, none of the Selling Stockholder or any of its officers, or any entity managed or controlled by the Selling Stockholder (collectively, the “Restricted Persons”) directly or indirectly, engage in any short sale of the Class A Common Stock, either for its own principal account or for the principal account of any other Restricted Person.</w:t>
      </w:r>
    </w:p>
    <w:p>
      <w:pPr>
        <w:spacing w:after="0" w:line="18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This offering by the Selling Stockholder will terminate on the date that all shares of Class A Common Stock offered by this prospectus have been sold or the date on which all of such ordinary shares may be sold without any restrictions pursuant to Rule 144.</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VALIDITY OF THE SECURITIES</w:t>
      </w:r>
    </w:p>
    <w:p>
      <w:pPr>
        <w:spacing w:after="0" w:line="22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Sullivan &amp; Cromwell LLP, New York, New York. Additional legal matters may be passed on for us, or any underwriters, dealers or agents by counsel we will name in the applicable prospectus supplement.</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120" w:right="440" w:firstLine="440"/>
        <w:spacing w:after="0" w:line="289" w:lineRule="auto"/>
        <w:rPr>
          <w:sz w:val="20"/>
          <w:szCs w:val="20"/>
          <w:color w:val="auto"/>
        </w:rPr>
      </w:pPr>
      <w:r>
        <w:rPr>
          <w:rFonts w:ascii="Times New Roman" w:cs="Times New Roman" w:eastAsia="Times New Roman" w:hAnsi="Times New Roman"/>
          <w:sz w:val="17"/>
          <w:szCs w:val="17"/>
          <w:color w:val="auto"/>
        </w:rPr>
        <w:t>The consolidated financial statements of Bakkt Holdings, Inc. as of and for the year ended December 31, 2024 appearing in the Company’s Annual Report (Form 10-K), have been incorporated by reference herein in reliance upon the report of KPMG LLP, independent registered public accounting firm, included thereon, and incorporated by reference herein, and upon the authority of said firm as experts in accounting and auditing.</w:t>
      </w:r>
    </w:p>
    <w:p>
      <w:pPr>
        <w:spacing w:after="0" w:line="158"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Bakkt Holdings, Inc., at December 31, 2023 and for each of the two years in the period ended December 31, 2023 appearing in the Company’s Annual Report (Form 10-K) for the period ended December 31, 2024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such reports pertaining to such financial statements (to the extent covered by consents filed with the Securities and Exchange Commission) given on the authority of such firm as experts in accounting and auditing.</w:t>
      </w:r>
    </w:p>
    <w:p>
      <w:pPr>
        <w:spacing w:after="0" w:line="3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Copies of certain information filed by us with the SEC are also available on our website at </w:t>
      </w:r>
      <w:r>
        <w:rPr>
          <w:rFonts w:ascii="Times New Roman" w:cs="Times New Roman" w:eastAsia="Times New Roman" w:hAnsi="Times New Roman"/>
          <w:sz w:val="18"/>
          <w:szCs w:val="18"/>
          <w:i w:val="1"/>
          <w:iCs w:val="1"/>
          <w:color w:val="auto"/>
        </w:rPr>
        <w:t>investors.bakkt.com</w:t>
      </w:r>
      <w:r>
        <w:rPr>
          <w:rFonts w:ascii="Times New Roman" w:cs="Times New Roman" w:eastAsia="Times New Roman" w:hAnsi="Times New Roman"/>
          <w:sz w:val="18"/>
          <w:szCs w:val="18"/>
          <w:color w:val="auto"/>
        </w:rPr>
        <w:t>. Information accessible on or through our website is not a part of this prospectus.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that we file with the SEC, which means that we can disclose important information to you by referring you to those publicly available documents.</w:t>
      </w:r>
    </w:p>
    <w:p>
      <w:pPr>
        <w:spacing w:after="0" w:line="162"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forms a part is terminated or completed:</w:t>
      </w:r>
    </w:p>
    <w:p>
      <w:pPr>
        <w:spacing w:after="0" w:line="97"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March 20, 2025 (our “Annual Report”);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49">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2025, filed with the SEC on May 12, 2025;</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Definitive Proxy Statement on </w:t>
      </w:r>
      <w:hyperlink r:id="rId50">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28, 2025, that are incorporated by reference into our Annual Report;</w:t>
      </w:r>
    </w:p>
    <w:p>
      <w:pPr>
        <w:spacing w:after="0" w:line="67" w:lineRule="exact"/>
        <w:rPr>
          <w:rFonts w:ascii="Times New Roman" w:cs="Times New Roman" w:eastAsia="Times New Roman" w:hAnsi="Times New Roman"/>
          <w:sz w:val="18"/>
          <w:szCs w:val="18"/>
          <w:color w:val="auto"/>
        </w:rPr>
      </w:pPr>
    </w:p>
    <w:p>
      <w:pPr>
        <w:jc w:val="both"/>
        <w:ind w:left="1080" w:right="100" w:hanging="424"/>
        <w:spacing w:after="0" w:line="266" w:lineRule="auto"/>
        <w:tabs>
          <w:tab w:leader="none" w:pos="1080" w:val="left"/>
        </w:tabs>
        <w:numPr>
          <w:ilvl w:val="0"/>
          <w:numId w:val="18"/>
        </w:numPr>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March 17,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20,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31,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22,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10,</w:t>
        </w:r>
      </w:hyperlink>
      <w:r>
        <w:rPr>
          <w:rFonts w:ascii="Times New Roman" w:cs="Times New Roman" w:eastAsia="Times New Roman" w:hAnsi="Times New Roman"/>
          <w:sz w:val="18"/>
          <w:szCs w:val="18"/>
          <w:color w:val="auto"/>
        </w:rPr>
        <w:t xml:space="preserve"> </w:t>
      </w:r>
      <w:hyperlink r:id="rId52">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10,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13, 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20, 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our Current Report on Form 8-K/A filed with the Commission 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20,</w:t>
        </w:r>
      </w:hyperlink>
      <w:r>
        <w:rPr>
          <w:rFonts w:ascii="Times New Roman" w:cs="Times New Roman" w:eastAsia="Times New Roman" w:hAnsi="Times New Roman"/>
          <w:sz w:val="18"/>
          <w:szCs w:val="18"/>
          <w:color w:val="0000EE"/>
        </w:rPr>
        <w:t xml:space="preserve"> </w:t>
      </w:r>
      <w:hyperlink r:id="rId52">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 and</w:t>
        </w:r>
      </w:hyperlink>
    </w:p>
    <w:p>
      <w:pPr>
        <w:spacing w:after="0" w:line="81" w:lineRule="exact"/>
        <w:rPr>
          <w:rFonts w:ascii="Times New Roman" w:cs="Times New Roman" w:eastAsia="Times New Roman" w:hAnsi="Times New Roman"/>
          <w:sz w:val="18"/>
          <w:szCs w:val="18"/>
          <w:color w:val="0000EE"/>
        </w:rPr>
      </w:pPr>
    </w:p>
    <w:p>
      <w:pPr>
        <w:ind w:left="10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securities contained in the Registration Statement on </w:t>
      </w:r>
      <w:hyperlink r:id="rId53">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thereto, filed on October 15, 2021, including any amendment or report filed for the purpose of updating such description.</w:t>
      </w:r>
    </w:p>
    <w:p>
      <w:pPr>
        <w:spacing w:after="0" w:line="162" w:lineRule="exact"/>
        <w:rPr>
          <w:rFonts w:ascii="Times New Roman" w:cs="Times New Roman" w:eastAsia="Times New Roman" w:hAnsi="Times New Roman"/>
          <w:sz w:val="18"/>
          <w:szCs w:val="18"/>
          <w:color w:val="0000EE"/>
        </w:rPr>
      </w:pPr>
    </w:p>
    <w:p>
      <w:pPr>
        <w:ind w:left="56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w:t>
      </w:r>
    </w:p>
    <w:p>
      <w:pPr>
        <w:spacing w:after="0" w:line="200" w:lineRule="exact"/>
        <w:rPr>
          <w:rFonts w:ascii="Times New Roman" w:cs="Times New Roman" w:eastAsia="Times New Roman" w:hAnsi="Times New Roman"/>
          <w:sz w:val="18"/>
          <w:szCs w:val="18"/>
          <w:color w:val="0000EE"/>
        </w:rPr>
      </w:pPr>
    </w:p>
    <w:p>
      <w:pPr>
        <w:spacing w:after="0" w:line="237" w:lineRule="exact"/>
        <w:rPr>
          <w:rFonts w:ascii="Times New Roman" w:cs="Times New Roman" w:eastAsia="Times New Roman" w:hAnsi="Times New Roman"/>
          <w:sz w:val="18"/>
          <w:szCs w:val="18"/>
          <w:color w:val="0000EE"/>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10000 Avalon Boulevard, Suite 1000</w:t>
      </w:r>
    </w:p>
    <w:p>
      <w:pPr>
        <w:spacing w:after="0" w:line="31" w:lineRule="exact"/>
        <w:rPr>
          <w:rFonts w:ascii="Times New Roman" w:cs="Times New Roman" w:eastAsia="Times New Roman" w:hAnsi="Times New Roman"/>
          <w:sz w:val="18"/>
          <w:szCs w:val="18"/>
          <w:color w:val="0000EE"/>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Alpharetta, Georgia 30009</w:t>
      </w:r>
    </w:p>
    <w:p>
      <w:pPr>
        <w:spacing w:after="0" w:line="9" w:lineRule="exact"/>
        <w:rPr>
          <w:rFonts w:ascii="Times New Roman" w:cs="Times New Roman" w:eastAsia="Times New Roman" w:hAnsi="Times New Roman"/>
          <w:sz w:val="18"/>
          <w:szCs w:val="18"/>
          <w:color w:val="0000EE"/>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(678) 534-5849</w:t>
      </w:r>
    </w:p>
    <w:p>
      <w:pPr>
        <w:spacing w:after="0" w:line="207" w:lineRule="exact"/>
        <w:rPr>
          <w:rFonts w:ascii="Times New Roman" w:cs="Times New Roman" w:eastAsia="Times New Roman" w:hAnsi="Times New Roman"/>
          <w:sz w:val="18"/>
          <w:szCs w:val="18"/>
          <w:color w:val="0000EE"/>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94" w:lineRule="exact"/>
        <w:rPr>
          <w:rFonts w:ascii="Times New Roman" w:cs="Times New Roman" w:eastAsia="Times New Roman" w:hAnsi="Times New Roman"/>
          <w:sz w:val="18"/>
          <w:szCs w:val="18"/>
          <w:color w:val="0000EE"/>
        </w:rPr>
      </w:pPr>
    </w:p>
    <w:p>
      <w:pPr>
        <w:jc w:val="center"/>
        <w:ind w:right="-1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80"/>
          </w:cols>
          <w:pgMar w:left="320" w:top="455"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estimated expenses in connection with the issuance and distribution of the securities being registered:</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73"/>
        </w:trPr>
        <w:tc>
          <w:tcPr>
            <w:tcW w:w="6500" w:type="dxa"/>
            <w:vAlign w:val="bottom"/>
          </w:tcPr>
          <w:p>
            <w:pPr>
              <w:spacing w:after="0"/>
              <w:rPr>
                <w:sz w:val="15"/>
                <w:szCs w:val="15"/>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 be Paid</w:t>
            </w: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$ 20,388.01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exchange listing fee</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Trustee’s fees and expenses</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$20,388.01</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sz w:val="20"/>
          <w:szCs w:val="20"/>
          <w:color w:val="auto"/>
        </w:rPr>
      </w:pPr>
    </w:p>
    <w:p>
      <w:pPr>
        <w:ind w:left="540" w:hanging="424"/>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estimated at this time.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Section 145 of the Delaware General Corporation Law (“DGCL”) authorizes a corporation’s board of directors to grant, and authorizes a court to award, indemnity to officers, directors and other corporate agents.</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contains provisions that limit the liability of our directors for monetary damages to the fullest extent permitted by the DGCL. Consequently, our directors will not be personally liable to us or our stockholders for monetary damages for any breach of fiduciary duties as directors, except liability for the following:</w:t>
      </w:r>
    </w:p>
    <w:p>
      <w:pPr>
        <w:spacing w:after="0" w:line="81"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their duty of loyalty to our company or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DGCL;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they derived an improper personal benefit.</w:t>
      </w:r>
    </w:p>
    <w:p>
      <w:pPr>
        <w:spacing w:after="0" w:line="225"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Any amendment, repeal or elimination of these provisions will not eliminate or reduce the effect of these provisions in respect of any act, omission or claim that occurred or arose prior to that amendment, repeal or elimination. If the DGCL is amended to provide for further limitations on the personal liability of directors of corporations, then the personal liability of our directors will be further limited to the greatest extent permitted by the DGCL.</w:t>
      </w:r>
    </w:p>
    <w:p>
      <w:pPr>
        <w:spacing w:after="0" w:line="158"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our By-Laws provide that we will indemnify our directors and officers, and may indemnify our employees, agents and any other persons, to the fullest extent permitted by the DGCL. Our By-Laws also provide that we must advance expenses incurred by or on behalf of a director or officer in advance of the final disposition of any action or proceeding, subject to limited exceptions.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Further, we have entered into or will enter into indemnification agreements with each of our directors and executive officers that may be broader than the specific indemnification provisions contained in the DGCL. These indemnification agreements require us, among other things, to indemnify our directors and executive officers against liabilities that may arise by reason of their status or service. These indemnification agreements also require us to advance all expenses reasonably and actually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83"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included in our Certificate of Incorporation, By-Laws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80"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Certain of our non-employee directors may, through their relationships with their employers, be insured and/or indemnified against certain liabilities incurred in their capacity as members of the Board.</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0" w:type="dxa"/>
            <w:vAlign w:val="bottom"/>
            <w:gridSpan w:val="4"/>
            <w:vMerge w:val="restart"/>
          </w:tcPr>
          <w:p>
            <w:pPr>
              <w:ind w:left="16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4"/>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3.1</w:t>
            </w:r>
          </w:p>
        </w:tc>
        <w:tc>
          <w:tcPr>
            <w:tcW w:w="9920" w:type="dxa"/>
            <w:vAlign w:val="bottom"/>
            <w:gridSpan w:val="21"/>
          </w:tcPr>
          <w:p>
            <w:pPr>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Certificate of Incorporation of the Company, as currently in effect (incorporated by reference to Exhibit 3.1 to the Company’s Form S-8</w:t>
              </w:r>
            </w:hyperlink>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filed with the SEC on July 9, 2024).</w:t>
              </w:r>
            </w:hyperlink>
          </w:p>
        </w:tc>
        <w:tc>
          <w:tcPr>
            <w:tcW w:w="3560" w:type="dxa"/>
            <w:vAlign w:val="bottom"/>
            <w:tcBorders>
              <w:top w:val="single" w:sz="8" w:color="0000EE"/>
            </w:tcBorders>
            <w:gridSpan w:val="7"/>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3.2</w:t>
            </w:r>
          </w:p>
        </w:tc>
        <w:tc>
          <w:tcPr>
            <w:tcW w:w="6160" w:type="dxa"/>
            <w:vAlign w:val="bottom"/>
            <w:gridSpan w:val="11"/>
          </w:tcPr>
          <w:p>
            <w:pPr>
              <w:spacing w:after="0"/>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Certificate of Amendment to the Company’s Certificate of Incorporation, dated April</w:t>
              </w:r>
            </w:hyperlink>
          </w:p>
        </w:tc>
        <w:tc>
          <w:tcPr>
            <w:tcW w:w="3760" w:type="dxa"/>
            <w:vAlign w:val="bottom"/>
            <w:gridSpan w:val="10"/>
          </w:tcPr>
          <w:p>
            <w:pPr>
              <w:ind w:left="60"/>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26, 2024 (incorporated by reference to Exhibit 3.1</w:t>
              </w:r>
            </w:hyperlink>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1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to the Company’s Form 8-K filed with the SEC on April 29, 2024).</w:t>
              </w:r>
            </w:hyperlink>
          </w:p>
        </w:tc>
        <w:tc>
          <w:tcPr>
            <w:tcW w:w="1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3.3</w:t>
            </w:r>
          </w:p>
        </w:tc>
        <w:tc>
          <w:tcPr>
            <w:tcW w:w="6160" w:type="dxa"/>
            <w:vAlign w:val="bottom"/>
            <w:gridSpan w:val="11"/>
          </w:tcPr>
          <w:p>
            <w:pPr>
              <w:spacing w:after="0"/>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Certificate of Amendment to the Company’s Certificate of Incorporation, dated June</w:t>
              </w:r>
            </w:hyperlink>
          </w:p>
        </w:tc>
        <w:tc>
          <w:tcPr>
            <w:tcW w:w="3760" w:type="dxa"/>
            <w:vAlign w:val="bottom"/>
            <w:gridSpan w:val="10"/>
          </w:tcPr>
          <w:p>
            <w:pPr>
              <w:ind w:left="20"/>
              <w:spacing w:after="0"/>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17, 2025 (incorporated by reference to Exhibit 3.1</w:t>
              </w:r>
            </w:hyperlink>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4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to the Company’s Form 8-K filed with the SEC on June 20, 2025).</w:t>
              </w:r>
            </w:hyperlink>
          </w:p>
        </w:tc>
        <w:tc>
          <w:tcPr>
            <w:tcW w:w="1320" w:type="dxa"/>
            <w:vAlign w:val="bottom"/>
            <w:tcBorders>
              <w:top w:val="single" w:sz="8" w:color="0000EE"/>
            </w:tcBorders>
            <w:gridSpan w:val="2"/>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3.4</w:t>
            </w:r>
          </w:p>
        </w:tc>
        <w:tc>
          <w:tcPr>
            <w:tcW w:w="6160" w:type="dxa"/>
            <w:vAlign w:val="bottom"/>
            <w:gridSpan w:val="11"/>
          </w:tcPr>
          <w:p>
            <w:pPr>
              <w:spacing w:after="0"/>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Certificate of Amendment to the Company’s Certificate of Incorporation, dated June</w:t>
              </w:r>
            </w:hyperlink>
          </w:p>
        </w:tc>
        <w:tc>
          <w:tcPr>
            <w:tcW w:w="3760" w:type="dxa"/>
            <w:vAlign w:val="bottom"/>
            <w:gridSpan w:val="10"/>
          </w:tcPr>
          <w:p>
            <w:pPr>
              <w:ind w:left="20"/>
              <w:spacing w:after="0"/>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17, 2025 (incorporated by reference to Exhibit 3.2</w:t>
              </w:r>
            </w:hyperlink>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4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to the Company’s Form 8-K filed with the SEC on June 20, 2025).</w:t>
              </w:r>
            </w:hyperlink>
          </w:p>
        </w:tc>
        <w:tc>
          <w:tcPr>
            <w:tcW w:w="1320" w:type="dxa"/>
            <w:vAlign w:val="bottom"/>
            <w:tcBorders>
              <w:top w:val="single" w:sz="8" w:color="0000EE"/>
            </w:tcBorders>
            <w:gridSpan w:val="2"/>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3.5</w:t>
            </w:r>
          </w:p>
        </w:tc>
        <w:tc>
          <w:tcPr>
            <w:tcW w:w="6160" w:type="dxa"/>
            <w:vAlign w:val="bottom"/>
            <w:gridSpan w:val="11"/>
          </w:tcPr>
          <w:p>
            <w:pPr>
              <w:spacing w:after="0"/>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By-Laws of the Company, as currently in effect (incorporated by reference to Exhibit</w:t>
              </w:r>
            </w:hyperlink>
          </w:p>
        </w:tc>
        <w:tc>
          <w:tcPr>
            <w:tcW w:w="3760" w:type="dxa"/>
            <w:vAlign w:val="bottom"/>
            <w:gridSpan w:val="10"/>
          </w:tcPr>
          <w:p>
            <w:pPr>
              <w:ind w:left="60"/>
              <w:spacing w:after="0"/>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3.2 to the Company’s Form 8-K filed with the SEC</w:t>
              </w:r>
            </w:hyperlink>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1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on October 21, 2021).</w:t>
              </w:r>
            </w:hyperlink>
          </w:p>
        </w:tc>
        <w:tc>
          <w:tcPr>
            <w:tcW w:w="1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w:t>
            </w:r>
          </w:p>
        </w:tc>
        <w:tc>
          <w:tcPr>
            <w:tcW w:w="9920" w:type="dxa"/>
            <w:vAlign w:val="bottom"/>
            <w:gridSpan w:val="21"/>
          </w:tcPr>
          <w:p>
            <w:pPr>
              <w:spacing w:after="0"/>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Specimen Class A Common Stock Certificate of the Company (incorporated by reference to Exhibit 4.1 to the Company’s Form 8-K</w:t>
              </w:r>
            </w:hyperlink>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1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filed with the SEC on October 21, 2021).</w:t>
              </w:r>
            </w:hyperlink>
          </w:p>
        </w:tc>
        <w:tc>
          <w:tcPr>
            <w:tcW w:w="1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w:t>
            </w:r>
          </w:p>
        </w:tc>
        <w:tc>
          <w:tcPr>
            <w:tcW w:w="9920" w:type="dxa"/>
            <w:vAlign w:val="bottom"/>
            <w:gridSpan w:val="21"/>
          </w:tcPr>
          <w:p>
            <w:pPr>
              <w:spacing w:after="0"/>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Convertible Debenture, dated June 18, 2025 (incorporated by reference to Exhibit 10.2 to the Company’s Current Report on Form 8-K</w:t>
              </w:r>
            </w:hyperlink>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7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filed with the SEC on June 20, 2025).</w:t>
              </w:r>
            </w:hyperlink>
          </w:p>
        </w:tc>
        <w:tc>
          <w:tcPr>
            <w:tcW w:w="3440" w:type="dxa"/>
            <w:vAlign w:val="bottom"/>
            <w:tcBorders>
              <w:top w:val="single" w:sz="8" w:color="0000EE"/>
            </w:tcBorders>
            <w:gridSpan w:val="6"/>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4.3</w:t>
            </w:r>
          </w:p>
        </w:tc>
        <w:tc>
          <w:tcPr>
            <w:tcW w:w="9920" w:type="dxa"/>
            <w:vAlign w:val="bottom"/>
            <w:gridSpan w:val="21"/>
          </w:tcPr>
          <w:p>
            <w:pPr>
              <w:spacing w:after="0"/>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 xml:space="preserve">Global Guaranty Agreement, dated June 17, 2025, by Bakkt Opco Holdings, LLC in favor of YA II PN, LTD.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90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auto"/>
              </w:rPr>
              <w:t>to Exhibit 10.3 to the Company’s Current Report on Form 8-K filed with the SEC on June 20, 2025).</w:t>
            </w:r>
          </w:p>
        </w:tc>
        <w:tc>
          <w:tcPr>
            <w:tcW w:w="202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4.4</w:t>
            </w:r>
          </w:p>
        </w:tc>
        <w:tc>
          <w:tcPr>
            <w:tcW w:w="9920" w:type="dxa"/>
            <w:vAlign w:val="bottom"/>
            <w:gridSpan w:val="21"/>
          </w:tcPr>
          <w:p>
            <w:pPr>
              <w:spacing w:after="0"/>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 xml:space="preserve">Registration Rights Agreement, dated as of June 17, 2025, between Bakkt Holdings, Inc. and YA II PN, LTD.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90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auto"/>
              </w:rPr>
              <w:t>to Exhibit 10.4 to the Company’s Current Report on Form 8-K filed with the SEC on June 20, 2025).</w:t>
            </w:r>
          </w:p>
        </w:tc>
        <w:tc>
          <w:tcPr>
            <w:tcW w:w="202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5.1*</w:t>
            </w:r>
          </w:p>
        </w:tc>
        <w:tc>
          <w:tcPr>
            <w:tcW w:w="27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r:id="rId67">
              <w:r>
                <w:rPr>
                  <w:rFonts w:ascii="Times New Roman" w:cs="Times New Roman" w:eastAsia="Times New Roman" w:hAnsi="Times New Roman"/>
                  <w:sz w:val="18"/>
                  <w:szCs w:val="18"/>
                  <w:color w:val="0000EE"/>
                  <w:w w:val="98"/>
                </w:rPr>
                <w:t>Opinion of Sullivan &amp; Cromwell LLP.</w:t>
              </w:r>
            </w:hyperlink>
          </w:p>
        </w:tc>
        <w:tc>
          <w:tcPr>
            <w:tcW w:w="3380" w:type="dxa"/>
            <w:vAlign w:val="bottom"/>
            <w:gridSpan w:val="5"/>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10.1</w:t>
            </w:r>
          </w:p>
        </w:tc>
        <w:tc>
          <w:tcPr>
            <w:tcW w:w="9920" w:type="dxa"/>
            <w:vAlign w:val="bottom"/>
            <w:gridSpan w:val="21"/>
          </w:tcPr>
          <w:p>
            <w:pPr>
              <w:spacing w:after="0"/>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Purchase Agreement, dated June 17, 2025, by and between the Registrant and YA II PN, LTD. (incorporated by reference to Exhibit 10.1</w:t>
              </w:r>
            </w:hyperlink>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7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to the Company’s Form 8-K filed with the SEC on June 20, 2025.</w:t>
              </w:r>
            </w:hyperlink>
          </w:p>
        </w:tc>
        <w:tc>
          <w:tcPr>
            <w:tcW w:w="1420" w:type="dxa"/>
            <w:vAlign w:val="bottom"/>
            <w:tcBorders>
              <w:top w:val="single" w:sz="8" w:color="0000EE"/>
            </w:tcBorders>
            <w:gridSpan w:val="3"/>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23.1</w:t>
            </w:r>
          </w:p>
        </w:tc>
        <w:tc>
          <w:tcPr>
            <w:tcW w:w="99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Consent of Ernst &amp; Young LLP, independent registered public accounting firm of the Company.</w:t>
            </w: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23.2</w:t>
            </w:r>
          </w:p>
        </w:tc>
        <w:tc>
          <w:tcPr>
            <w:tcW w:w="690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Consent of KPMG LLP, independent registered public accounting firm of the Company.</w:t>
            </w:r>
          </w:p>
        </w:tc>
        <w:tc>
          <w:tcPr>
            <w:tcW w:w="30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4680" w:type="dxa"/>
            <w:vAlign w:val="bottom"/>
            <w:gridSpan w:val="8"/>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23.3*</w:t>
            </w:r>
          </w:p>
        </w:tc>
        <w:tc>
          <w:tcPr>
            <w:tcW w:w="9920" w:type="dxa"/>
            <w:vAlign w:val="bottom"/>
            <w:gridSpan w:val="21"/>
          </w:tcPr>
          <w:p>
            <w:pPr>
              <w:spacing w:after="0"/>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Consent of Sullivan &amp; Cromwell LLP (included in the opinion filed as Exhibit 5.1 to this registration statement).</w:t>
              </w:r>
            </w:hyperlink>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24.1*</w:t>
            </w:r>
          </w:p>
        </w:tc>
        <w:tc>
          <w:tcPr>
            <w:tcW w:w="616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Powers of Attorney (included on the signature page to this registration statement).</w:t>
              </w:r>
            </w:hyperlink>
          </w:p>
        </w:tc>
        <w:tc>
          <w:tcPr>
            <w:tcW w:w="1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107*</w:t>
            </w:r>
          </w:p>
        </w:tc>
        <w:tc>
          <w:tcPr>
            <w:tcW w:w="590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Filing Fee Table.</w:t>
              </w:r>
            </w:hyperlink>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 w:type="dxa"/>
            <w:vAlign w:val="bottom"/>
            <w:tcBorders>
              <w:top w:val="single" w:sz="8" w:color="0000EE"/>
              <w:bottom w:val="single" w:sz="8" w:color="auto"/>
            </w:tcBorders>
          </w:tcPr>
          <w:p>
            <w:pPr>
              <w:spacing w:after="0"/>
              <w:rPr>
                <w:sz w:val="13"/>
                <w:szCs w:val="13"/>
                <w:color w:val="auto"/>
              </w:rPr>
            </w:pPr>
          </w:p>
        </w:tc>
        <w:tc>
          <w:tcPr>
            <w:tcW w:w="1100" w:type="dxa"/>
            <w:vAlign w:val="bottom"/>
            <w:tcBorders>
              <w:top w:val="single" w:sz="8" w:color="0000EE"/>
            </w:tcBorders>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72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  Previously filed.</w:t>
            </w: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gridSpan w:val="4"/>
          </w:tcPr>
          <w:p>
            <w:pPr>
              <w:ind w:left="1300"/>
              <w:spacing w:after="0"/>
              <w:rPr>
                <w:sz w:val="20"/>
                <w:szCs w:val="20"/>
                <w:color w:val="auto"/>
              </w:rPr>
            </w:pPr>
            <w:r>
              <w:rPr>
                <w:rFonts w:ascii="Times New Roman" w:cs="Times New Roman" w:eastAsia="Times New Roman" w:hAnsi="Times New Roman"/>
                <w:sz w:val="18"/>
                <w:szCs w:val="18"/>
                <w:color w:val="auto"/>
              </w:rPr>
              <w:t>II-3</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35" w:lineRule="exact"/>
        <w:rPr>
          <w:sz w:val="20"/>
          <w:szCs w:val="20"/>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1540" w:right="60" w:hanging="439"/>
        <w:spacing w:after="0" w:line="273" w:lineRule="auto"/>
        <w:tabs>
          <w:tab w:leader="none" w:pos="1540" w:val="left"/>
        </w:tabs>
        <w:numPr>
          <w:ilvl w:val="2"/>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76" w:lineRule="exact"/>
        <w:rPr>
          <w:rFonts w:ascii="Times New Roman" w:cs="Times New Roman" w:eastAsia="Times New Roman" w:hAnsi="Times New Roman"/>
          <w:sz w:val="17"/>
          <w:szCs w:val="17"/>
          <w:color w:val="auto"/>
        </w:rPr>
      </w:pPr>
    </w:p>
    <w:p>
      <w:pPr>
        <w:ind w:left="1540" w:right="200" w:hanging="439"/>
        <w:spacing w:after="0" w:line="282" w:lineRule="auto"/>
        <w:tabs>
          <w:tab w:leader="none" w:pos="154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2" w:lineRule="exact"/>
        <w:rPr>
          <w:sz w:val="20"/>
          <w:szCs w:val="20"/>
          <w:color w:val="auto"/>
        </w:rPr>
      </w:pPr>
    </w:p>
    <w:p>
      <w:pPr>
        <w:ind w:left="560" w:right="80"/>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(1)(i), (1)(ii) and (1)(iii) do not apply if the information required to be included in a post-effective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those paragraphs is contained in reports filed with or furnished to the Commission by the registrant pursuant to Section 13 or Section 15(d) of the Securities Exchange Act of 1934, as amended, or the Exchange Act, that are incorporated by reference in the registration statement, or is contained in a form of prospectus filed pursuant to Rule 424(b) that is part of the registration statement.</w:t>
      </w:r>
    </w:p>
    <w:p>
      <w:pPr>
        <w:spacing w:after="0" w:line="87" w:lineRule="exact"/>
        <w:rPr>
          <w:sz w:val="20"/>
          <w:szCs w:val="20"/>
          <w:color w:val="auto"/>
        </w:rPr>
      </w:pPr>
    </w:p>
    <w:p>
      <w:pPr>
        <w:ind w:left="1080" w:hanging="532"/>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81" w:lineRule="exact"/>
        <w:rPr>
          <w:rFonts w:ascii="Times New Roman" w:cs="Times New Roman" w:eastAsia="Times New Roman" w:hAnsi="Times New Roman"/>
          <w:sz w:val="18"/>
          <w:szCs w:val="18"/>
          <w:color w:val="auto"/>
        </w:rPr>
      </w:pPr>
    </w:p>
    <w:p>
      <w:pPr>
        <w:ind w:left="1080" w:right="400" w:hanging="532"/>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30" w:lineRule="exact"/>
        <w:rPr>
          <w:rFonts w:ascii="Times New Roman" w:cs="Times New Roman" w:eastAsia="Times New Roman" w:hAnsi="Times New Roman"/>
          <w:sz w:val="18"/>
          <w:szCs w:val="18"/>
          <w:color w:val="auto"/>
        </w:rPr>
      </w:pPr>
    </w:p>
    <w:p>
      <w:pPr>
        <w:ind w:left="1540" w:right="240" w:hanging="439"/>
        <w:spacing w:after="0" w:line="282" w:lineRule="auto"/>
        <w:tabs>
          <w:tab w:leader="none" w:pos="15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ind w:left="1540" w:hanging="439"/>
        <w:spacing w:after="0" w:line="253" w:lineRule="auto"/>
        <w:tabs>
          <w:tab w:leader="none" w:pos="15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540" w:right="400"/>
        <w:spacing w:after="0" w:line="312" w:lineRule="auto"/>
        <w:rPr>
          <w:sz w:val="20"/>
          <w:szCs w:val="20"/>
          <w:color w:val="auto"/>
        </w:rPr>
      </w:pPr>
      <w:r>
        <w:rPr>
          <w:rFonts w:ascii="Times New Roman" w:cs="Times New Roman" w:eastAsia="Times New Roman" w:hAnsi="Times New Roman"/>
          <w:sz w:val="17"/>
          <w:szCs w:val="17"/>
          <w:color w:val="auto"/>
        </w:rPr>
        <w:t>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45" w:lineRule="exact"/>
        <w:rPr>
          <w:sz w:val="20"/>
          <w:szCs w:val="20"/>
          <w:color w:val="auto"/>
        </w:rPr>
      </w:pPr>
    </w:p>
    <w:p>
      <w:pPr>
        <w:ind w:left="1080" w:hanging="532"/>
        <w:spacing w:after="0" w:line="258" w:lineRule="auto"/>
        <w:tabs>
          <w:tab w:leader="none" w:pos="10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a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8" w:lineRule="exact"/>
        <w:rPr>
          <w:rFonts w:ascii="Times New Roman" w:cs="Times New Roman" w:eastAsia="Times New Roman" w:hAnsi="Times New Roman"/>
          <w:sz w:val="18"/>
          <w:szCs w:val="18"/>
          <w:color w:val="auto"/>
        </w:rPr>
      </w:pPr>
    </w:p>
    <w:p>
      <w:pPr>
        <w:ind w:left="1540" w:right="200" w:hanging="439"/>
        <w:spacing w:after="0" w:line="282" w:lineRule="auto"/>
        <w:tabs>
          <w:tab w:leader="none" w:pos="154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67" w:lineRule="exact"/>
        <w:rPr>
          <w:rFonts w:ascii="Times New Roman" w:cs="Times New Roman" w:eastAsia="Times New Roman" w:hAnsi="Times New Roman"/>
          <w:sz w:val="18"/>
          <w:szCs w:val="18"/>
          <w:color w:val="auto"/>
        </w:rPr>
      </w:pPr>
    </w:p>
    <w:p>
      <w:pPr>
        <w:ind w:left="1540" w:right="240" w:hanging="439"/>
        <w:spacing w:after="0" w:line="282" w:lineRule="auto"/>
        <w:tabs>
          <w:tab w:leader="none" w:pos="154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1540" w:right="560" w:hanging="439"/>
        <w:spacing w:after="0" w:line="282" w:lineRule="auto"/>
        <w:tabs>
          <w:tab w:leader="none" w:pos="154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0" w:lineRule="exact"/>
        <w:rPr>
          <w:rFonts w:ascii="Times New Roman" w:cs="Times New Roman" w:eastAsia="Times New Roman" w:hAnsi="Times New Roman"/>
          <w:sz w:val="18"/>
          <w:szCs w:val="18"/>
          <w:color w:val="auto"/>
        </w:rPr>
      </w:pPr>
    </w:p>
    <w:p>
      <w:pPr>
        <w:ind w:left="1080" w:right="40" w:hanging="532"/>
        <w:spacing w:after="0" w:line="258" w:lineRule="auto"/>
        <w:tabs>
          <w:tab w:leader="none" w:pos="10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88" w:lineRule="exact"/>
        <w:rPr>
          <w:rFonts w:ascii="Times New Roman" w:cs="Times New Roman" w:eastAsia="Times New Roman" w:hAnsi="Times New Roman"/>
          <w:sz w:val="18"/>
          <w:szCs w:val="18"/>
          <w:color w:val="auto"/>
        </w:rPr>
      </w:pPr>
    </w:p>
    <w:p>
      <w:pPr>
        <w:ind w:left="1080" w:right="200" w:hanging="532"/>
        <w:spacing w:after="0" w:line="266" w:lineRule="auto"/>
        <w:tabs>
          <w:tab w:leader="none" w:pos="10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81" w:lineRule="exact"/>
        <w:rPr>
          <w:rFonts w:ascii="Times New Roman" w:cs="Times New Roman" w:eastAsia="Times New Roman" w:hAnsi="Times New Roman"/>
          <w:sz w:val="18"/>
          <w:szCs w:val="18"/>
          <w:color w:val="auto"/>
        </w:rPr>
      </w:pPr>
    </w:p>
    <w:p>
      <w:pPr>
        <w:ind w:left="540" w:right="60" w:hanging="424"/>
        <w:spacing w:after="0" w:line="254"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amendment no. 1 to the registration statement to be signed on its behalf by the undersigned, thereunto duly authorized, in the City of Alpharetta, State of Georgia, on July 7, 2025.</w:t>
      </w:r>
    </w:p>
    <w:p>
      <w:pPr>
        <w:spacing w:after="0" w:line="3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Andrew A. 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Andrew A. Main</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Co-Chief Executive Officer, President and</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Akshay Naheta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Akshay Naheta</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Co-Chief Executive Officer and Director</w:t>
      </w:r>
    </w:p>
    <w:p>
      <w:pPr>
        <w:spacing w:after="0" w:line="15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0940"/>
          </w:cols>
          <w:pgMar w:left="320" w:top="455" w:right="6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amendment no. 1 to the registration statement has been signed below by the following persons on behalf of the registrant in the capacities indicated on July 7, 2025.</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40" w:type="dxa"/>
            <w:vAlign w:val="bottom"/>
            <w:tcBorders>
              <w:bottom w:val="single" w:sz="8" w:color="auto"/>
            </w:tcBorders>
          </w:tcPr>
          <w:p>
            <w:pPr>
              <w:spacing w:after="0"/>
              <w:rPr>
                <w:sz w:val="16"/>
                <w:szCs w:val="16"/>
                <w:color w:val="auto"/>
              </w:rPr>
            </w:pPr>
          </w:p>
        </w:tc>
        <w:tc>
          <w:tcPr>
            <w:tcW w:w="4600" w:type="dxa"/>
            <w:vAlign w:val="bottom"/>
            <w:tcBorders>
              <w:bottom w:val="single" w:sz="8" w:color="auto"/>
            </w:tcBorders>
            <w:gridSpan w:val="2"/>
          </w:tcPr>
          <w:p>
            <w:pPr>
              <w:ind w:left="178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 w:type="dxa"/>
            <w:vAlign w:val="bottom"/>
          </w:tcPr>
          <w:p>
            <w:pPr>
              <w:spacing w:after="0"/>
              <w:rPr>
                <w:sz w:val="16"/>
                <w:szCs w:val="16"/>
                <w:color w:val="auto"/>
              </w:rPr>
            </w:pPr>
          </w:p>
        </w:tc>
        <w:tc>
          <w:tcPr>
            <w:tcW w:w="5760" w:type="dxa"/>
            <w:vAlign w:val="bottom"/>
            <w:tcBorders>
              <w:bottom w:val="single" w:sz="8" w:color="auto"/>
            </w:tcBorders>
          </w:tcPr>
          <w:p>
            <w:pPr>
              <w:ind w:left="274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412"/>
        </w:trPr>
        <w:tc>
          <w:tcPr>
            <w:tcW w:w="50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Andrew A. Main</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Co-Chief Executive Officer, President and Director</w:t>
            </w:r>
          </w:p>
        </w:tc>
      </w:tr>
      <w:tr>
        <w:trPr>
          <w:trHeight w:val="228"/>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Andrew A. Main</w:t>
            </w:r>
          </w:p>
        </w:tc>
        <w:tc>
          <w:tcPr>
            <w:tcW w:w="2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50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Akshay Naheta</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Co-Chief Executive Officer and Director</w:t>
            </w:r>
          </w:p>
        </w:tc>
      </w:tr>
      <w:tr>
        <w:trPr>
          <w:trHeight w:val="228"/>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Akshay Naheta</w:t>
            </w:r>
          </w:p>
        </w:tc>
        <w:tc>
          <w:tcPr>
            <w:tcW w:w="2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9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Karen Alexander</w:t>
            </w:r>
          </w:p>
        </w:tc>
        <w:tc>
          <w:tcPr>
            <w:tcW w:w="2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27"/>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9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28"/>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Joseph Henderson</w:t>
            </w:r>
          </w:p>
        </w:tc>
        <w:tc>
          <w:tcPr>
            <w:tcW w:w="2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27"/>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9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Chair of the Board of Directors</w:t>
            </w:r>
          </w:p>
        </w:tc>
      </w:tr>
      <w:tr>
        <w:trPr>
          <w:trHeight w:val="228"/>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Sean Collins</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9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Colleen Brown</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9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David C. Clifton</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9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De’Ana Dow</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9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Michelle J. Goldberg</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9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Jill Simeone</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9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Gordon Watson</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54"/>
        </w:trPr>
        <w:tc>
          <w:tcPr>
            <w:tcW w:w="5040" w:type="dxa"/>
            <w:vAlign w:val="bottom"/>
            <w:gridSpan w:val="3"/>
          </w:tcPr>
          <w:p>
            <w:pPr>
              <w:spacing w:after="0"/>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By: /s/ Marc D’Annunzio</w:t>
            </w:r>
          </w:p>
        </w:tc>
        <w:tc>
          <w:tcPr>
            <w:tcW w:w="22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228"/>
        </w:trPr>
        <w:tc>
          <w:tcPr>
            <w:tcW w:w="440" w:type="dxa"/>
            <w:vAlign w:val="bottom"/>
          </w:tcPr>
          <w:p>
            <w:pPr>
              <w:spacing w:after="0"/>
              <w:rPr>
                <w:sz w:val="19"/>
                <w:szCs w:val="19"/>
                <w:color w:val="auto"/>
              </w:rPr>
            </w:pPr>
          </w:p>
        </w:tc>
        <w:tc>
          <w:tcPr>
            <w:tcW w:w="3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360"/>
        </w:trPr>
        <w:tc>
          <w:tcPr>
            <w:tcW w:w="4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II-7</w:t>
            </w:r>
          </w:p>
        </w:tc>
      </w:tr>
    </w:tbl>
    <w:p>
      <w:pPr>
        <w:sectPr>
          <w:pgSz w:w="11900" w:h="16838" w:orient="portrait"/>
          <w:cols w:equalWidth="0" w:num="1">
            <w:col w:w="11140"/>
          </w:cols>
          <w:pgMar w:left="320" w:top="455" w:right="4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Amendment No. 1 to the Form S-3 Registration Statement (File No. 333-288362) and related prospectus of Bakkt Holdings, Inc. for the offer and sale of up to 10,339,123 shares of Class A Common Stock and to the incorporation by reference therein of our report dated March 25, 2024, except for the effects of Staff Accounting Bulletin 122 Accounting for Obligations to Safeguard Crypto-Assets an Entity Holds for its Platform Users, Accounting Standards Update 2023-07, Segment Reporting (Topic 280): Improvements to Reportable Segment Disclosures, and the Reverse Stock Split completed by the Company on April 29, 2024, all as disclosed in Note 2 as to which the date is March 19, 2025, with respect to the consolidated financial statements of Bakkt Holdings, Inc. for the fiscal year ended December 31, 2023, filed with the Securities and Exchange Commission.</w:t>
      </w:r>
    </w:p>
    <w:p>
      <w:pPr>
        <w:spacing w:after="0" w:line="189"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7, 2025</w:t>
      </w:r>
    </w:p>
    <w:p>
      <w:pPr>
        <w:sectPr>
          <w:pgSz w:w="11900" w:h="16838" w:orient="portrait"/>
          <w:cols w:equalWidth="0" w:num="1">
            <w:col w:w="11020"/>
          </w:cols>
          <w:pgMar w:left="440" w:top="117" w:right="4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We consent to the use of our reports dated March 19, 2025, with respect to the consolidated financial statements of Bakkt Holdings, Inc., and the effectiveness of internal control over financial reporting, appearing in the Company’s Annual Report (Form 10-K) as of and for the year ended December 31, 2024 incorporated herein by reference, and to the reference to our firm under the heading “Experts” in the prospectus.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7, 2025</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678"/>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lowerRoman"/>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1">
    <w:nsid w:val="2D1D5AE9"/>
    <w:multiLevelType w:val="hybridMultilevel"/>
    <w:lvl w:ilvl="0">
      <w:lvlJc w:val="left"/>
      <w:lvlText w:val="(%1)"/>
      <w:numFmt w:val="decimal"/>
      <w:start w:val="2"/>
    </w:lvl>
    <w:lvl w:ilvl="1">
      <w:lvlJc w:val="left"/>
      <w:lvlText w:val="(%2)"/>
      <w:numFmt w:val="lowerRoman"/>
      <w:start w:val="1"/>
    </w:lvl>
  </w:abstractNum>
  <w:abstractNum w:abstractNumId="22">
    <w:nsid w:val="6763845E"/>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23">
    <w:nsid w:val="75A2A8D4"/>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71" Type="http://schemas.openxmlformats.org/officeDocument/2006/relationships/image" Target="media/image45.png"/><Relationship Id="rId72" Type="http://schemas.openxmlformats.org/officeDocument/2006/relationships/image" Target="media/image46.png"/><Relationship Id="rId73" Type="http://schemas.openxmlformats.org/officeDocument/2006/relationships/image" Target="media/image47.png"/><Relationship Id="rId74" Type="http://schemas.openxmlformats.org/officeDocument/2006/relationships/image" Target="media/image48.png"/><Relationship Id="rId75" Type="http://schemas.openxmlformats.org/officeDocument/2006/relationships/image" Target="media/image49.png"/><Relationship Id="rId76" Type="http://schemas.openxmlformats.org/officeDocument/2006/relationships/image" Target="media/image50.png"/><Relationship Id="rId48" Type="http://schemas.openxmlformats.org/officeDocument/2006/relationships/hyperlink" Target="http://www.sec.gov/ix?doc=/Archives/edgar/data/1820302/000162828025013959/bakkt-20241231.htm" TargetMode="External"/><Relationship Id="rId49" Type="http://schemas.openxmlformats.org/officeDocument/2006/relationships/hyperlink" Target="http://www.sec.gov/ix?doc=/Archives/edgar/data/1820302/000162828025024743/bakkt-20250331.htm" TargetMode="External"/><Relationship Id="rId50" Type="http://schemas.openxmlformats.org/officeDocument/2006/relationships/hyperlink" Target="http://www.sec.gov/ix?doc=/Archives/edgar/data/1820302/000162828025020274/bakkt-20250428.htm" TargetMode="External"/><Relationship Id="rId51" Type="http://schemas.openxmlformats.org/officeDocument/2006/relationships/hyperlink" Target="http://www.sec.gov/ix?doc=/Archives/edgar/data/1820302/000119312525138191/d76438d8k.htm" TargetMode="External"/><Relationship Id="rId52" Type="http://schemas.openxmlformats.org/officeDocument/2006/relationships/hyperlink" Target="http://www.sec.gov/ix?doc=/Archives/edgar/data/1820302/000162828025013995/bakkt-20250319.htm" TargetMode="External"/><Relationship Id="rId53" Type="http://schemas.openxmlformats.org/officeDocument/2006/relationships/hyperlink" Target="http://www.sec.gov/Archives/edgar/data/1820302/000119312521299620/d211377d8a12b.htm" TargetMode="External"/><Relationship Id="rId58" Type="http://schemas.openxmlformats.org/officeDocument/2006/relationships/hyperlink" Target="http://www.sec.gov/Archives/edgar/data/1820302/000119312524176416/d133420dex41.htm" TargetMode="External"/><Relationship Id="rId59" Type="http://schemas.openxmlformats.org/officeDocument/2006/relationships/hyperlink" Target="http://www.sec.gov/Archives/edgar/data/1820302/000182030224000080/bakkt-charteramendmentreve.htm" TargetMode="External"/><Relationship Id="rId60" Type="http://schemas.openxmlformats.org/officeDocument/2006/relationships/hyperlink" Target="http://www.sec.gov/Archives/edgar/data/1820302/000119312525142918/d80998dex31.htm" TargetMode="External"/><Relationship Id="rId61" Type="http://schemas.openxmlformats.org/officeDocument/2006/relationships/hyperlink" Target="http://www.sec.gov/Archives/edgar/data/1820302/000119312525142918/d80998dex32.htm" TargetMode="External"/><Relationship Id="rId62" Type="http://schemas.openxmlformats.org/officeDocument/2006/relationships/hyperlink" Target="http://www.sec.gov/Archives/edgar/data/1820302/000119312521303985/d219325dex32.htm" TargetMode="External"/><Relationship Id="rId63" Type="http://schemas.openxmlformats.org/officeDocument/2006/relationships/hyperlink" Target="http://www.sec.gov/Archives/edgar/data/1820302/000119312521303985/d219325dex41.htm" TargetMode="External"/><Relationship Id="rId64" Type="http://schemas.openxmlformats.org/officeDocument/2006/relationships/hyperlink" Target="http://www.sec.gov/Archives/edgar/data/1820302/000119312525142918/d80998dex102.htm" TargetMode="External"/><Relationship Id="rId65" Type="http://schemas.openxmlformats.org/officeDocument/2006/relationships/hyperlink" Target="http://www.sec.gov/Archives/edgar/data/1820302/000119312525142918/d80998dex103.htm" TargetMode="External"/><Relationship Id="rId66" Type="http://schemas.openxmlformats.org/officeDocument/2006/relationships/hyperlink" Target="http://www.sec.gov/Archives/edgar/data/1820302/000119312525142918/d80998dex104.htm" TargetMode="External"/><Relationship Id="rId67" Type="http://schemas.openxmlformats.org/officeDocument/2006/relationships/hyperlink" Target="http://www.sec.gov/Archives/edgar/data/0001820302/000119312525149177/d84171dex51.htm" TargetMode="External"/><Relationship Id="rId68" Type="http://schemas.openxmlformats.org/officeDocument/2006/relationships/hyperlink" Target="http://www.sec.gov/Archives/edgar/data/1820302/000119312525142918/d80998dex101.htm" TargetMode="External"/><Relationship Id="rId69" Type="http://schemas.openxmlformats.org/officeDocument/2006/relationships/hyperlink" Target="http://www.sec.gov/Archives/edgar/data/1820302/000119312525149177/d84171ds3.htm#sig" TargetMode="External"/><Relationship Id="rId70" Type="http://schemas.openxmlformats.org/officeDocument/2006/relationships/hyperlink" Target="http://www.sec.gov/Archives/edgar/data/0001820302/000119312525149177/d84171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2025-07-07T16:36:41Z</dcterms:created>
  <dcterms:modified xsi:type="dcterms:W3CDTF">2025-07-07T16:36:41Z</dcterms:modified>
</cp:coreProperties>
</file>