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7" w:lineRule="exact"/>
        <w:rPr>
          <w:sz w:val="24"/>
          <w:szCs w:val="24"/>
          <w:color w:val="auto"/>
        </w:rPr>
      </w:pPr>
    </w:p>
    <w:p>
      <w:pPr>
        <w:ind w:left="320"/>
        <w:spacing w:after="0" w:line="26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-182880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04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43"/>
              <w:spacing w:after="0" w:line="121"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60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7"/>
        </w:trPr>
        <w:tc>
          <w:tcPr>
            <w:tcW w:w="60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jc w:val="center"/>
              <w:ind w:right="443"/>
              <w:spacing w:after="0" w:line="171"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040" w:type="dxa"/>
            <w:vAlign w:val="bottom"/>
            <w:vMerge w:val="restart"/>
          </w:tcPr>
          <w:p>
            <w:pPr>
              <w:jc w:val="center"/>
              <w:ind w:right="44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0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5125085</wp:posOffset>
            </wp:positionH>
            <wp:positionV relativeFrom="paragraph">
              <wp:posOffset>-574675</wp:posOffset>
            </wp:positionV>
            <wp:extent cx="55245" cy="588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8010"/>
                    </a:xfrm>
                    <a:prstGeom prst="rect">
                      <a:avLst/>
                    </a:prstGeom>
                    <a:noFill/>
                  </pic:spPr>
                </pic:pic>
              </a:graphicData>
            </a:graphic>
          </wp:anchor>
        </w:drawing>
        <w:drawing>
          <wp:anchor simplePos="0" relativeHeight="251657728" behindDoc="1" locked="0" layoutInCell="0" allowOverlap="1">
            <wp:simplePos x="0" y="0"/>
            <wp:positionH relativeFrom="column">
              <wp:posOffset>3826510</wp:posOffset>
            </wp:positionH>
            <wp:positionV relativeFrom="paragraph">
              <wp:posOffset>-574675</wp:posOffset>
            </wp:positionV>
            <wp:extent cx="55245" cy="588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801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12700</wp:posOffset>
            </wp:positionV>
            <wp:extent cx="7004685" cy="383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685" cy="3830320"/>
                    </a:xfrm>
                    <a:prstGeom prst="rect">
                      <a:avLst/>
                    </a:prstGeom>
                    <a:noFill/>
                  </pic:spPr>
                </pic:pic>
              </a:graphicData>
            </a:graphic>
          </wp:anchor>
        </w:drawing>
      </w:r>
    </w:p>
    <w:p>
      <w:pPr>
        <w:spacing w:after="0" w:line="34" w:lineRule="exact"/>
        <w:rPr>
          <w:sz w:val="24"/>
          <w:szCs w:val="24"/>
          <w:color w:val="auto"/>
        </w:rPr>
      </w:pPr>
    </w:p>
    <w:p>
      <w:pPr>
        <w:sectPr>
          <w:pgSz w:w="11900" w:h="16838" w:orient="portrait"/>
          <w:cols w:equalWidth="0" w:num="2">
            <w:col w:w="2260" w:space="540"/>
            <w:col w:w="828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18"/>
        </w:trPr>
        <w:tc>
          <w:tcPr>
            <w:tcW w:w="2360" w:type="dxa"/>
            <w:vAlign w:val="bottom"/>
            <w:gridSpan w:val="6"/>
          </w:tcPr>
          <w:p>
            <w:pPr>
              <w:ind w:left="60"/>
              <w:spacing w:after="0"/>
              <w:rPr>
                <w:sz w:val="20"/>
                <w:szCs w:val="20"/>
                <w:color w:val="auto"/>
              </w:rPr>
            </w:pPr>
            <w:r>
              <w:rPr>
                <w:rFonts w:ascii="Arial" w:cs="Arial" w:eastAsia="Arial" w:hAnsi="Arial"/>
                <w:sz w:val="12"/>
                <w:szCs w:val="12"/>
                <w:color w:val="auto"/>
                <w:w w:val="98"/>
              </w:rPr>
              <w:t>1. Name and Address of Reporting Person</w:t>
            </w:r>
            <w:r>
              <w:rPr>
                <w:rFonts w:ascii="Arial" w:cs="Arial" w:eastAsia="Arial" w:hAnsi="Arial"/>
                <w:sz w:val="19"/>
                <w:szCs w:val="19"/>
                <w:color w:val="auto"/>
                <w:w w:val="98"/>
                <w:vertAlign w:val="superscript"/>
              </w:rPr>
              <w: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80" w:type="dxa"/>
            <w:vAlign w:val="bottom"/>
            <w:gridSpan w:val="9"/>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5"/>
          </w:tcPr>
          <w:p>
            <w:pPr>
              <w:ind w:left="60"/>
              <w:spacing w:after="0"/>
              <w:rPr>
                <w:sz w:val="20"/>
                <w:szCs w:val="20"/>
                <w:color w:val="auto"/>
              </w:rPr>
            </w:pPr>
            <w:r>
              <w:rPr>
                <w:rFonts w:ascii="Arial" w:cs="Arial" w:eastAsia="Arial" w:hAnsi="Arial"/>
                <w:sz w:val="12"/>
                <w:szCs w:val="12"/>
                <w:color w:val="auto"/>
                <w:w w:val="99"/>
              </w:rPr>
              <w:t>5. Relationship of Reporting Person(s) to Issuer</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760" w:type="dxa"/>
            <w:vAlign w:val="bottom"/>
            <w:gridSpan w:val="3"/>
            <w:vMerge w:val="restart"/>
          </w:tcPr>
          <w:p>
            <w:pPr>
              <w:spacing w:after="0" w:line="216" w:lineRule="exact"/>
              <w:rPr>
                <w:rFonts w:ascii="Arial" w:cs="Arial" w:eastAsia="Arial" w:hAnsi="Arial"/>
                <w:sz w:val="19"/>
                <w:szCs w:val="19"/>
                <w:color w:val="0000EE"/>
                <w:w w:val="90"/>
              </w:rPr>
            </w:pPr>
            <w:hyperlink r:id="rId12">
              <w:r>
                <w:rPr>
                  <w:rFonts w:ascii="Arial" w:cs="Arial" w:eastAsia="Arial" w:hAnsi="Arial"/>
                  <w:sz w:val="19"/>
                  <w:szCs w:val="19"/>
                  <w:color w:val="0000EE"/>
                  <w:w w:val="90"/>
                </w:rPr>
                <w:t>Johnson Matthew Alan</w:t>
              </w:r>
            </w:hyperlink>
          </w:p>
        </w:tc>
        <w:tc>
          <w:tcPr>
            <w:tcW w:w="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300" w:type="dxa"/>
            <w:vAlign w:val="bottom"/>
            <w:gridSpan w:val="8"/>
          </w:tcPr>
          <w:p>
            <w:pPr>
              <w:spacing w:after="0" w:line="95" w:lineRule="exact"/>
              <w:rPr>
                <w:rFonts w:ascii="Arial" w:cs="Arial" w:eastAsia="Arial" w:hAnsi="Arial"/>
                <w:sz w:val="10"/>
                <w:szCs w:val="10"/>
                <w:color w:val="0000EE"/>
              </w:rPr>
            </w:pPr>
            <w:hyperlink r:id="rId13">
              <w:r>
                <w:rPr>
                  <w:rFonts w:ascii="Arial" w:cs="Arial" w:eastAsia="Arial" w:hAnsi="Arial"/>
                  <w:sz w:val="10"/>
                  <w:szCs w:val="10"/>
                  <w:color w:val="0000EE"/>
                </w:rPr>
                <w:t xml:space="preserve">Bakkt Holdings, Inc. </w:t>
              </w:r>
            </w:hyperlink>
            <w:r>
              <w:rPr>
                <w:rFonts w:ascii="Arial" w:cs="Arial" w:eastAsia="Arial" w:hAnsi="Arial"/>
                <w:sz w:val="10"/>
                <w:szCs w:val="10"/>
                <w:color w:val="000000"/>
              </w:rPr>
              <w:t>[</w:t>
            </w:r>
            <w:r>
              <w:rPr>
                <w:rFonts w:ascii="Arial" w:cs="Arial" w:eastAsia="Arial" w:hAnsi="Arial"/>
                <w:sz w:val="10"/>
                <w:szCs w:val="10"/>
                <w:color w:val="0000EE"/>
              </w:rPr>
              <w:t xml:space="preserve"> </w:t>
            </w:r>
            <w:r>
              <w:rPr>
                <w:rFonts w:ascii="Arial" w:cs="Arial" w:eastAsia="Arial" w:hAnsi="Arial"/>
                <w:sz w:val="9"/>
                <w:szCs w:val="9"/>
                <w:color w:val="0000FF"/>
              </w:rPr>
              <w:t>BKKT</w:t>
            </w:r>
            <w:r>
              <w:rPr>
                <w:rFonts w:ascii="Arial" w:cs="Arial" w:eastAsia="Arial" w:hAnsi="Arial"/>
                <w:sz w:val="10"/>
                <w:szCs w:val="10"/>
                <w:color w:val="0000EE"/>
              </w:rPr>
              <w:t xml:space="preserve"> </w:t>
            </w:r>
            <w:r>
              <w:rPr>
                <w:rFonts w:ascii="Arial" w:cs="Arial" w:eastAsia="Arial" w:hAnsi="Arial"/>
                <w:sz w:val="10"/>
                <w:szCs w:val="10"/>
                <w:color w:val="000000"/>
              </w:rPr>
              <w:t>]</w:t>
            </w: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gridSpan w:val="3"/>
            <w:vMerge w:val="continue"/>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Director</w:t>
            </w: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color w:val="auto"/>
                <w:w w:val="95"/>
              </w:rPr>
              <w:t>10% Owner</w:t>
            </w: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Borders>
              <w:bottom w:val="single" w:sz="8" w:color="0000EE"/>
            </w:tcBorders>
            <w:gridSpan w:val="3"/>
            <w:vMerge w:val="continue"/>
          </w:tcPr>
          <w:p>
            <w:pPr>
              <w:spacing w:after="0"/>
              <w:rPr>
                <w:sz w:val="4"/>
                <w:szCs w:val="4"/>
                <w:color w:val="auto"/>
              </w:rPr>
            </w:pPr>
          </w:p>
        </w:tc>
        <w:tc>
          <w:tcPr>
            <w:tcW w:w="50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760" w:type="dxa"/>
            <w:vAlign w:val="bottom"/>
            <w:gridSpan w:val="3"/>
          </w:tcPr>
          <w:p>
            <w:pPr>
              <w:spacing w:after="0"/>
              <w:rPr>
                <w:sz w:val="3"/>
                <w:szCs w:val="3"/>
                <w:color w:val="auto"/>
              </w:rPr>
            </w:pPr>
          </w:p>
        </w:tc>
        <w:tc>
          <w:tcPr>
            <w:tcW w:w="50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5"/>
                <w:szCs w:val="15"/>
                <w:color w:val="0000FF"/>
              </w:rPr>
              <w:t>X</w:t>
            </w:r>
          </w:p>
        </w:tc>
        <w:tc>
          <w:tcPr>
            <w:tcW w:w="1200" w:type="dxa"/>
            <w:vAlign w:val="bottom"/>
            <w:gridSpan w:val="2"/>
          </w:tcPr>
          <w:p>
            <w:pPr>
              <w:ind w:left="120"/>
              <w:spacing w:after="0" w:line="128" w:lineRule="exact"/>
              <w:rPr>
                <w:sz w:val="20"/>
                <w:szCs w:val="20"/>
                <w:color w:val="auto"/>
              </w:rPr>
            </w:pPr>
            <w:r>
              <w:rPr>
                <w:rFonts w:ascii="Arial" w:cs="Arial" w:eastAsia="Arial" w:hAnsi="Arial"/>
                <w:sz w:val="12"/>
                <w:szCs w:val="12"/>
                <w:color w:val="auto"/>
              </w:rPr>
              <w:t>Officer (give title</w:t>
            </w:r>
          </w:p>
        </w:tc>
        <w:tc>
          <w:tcPr>
            <w:tcW w:w="440" w:type="dxa"/>
            <w:vAlign w:val="bottom"/>
          </w:tcPr>
          <w:p>
            <w:pPr>
              <w:spacing w:after="0"/>
              <w:rPr>
                <w:sz w:val="11"/>
                <w:szCs w:val="11"/>
                <w:color w:val="auto"/>
              </w:rPr>
            </w:pPr>
          </w:p>
        </w:tc>
        <w:tc>
          <w:tcPr>
            <w:tcW w:w="1320" w:type="dxa"/>
            <w:vAlign w:val="bottom"/>
            <w:gridSpan w:val="5"/>
          </w:tcPr>
          <w:p>
            <w:pPr>
              <w:ind w:left="60"/>
              <w:spacing w:after="0" w:line="128"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540" w:type="dxa"/>
            <w:vAlign w:val="bottom"/>
            <w:tcBorders>
              <w:top w:val="single" w:sz="8" w:color="EEEEEE"/>
            </w:tcBorders>
          </w:tcPr>
          <w:p>
            <w:pPr>
              <w:spacing w:after="0"/>
              <w:rPr>
                <w:sz w:val="11"/>
                <w:szCs w:val="11"/>
                <w:color w:val="auto"/>
              </w:rPr>
            </w:pPr>
          </w:p>
        </w:tc>
        <w:tc>
          <w:tcPr>
            <w:tcW w:w="660" w:type="dxa"/>
            <w:vAlign w:val="bottom"/>
            <w:tcBorders>
              <w:top w:val="single" w:sz="8" w:color="EEEEEE"/>
            </w:tcBorders>
          </w:tcPr>
          <w:p>
            <w:pPr>
              <w:spacing w:after="0"/>
              <w:rPr>
                <w:sz w:val="11"/>
                <w:szCs w:val="11"/>
                <w:color w:val="auto"/>
              </w:rPr>
            </w:pPr>
          </w:p>
        </w:tc>
        <w:tc>
          <w:tcPr>
            <w:tcW w:w="560" w:type="dxa"/>
            <w:vAlign w:val="bottom"/>
            <w:tcBorders>
              <w:top w:val="single" w:sz="8" w:color="EEEEEE"/>
            </w:tcBorders>
          </w:tcPr>
          <w:p>
            <w:pPr>
              <w:spacing w:after="0"/>
              <w:rPr>
                <w:sz w:val="11"/>
                <w:szCs w:val="11"/>
                <w:color w:val="auto"/>
              </w:rPr>
            </w:pPr>
          </w:p>
        </w:tc>
        <w:tc>
          <w:tcPr>
            <w:tcW w:w="500" w:type="dxa"/>
            <w:vAlign w:val="bottom"/>
            <w:tcBorders>
              <w:top w:val="single" w:sz="8" w:color="EEEEEE"/>
            </w:tcBorders>
          </w:tcPr>
          <w:p>
            <w:pPr>
              <w:spacing w:after="0"/>
              <w:rPr>
                <w:sz w:val="11"/>
                <w:szCs w:val="11"/>
                <w:color w:val="auto"/>
              </w:rPr>
            </w:pPr>
          </w:p>
        </w:tc>
        <w:tc>
          <w:tcPr>
            <w:tcW w:w="980" w:type="dxa"/>
            <w:vAlign w:val="bottom"/>
            <w:tcBorders>
              <w:top w:val="single" w:sz="8" w:color="EEEEEE"/>
            </w:tcBorders>
          </w:tcPr>
          <w:p>
            <w:pPr>
              <w:spacing w:after="0"/>
              <w:rPr>
                <w:sz w:val="11"/>
                <w:szCs w:val="11"/>
                <w:color w:val="auto"/>
              </w:rPr>
            </w:pPr>
          </w:p>
        </w:tc>
        <w:tc>
          <w:tcPr>
            <w:tcW w:w="42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60" w:type="dxa"/>
            <w:vAlign w:val="bottom"/>
            <w:vMerge w:val="continue"/>
          </w:tcPr>
          <w:p>
            <w:pPr>
              <w:spacing w:after="0"/>
              <w:rPr>
                <w:sz w:val="11"/>
                <w:szCs w:val="11"/>
                <w:color w:val="auto"/>
              </w:rPr>
            </w:pPr>
          </w:p>
        </w:tc>
        <w:tc>
          <w:tcPr>
            <w:tcW w:w="620" w:type="dxa"/>
            <w:vAlign w:val="bottom"/>
          </w:tcPr>
          <w:p>
            <w:pPr>
              <w:ind w:left="120"/>
              <w:spacing w:after="0" w:line="106"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ind w:left="60"/>
              <w:spacing w:after="0" w:line="106" w:lineRule="exact"/>
              <w:rPr>
                <w:sz w:val="20"/>
                <w:szCs w:val="20"/>
                <w:color w:val="auto"/>
              </w:rPr>
            </w:pPr>
            <w:r>
              <w:rPr>
                <w:rFonts w:ascii="Arial" w:cs="Arial" w:eastAsia="Arial" w:hAnsi="Arial"/>
                <w:sz w:val="12"/>
                <w:szCs w:val="12"/>
                <w:color w:val="auto"/>
              </w:rPr>
              <w:t>below)</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line="105" w:lineRule="exact"/>
              <w:rPr>
                <w:sz w:val="20"/>
                <w:szCs w:val="20"/>
                <w:color w:val="auto"/>
              </w:rPr>
            </w:pPr>
            <w:r>
              <w:rPr>
                <w:rFonts w:ascii="Arial" w:cs="Arial" w:eastAsia="Arial" w:hAnsi="Arial"/>
                <w:sz w:val="12"/>
                <w:szCs w:val="12"/>
                <w:color w:val="auto"/>
              </w:rPr>
              <w:t>(Last)</w:t>
            </w:r>
          </w:p>
        </w:tc>
        <w:tc>
          <w:tcPr>
            <w:tcW w:w="660" w:type="dxa"/>
            <w:vAlign w:val="bottom"/>
          </w:tcPr>
          <w:p>
            <w:pPr>
              <w:spacing w:after="0"/>
              <w:rPr>
                <w:sz w:val="9"/>
                <w:szCs w:val="9"/>
                <w:color w:val="auto"/>
              </w:rPr>
            </w:pPr>
          </w:p>
        </w:tc>
        <w:tc>
          <w:tcPr>
            <w:tcW w:w="1060" w:type="dxa"/>
            <w:vAlign w:val="bottom"/>
            <w:gridSpan w:val="2"/>
          </w:tcPr>
          <w:p>
            <w:pPr>
              <w:ind w:left="40"/>
              <w:spacing w:after="0" w:line="105" w:lineRule="exact"/>
              <w:rPr>
                <w:sz w:val="20"/>
                <w:szCs w:val="20"/>
                <w:color w:val="auto"/>
              </w:rPr>
            </w:pPr>
            <w:r>
              <w:rPr>
                <w:rFonts w:ascii="Arial" w:cs="Arial" w:eastAsia="Arial" w:hAnsi="Arial"/>
                <w:sz w:val="12"/>
                <w:szCs w:val="12"/>
                <w:color w:val="auto"/>
              </w:rPr>
              <w:t>(First)</w:t>
            </w:r>
          </w:p>
        </w:tc>
        <w:tc>
          <w:tcPr>
            <w:tcW w:w="980" w:type="dxa"/>
            <w:vAlign w:val="bottom"/>
          </w:tcPr>
          <w:p>
            <w:pPr>
              <w:ind w:left="200"/>
              <w:spacing w:after="0" w:line="105" w:lineRule="exact"/>
              <w:rPr>
                <w:sz w:val="20"/>
                <w:szCs w:val="20"/>
                <w:color w:val="auto"/>
              </w:rPr>
            </w:pPr>
            <w:r>
              <w:rPr>
                <w:rFonts w:ascii="Arial" w:cs="Arial" w:eastAsia="Arial" w:hAnsi="Arial"/>
                <w:sz w:val="12"/>
                <w:szCs w:val="12"/>
                <w:color w:val="auto"/>
              </w:rPr>
              <w:t>(Middle)</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580" w:type="dxa"/>
            <w:vAlign w:val="bottom"/>
            <w:gridSpan w:val="9"/>
            <w:vMerge w:val="restart"/>
          </w:tcPr>
          <w:p>
            <w:pPr>
              <w:spacing w:after="0"/>
              <w:rPr>
                <w:sz w:val="20"/>
                <w:szCs w:val="20"/>
                <w:color w:val="auto"/>
              </w:rPr>
            </w:pPr>
            <w:r>
              <w:rPr>
                <w:rFonts w:ascii="Arial" w:cs="Arial" w:eastAsia="Arial" w:hAnsi="Arial"/>
                <w:sz w:val="12"/>
                <w:szCs w:val="12"/>
                <w:color w:val="auto"/>
                <w:w w:val="98"/>
              </w:rPr>
              <w:t>3. Date of Earliest Transaction (Month/Day/Year)</w:t>
            </w: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40" w:type="dxa"/>
            <w:vAlign w:val="bottom"/>
            <w:gridSpan w:val="4"/>
            <w:vMerge w:val="restart"/>
          </w:tcPr>
          <w:p>
            <w:pPr>
              <w:ind w:left="400"/>
              <w:spacing w:after="0"/>
              <w:rPr>
                <w:sz w:val="20"/>
                <w:szCs w:val="20"/>
                <w:color w:val="auto"/>
              </w:rPr>
            </w:pPr>
            <w:r>
              <w:rPr>
                <w:rFonts w:ascii="Arial" w:cs="Arial" w:eastAsia="Arial" w:hAnsi="Arial"/>
                <w:sz w:val="15"/>
                <w:szCs w:val="15"/>
                <w:color w:val="0000FF"/>
              </w:rPr>
              <w:t>Chief Technology Officer</w:t>
            </w: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60" w:type="dxa"/>
            <w:vAlign w:val="bottom"/>
            <w:gridSpan w:val="4"/>
            <w:vMerge w:val="restart"/>
          </w:tcPr>
          <w:p>
            <w:pPr>
              <w:spacing w:after="0"/>
              <w:rPr>
                <w:sz w:val="20"/>
                <w:szCs w:val="20"/>
                <w:color w:val="auto"/>
              </w:rPr>
            </w:pPr>
            <w:r>
              <w:rPr>
                <w:rFonts w:ascii="Arial" w:cs="Arial" w:eastAsia="Arial" w:hAnsi="Arial"/>
                <w:sz w:val="15"/>
                <w:szCs w:val="15"/>
                <w:color w:val="0000FF"/>
              </w:rPr>
              <w:t>C/O BAKKT HOLDINGS, INC.</w:t>
            </w: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580" w:type="dxa"/>
            <w:vAlign w:val="bottom"/>
            <w:gridSpan w:val="9"/>
            <w:vMerge w:val="continue"/>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14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gridSpan w:val="4"/>
            <w:vMerge w:val="continue"/>
          </w:tcPr>
          <w:p>
            <w:pPr>
              <w:spacing w:after="0"/>
              <w:rPr>
                <w:sz w:val="16"/>
                <w:szCs w:val="16"/>
                <w:color w:val="auto"/>
              </w:rPr>
            </w:pPr>
          </w:p>
        </w:tc>
        <w:tc>
          <w:tcPr>
            <w:tcW w:w="980" w:type="dxa"/>
            <w:vAlign w:val="bottom"/>
          </w:tcPr>
          <w:p>
            <w:pPr>
              <w:spacing w:after="0"/>
              <w:rPr>
                <w:sz w:val="16"/>
                <w:szCs w:val="16"/>
                <w:color w:val="auto"/>
              </w:rPr>
            </w:pPr>
          </w:p>
        </w:tc>
        <w:tc>
          <w:tcPr>
            <w:tcW w:w="1780" w:type="dxa"/>
            <w:vAlign w:val="bottom"/>
            <w:gridSpan w:val="6"/>
          </w:tcPr>
          <w:p>
            <w:pPr>
              <w:ind w:left="560"/>
              <w:spacing w:after="0"/>
              <w:rPr>
                <w:sz w:val="20"/>
                <w:szCs w:val="20"/>
                <w:color w:val="auto"/>
              </w:rPr>
            </w:pPr>
            <w:r>
              <w:rPr>
                <w:rFonts w:ascii="Arial" w:cs="Arial" w:eastAsia="Arial" w:hAnsi="Arial"/>
                <w:sz w:val="15"/>
                <w:szCs w:val="15"/>
                <w:color w:val="0000FF"/>
              </w:rPr>
              <w:t>10/15/2021</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gridSpan w:val="5"/>
          </w:tcPr>
          <w:p>
            <w:pPr>
              <w:spacing w:after="0"/>
              <w:rPr>
                <w:sz w:val="20"/>
                <w:szCs w:val="20"/>
                <w:color w:val="auto"/>
              </w:rPr>
            </w:pPr>
            <w:r>
              <w:rPr>
                <w:rFonts w:ascii="Arial" w:cs="Arial" w:eastAsia="Arial" w:hAnsi="Arial"/>
                <w:sz w:val="15"/>
                <w:szCs w:val="15"/>
                <w:color w:val="0000FF"/>
              </w:rPr>
              <w:t>5900 WINDWARD PARKWAY, SUITE 450</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500" w:type="dxa"/>
            <w:vAlign w:val="bottom"/>
            <w:tcBorders>
              <w:bottom w:val="single" w:sz="8" w:color="808080"/>
            </w:tcBorders>
            <w:gridSpan w:val="5"/>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520" w:type="dxa"/>
            <w:vAlign w:val="bottom"/>
            <w:tcBorders>
              <w:bottom w:val="single" w:sz="8" w:color="808080"/>
            </w:tcBorders>
            <w:gridSpan w:val="4"/>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3320" w:type="dxa"/>
            <w:vAlign w:val="bottom"/>
            <w:tcBorders>
              <w:bottom w:val="single" w:sz="8" w:color="808080"/>
            </w:tcBorders>
            <w:gridSpan w:val="7"/>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100" w:type="dxa"/>
            <w:vAlign w:val="bottom"/>
            <w:tcBorders>
              <w:top w:val="single" w:sz="8" w:color="2C2C2C"/>
            </w:tcBorders>
            <w:gridSpan w:val="10"/>
          </w:tcPr>
          <w:p>
            <w:pPr>
              <w:spacing w:after="0"/>
              <w:rPr>
                <w:sz w:val="20"/>
                <w:szCs w:val="20"/>
                <w:color w:val="auto"/>
              </w:rPr>
            </w:pPr>
            <w:r>
              <w:rPr>
                <w:rFonts w:ascii="Arial" w:cs="Arial" w:eastAsia="Arial" w:hAnsi="Arial"/>
                <w:sz w:val="12"/>
                <w:szCs w:val="12"/>
                <w:color w:val="auto"/>
              </w:rPr>
              <w:t>4. If Amendment, Date of Original Filed (Month/Day/Year)</w:t>
            </w:r>
          </w:p>
        </w:tc>
        <w:tc>
          <w:tcPr>
            <w:tcW w:w="440" w:type="dxa"/>
            <w:vAlign w:val="bottom"/>
            <w:tcBorders>
              <w:top w:val="single" w:sz="8" w:color="2C2C2C"/>
            </w:tcBorders>
          </w:tcPr>
          <w:p>
            <w:pPr>
              <w:spacing w:after="0"/>
              <w:rPr>
                <w:sz w:val="15"/>
                <w:szCs w:val="15"/>
                <w:color w:val="auto"/>
              </w:rPr>
            </w:pPr>
          </w:p>
        </w:tc>
        <w:tc>
          <w:tcPr>
            <w:tcW w:w="220" w:type="dxa"/>
            <w:vAlign w:val="bottom"/>
            <w:tcBorders>
              <w:top w:val="single" w:sz="8" w:color="2C2C2C"/>
            </w:tcBorders>
          </w:tcPr>
          <w:p>
            <w:pPr>
              <w:spacing w:after="0"/>
              <w:rPr>
                <w:sz w:val="15"/>
                <w:szCs w:val="15"/>
                <w:color w:val="auto"/>
              </w:rPr>
            </w:pPr>
          </w:p>
        </w:tc>
        <w:tc>
          <w:tcPr>
            <w:tcW w:w="332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ALPHARETTA</w:t>
            </w:r>
          </w:p>
        </w:tc>
        <w:tc>
          <w:tcPr>
            <w:tcW w:w="1060" w:type="dxa"/>
            <w:vAlign w:val="bottom"/>
            <w:gridSpan w:val="2"/>
          </w:tcPr>
          <w:p>
            <w:pPr>
              <w:ind w:left="40"/>
              <w:spacing w:after="0"/>
              <w:rPr>
                <w:sz w:val="20"/>
                <w:szCs w:val="20"/>
                <w:color w:val="auto"/>
              </w:rPr>
            </w:pPr>
            <w:r>
              <w:rPr>
                <w:rFonts w:ascii="Arial" w:cs="Arial" w:eastAsia="Arial" w:hAnsi="Arial"/>
                <w:sz w:val="15"/>
                <w:szCs w:val="15"/>
                <w:color w:val="0000FF"/>
              </w:rPr>
              <w:t>GA</w:t>
            </w:r>
          </w:p>
        </w:tc>
        <w:tc>
          <w:tcPr>
            <w:tcW w:w="980" w:type="dxa"/>
            <w:vAlign w:val="bottom"/>
          </w:tcPr>
          <w:p>
            <w:pPr>
              <w:ind w:left="200"/>
              <w:spacing w:after="0"/>
              <w:rPr>
                <w:sz w:val="20"/>
                <w:szCs w:val="20"/>
                <w:color w:val="auto"/>
              </w:rPr>
            </w:pPr>
            <w:r>
              <w:rPr>
                <w:rFonts w:ascii="Arial" w:cs="Arial" w:eastAsia="Arial" w:hAnsi="Arial"/>
                <w:sz w:val="15"/>
                <w:szCs w:val="15"/>
                <w:color w:val="0000FF"/>
              </w:rPr>
              <w:t>30005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ind w:left="260"/>
              <w:spacing w:after="0"/>
              <w:rPr>
                <w:sz w:val="20"/>
                <w:szCs w:val="20"/>
                <w:color w:val="auto"/>
              </w:rPr>
            </w:pPr>
            <w:r>
              <w:rPr>
                <w:rFonts w:ascii="Arial" w:cs="Arial" w:eastAsia="Arial" w:hAnsi="Arial"/>
                <w:sz w:val="15"/>
                <w:szCs w:val="15"/>
                <w:color w:val="0000FF"/>
              </w:rPr>
              <w:t>X</w:t>
            </w: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960" w:type="dxa"/>
            <w:vAlign w:val="bottom"/>
            <w:gridSpan w:val="8"/>
          </w:tcPr>
          <w:p>
            <w:pPr>
              <w:ind w:left="140"/>
              <w:spacing w:after="0" w:line="111"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6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980" w:type="dxa"/>
            <w:vAlign w:val="bottom"/>
          </w:tcPr>
          <w:p>
            <w:pPr>
              <w:ind w:left="200"/>
              <w:spacing w:after="0"/>
              <w:rPr>
                <w:sz w:val="20"/>
                <w:szCs w:val="20"/>
                <w:color w:val="auto"/>
              </w:rPr>
            </w:pPr>
            <w:r>
              <w:rPr>
                <w:rFonts w:ascii="Arial" w:cs="Arial" w:eastAsia="Arial" w:hAnsi="Arial"/>
                <w:sz w:val="12"/>
                <w:szCs w:val="12"/>
                <w:color w:val="auto"/>
              </w:rPr>
              <w:t>(Zip)</w:t>
            </w: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5"/>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6"/>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380" w:type="dxa"/>
            <w:vAlign w:val="bottom"/>
            <w:tcBorders>
              <w:top w:val="single" w:sz="8" w:color="2C2C2C"/>
            </w:tcBorders>
            <w:gridSpan w:val="18"/>
          </w:tcPr>
          <w:p>
            <w:pPr>
              <w:ind w:left="2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3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1080" w:type="dxa"/>
            <w:vAlign w:val="bottom"/>
            <w:gridSpan w:val="5"/>
          </w:tcPr>
          <w:p>
            <w:pPr>
              <w:ind w:left="1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8"/>
              </w:rPr>
              <w:t>2A. Deemed</w:t>
            </w:r>
          </w:p>
        </w:tc>
        <w:tc>
          <w:tcPr>
            <w:tcW w:w="260" w:type="dxa"/>
            <w:vAlign w:val="bottom"/>
          </w:tcPr>
          <w:p>
            <w:pPr>
              <w:spacing w:after="0"/>
              <w:rPr>
                <w:sz w:val="13"/>
                <w:szCs w:val="13"/>
                <w:color w:val="auto"/>
              </w:rPr>
            </w:pPr>
          </w:p>
        </w:tc>
        <w:tc>
          <w:tcPr>
            <w:tcW w:w="420" w:type="dxa"/>
            <w:vAlign w:val="bottom"/>
            <w:gridSpan w:val="3"/>
          </w:tcPr>
          <w:p>
            <w:pPr>
              <w:ind w:left="80"/>
              <w:spacing w:after="0"/>
              <w:rPr>
                <w:sz w:val="20"/>
                <w:szCs w:val="20"/>
                <w:color w:val="auto"/>
              </w:rPr>
            </w:pPr>
            <w:r>
              <w:rPr>
                <w:rFonts w:ascii="Arial" w:cs="Arial" w:eastAsia="Arial" w:hAnsi="Arial"/>
                <w:sz w:val="11"/>
                <w:szCs w:val="11"/>
                <w:b w:val="1"/>
                <w:bCs w:val="1"/>
                <w:color w:val="auto"/>
              </w:rPr>
              <w:t>3.</w:t>
            </w:r>
          </w:p>
        </w:tc>
        <w:tc>
          <w:tcPr>
            <w:tcW w:w="400" w:type="dxa"/>
            <w:vAlign w:val="bottom"/>
          </w:tcPr>
          <w:p>
            <w:pPr>
              <w:spacing w:after="0"/>
              <w:rPr>
                <w:sz w:val="13"/>
                <w:szCs w:val="13"/>
                <w:color w:val="auto"/>
              </w:rPr>
            </w:pPr>
          </w:p>
        </w:tc>
        <w:tc>
          <w:tcPr>
            <w:tcW w:w="19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gridSpan w:val="4"/>
          </w:tcPr>
          <w:p>
            <w:pPr>
              <w:ind w:left="140"/>
              <w:spacing w:after="0" w:line="116" w:lineRule="exact"/>
              <w:rPr>
                <w:sz w:val="20"/>
                <w:szCs w:val="20"/>
                <w:color w:val="auto"/>
              </w:rPr>
            </w:pPr>
            <w:r>
              <w:rPr>
                <w:rFonts w:ascii="Arial" w:cs="Arial" w:eastAsia="Arial" w:hAnsi="Arial"/>
                <w:sz w:val="11"/>
                <w:szCs w:val="11"/>
                <w:b w:val="1"/>
                <w:bCs w:val="1"/>
                <w:color w:val="auto"/>
              </w:rPr>
              <w:t>Date</w:t>
            </w:r>
          </w:p>
        </w:tc>
        <w:tc>
          <w:tcPr>
            <w:tcW w:w="360" w:type="dxa"/>
            <w:vAlign w:val="bottom"/>
          </w:tcPr>
          <w:p>
            <w:pPr>
              <w:spacing w:after="0"/>
              <w:rPr>
                <w:sz w:val="10"/>
                <w:szCs w:val="10"/>
                <w:color w:val="auto"/>
              </w:rPr>
            </w:pPr>
          </w:p>
        </w:tc>
        <w:tc>
          <w:tcPr>
            <w:tcW w:w="96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800" w:type="dxa"/>
            <w:vAlign w:val="bottom"/>
            <w:gridSpan w:val="3"/>
          </w:tcPr>
          <w:p>
            <w:pPr>
              <w:ind w:left="60"/>
              <w:spacing w:after="0" w:line="116"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20"/>
              <w:spacing w:after="0" w:line="116" w:lineRule="exact"/>
              <w:rPr>
                <w:sz w:val="20"/>
                <w:szCs w:val="20"/>
                <w:color w:val="auto"/>
              </w:rPr>
            </w:pPr>
            <w:r>
              <w:rPr>
                <w:rFonts w:ascii="Arial" w:cs="Arial" w:eastAsia="Arial" w:hAnsi="Arial"/>
                <w:sz w:val="11"/>
                <w:szCs w:val="11"/>
                <w:b w:val="1"/>
                <w:bCs w:val="1"/>
                <w:color w:val="auto"/>
              </w:rPr>
              <w:t>Disposed Of (D) (Instr. 3, 4 and 5)</w:t>
            </w:r>
          </w:p>
        </w:tc>
        <w:tc>
          <w:tcPr>
            <w:tcW w:w="62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16"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4"/>
          </w:tcPr>
          <w:p>
            <w:pPr>
              <w:ind w:left="20"/>
              <w:spacing w:after="0" w:line="11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gridSpan w:val="5"/>
          </w:tcPr>
          <w:p>
            <w:pPr>
              <w:ind w:left="140"/>
              <w:spacing w:after="0" w:line="119"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42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Following Reported</w:t>
            </w:r>
          </w:p>
        </w:tc>
        <w:tc>
          <w:tcPr>
            <w:tcW w:w="44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2"/>
              </w:rPr>
              <w:t>(Instr. 4)</w:t>
            </w:r>
          </w:p>
        </w:tc>
        <w:tc>
          <w:tcPr>
            <w:tcW w:w="500" w:type="dxa"/>
            <w:vAlign w:val="bottom"/>
          </w:tcPr>
          <w:p>
            <w:pPr>
              <w:spacing w:after="0"/>
              <w:rPr>
                <w:sz w:val="10"/>
                <w:szCs w:val="10"/>
                <w:color w:val="auto"/>
              </w:rPr>
            </w:pPr>
          </w:p>
        </w:tc>
        <w:tc>
          <w:tcPr>
            <w:tcW w:w="82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19" w:lineRule="exact"/>
              <w:rPr>
                <w:sz w:val="20"/>
                <w:szCs w:val="20"/>
                <w:color w:val="auto"/>
              </w:rPr>
            </w:pPr>
            <w:r>
              <w:rPr>
                <w:rFonts w:ascii="Arial" w:cs="Arial" w:eastAsia="Arial" w:hAnsi="Arial"/>
                <w:sz w:val="11"/>
                <w:szCs w:val="11"/>
                <w:b w:val="1"/>
                <w:bCs w:val="1"/>
                <w:color w:val="auto"/>
              </w:rPr>
              <w:t>Transaction(s)</w:t>
            </w: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gridSpan w:val="4"/>
            <w:vMerge w:val="restart"/>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V</w:t>
            </w: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 and 4)</w:t>
            </w: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500" w:type="dxa"/>
            <w:vAlign w:val="bottom"/>
            <w:tcBorders>
              <w:bottom w:val="single" w:sz="8" w:color="2C2C2C"/>
            </w:tcBorders>
            <w:gridSpan w:val="5"/>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60" w:type="dxa"/>
            <w:vAlign w:val="bottom"/>
            <w:tcBorders>
              <w:bottom w:val="single" w:sz="8" w:color="2C2C2C"/>
            </w:tcBorders>
            <w:gridSpan w:val="8"/>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380" w:type="dxa"/>
            <w:vAlign w:val="bottom"/>
            <w:gridSpan w:val="18"/>
          </w:tcPr>
          <w:p>
            <w:pPr>
              <w:ind w:left="4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780" w:type="dxa"/>
            <w:vAlign w:val="bottom"/>
            <w:gridSpan w:val="16"/>
          </w:tcPr>
          <w:p>
            <w:pPr>
              <w:ind w:left="8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164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6"/>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6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180" w:type="dxa"/>
            <w:vAlign w:val="bottom"/>
          </w:tcPr>
          <w:p>
            <w:pPr>
              <w:spacing w:after="0"/>
              <w:rPr>
                <w:sz w:val="13"/>
                <w:szCs w:val="13"/>
                <w:color w:val="auto"/>
              </w:rPr>
            </w:pPr>
          </w:p>
        </w:tc>
        <w:tc>
          <w:tcPr>
            <w:tcW w:w="64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8"/>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5"/>
              </w:rPr>
              <w:t>Conversion</w:t>
            </w:r>
          </w:p>
        </w:tc>
        <w:tc>
          <w:tcPr>
            <w:tcW w:w="10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Derivative</w:t>
            </w:r>
          </w:p>
        </w:tc>
        <w:tc>
          <w:tcPr>
            <w:tcW w:w="1080" w:type="dxa"/>
            <w:vAlign w:val="bottom"/>
            <w:gridSpan w:val="5"/>
          </w:tcPr>
          <w:p>
            <w:pPr>
              <w:ind w:left="20"/>
              <w:spacing w:after="0" w:line="119" w:lineRule="exact"/>
              <w:rPr>
                <w:sz w:val="20"/>
                <w:szCs w:val="20"/>
                <w:color w:val="auto"/>
              </w:rPr>
            </w:pPr>
            <w:r>
              <w:rPr>
                <w:rFonts w:ascii="Arial" w:cs="Arial" w:eastAsia="Arial" w:hAnsi="Arial"/>
                <w:sz w:val="11"/>
                <w:szCs w:val="11"/>
                <w:b w:val="1"/>
                <w:bCs w:val="1"/>
                <w:color w:val="auto"/>
              </w:rPr>
              <w:t>Expiration Date</w:t>
            </w:r>
          </w:p>
        </w:tc>
        <w:tc>
          <w:tcPr>
            <w:tcW w:w="280" w:type="dxa"/>
            <w:vAlign w:val="bottom"/>
          </w:tcPr>
          <w:p>
            <w:pPr>
              <w:spacing w:after="0"/>
              <w:rPr>
                <w:sz w:val="10"/>
                <w:szCs w:val="10"/>
                <w:color w:val="auto"/>
              </w:rPr>
            </w:pPr>
          </w:p>
        </w:tc>
        <w:tc>
          <w:tcPr>
            <w:tcW w:w="164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3"/>
              </w:rPr>
              <w:t>derivative</w:t>
            </w:r>
          </w:p>
        </w:tc>
        <w:tc>
          <w:tcPr>
            <w:tcW w:w="4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64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8"/>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7"/>
              </w:rPr>
              <w:t>or Exercise</w:t>
            </w:r>
          </w:p>
        </w:tc>
        <w:tc>
          <w:tcPr>
            <w:tcW w:w="10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Securities</w:t>
            </w:r>
          </w:p>
        </w:tc>
        <w:tc>
          <w:tcPr>
            <w:tcW w:w="1080" w:type="dxa"/>
            <w:vAlign w:val="bottom"/>
            <w:gridSpan w:val="5"/>
          </w:tcPr>
          <w:p>
            <w:pPr>
              <w:ind w:left="20"/>
              <w:spacing w:after="0" w:line="119" w:lineRule="exact"/>
              <w:rPr>
                <w:sz w:val="20"/>
                <w:szCs w:val="20"/>
                <w:color w:val="auto"/>
              </w:rPr>
            </w:pPr>
            <w:r>
              <w:rPr>
                <w:rFonts w:ascii="Arial" w:cs="Arial" w:eastAsia="Arial" w:hAnsi="Arial"/>
                <w:sz w:val="11"/>
                <w:szCs w:val="11"/>
                <w:b w:val="1"/>
                <w:bCs w:val="1"/>
                <w:color w:val="auto"/>
              </w:rPr>
              <w:t>(Month/Day/Year)</w:t>
            </w:r>
          </w:p>
        </w:tc>
        <w:tc>
          <w:tcPr>
            <w:tcW w:w="280" w:type="dxa"/>
            <w:vAlign w:val="bottom"/>
          </w:tcPr>
          <w:p>
            <w:pPr>
              <w:spacing w:after="0"/>
              <w:rPr>
                <w:sz w:val="10"/>
                <w:szCs w:val="10"/>
                <w:color w:val="auto"/>
              </w:rPr>
            </w:pPr>
          </w:p>
        </w:tc>
        <w:tc>
          <w:tcPr>
            <w:tcW w:w="164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Derivative Security (Instr. 3</w:t>
            </w: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1"/>
              </w:rPr>
              <w:t>Securities</w:t>
            </w:r>
          </w:p>
        </w:tc>
        <w:tc>
          <w:tcPr>
            <w:tcW w:w="440" w:type="dxa"/>
            <w:vAlign w:val="bottom"/>
          </w:tcPr>
          <w:p>
            <w:pPr>
              <w:spacing w:after="0"/>
              <w:rPr>
                <w:sz w:val="10"/>
                <w:szCs w:val="10"/>
                <w:color w:val="auto"/>
              </w:rPr>
            </w:pPr>
          </w:p>
        </w:tc>
        <w:tc>
          <w:tcPr>
            <w:tcW w:w="50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Form:</w:t>
            </w:r>
          </w:p>
        </w:tc>
        <w:tc>
          <w:tcPr>
            <w:tcW w:w="180" w:type="dxa"/>
            <w:vAlign w:val="bottom"/>
          </w:tcPr>
          <w:p>
            <w:pPr>
              <w:spacing w:after="0"/>
              <w:rPr>
                <w:sz w:val="10"/>
                <w:szCs w:val="10"/>
                <w:color w:val="auto"/>
              </w:rPr>
            </w:pPr>
          </w:p>
        </w:tc>
        <w:tc>
          <w:tcPr>
            <w:tcW w:w="64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6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Acquired (A) or</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and 4)</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10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2"/>
              </w:rPr>
              <w:t>Direct (D)</w:t>
            </w:r>
          </w:p>
        </w:tc>
        <w:tc>
          <w:tcPr>
            <w:tcW w:w="180" w:type="dxa"/>
            <w:vAlign w:val="bottom"/>
          </w:tcPr>
          <w:p>
            <w:pPr>
              <w:spacing w:after="0"/>
              <w:rPr>
                <w:sz w:val="10"/>
                <w:szCs w:val="10"/>
                <w:color w:val="auto"/>
              </w:rPr>
            </w:pPr>
          </w:p>
        </w:tc>
        <w:tc>
          <w:tcPr>
            <w:tcW w:w="64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Disposed of (D)</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Owned</w:t>
            </w:r>
          </w:p>
        </w:tc>
        <w:tc>
          <w:tcPr>
            <w:tcW w:w="4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or Indirect</w:t>
            </w:r>
          </w:p>
        </w:tc>
        <w:tc>
          <w:tcPr>
            <w:tcW w:w="64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(Instr. 3, 4 and 5)</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3"/>
              </w:rPr>
              <w:t>Following</w:t>
            </w:r>
          </w:p>
        </w:tc>
        <w:tc>
          <w:tcPr>
            <w:tcW w:w="440" w:type="dxa"/>
            <w:vAlign w:val="bottom"/>
          </w:tcPr>
          <w:p>
            <w:pPr>
              <w:spacing w:after="0"/>
              <w:rPr>
                <w:sz w:val="10"/>
                <w:szCs w:val="10"/>
                <w:color w:val="auto"/>
              </w:rPr>
            </w:pPr>
          </w:p>
        </w:tc>
        <w:tc>
          <w:tcPr>
            <w:tcW w:w="6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(I) (Instr. 4)</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ind w:left="80"/>
              <w:spacing w:after="0" w:line="119" w:lineRule="exact"/>
              <w:rPr>
                <w:sz w:val="20"/>
                <w:szCs w:val="20"/>
                <w:color w:val="auto"/>
              </w:rPr>
            </w:pPr>
            <w:r>
              <w:rPr>
                <w:rFonts w:ascii="Arial" w:cs="Arial" w:eastAsia="Arial" w:hAnsi="Arial"/>
                <w:sz w:val="11"/>
                <w:szCs w:val="11"/>
                <w:b w:val="1"/>
                <w:bCs w:val="1"/>
                <w:color w:val="auto"/>
                <w:w w:val="99"/>
              </w:rPr>
              <w:t>Reported</w:t>
            </w: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ind w:left="20"/>
              <w:spacing w:after="0" w:line="119" w:lineRule="exact"/>
              <w:rPr>
                <w:sz w:val="20"/>
                <w:szCs w:val="20"/>
                <w:color w:val="auto"/>
              </w:rPr>
            </w:pPr>
            <w:r>
              <w:rPr>
                <w:rFonts w:ascii="Arial" w:cs="Arial" w:eastAsia="Arial" w:hAnsi="Arial"/>
                <w:sz w:val="11"/>
                <w:szCs w:val="11"/>
                <w:b w:val="1"/>
                <w:bCs w:val="1"/>
                <w:color w:val="auto"/>
                <w:w w:val="92"/>
              </w:rPr>
              <w:t>Date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120" w:type="dxa"/>
            <w:vAlign w:val="bottom"/>
            <w:gridSpan w:val="3"/>
          </w:tcPr>
          <w:p>
            <w:pPr>
              <w:ind w:left="80"/>
              <w:spacing w:after="0" w:line="119" w:lineRule="exact"/>
              <w:rPr>
                <w:sz w:val="20"/>
                <w:szCs w:val="20"/>
                <w:color w:val="auto"/>
              </w:rPr>
            </w:pPr>
            <w:r>
              <w:rPr>
                <w:rFonts w:ascii="Arial" w:cs="Arial" w:eastAsia="Arial" w:hAnsi="Arial"/>
                <w:sz w:val="11"/>
                <w:szCs w:val="11"/>
                <w:b w:val="1"/>
                <w:bCs w:val="1"/>
                <w:color w:val="auto"/>
              </w:rPr>
              <w:t>Amount or Number</w:t>
            </w:r>
          </w:p>
        </w:tc>
        <w:tc>
          <w:tcPr>
            <w:tcW w:w="620" w:type="dxa"/>
            <w:vAlign w:val="bottom"/>
          </w:tcPr>
          <w:p>
            <w:pPr>
              <w:spacing w:after="0"/>
              <w:rPr>
                <w:sz w:val="10"/>
                <w:szCs w:val="10"/>
                <w:color w:val="auto"/>
              </w:rPr>
            </w:pPr>
          </w:p>
        </w:tc>
        <w:tc>
          <w:tcPr>
            <w:tcW w:w="10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700" w:type="dxa"/>
            <w:vAlign w:val="bottom"/>
          </w:tcPr>
          <w:p>
            <w:pPr>
              <w:ind w:left="46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Exercisable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2"/>
                <w:szCs w:val="12"/>
                <w:color w:val="auto"/>
              </w:rPr>
            </w:pP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Shares</w:t>
            </w:r>
          </w:p>
        </w:tc>
        <w:tc>
          <w:tcPr>
            <w:tcW w:w="62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40" w:type="dxa"/>
            <w:vAlign w:val="bottom"/>
            <w:gridSpan w:val="3"/>
          </w:tcPr>
          <w:p>
            <w:pPr>
              <w:ind w:left="60"/>
              <w:spacing w:after="0"/>
              <w:rPr>
                <w:sz w:val="20"/>
                <w:szCs w:val="20"/>
                <w:color w:val="auto"/>
              </w:rPr>
            </w:pPr>
            <w:r>
              <w:rPr>
                <w:rFonts w:ascii="Arial" w:cs="Arial" w:eastAsia="Arial" w:hAnsi="Arial"/>
                <w:sz w:val="12"/>
                <w:szCs w:val="12"/>
                <w:color w:val="0000FF"/>
              </w:rPr>
              <w:t>Bakkt</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gridSpan w:val="4"/>
            <w:vMerge w:val="restart"/>
          </w:tcPr>
          <w:p>
            <w:pPr>
              <w:ind w:left="100"/>
              <w:spacing w:after="0"/>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1060" w:type="dxa"/>
            <w:vAlign w:val="bottom"/>
            <w:gridSpan w:val="2"/>
            <w:vMerge w:val="restart"/>
          </w:tcPr>
          <w:p>
            <w:pPr>
              <w:ind w:left="80"/>
              <w:spacing w:after="0"/>
              <w:rPr>
                <w:sz w:val="20"/>
                <w:szCs w:val="20"/>
                <w:color w:val="auto"/>
              </w:rPr>
            </w:pPr>
            <w:r>
              <w:rPr>
                <w:rFonts w:ascii="Arial" w:cs="Arial" w:eastAsia="Arial" w:hAnsi="Arial"/>
                <w:sz w:val="12"/>
                <w:szCs w:val="12"/>
                <w:color w:val="0000FF"/>
              </w:rPr>
              <w:t>270,422</w:t>
            </w:r>
            <w:r>
              <w:rPr>
                <w:rFonts w:ascii="Arial" w:cs="Arial" w:eastAsia="Arial" w:hAnsi="Arial"/>
                <w:sz w:val="19"/>
                <w:szCs w:val="19"/>
                <w:color w:val="008000"/>
                <w:vertAlign w:val="superscript"/>
              </w:rPr>
              <w:t>(4)(5)</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color w:val="0000FF"/>
              </w:rPr>
              <w:t>Class A</w:t>
            </w:r>
          </w:p>
        </w:tc>
        <w:tc>
          <w:tcPr>
            <w:tcW w:w="1120" w:type="dxa"/>
            <w:vAlign w:val="bottom"/>
            <w:gridSpan w:val="3"/>
            <w:vMerge w:val="restart"/>
          </w:tcPr>
          <w:p>
            <w:pPr>
              <w:ind w:left="100"/>
              <w:spacing w:after="0" w:line="307" w:lineRule="exact"/>
              <w:rPr>
                <w:sz w:val="20"/>
                <w:szCs w:val="20"/>
                <w:color w:val="auto"/>
              </w:rPr>
            </w:pPr>
            <w:r>
              <w:rPr>
                <w:rFonts w:ascii="Arial" w:cs="Arial" w:eastAsia="Arial" w:hAnsi="Arial"/>
                <w:sz w:val="30"/>
                <w:szCs w:val="30"/>
                <w:color w:val="0000FF"/>
                <w:w w:val="82"/>
                <w:vertAlign w:val="subscript"/>
              </w:rPr>
              <w:t>270,422</w:t>
            </w:r>
            <w:r>
              <w:rPr>
                <w:rFonts w:ascii="Arial" w:cs="Arial" w:eastAsia="Arial" w:hAnsi="Arial"/>
                <w:sz w:val="10"/>
                <w:szCs w:val="10"/>
                <w:color w:val="008000"/>
                <w:w w:val="82"/>
              </w:rPr>
              <w:t>(2)(3)(4)(5)</w:t>
            </w:r>
          </w:p>
        </w:tc>
        <w:tc>
          <w:tcPr>
            <w:tcW w:w="620" w:type="dxa"/>
            <w:vAlign w:val="bottom"/>
          </w:tcPr>
          <w:p>
            <w:pPr>
              <w:spacing w:after="0"/>
              <w:rPr>
                <w:sz w:val="14"/>
                <w:szCs w:val="14"/>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23"/>
                <w:szCs w:val="23"/>
                <w:color w:val="0000FF"/>
                <w:w w:val="88"/>
                <w:vertAlign w:val="subscript"/>
              </w:rPr>
              <w:t>270,422</w:t>
            </w:r>
            <w:r>
              <w:rPr>
                <w:rFonts w:ascii="Arial" w:cs="Arial" w:eastAsia="Arial" w:hAnsi="Arial"/>
                <w:sz w:val="10"/>
                <w:szCs w:val="10"/>
                <w:color w:val="008000"/>
                <w:w w:val="88"/>
              </w:rPr>
              <w:t>(2)(3)(4)(5)</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40" w:type="dxa"/>
            <w:vAlign w:val="bottom"/>
            <w:gridSpan w:val="3"/>
          </w:tcPr>
          <w:p>
            <w:pPr>
              <w:ind w:left="60"/>
              <w:spacing w:after="0"/>
              <w:rPr>
                <w:sz w:val="20"/>
                <w:szCs w:val="20"/>
                <w:color w:val="auto"/>
              </w:rPr>
            </w:pPr>
            <w:r>
              <w:rPr>
                <w:rFonts w:ascii="Arial" w:cs="Arial" w:eastAsia="Arial" w:hAnsi="Arial"/>
                <w:sz w:val="12"/>
                <w:szCs w:val="12"/>
                <w:color w:val="0000FF"/>
              </w:rPr>
              <w:t>Opco</w:t>
            </w:r>
          </w:p>
        </w:tc>
        <w:tc>
          <w:tcPr>
            <w:tcW w:w="660" w:type="dxa"/>
            <w:vAlign w:val="bottom"/>
          </w:tcPr>
          <w:p>
            <w:pPr>
              <w:ind w:left="300"/>
              <w:spacing w:after="0"/>
              <w:rPr>
                <w:sz w:val="20"/>
                <w:szCs w:val="20"/>
                <w:color w:val="auto"/>
              </w:rPr>
            </w:pPr>
            <w:r>
              <w:rPr>
                <w:rFonts w:ascii="Arial" w:cs="Arial" w:eastAsia="Arial" w:hAnsi="Arial"/>
                <w:sz w:val="10"/>
                <w:szCs w:val="10"/>
                <w:color w:val="008000"/>
              </w:rPr>
              <w:t>(3)</w:t>
            </w:r>
          </w:p>
        </w:tc>
        <w:tc>
          <w:tcPr>
            <w:tcW w:w="1060" w:type="dxa"/>
            <w:vAlign w:val="bottom"/>
            <w:gridSpan w:val="2"/>
          </w:tcPr>
          <w:p>
            <w:pPr>
              <w:ind w:left="280"/>
              <w:spacing w:after="0"/>
              <w:rPr>
                <w:sz w:val="20"/>
                <w:szCs w:val="20"/>
                <w:color w:val="auto"/>
              </w:rPr>
            </w:pPr>
            <w:r>
              <w:rPr>
                <w:rFonts w:ascii="Arial" w:cs="Arial" w:eastAsia="Arial" w:hAnsi="Arial"/>
                <w:sz w:val="12"/>
                <w:szCs w:val="12"/>
                <w:color w:val="0000FF"/>
              </w:rPr>
              <w:t>10/15/2021</w:t>
            </w:r>
          </w:p>
        </w:tc>
        <w:tc>
          <w:tcPr>
            <w:tcW w:w="98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3"/>
          </w:tcPr>
          <w:p>
            <w:pPr>
              <w:jc w:val="right"/>
              <w:ind w:right="300"/>
              <w:spacing w:after="0"/>
              <w:rPr>
                <w:sz w:val="20"/>
                <w:szCs w:val="20"/>
                <w:color w:val="auto"/>
              </w:rPr>
            </w:pPr>
            <w:r>
              <w:rPr>
                <w:rFonts w:ascii="Arial" w:cs="Arial" w:eastAsia="Arial" w:hAnsi="Arial"/>
                <w:sz w:val="10"/>
                <w:szCs w:val="10"/>
                <w:color w:val="008000"/>
                <w:w w:val="81"/>
              </w:rPr>
              <w:t>(3)</w:t>
            </w:r>
          </w:p>
        </w:tc>
        <w:tc>
          <w:tcPr>
            <w:tcW w:w="400" w:type="dxa"/>
            <w:vAlign w:val="bottom"/>
          </w:tcPr>
          <w:p>
            <w:pPr>
              <w:jc w:val="right"/>
              <w:spacing w:after="0"/>
              <w:rPr>
                <w:sz w:val="20"/>
                <w:szCs w:val="20"/>
                <w:color w:val="auto"/>
              </w:rPr>
            </w:pPr>
            <w:r>
              <w:rPr>
                <w:rFonts w:ascii="Arial" w:cs="Arial" w:eastAsia="Arial" w:hAnsi="Arial"/>
                <w:sz w:val="10"/>
                <w:szCs w:val="10"/>
                <w:color w:val="008000"/>
              </w:rPr>
              <w:t>(3)</w:t>
            </w:r>
          </w:p>
        </w:tc>
        <w:tc>
          <w:tcPr>
            <w:tcW w:w="280" w:type="dxa"/>
            <w:vAlign w:val="bottom"/>
          </w:tcPr>
          <w:p>
            <w:pPr>
              <w:spacing w:after="0"/>
              <w:rPr>
                <w:sz w:val="12"/>
                <w:szCs w:val="12"/>
                <w:color w:val="auto"/>
              </w:rPr>
            </w:pPr>
          </w:p>
        </w:tc>
        <w:tc>
          <w:tcPr>
            <w:tcW w:w="520" w:type="dxa"/>
            <w:vAlign w:val="bottom"/>
          </w:tcPr>
          <w:p>
            <w:pPr>
              <w:ind w:left="40"/>
              <w:spacing w:after="0"/>
              <w:rPr>
                <w:sz w:val="20"/>
                <w:szCs w:val="20"/>
                <w:color w:val="auto"/>
              </w:rPr>
            </w:pPr>
            <w:r>
              <w:rPr>
                <w:rFonts w:ascii="Arial" w:cs="Arial" w:eastAsia="Arial" w:hAnsi="Arial"/>
                <w:sz w:val="12"/>
                <w:szCs w:val="12"/>
                <w:color w:val="0000FF"/>
                <w:w w:val="94"/>
              </w:rPr>
              <w:t>Common</w:t>
            </w:r>
          </w:p>
        </w:tc>
        <w:tc>
          <w:tcPr>
            <w:tcW w:w="1120" w:type="dxa"/>
            <w:vAlign w:val="bottom"/>
            <w:gridSpan w:val="3"/>
            <w:vMerge w:val="continue"/>
          </w:tcPr>
          <w:p>
            <w:pPr>
              <w:spacing w:after="0"/>
              <w:rPr>
                <w:sz w:val="12"/>
                <w:szCs w:val="12"/>
                <w:color w:val="auto"/>
              </w:rPr>
            </w:pPr>
          </w:p>
        </w:tc>
        <w:tc>
          <w:tcPr>
            <w:tcW w:w="620" w:type="dxa"/>
            <w:vAlign w:val="bottom"/>
          </w:tcPr>
          <w:p>
            <w:pPr>
              <w:ind w:left="260"/>
              <w:spacing w:after="0"/>
              <w:rPr>
                <w:sz w:val="20"/>
                <w:szCs w:val="20"/>
                <w:color w:val="auto"/>
              </w:rPr>
            </w:pPr>
            <w:r>
              <w:rPr>
                <w:rFonts w:ascii="Arial" w:cs="Arial" w:eastAsia="Arial" w:hAnsi="Arial"/>
                <w:sz w:val="10"/>
                <w:szCs w:val="10"/>
                <w:color w:val="008000"/>
              </w:rPr>
              <w:t>(1)</w:t>
            </w:r>
          </w:p>
        </w:tc>
        <w:tc>
          <w:tcPr>
            <w:tcW w:w="1020" w:type="dxa"/>
            <w:vAlign w:val="bottom"/>
            <w:gridSpan w:val="2"/>
            <w:vMerge w:val="continue"/>
          </w:tcPr>
          <w:p>
            <w:pPr>
              <w:spacing w:after="0"/>
              <w:rPr>
                <w:sz w:val="12"/>
                <w:szCs w:val="12"/>
                <w:color w:val="auto"/>
              </w:rPr>
            </w:pPr>
          </w:p>
        </w:tc>
        <w:tc>
          <w:tcPr>
            <w:tcW w:w="500" w:type="dxa"/>
            <w:vAlign w:val="bottom"/>
          </w:tcPr>
          <w:p>
            <w:pPr>
              <w:ind w:left="260"/>
              <w:spacing w:after="0"/>
              <w:rPr>
                <w:sz w:val="20"/>
                <w:szCs w:val="20"/>
                <w:color w:val="auto"/>
              </w:rPr>
            </w:pPr>
            <w:r>
              <w:rPr>
                <w:rFonts w:ascii="Arial" w:cs="Arial" w:eastAsia="Arial" w:hAnsi="Arial"/>
                <w:sz w:val="12"/>
                <w:szCs w:val="12"/>
                <w:color w:val="0000FF"/>
              </w:rPr>
              <w:t>D</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40" w:type="dxa"/>
            <w:vAlign w:val="bottom"/>
            <w:tcBorders>
              <w:bottom w:val="single" w:sz="8" w:color="2C2C2C"/>
            </w:tcBorders>
            <w:gridSpan w:val="3"/>
          </w:tcPr>
          <w:p>
            <w:pPr>
              <w:ind w:left="60"/>
              <w:spacing w:after="0" w:line="201" w:lineRule="exact"/>
              <w:rPr>
                <w:sz w:val="20"/>
                <w:szCs w:val="20"/>
                <w:color w:val="auto"/>
              </w:rPr>
            </w:pPr>
            <w:r>
              <w:rPr>
                <w:rFonts w:ascii="Arial" w:cs="Arial" w:eastAsia="Arial" w:hAnsi="Arial"/>
                <w:sz w:val="23"/>
                <w:szCs w:val="23"/>
                <w:color w:val="0000FF"/>
                <w:w w:val="94"/>
                <w:vertAlign w:val="subscript"/>
              </w:rPr>
              <w:t>Units</w:t>
            </w:r>
            <w:r>
              <w:rPr>
                <w:rFonts w:ascii="Arial" w:cs="Arial" w:eastAsia="Arial" w:hAnsi="Arial"/>
                <w:sz w:val="10"/>
                <w:szCs w:val="10"/>
                <w:color w:val="008000"/>
                <w:w w:val="94"/>
              </w:rPr>
              <w:t>(1)(2)</w:t>
            </w:r>
          </w:p>
        </w:tc>
        <w:tc>
          <w:tcPr>
            <w:tcW w:w="6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rPr>
              <w:t>Stock</w:t>
            </w:r>
          </w:p>
        </w:tc>
        <w:tc>
          <w:tcPr>
            <w:tcW w:w="44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-1407795</wp:posOffset>
            </wp:positionV>
            <wp:extent cx="27940" cy="1413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41351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40" w:right="160" w:hanging="10"/>
        <w:spacing w:after="0" w:line="261" w:lineRule="auto"/>
        <w:tabs>
          <w:tab w:leader="none" w:pos="15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Acquired pursuant to the terms of the Agreement and Plan of Merger dated as of January 11, 2021 (as amended, the "Merger Agreement") by and among Bakkt Holdings, Inc. (the "Issuer"), Pylon Merger Company LLC ("Merger Sub") and Bakkt Opco Holdings, LLC ("Bakkt Opco"), pursuant to which Merger Sub merged (the "Merger") with and into Bakkt Opco with Bakkt Opco continuing as the surviving entity and a subsidiary of the Issuer. Pursuant to the terms of the Merger Agreement, the owners of Bakkt Opco common units as of immediately prior to the closing of the Merger (the "Closing") received at the Closing, as consideration for the Merger, paired interests ("Paired Interests"), each consisting of one unit of Bakkt Opco (a "Bakkt Opco Unit") and one share of Class V common stock of the Issuer ("Class V Common Stock").</w:t>
      </w:r>
    </w:p>
    <w:p>
      <w:pPr>
        <w:spacing w:after="0" w:line="17" w:lineRule="exact"/>
        <w:rPr>
          <w:rFonts w:ascii="Arial" w:cs="Arial" w:eastAsia="Arial" w:hAnsi="Arial"/>
          <w:sz w:val="11"/>
          <w:szCs w:val="11"/>
          <w:color w:val="008000"/>
        </w:rPr>
      </w:pPr>
    </w:p>
    <w:p>
      <w:pPr>
        <w:ind w:left="40" w:right="180" w:hanging="10"/>
        <w:spacing w:after="0" w:line="237" w:lineRule="auto"/>
        <w:tabs>
          <w:tab w:leader="none" w:pos="15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Bakkt Opco Units represent non-voting limited liability company interests of Bakkt Opco. The shares of Class V Common Stock are non-economic, voting shares of the Issuer, which entitle the holder thereof to one vote for each share of Class V Common Stock held of record by such holder on all matters on which holders of Class V Common Stock as a separate class are entitled to vote, and together with holders of Class A common stock of the Issuer ("Class A Common Stock") as a single class on all matters submitted to a vote of the Issuer's stockholders having voting rights generally.</w:t>
      </w:r>
    </w:p>
    <w:p>
      <w:pPr>
        <w:spacing w:after="0" w:line="28" w:lineRule="exact"/>
        <w:rPr>
          <w:rFonts w:ascii="Arial" w:cs="Arial" w:eastAsia="Arial" w:hAnsi="Arial"/>
          <w:sz w:val="12"/>
          <w:szCs w:val="12"/>
          <w:color w:val="008000"/>
        </w:rPr>
      </w:pPr>
    </w:p>
    <w:p>
      <w:pPr>
        <w:ind w:left="40" w:right="580" w:hanging="10"/>
        <w:spacing w:after="0" w:line="289" w:lineRule="auto"/>
        <w:tabs>
          <w:tab w:leader="none" w:pos="15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Pursuant to the terms of an exchange agreement (the "Exchange Agreement"), beginning on the six-month anniversary of the Closing, holders of Paired Interests may exchange such Paired Interests for shares of Class A Common Stock on a one-for-one basis (subject to adjustment as set forth in the Exchange Agreement) or, at the Issuer's option, for cash. These exchange rights do not expire.</w:t>
      </w:r>
    </w:p>
    <w:p>
      <w:pPr>
        <w:spacing w:after="0" w:line="2" w:lineRule="exact"/>
        <w:rPr>
          <w:rFonts w:ascii="Arial" w:cs="Arial" w:eastAsia="Arial" w:hAnsi="Arial"/>
          <w:sz w:val="11"/>
          <w:szCs w:val="11"/>
          <w:color w:val="008000"/>
        </w:rPr>
      </w:pPr>
    </w:p>
    <w:p>
      <w:pPr>
        <w:ind w:left="40" w:right="480" w:hanging="10"/>
        <w:spacing w:after="0" w:line="245" w:lineRule="auto"/>
        <w:tabs>
          <w:tab w:leader="none" w:pos="15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2,477,400 Class C Units in Bakkt Management, LLC (the "Bakkt Management Units"), which units are, subject to certain limitations, redeemable at the request of the Reporting Person in exchange for an equal number of Paired Interests held by Bakkt Management, LLC.</w:t>
      </w:r>
    </w:p>
    <w:p>
      <w:pPr>
        <w:spacing w:after="0" w:line="25" w:lineRule="exact"/>
        <w:rPr>
          <w:rFonts w:ascii="Arial" w:cs="Arial" w:eastAsia="Arial" w:hAnsi="Arial"/>
          <w:sz w:val="12"/>
          <w:szCs w:val="12"/>
          <w:color w:val="008000"/>
        </w:rPr>
      </w:pPr>
    </w:p>
    <w:p>
      <w:pPr>
        <w:ind w:left="140" w:hanging="110"/>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As of the Closing, one-third of the Bakkt Management Units are vested, and one-third shall vest on the first anniversary of the Closing and the remaining third shall vest on the second anniversary of the Closing.</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ind w:left="6600"/>
        <w:spacing w:after="0" w:line="231" w:lineRule="auto"/>
        <w:rPr>
          <w:sz w:val="20"/>
          <w:szCs w:val="20"/>
          <w:color w:val="auto"/>
        </w:rPr>
      </w:pPr>
      <w:r>
        <w:rPr>
          <w:rFonts w:ascii="Arial" w:cs="Arial" w:eastAsia="Arial" w:hAnsi="Arial"/>
          <w:sz w:val="15"/>
          <w:szCs w:val="15"/>
          <w:color w:val="0000FF"/>
        </w:rPr>
        <w:t xml:space="preserve">/s/ Marc D'Annunzio Attorney-in-  </w:t>
      </w:r>
      <w:r>
        <w:rPr>
          <w:rFonts w:ascii="Arial" w:cs="Arial" w:eastAsia="Arial" w:hAnsi="Arial"/>
          <w:sz w:val="30"/>
          <w:szCs w:val="30"/>
          <w:color w:val="0000FF"/>
          <w:vertAlign w:val="subscript"/>
        </w:rPr>
        <w:t>10/15/2021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-24765</wp:posOffset>
            </wp:positionV>
            <wp:extent cx="13315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Fact for Matthew Alan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-14605</wp:posOffset>
            </wp:positionV>
            <wp:extent cx="12357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5710" cy="762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-74295</wp:posOffset>
            </wp:positionV>
            <wp:extent cx="4445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44500" cy="7620"/>
                    </a:xfrm>
                    <a:prstGeom prst="rect">
                      <a:avLst/>
                    </a:prstGeom>
                    <a:noFill/>
                  </pic:spPr>
                </pic:pic>
              </a:graphicData>
            </a:graphic>
          </wp:anchor>
        </w:drawing>
      </w:r>
    </w:p>
    <w:p>
      <w:pPr>
        <w:spacing w:after="0" w:line="3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9" w:lineRule="exact"/>
        <w:rPr>
          <w:sz w:val="20"/>
          <w:szCs w:val="20"/>
          <w:color w:val="auto"/>
        </w:rPr>
      </w:pPr>
    </w:p>
    <w:p>
      <w:pPr>
        <w:jc w:val="both"/>
        <w:ind w:left="40" w:right="4220" w:hanging="10"/>
        <w:spacing w:after="0" w:line="334" w:lineRule="auto"/>
        <w:tabs>
          <w:tab w:leader="none" w:pos="16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201"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2021-10-15T15:56:58Z</dcterms:created>
  <dcterms:modified xsi:type="dcterms:W3CDTF">2021-10-15T15:56:58Z</dcterms:modified>
</cp:coreProperties>
</file>