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Main Andrew A</w:t>
              </w:r>
            </w:hyperlink>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Bakkt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BAKKT HOLDINGS, INC.</w:t>
            </w:r>
          </w:p>
        </w:tc>
        <w:tc>
          <w:tcPr>
            <w:tcW w:w="1280" w:type="dxa"/>
            <w:vAlign w:val="bottom"/>
          </w:tcPr>
          <w:p>
            <w:pPr>
              <w:spacing w:after="0"/>
              <w:rPr>
                <w:sz w:val="19"/>
                <w:szCs w:val="19"/>
                <w:color w:val="auto"/>
              </w:rPr>
            </w:pPr>
          </w:p>
        </w:tc>
        <w:tc>
          <w:tcPr>
            <w:tcW w:w="19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02/13/2025</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36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9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85"/>
        <w:spacing w:after="0"/>
        <w:rPr>
          <w:sz w:val="20"/>
          <w:szCs w:val="20"/>
          <w:color w:val="auto"/>
        </w:rPr>
      </w:pPr>
      <w:r>
        <w:rPr>
          <w:rFonts w:ascii="Times New Roman" w:cs="Times New Roman" w:eastAsia="Times New Roman" w:hAnsi="Times New Roman"/>
          <w:sz w:val="17"/>
          <w:szCs w:val="17"/>
          <w:color w:val="0000FF"/>
        </w:rPr>
        <w:t>Chief Exec Officer &amp; President</w:t>
      </w:r>
    </w:p>
    <w:p>
      <w:pPr>
        <w:spacing w:after="0" w:line="43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30009</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02/13/2025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60,967</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439,285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performance stock units ("PSUs") resulting from attainment of performance goals. Each PSU represents a contingent right to receive one share of the issuer's Class A Common Stock. The PSUs shall vest in two equal annual installments on July 12, 2025 and July 12, 2026, provided that the reporting person continues to be employed by the issuer as of each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426,820 shares of Class A Common Stock subject to restricted stock units and PSU awards that remain subject to vesting.</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Andrew</w:t>
        <w:tab/>
        <w:t>02/18/2025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 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663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86731" TargetMode="External"/><Relationship Id="rId14"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2025-02-18T16:01:19Z</dcterms:created>
  <dcterms:modified xsi:type="dcterms:W3CDTF">2025-02-18T16:01:19Z</dcterms:modified>
</cp:coreProperties>
</file>