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Attn: Sandra Hunter Berkheimer and David Lin</w:t>
      </w:r>
    </w:p>
    <w:p>
      <w:pPr>
        <w:spacing w:after="0" w:line="230"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tab/>
        <w:t>Bakkt Holdings, Inc.</w:t>
      </w:r>
    </w:p>
    <w:p>
      <w:pPr>
        <w:spacing w:after="0" w:line="31" w:lineRule="exact"/>
        <w:rPr>
          <w:sz w:val="24"/>
          <w:szCs w:val="24"/>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Statement on Form S-3 (File No. 333-271438)</w:t>
      </w:r>
    </w:p>
    <w:p>
      <w:pPr>
        <w:spacing w:after="0" w:line="9"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Acceleration Request</w:t>
      </w:r>
    </w:p>
    <w:p>
      <w:pPr>
        <w:spacing w:after="0" w:line="9"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Requested Date:     Wednesday, February 14, 2024</w:t>
      </w:r>
    </w:p>
    <w:p>
      <w:pPr>
        <w:spacing w:after="0" w:line="9"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Requested Time:    4:30 P.M. Eastern Time</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Bakkt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that the above-referenced Registration Statement (the “Registration Statement”) be declared effective at the “Requested Date” and “Requested Time” set forth above or as soon as practicable thereafter, but in no event later than 5:30 P.M. Eastern Time on the Requested Date. Once the Registration Statement has been declared effective, please orally confirm that event with our counsel, Wilson Sonsini Goodrich &amp; Rosati, P.C., by calling J. Matthew Lyons at (512) 338-5411.</w:t>
      </w:r>
    </w:p>
    <w:p>
      <w:pPr>
        <w:spacing w:after="0" w:line="179" w:lineRule="exact"/>
        <w:rPr>
          <w:sz w:val="24"/>
          <w:szCs w:val="24"/>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8"/>
          <w:szCs w:val="18"/>
          <w:color w:val="auto"/>
        </w:rPr>
        <w:t>The Company understands that the staff of the Division of Corporation Finance of the Securities and Commission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will consider this request as confirmation by the Company of its awareness of its responsibilities under the federal securities laws as they relate to the offering of the securities covered by the Registration Statement.</w:t>
      </w:r>
    </w:p>
    <w:p>
      <w:pPr>
        <w:spacing w:after="0" w:line="173"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 * *</w:t>
      </w:r>
    </w:p>
    <w:p>
      <w:pPr>
        <w:sectPr>
          <w:pgSz w:w="11900" w:h="16838" w:orient="portrait"/>
          <w:cols w:equalWidth="0" w:num="1">
            <w:col w:w="10984"/>
          </w:cols>
          <w:pgMar w:left="436" w:top="229" w:right="479" w:bottom="1440" w:gutter="0" w:footer="0" w:header="0"/>
        </w:sectPr>
      </w:pPr>
    </w:p>
    <w:bookmarkStart w:id="1" w:name="page2"/>
    <w:bookmarkEnd w:id="1"/>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1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BAKKT HOLDINGS, INC.</w:t>
      </w:r>
    </w:p>
    <w:p>
      <w:pPr>
        <w:spacing w:after="0" w:line="25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Gavin Michael</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ectPr>
          <w:pgSz w:w="11900" w:h="16838" w:orient="portrait"/>
          <w:cols w:equalWidth="0" w:num="1">
            <w:col w:w="10019"/>
          </w:cols>
          <w:pgMar w:left="440" w:top="270" w:right="1440"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cc (w/o enclosures):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D’Annunzio, Bakkt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Simmons, Bakkt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 Matthew Lyons, Wilson Sonsini Goodrich &amp; Rosati, P.C.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March, Wilson Sonsini Goodrich &amp; Rosati, P.C.</w:t>
      </w:r>
    </w:p>
    <w:sectPr>
      <w:pgSz w:w="11900" w:h="16838" w:orient="portrait"/>
      <w:cols w:equalWidth="0" w:num="2">
        <w:col w:w="1440" w:space="320"/>
        <w:col w:w="8259"/>
      </w:cols>
      <w:pgMar w:left="44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2024-03-14T23:11:12Z</dcterms:created>
  <dcterms:modified xsi:type="dcterms:W3CDTF">2024-03-14T23:11:12Z</dcterms:modified>
</cp:coreProperties>
</file>