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0" w:space="720"/>
            <w:col w:w="2880" w:space="720"/>
            <w:col w:w="2200"/>
          </w:cols>
          <w:pgMar w:left="440" w:top="41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0"/>
          <w:szCs w:val="20"/>
          <w:color w:val="auto"/>
        </w:rPr>
      </w:pPr>
    </w:p>
    <w:p>
      <w:pPr>
        <w:sectPr>
          <w:pgSz w:w="11900" w:h="16838" w:orient="portrait"/>
          <w:cols w:equalWidth="0" w:num="3">
            <w:col w:w="4480" w:space="720"/>
            <w:col w:w="2620" w:space="720"/>
            <w:col w:w="2480"/>
          </w:cols>
          <w:pgMar w:left="440" w:top="41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10000 Avalon Boulevard, Suite 1000,</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ectPr>
          <w:pgSz w:w="11900" w:h="16838" w:orient="portrait"/>
          <w:cols w:equalWidth="0" w:num="1">
            <w:col w:w="11020"/>
          </w:cols>
          <w:pgMar w:left="440" w:top="416" w:right="439"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jc w:val="both"/>
        <w:ind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Bakkt Holdings, Inc. (the “Company”) has updated its investment policy to enable the Company to allocate capital into Bitcoin and other digital assets as part of its broader treasury and corporate strategy, subject to market conditions and the anticipated liquidity needs of the business. The Company may acquire Bitcoin or other digital assets, using excess cash, proceeds from future equity or debt financings, or other capital sources, subject to the limitation set forth in the Company’s investment policy. The Company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pursuant to its revised investment policy. There can be no assurance that the Company will enter into any such transactions. The timing and magnitude of any such transactions will depend on market conditions, capital market receptivity, business performance and other strategic considerations.</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risks associated with updating the Company’s investment policy, which may cause the Company’s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Related to the Update of our Investment Policy</w:t>
      </w:r>
      <w:r>
        <w:rPr>
          <w:rFonts w:ascii="Times New Roman" w:cs="Times New Roman" w:eastAsia="Times New Roman" w:hAnsi="Times New Roman"/>
          <w:sz w:val="18"/>
          <w:szCs w:val="18"/>
          <w:color w:val="auto"/>
        </w:rPr>
        <w:t>”, which is attached as Exhibit 99.1 to this Current Report.</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June 10, 2025, the Company issued a press release relating to the matters above, a copy of which is furnished as Exhibit 99.2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Supplements to 2025 Annual Meeting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Meeting Supplement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2025 Annual Meeting Proxy Statement currently provides on pages 49-50 in the section “Proposal No. 4: Amendment of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to Authorize Additional Shares of Class A Common Stock”, that:</w:t>
      </w:r>
    </w:p>
    <w:p>
      <w:pPr>
        <w:spacing w:after="0" w:line="97" w:lineRule="exact"/>
        <w:rPr>
          <w:sz w:val="20"/>
          <w:szCs w:val="20"/>
          <w:color w:val="auto"/>
        </w:rPr>
      </w:pPr>
    </w:p>
    <w:p>
      <w:pPr>
        <w:jc w:val="both"/>
        <w:ind w:left="44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However,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 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 Except with respect to the transactions contemplated by the Cooperation Agreement (as defined below), the Board has not authorized the Company to take any action with respect to the shares that would be authorized under this Proposal No. 4, and the Company currently does not have any agreements with respect to the issuance of the additional shares of Class A Common Stock authorized by the Share Increase Amendment.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Potential Effects of the Increase in the Number of Authorized Shares of Class A Common Stock</w:t>
      </w:r>
    </w:p>
    <w:p>
      <w:pPr>
        <w:spacing w:after="0" w:line="119" w:lineRule="exact"/>
        <w:rPr>
          <w:sz w:val="20"/>
          <w:szCs w:val="20"/>
          <w:color w:val="auto"/>
        </w:rPr>
      </w:pPr>
    </w:p>
    <w:p>
      <w:pPr>
        <w:jc w:val="both"/>
        <w:ind w:left="440" w:right="2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If the Company’s stockholders approve this Proposal No. 4 to increase the number of authorized shares of Class A Common Stock, unless otherwise required by applicable law or stock</w:t>
      </w:r>
    </w:p>
    <w:p>
      <w:pPr>
        <w:sectPr>
          <w:pgSz w:w="11900" w:h="16838" w:orient="portrait"/>
          <w:cols w:equalWidth="0" w:num="1">
            <w:col w:w="11020"/>
          </w:cols>
          <w:pgMar w:left="440" w:top="266" w:right="439" w:bottom="1440" w:gutter="0" w:footer="0" w:header="0"/>
        </w:sectPr>
      </w:pPr>
    </w:p>
    <w:bookmarkStart w:id="3" w:name="page4"/>
    <w:bookmarkEnd w:id="3"/>
    <w:p>
      <w:pPr>
        <w:jc w:val="both"/>
        <w:ind w:left="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75" w:lineRule="exact"/>
        <w:rPr>
          <w:sz w:val="20"/>
          <w:szCs w:val="20"/>
          <w:color w:val="auto"/>
        </w:rPr>
      </w:pPr>
    </w:p>
    <w:p>
      <w:pPr>
        <w:jc w:val="both"/>
        <w:ind w:left="4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w:t>
      </w:r>
    </w:p>
    <w:p>
      <w:pPr>
        <w:spacing w:after="0" w:line="18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amends and supplements the 2025 Annual Meeting Proxy Statement by amending and restating the paragraphs referred to above to read as follows:</w:t>
      </w:r>
    </w:p>
    <w:p>
      <w:pPr>
        <w:spacing w:after="0" w:line="52" w:lineRule="exact"/>
        <w:rPr>
          <w:sz w:val="20"/>
          <w:szCs w:val="20"/>
          <w:color w:val="auto"/>
        </w:rPr>
      </w:pPr>
    </w:p>
    <w:p>
      <w:pPr>
        <w:jc w:val="both"/>
        <w:ind w:left="440" w:firstLine="423"/>
        <w:spacing w:after="0" w:line="253" w:lineRule="auto"/>
        <w:rPr>
          <w:sz w:val="20"/>
          <w:szCs w:val="20"/>
          <w:color w:val="auto"/>
        </w:rPr>
      </w:pPr>
      <w:r>
        <w:rPr>
          <w:rFonts w:ascii="Times New Roman" w:cs="Times New Roman" w:eastAsia="Times New Roman" w:hAnsi="Times New Roman"/>
          <w:sz w:val="18"/>
          <w:szCs w:val="18"/>
          <w:i w:val="1"/>
          <w:iCs w:val="1"/>
          <w:color w:val="auto"/>
        </w:rPr>
        <w:t>“The Company has updated its investment policy to enable the Company to allocate capital into Bitcoin and other digital assets as part of its broader treasury and corporate strategy, subject to market conditions and the anticipated liquidity needs of the business. The Company may acquire any Bitcoin or other digital assets, using excess cash, proceeds from future equity or debt financings, or other capital sources. The Company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pursuant to its revised investment policy. There can be no assurance that the Company will enter into any such transactions. The timing and magnitude of any such transactions will depend on market conditions, capital market receptivity, business performance and other strategic considerations. 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The Company may also use such newly authorized shares for transactions in connection with its updated investment policy (as described above) or opportunistic financings such as equity-lines-of-credit or at-the-market programs.</w:t>
      </w:r>
    </w:p>
    <w:p>
      <w:pPr>
        <w:spacing w:after="0" w:line="79" w:lineRule="exact"/>
        <w:rPr>
          <w:sz w:val="20"/>
          <w:szCs w:val="20"/>
          <w:color w:val="auto"/>
        </w:rPr>
      </w:pPr>
    </w:p>
    <w:p>
      <w:pPr>
        <w:jc w:val="both"/>
        <w:ind w:left="440" w:right="20" w:firstLine="423"/>
        <w:spacing w:after="0" w:line="261" w:lineRule="auto"/>
        <w:rPr>
          <w:sz w:val="20"/>
          <w:szCs w:val="20"/>
          <w:color w:val="auto"/>
        </w:rPr>
      </w:pPr>
      <w:r>
        <w:rPr>
          <w:rFonts w:ascii="Times New Roman" w:cs="Times New Roman" w:eastAsia="Times New Roman" w:hAnsi="Times New Roman"/>
          <w:sz w:val="18"/>
          <w:szCs w:val="18"/>
          <w:i w:val="1"/>
          <w:iCs w:val="1"/>
          <w:color w:val="auto"/>
        </w:rPr>
        <w:t>Except with respect to the transactions contemplated by the Cooperation Agreement (as defined below), the Board has not authorized the Company to take any action with respect to the shares that would be authorized under this Proposal No. 4, and other than the Subscription Agreements the Company currently does not have any agreements with respect to the issuance of the additional shares of Class A Common Stock authorized by the Share Increase Amendment. However, the Company many enter into any such agreements in the future.</w:t>
      </w:r>
    </w:p>
    <w:p>
      <w:pPr>
        <w:spacing w:after="0" w:line="72" w:lineRule="exact"/>
        <w:rPr>
          <w:sz w:val="20"/>
          <w:szCs w:val="20"/>
          <w:color w:val="auto"/>
        </w:rPr>
      </w:pPr>
    </w:p>
    <w:p>
      <w:pPr>
        <w:jc w:val="both"/>
        <w:ind w:left="4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In addition,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 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Potential Effects of the Increase in the Number of Authorized Shares of Class A Common Stock</w:t>
      </w:r>
    </w:p>
    <w:p>
      <w:pPr>
        <w:spacing w:after="0" w:line="119" w:lineRule="exact"/>
        <w:rPr>
          <w:sz w:val="20"/>
          <w:szCs w:val="20"/>
          <w:color w:val="auto"/>
        </w:rPr>
      </w:pPr>
    </w:p>
    <w:p>
      <w:pPr>
        <w:jc w:val="both"/>
        <w:ind w:left="440" w:right="20" w:firstLine="423"/>
        <w:spacing w:after="0" w:line="281" w:lineRule="auto"/>
        <w:rPr>
          <w:sz w:val="20"/>
          <w:szCs w:val="20"/>
          <w:color w:val="auto"/>
        </w:rPr>
      </w:pPr>
      <w:r>
        <w:rPr>
          <w:rFonts w:ascii="Times New Roman" w:cs="Times New Roman" w:eastAsia="Times New Roman" w:hAnsi="Times New Roman"/>
          <w:sz w:val="17"/>
          <w:szCs w:val="17"/>
          <w:i w:val="1"/>
          <w:iCs w:val="1"/>
          <w:color w:val="auto"/>
        </w:rPr>
        <w:t>If the Company’s stockholders approve this Proposal No. 4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4" w:name="page5"/>
    <w:bookmarkEnd w:id="4"/>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acquisitions, investment opportunities, the establishment of collaborations or other strategic agreements, stock splits, stock dividends, equity-lines-of-credit, at-the-market programs, issuance under current or future equity incentive plans or for other corporate purposes, including but not limited to possible transactions contemplated by the Cooperation Agreement (as defined below) and any transactions the Company may pursue in connection with its updated investment policy (as described above).</w:t>
      </w:r>
    </w:p>
    <w:p>
      <w:pPr>
        <w:spacing w:after="0" w:line="72" w:lineRule="exact"/>
        <w:rPr>
          <w:sz w:val="20"/>
          <w:szCs w:val="20"/>
          <w:color w:val="auto"/>
        </w:rPr>
      </w:pPr>
    </w:p>
    <w:p>
      <w:pPr>
        <w:jc w:val="both"/>
        <w:ind w:left="440" w:firstLine="423"/>
        <w:spacing w:after="0" w:line="254" w:lineRule="auto"/>
        <w:rPr>
          <w:sz w:val="20"/>
          <w:szCs w:val="20"/>
          <w:color w:val="auto"/>
        </w:rPr>
      </w:pPr>
      <w:r>
        <w:rPr>
          <w:rFonts w:ascii="Times New Roman" w:cs="Times New Roman" w:eastAsia="Times New Roman" w:hAnsi="Times New Roman"/>
          <w:sz w:val="18"/>
          <w:szCs w:val="18"/>
          <w:i w:val="1"/>
          <w:iCs w:val="1"/>
          <w:color w:val="auto"/>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significant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 To the extent the Company enters into an equity-line-of-credit or similar transaction, the Company expects that any shares issued thereunder may be issued at a discount, which would be expected to have a significant dilutive effect on existing stockholders.”</w:t>
      </w:r>
    </w:p>
    <w:p>
      <w:pPr>
        <w:spacing w:after="0" w:line="18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Company strongly encourages all of its stockholders to read the 2025 Annual Meeting Proxy Statement and other proxy materials relating to the 2025 Annual Meeting, including this Current Report on Form 8-K, which are available free of charge on the SEC’s website at www.sec.gov.</w:t>
      </w:r>
    </w:p>
    <w:p>
      <w:pPr>
        <w:spacing w:after="0" w:line="17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disclosure in the section “Risk Factors Related to the Update of our Investment Policy”, which is attached as Exhibit 99.1 to this Current Report, is incorporated into this Item 8.01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Adjournment of 2025 Annual Meeting</w:t>
      </w:r>
    </w:p>
    <w:p>
      <w:pPr>
        <w:spacing w:after="0" w:line="11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the Company intends to adjourn its 2025 Annual Meeting of Stockholders on June 10, 2025 to reconvene on June 17, 2025 at 10:00 a.m. Eastern Time, to allow stockholders additional time to consider the supplements to the 2025 Annual Meeting Proxy Statement set forth in this Current Report on Form 8-K.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and when the 2025 Annual Meeting is adjourned, the Company will file a Current Report on Form 8-K reporting the adjournment.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9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 Factors Related to the Update of our Investment Policy</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June 10, 2025</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its treasury strategy and other future financing transactions and prospects.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5" w:name="page6"/>
    <w:bookmarkEnd w:id="5"/>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ICE line of credit;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treasury strategy set forth in Exhibit 99.1 to this Current Report.</w:t>
      </w:r>
    </w:p>
    <w:p>
      <w:pPr>
        <w:spacing w:after="0" w:line="194"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RELATED TO THE UPDATE OF OUR INVESTMENT POLICY</w:t>
      </w:r>
    </w:p>
    <w:p>
      <w:pPr>
        <w:spacing w:after="0" w:line="227"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risk factors refer to Bakkt Holdings, Inc. and its subsidiaries.</w:t>
      </w:r>
    </w:p>
    <w:p>
      <w:pPr>
        <w:spacing w:after="0" w:line="15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Company has approved an updated corporate investment policy (the “Investment Policy”), enabling the Company to allocate capital into Bitcoin and other digital assets as part of its broader treasury and corporate strategy, subject to certain limitations therein. Under the updated Investment Policy, the Company may acquire any Bitcoin or other digital assets, using excess cash, proceeds from future equity or debt financings, or other capital sources, subject to the Company’s Investment Policy. To date, the Company has not purchased any Bitcoin or other digital assets pursuant to its revised investment policy. The timing and magnitude of any such transactions will depend on market conditions, capital market receptivity, business performance and other strategic considerations. To the extent we implement our revised treasury strategy, our business, financial condition, results of operations and future prospects may be materially adversely affected, including as a result of the risk factors described below. The risks and uncertainties described below are not the only ones that we face or may face.</w:t>
      </w:r>
    </w:p>
    <w:p>
      <w:pPr>
        <w:spacing w:after="0" w:line="18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For more information on the risks to our business, financial condition, results of operations and future prospects, please see our risk factors described in “Item 1A. Risk Factors—Risks Related to Our Business, Finances and Operations” in our annual report on Form 10-K for the year ended December 31, 2024 and “Item 1A. Risk Factors” in our quarterly report on Form 10-Q for the quarter ended March 31, 2025, each filed with the U.S. Securities and Exchange Commission (the “SEC”).</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and the market price of our securities may be affected by fluctuations in the price of digital assets, including Bitcoin, which are highly volatile assets.</w:t>
      </w:r>
    </w:p>
    <w:p>
      <w:pPr>
        <w:spacing w:after="0" w:line="5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To the extent we implement our revised treasury strategy, our operating results will be dependent on the trading price of and supply and demand for the digital assets we hold, including Bitcoin. Due to the rapidly evolving nature of digital assets and their volatile price, which has experienced and continues to experience significant volatility, we expect that our operating results will fluctuate significantly as a result of a variety of factors, many of which are unpredictable and in certain instances are outside of our control, including: market conditions of, and overall sentiment towards Bitcoin, including negative publicity, media or social media coverage, or sentiment due to events in or relating to, or perception of, Bitcoin or the broader digital assets industry; trading activities of highly active retail and institutional users; significant dispositions of Bitcoin by large holders; actual or perceived manipulation of the spot or derivative markets for Bitcoin or spot Bitcoin exchange-traded products (“ETPs”); macroeconomic conditions, including interest rates, inflation, and central banking policies; changes in national and international economic and political conditions; changes in the legislative or regulatory environment or actions by U.S. or non-U.S. governments or regulators regarding digital assets, including cryptocurrency, or companies that hold digital assets; enforcement and judicial actions that adversely affect digital assets industry participants; competition from other digital assets; a decrease in the price of other digital assets; and disruptions, failures, unavailability, or interruptions in service of trading venues for digital assets. As a result of these factors, it is difficult for us to forecast growth trends accurately and our business and future prospects are difficult to evaluate, particularly in the short term.</w:t>
      </w:r>
    </w:p>
    <w:p>
      <w:pPr>
        <w:spacing w:after="0" w:line="187"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In addition, the future trading prices in our securities may reflect market dynamics that are not connected to valuation methods commonly associated with operating companies in similar industries or with companies engaged predominantly in passive investments in Bitcoin or other commodities, such as exchange-traded funds. We cannot predict how these dynamics may evolve over time, or whether or how long they may last. These market and industry factors may significantly harm the market price of our securities, regardless of our actual operating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digital assets increases our exposure to risks associated with those assets, including Bitcoin.</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will be exposed to various risks associated with digital assets, including the following: Bitcoin does not pay interest, dividends or other returns and we can only generate cash from our Bitcoin holdings if we sell them or implement strategies to create income streams or otherwise generate cash by using those holdings; our lack of control over decentralized or third-party blockchains, networks, and custodians that may experience downtime, cyberattacks, critical failures, errors, bugs, corrupted files,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8" w:name="page9"/>
    <w:bookmarkEnd w:id="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data losses, or other similar software failures, outages, breaches and losses, including those due to third-party actions; breaches of security or privacy; further reductions in mining rewards of Bitcoin or increases in the costs associated with Bitcoin mining; transaction congestion and fees associated with processing transactions on the Bitcoin networks; developments in mathematics or technology or new applications of current knowledge that could result in the cryptography used by the Bitcoin blockchains becoming insecure or ineffective; pressures on trading platforms and infrastructure that can lead to inadvertent suspension of services across parts of the platforms or the entire platforms, which may cause outages; and differences in prices of digital assets between exchanges.</w:t>
      </w:r>
    </w:p>
    <w:p>
      <w:pPr>
        <w:spacing w:after="0" w:line="18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revenues, and expenses may fluctuate significantly, including because we may be required to account for our digital assets at fair value, which could have an adverse effect on the market price of our securities.</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accounting treatment of our digital asset holdings could have significant accounting impacts, including increasing the volatility of our results. In December 2023, the FASB issued ASU 2023-08, which upon our adoption will require us to measure in-scope crypto assets (including our Bitcoin holdings) at fair value in our statement of financial position, and to recognize gains and losses from changes in the fair value of our Bitcoin in net income each reporting period. ASU 2023-08 will also require us to provide certain interim and annual disclosures with respect to our Bitcoin holdings. Due in particular to the volatility in the price of Bitcoin, we expect the adoption of ASU 2023-08 to have a material impact on our financial results, to increase the volatility of our financial results, and to affect the carrying value of Bitcoin on our balance sheet, and it could have adverse tax consequences, which in turn could have a material adverse effect on our financial results and the market price of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time the price of our purchases of Bitcoin and other digital assets pursuant to our updated Investment Policy will be limited.</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the future, we may acquire additional Bitcoin and other digital assets in accordance with our updated Investment Policy. Bitcoin is a highly volatile asset. Volatility may continue in the future and historical trends could reverse dramatically. See “</w:t>
      </w:r>
      <w:r>
        <w:rPr>
          <w:rFonts w:ascii="Times New Roman" w:cs="Times New Roman" w:eastAsia="Times New Roman" w:hAnsi="Times New Roman"/>
          <w:sz w:val="18"/>
          <w:szCs w:val="18"/>
          <w:i w:val="1"/>
          <w:iCs w:val="1"/>
          <w:color w:val="auto"/>
        </w:rPr>
        <w:t>Our financial results and the market price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securities may be affected by fluctuations in the price of digital assets, including Bitcoin, which are highly volatile assets</w:t>
      </w:r>
      <w:r>
        <w:rPr>
          <w:rFonts w:ascii="Times New Roman" w:cs="Times New Roman" w:eastAsia="Times New Roman" w:hAnsi="Times New Roman"/>
          <w:sz w:val="18"/>
          <w:szCs w:val="18"/>
          <w:color w:val="auto"/>
        </w:rPr>
        <w:t>.” As a result, there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assurance that we will be able to purchase Bitcoin at favorable prices or avoid losses associated with declines in the value of Bitcoin. Our ability to time such purchases to coincide with favorable market conditions may be limited.</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decrease in the market value of our digital asset holdings could adversely affect our ability to satisfy financial obligations, including any debt financings.</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the extent we implement our updated Investment Policy, we may incur indebtedness and other fixed charges. If our businesses do not generate cash flow in future periods sufficient to satisfy our financial obligations, including our debt, we intend to fund our obligations using cash flow generated by equity or debt financing. Our ability to obtain equity or debt financing may in turn depend on, among other factors, the value of our Bitcoin holdings, investor sentiment and the general public perception of Bitcoin, as well as our strategy and our value proposition. Accordingly, a significant decline in the market value of our Bitcoin holdings or a negative shift in these other factors may create liquidity and credit risks, as such a decline or such shifts may adversely impact our ability to secure sufficient equity or debt financing to satisfy our financial obligations. Our inability to secure additional equity or debt financing in a timely manner, on favorable terms or at all, or to sell our Bitcoin in amounts and at prices sufficient to satisfy our financial obligations, including our debt service obligations, could cause us to default under such obligations. Any default on our indebtedness may have a material adverse effect on our operating results, financial condition and future prospects.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9" w:name="page10"/>
    <w:bookmarkEnd w:id="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fair value gains on our digital asset holdings may cause us to become subject to the corporate alternative minimum tax under the Inflation Reduction Act of 2022.</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United States enacted the Inflation Reduction Act of 2022 (“IRA”) in August 2022. Unless an exemption applies, the IRA imposes a 15% corporate alternative minimum tax (“CAMT”) on a corporation with respect to an initial tax year and subsequent tax years if the average annual adjusted financial statement income for any consecutive three-tax-year period preceding the initial tax year exceeds $1 billion. On September 12, 2024, the Department of Treasury and the IRS issued proposed regulations with respect to the application of CAMT.</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Additionally, to the extent we implement our revised treasury strategy, we expect to be required to adopt ASU 2023-08, under which our Bitcoin holdings must be measured at fair value in our statement of financial position, with gains and losses from changes in the fair value of our Bitcoin recognized in net income each reporting period. See “</w:t>
      </w:r>
      <w:r>
        <w:rPr>
          <w:rFonts w:ascii="Times New Roman" w:cs="Times New Roman" w:eastAsia="Times New Roman" w:hAnsi="Times New Roman"/>
          <w:sz w:val="18"/>
          <w:szCs w:val="18"/>
          <w:i w:val="1"/>
          <w:iCs w:val="1"/>
          <w:color w:val="auto"/>
        </w:rPr>
        <w:t>Our quarterly operating results, revenues, and expenses may fluctuate significantly,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because we may be required to account for our digital assets at fair value, which could have an adverse effect on the market price of our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for further details. When determining whether we are subject to CAMT and when calculating any related tax liability for an applicable tax year, the proposed regulations provide that, among other adjustments, our adjusted financial statement income must include any unrealized gains or losses reported in the applicable tax year.</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Accordingly, as a result of the enactment of the IRA and our expected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spacing w:after="0" w:line="28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status of digital assets as a “security” in any relevant jurisdiction, as well as the status of Bitcoin-related products and services in general is subject to a high degree of uncertainty and if we are unable to properly characterize such product or service offerings, we may be subject to regulatory scrutiny, inquiries, investigations, fines, and other penalties</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legal test for determining whether any given crypto asset, product or service is a security requires a highly complex, fact-driven analysis. Public statements made by senior officials at the SEC indicate that the SEC does not intend to take the position that Bitcoin (as currently offered and sold) is a “security” under the U.S. federal securities laws. However, with respect to all other crypto assets, there is no certainty under the applicable legal test that such assets are not securities. Whether any given crypto asset, product or service would ultimately be deemed a security is uncertain and difficult to predict, notwithstanding the conclusions of the SEC or any conclusions we may draw based on our risk-based assessment regarding the likelihood that a particular crypto asset, product or service could be deemed a “security” or “securities offering” under applicable laws.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classification of a crypto asset, product or service as a security under applicable law would have wide-ranging implications for the regulatory obligations that flow from the offer, sale, trading, and clearing, as applicable, of such assets, products or services. If an applicable regulatory authority or a court, in either case having final determinative authority on the topic, were to determine that a product or service offered by us in the future is a security, we would not be able to offer such product or service until we are able to do so in a compliant manner.</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if Bitcoin or other digital assets we hold are determined to constitute a security under federal securities laws, it could lead to our classification as an “investment company” under the Investment Company Act of 1940, as amended, which would subject us to significant additional regulatory controls that could have a material adverse effect on our business and operations and may also require us to substantially change the manner in which we conduct our business.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0" w:name="page11"/>
    <w:bookmarkEnd w:id="1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Competition by other digital asset companies and the availability of spot ETPs for Bitcoin and other digital assets may adversely affect our business, financial condition, results of operations and future prospects.</w:t>
      </w:r>
    </w:p>
    <w:p>
      <w:pPr>
        <w:spacing w:after="0" w:line="5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digital assets industry is highly innovative, rapidly evolving, and characterized by healthy competition, experimentation, changing customer needs, frequent introductions of new products and services, and is subject to uncertain and evolving industry and regulatory requirements. We expect competition to further intensify in the future. To the extent we implement our revised treasury strategy, we will compete against a number of companies operating both within the United States and abroad, and both those that focus on traditional financial services and those that focus on Bitcoin-based or other digital asset-based services. If we are unable to compete successfully, or if competing successfully requires us to take costly actions in response to the actions of our competitors, our business, operating results, and financial condition could be adversely affected.</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range of options to gain exposure to Bitcoin may expand in the future. Investors may choose to gain such exposure through ETPs, companies with significant Bitcoin holdings or other similar strategies, rather than shares of our common stock do so for a variety of reasons, including if they believe that ETPs offer a “pure play” exposure to Bitcoin that is generally not subject to federal income tax at the entity level as we may be, or the other risks that may affect other parts of our business. Based on how we are viewed in the market relative to ETPs, and other vehicles which offer economic exposure to Bitcoin, such as Bitcoin futures ETFs, leveraged Bitcoin futures ETFs and similar vehicles offered on international exchanges, any premium or discount in our common stock relative to the value of our Bitcoin holdings may increase or decrease in different market conditions. If investors choose to gain such exposure through ETPs, companies with significant Bitcoin holdings or other similar strategies, rather than shares of our common stock, our business, operating results, and financial condition may be adversely affected.</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Digital asset trading venues may experience greater fraud, security failures or operational problems than trading venues for more established asset classes, which could result in significant price fluctuations of digital assets, including Bitcoin.</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Bitcoin trading and/or are subject to regulatory oversight, in the event one or more digital asset trading venues cease or pause for a prolonged period the trading of any digital assets, or experience fraud, significant volumes of withdrawal, security failures or operational problems. Negative perception, a lack of stability in the broader digital asset markets and the closure, temporary shutdown or operational disruption of digital asset trading venues due to fraud, business failure, cybersecurity events, government-mandated regulation, bankruptcy, or for any other reason, may result in a decline in confidence in Bitcoin and the broader digital asset ecosystem and greater volatility in the price of Bitcoin and other digital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expected digital asset holdings relative to non-digital assets enhances the risks inherent in the updated Investment Policy.</w:t>
      </w:r>
    </w:p>
    <w:p>
      <w:pPr>
        <w:spacing w:after="0" w:line="121" w:lineRule="exact"/>
        <w:rPr>
          <w:sz w:val="20"/>
          <w:szCs w:val="20"/>
          <w:color w:val="auto"/>
        </w:rPr>
      </w:pPr>
    </w:p>
    <w:p>
      <w:pPr>
        <w:ind w:right="640" w:firstLine="440"/>
        <w:spacing w:after="0" w:line="258"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expect digital assets to comprise a significant portion of our total assets. The concentration of our digital asset holdings would be expected to limit the risk mitigation that we could take advantage of by purchasing a more diversified portfolio of treasury assets, and the absence of diversification enhances the risks inherent in investments permitted by our updated Investment Policy. If there is a significant decrease in the price of Bitcoin or other digital assets that we may hold, we will experience a more pronounced impact on our financial condition than if we used our cash to purchase a more diverse portfolio of assets.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asset holdings may be used to fund cash equivalents and may not be able to serve as a source of liquidity for us to the same extent as cash and cash equivalents.</w:t>
      </w:r>
    </w:p>
    <w:p>
      <w:pPr>
        <w:spacing w:after="0" w:line="5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While we may, from time to time, use any future Bitcoin holdings to fund the purchase of cash equivalents, Bitcoin and Toncoin may not be as readily available or reliable a source of liquidity as traditional cash and cash equivalents. Historically, Bitcoin markets have been characterized by more price volatility, less liquidity, and lower trading volumes compared to sovereign currencies markets, as well as relative anonymity, a developing regulatory landscape, susceptibility to market abuse and manipulation, and various other risks inherent in its entirely electronic, virtual form and decentralized network. During times of market instability, we may not be able to sell our Bitcoin at reasonable prices or at all. As a result, our Bitcoin holdings may not be able to serve as a source of liquidity for us to the same extent as cash and cash equivalents. If we implement our revised treasury strategy and are unable to sell our Bitcoin, or if we are forced to sell our Bitcoin at a significant loss, in order to meet our working capital requirements, our business and financial condition could be negatively impacted.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1" w:name="page12"/>
    <w:bookmarkEnd w:id="11"/>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or our third-party service providers may experience a security breach or cyberattack, which may adversely affect our business, financial condition, results of operations and future prospects.</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may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Any future breach of our operations or those of others in the digital asset industry, including third-party services on which we rely, could materially and adversely affect our business.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or destruction of private keys required to access our digital assets or other actual or attempted theft or other data loss relating to our digital assets.</w:t>
      </w:r>
    </w:p>
    <w:p>
      <w:pPr>
        <w:spacing w:after="0" w:line="5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Bitcoin are controllable only by the possessor of both the unique public key and private key(s) relating to the local or online digital wallet in which the Bitcoin is held. While the Bitcoin blockchain ledgers require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direct control over our digital assets held through a third-party custodian.</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To the extent we implement our revised treasury strategy, we expect that our Bitcoin and digital assets may be held by a third-party custodian, and the safety of those assets is dependent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cyberattacks. A successful security breach or cyberattack could result in a partial or total loss of our Bitcoin in a manner that may not be covered by insurance or indemnity provisions of the custody agreement with a custodian who holds our Bitcoin. Such a loss could have a material adverse effect on our financial condition and results of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requirements applicable only to investment companies such as mutual funds and exchange-traded funds, or to obligations applicable to investment advisers.</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currently not subject to, and do not otherwise voluntarily comply with, these laws and regulations. Consequently, our shareholders do not have the regulatory protections provided to shareholders in registered and regulated investment companies, which, for example, require investment companies to have a certain percentage of disinterested directors and regulate the relationship between the investment company and certain of its affiliates. This means, among other things, that the execution of or changes to our updated Investment Policy, our use of leverage, the manner in which our digital assets are custodied, our ability to engage in transactions with affiliated parties and our operating and investment activities generally are not subject to the extensive legal and regulatory requirements and prohibitions that apply to investment companies and investment advisers.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173990</wp:posOffset>
            </wp:positionV>
            <wp:extent cx="1045845" cy="557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Updated Investment Policy to Include Bitcoin and Other Digital Assets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ALPHARETTA, GA – June 10, 2025 </w:t>
      </w:r>
      <w:r>
        <w:rPr>
          <w:rFonts w:ascii="Times New Roman" w:cs="Times New Roman" w:eastAsia="Times New Roman" w:hAnsi="Times New Roman"/>
          <w:sz w:val="18"/>
          <w:szCs w:val="18"/>
          <w:color w:val="auto"/>
        </w:rPr>
        <w:t>– Bakkt Holdings, Inc. (“Bakkt” or the “Company”) (NYSE: BKKT) today announced that its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has formally approved an updated corporate investment policy, enabling the Company to allocate capital into Bitcoin and other digital assets as part of its broader treasury and corporate strategy.</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updated investment policy is built on three strategic pillars designed to enhance long-term stockholder value and position Bakkt as a leader in the digital asset ecosystem:</w:t>
      </w:r>
    </w:p>
    <w:p>
      <w:pPr>
        <w:spacing w:after="0" w:line="63" w:lineRule="exact"/>
        <w:rPr>
          <w:sz w:val="20"/>
          <w:szCs w:val="20"/>
          <w:color w:val="auto"/>
        </w:rPr>
      </w:pPr>
    </w:p>
    <w:p>
      <w:pPr>
        <w:ind w:left="960" w:right="820" w:hanging="424"/>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Core allocations to Bitcoin and leading digital assets: </w:t>
      </w:r>
      <w:r>
        <w:rPr>
          <w:rFonts w:ascii="Times New Roman" w:cs="Times New Roman" w:eastAsia="Times New Roman" w:hAnsi="Times New Roman"/>
          <w:sz w:val="18"/>
          <w:szCs w:val="18"/>
          <w:color w:val="auto"/>
        </w:rPr>
        <w:t>Bakkt will allocate a portion of its treasury to Bitcoin and other top-tier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aligning with its conviction in digital assets as a store of value with long-term appreciation potential.</w:t>
      </w:r>
    </w:p>
    <w:p>
      <w:pPr>
        <w:spacing w:after="0" w:line="60" w:lineRule="exact"/>
        <w:rPr>
          <w:rFonts w:ascii="Times New Roman" w:cs="Times New Roman" w:eastAsia="Times New Roman" w:hAnsi="Times New Roman"/>
          <w:sz w:val="18"/>
          <w:szCs w:val="18"/>
          <w:color w:val="auto"/>
        </w:rPr>
      </w:pPr>
    </w:p>
    <w:p>
      <w:pPr>
        <w:ind w:left="960" w:right="360" w:hanging="424"/>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capital structure optimization: </w:t>
      </w:r>
      <w:r>
        <w:rPr>
          <w:rFonts w:ascii="Times New Roman" w:cs="Times New Roman" w:eastAsia="Times New Roman" w:hAnsi="Times New Roman"/>
          <w:sz w:val="18"/>
          <w:szCs w:val="18"/>
          <w:color w:val="auto"/>
        </w:rPr>
        <w:t>Bakkt will continue to utilize prudent strategies to enhance the Company’s capital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maintaining disciplined risk management.</w:t>
      </w:r>
    </w:p>
    <w:p>
      <w:pPr>
        <w:spacing w:after="0" w:line="60" w:lineRule="exact"/>
        <w:rPr>
          <w:rFonts w:ascii="Times New Roman" w:cs="Times New Roman" w:eastAsia="Times New Roman" w:hAnsi="Times New Roman"/>
          <w:sz w:val="18"/>
          <w:szCs w:val="18"/>
          <w:color w:val="auto"/>
        </w:rPr>
      </w:pPr>
    </w:p>
    <w:p>
      <w:pPr>
        <w:ind w:left="960" w:right="880" w:hanging="424"/>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expansion of treasury strategy through strategic jurisdictional analysis: </w:t>
      </w:r>
      <w:r>
        <w:rPr>
          <w:rFonts w:ascii="Times New Roman" w:cs="Times New Roman" w:eastAsia="Times New Roman" w:hAnsi="Times New Roman"/>
          <w:sz w:val="18"/>
          <w:szCs w:val="18"/>
          <w:color w:val="auto"/>
        </w:rPr>
        <w:t>The Company is actively evaluating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to deploy these strategies, leveraging the management team’s experience in respective capital markets.</w:t>
      </w:r>
    </w:p>
    <w:p>
      <w:pPr>
        <w:spacing w:after="0" w:line="15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Company may acquire Bitcoin or other digital assets, using excess cash, proceeds from future equity or debt financings, or other capital sources, subject to the Company’s updated investment policy. As of the date of this press release, the Company has not purchased any Bitcoin or other digital assets pursuant to its revised investment policy. The timing and magnitude of any such transactions will depend on market conditions, capital market receptivity, business performance and other strategic considerations.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Akshay Naheta, Co-CEO of Bakkt said, “this initiative is intended to support Bakkt’s transformation into a pure-play crypto infrastructure company and to enable us to strategically add Bitcoin and other digital assets to our treasury. We believe this multi-pronged approach reflects our conviction in the future of digital assets and our vision for Bakkt’s expansion internationally and as a leader in the world of programmable money.”</w:t>
      </w:r>
    </w:p>
    <w:p>
      <w:pPr>
        <w:spacing w:after="0" w:line="176"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“Our updated investment policy reflects our belief in the long-term potential of digital assets and our commitment to actively explore strategic opportunities to enhance shareholder value,” said Andy Main, Co-CEO and President of Bakkt. “This marks an important step for the Company to expand into global payments and remittance ecosystems through stablecoins and participate in ongoing evolution of the digital asset ecosystem.”</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the Company intends to adjourn its 2025 Annual Meeting of Stockholders on June 10, 2025 to reconvene on June 17, 2025 at 10:00 a.m. Eastern Time.</w:t>
      </w:r>
    </w:p>
    <w:p>
      <w:pPr>
        <w:sectPr>
          <w:pgSz w:w="11900" w:h="16838" w:orient="portrait"/>
          <w:cols w:equalWidth="0" w:num="1">
            <w:col w:w="11020"/>
          </w:cols>
          <w:pgMar w:left="440" w:top="266"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About Bakkt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Bakkt is headquartered in Alpharetta, GA. For more information, visit: </w:t>
      </w:r>
      <w:r>
        <w:rPr>
          <w:rFonts w:ascii="Times New Roman" w:cs="Times New Roman" w:eastAsia="Times New Roman" w:hAnsi="Times New Roman"/>
          <w:sz w:val="18"/>
          <w:szCs w:val="18"/>
          <w:u w:val="single" w:color="auto"/>
          <w:color w:val="auto"/>
        </w:rPr>
        <w:t>https://www.bakkt.com/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IR@bakkt.com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bakkt@forefrontcomms.com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securities in the United States or any other jurisdiction.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Such statements include, but are not limited to, statements regarding the Company’s plans in connection with the implementation of its investment policy, including to raise additional capital at favorable terms or at all.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w:t>
      </w:r>
    </w:p>
    <w:p>
      <w:pPr>
        <w:sectPr>
          <w:pgSz w:w="11900" w:h="16838" w:orient="portrait"/>
          <w:cols w:equalWidth="0" w:num="1">
            <w:col w:w="11000"/>
          </w:cols>
          <w:pgMar w:left="440" w:top="1278" w:right="45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commerical counterparties; the Company’s ability</w:t>
      </w:r>
    </w:p>
    <w:p>
      <w:pPr>
        <w:sectPr>
          <w:pgSz w:w="11900" w:h="16838" w:orient="portrait"/>
          <w:cols w:equalWidth="0" w:num="1">
            <w:col w:w="11000"/>
          </w:cols>
          <w:pgMar w:left="440" w:top="1282" w:right="45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treasury strategy set forth in Exhibit 99.1 to its Current Report on Form 8-K, dated as of the date hereof.</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release.</w:t>
      </w:r>
    </w:p>
    <w:sectPr>
      <w:pgSz w:w="11900" w:h="16838" w:orient="portrait"/>
      <w:cols w:equalWidth="0" w:num="1">
        <w:col w:w="10900"/>
      </w:cols>
      <w:pgMar w:left="440" w:top="128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2025-06-10T07:45:25Z</dcterms:created>
  <dcterms:modified xsi:type="dcterms:W3CDTF">2025-06-10T07:45:25Z</dcterms:modified>
</cp:coreProperties>
</file>