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June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7"/>
          <w:szCs w:val="17"/>
          <w:b w:val="1"/>
          <w:bCs w:val="1"/>
          <w:color w:val="auto"/>
        </w:rPr>
        <w:t>Changes in Registrant's Certifying Accountant.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Dismissal of Previous Independent Registered Public Accounting Firm.</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previously disclosed in our Definitive Proxy Statement on Schedule 14A filed with the U.S. Securities and Exchange Commission (the “SEC”) on April 19, 2024, the Audit and Risk Committee (the “Audit Committee”) of the Board of Directors of Bakkt Holdings, Inc. (the “Company”) recently solicited proposals from several accounting firms to serve as the Company’s registered independent accounting firm for the year ending December 31, 2024.</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this process, on June 3, 2024, the Audit Committee dismissed Ernst &amp; Young LLP (“EY”) as the Company’s independent registered public accounting firm, effective immediately.</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reports of EY on the Company’s consolidated financial statements for the fiscal years ended December 31, 2023 and 2022 did not contain an adverse opinion or disclaimer of opinion and were not qualified or modified as to uncertainty, audit scope or accounting principles, or other similar opinion as defined in Item 304(a)(i)(ii) of Regulation S-K. In connection with the audit of the Company's consolidated financial statements for the fiscal years ended December 31, 2023 and 2022, respectively, and in the subsequent interim period through June 3, 2024 (the “Interim Period”), there were no disagreements (as that term is defined in Item 304(a)(1)(iv) of Regulation S-K) with EY on any matter of accounting principles or practices, financial statement disclosure or auditing scope and procedures which, if not resolved to the satisfaction of EY, would have caused EY to make reference to the matter in their report for such years or subsequent interim period. Except for the disclosure of the material weakness of the Company’s internal control over financial reporting as disclosed in Part I, Item 4 of the Company’s Quarterly Report on Form 10-Q for the quarter ended March 31, 2024 (the “First Quarter 2024 10-Q”), there were no reportable events (as that term is defined in Item 304(a)(1)(v) of Regulation S-K) during the two fiscal years ended December 31, 2023 and 2022, or in the Interim Period.</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Item 304(a)(3) of Regulation S-K, the Company provided EY with a copy of the disclosures in this Current Report on Form 8-K (this “Report”) prior to filing this Report with the SEC. The Company requested that EY furnish a letter addressed to the SEC stating whether or not EY agrees with the statements above. A copy of EY’s letter dated June 7, 2024 is filed as Exhibit 16.1 to this Report.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Appointment of New Independent Registered Public Accounting Firm.</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on and effective as of June 3, 2024, appointed KPMG LLP (“KPMG”) as the Company’s independent registered public accounting firm for the Company’s fiscal year ending December 31, 2024.</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has authorized EY to respond fully to the inquiries of KPMG, as the successor independent registered accounting firm, including for those concerning the material weakness as disclosed in the First Quarter 2024 10-Q, which the Company is still in the process of remediating.</w:t>
      </w:r>
    </w:p>
    <w:p>
      <w:pPr>
        <w:spacing w:after="0" w:line="5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the Company’s two most recent fiscal years ended December 31, 2023 and 2022, and during the Interim Period, neither the Company nor anyone acting on its behalf has consulted with KPMG, regarding either: (i) the application of accounting principles to a specific transaction, either completed or proposed, or the type of audit opinion that might be rendered on the Company’s consolidated financial statements, and neither a written report nor oral advice was provided to the Company that KPMG concluded was an important factor considered by the Company in reaching a decision as to any accounting, auditing, or financial reporting issue, or (ii) any matter that was either the subject of a “disagreement” (as defined in Item 304(a)(1)(iv) of Regulation S-K) or a “reportable event” (as described in Item 304(a)(1)(v) of Regulation S-K).</w:t>
      </w:r>
    </w:p>
    <w:p>
      <w:pPr>
        <w:spacing w:after="0" w:line="1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45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51"/>
        </w:trPr>
        <w:tc>
          <w:tcPr>
            <w:tcW w:w="140" w:type="dxa"/>
            <w:vAlign w:val="bottom"/>
          </w:tcPr>
          <w:p>
            <w:pPr>
              <w:spacing w:after="0"/>
              <w:rPr>
                <w:sz w:val="24"/>
                <w:szCs w:val="24"/>
                <w:color w:val="auto"/>
              </w:rPr>
            </w:pPr>
          </w:p>
        </w:tc>
        <w:tc>
          <w:tcPr>
            <w:tcW w:w="2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00" w:type="dxa"/>
            <w:vAlign w:val="bottom"/>
            <w:tcBorders>
              <w:bottom w:val="single" w:sz="8" w:color="auto"/>
            </w:tcBorders>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4"/>
                <w:szCs w:val="24"/>
                <w:color w:val="auto"/>
              </w:rPr>
            </w:pPr>
          </w:p>
        </w:tc>
      </w:tr>
      <w:tr>
        <w:trPr>
          <w:trHeight w:val="183"/>
        </w:trPr>
        <w:tc>
          <w:tcPr>
            <w:tcW w:w="2220" w:type="dxa"/>
            <w:vAlign w:val="bottom"/>
            <w:gridSpan w:val="2"/>
          </w:tcPr>
          <w:p>
            <w:pPr>
              <w:jc w:val="right"/>
              <w:ind w:right="810"/>
              <w:spacing w:after="0" w:line="169" w:lineRule="exact"/>
              <w:rPr>
                <w:sz w:val="20"/>
                <w:szCs w:val="20"/>
                <w:color w:val="auto"/>
              </w:rPr>
            </w:pPr>
            <w:r>
              <w:rPr>
                <w:rFonts w:ascii="Times New Roman" w:cs="Times New Roman" w:eastAsia="Times New Roman" w:hAnsi="Times New Roman"/>
                <w:sz w:val="18"/>
                <w:szCs w:val="18"/>
                <w:color w:val="auto"/>
              </w:rPr>
              <w:t>16.1</w:t>
            </w:r>
          </w:p>
        </w:tc>
        <w:tc>
          <w:tcPr>
            <w:tcW w:w="454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Letter from Ernst &amp; Young LLP to the SEC dated June 7, 2024</w:t>
            </w:r>
          </w:p>
        </w:tc>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90"/>
        </w:trPr>
        <w:tc>
          <w:tcPr>
            <w:tcW w:w="22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19"/>
        </w:trPr>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7, 2024</w:t>
      </w:r>
    </w:p>
    <w:p>
      <w:pPr>
        <w:spacing w:after="0" w:line="23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240"/>
          </w:cols>
          <w:pgMar w:left="320" w:top="1400" w:right="339" w:bottom="1440" w:gutter="0" w:footer="0" w:header="0"/>
        </w:sectPr>
      </w:pPr>
    </w:p>
    <w:bookmarkStart w:id="3" w:name="page4"/>
    <w:bookmarkEnd w:id="3"/>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333333"/>
        </w:rPr>
        <w:t>June 7,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333333"/>
        </w:rPr>
        <w:t>Securities and Exchange Commission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333333"/>
        </w:rPr>
        <w:t>100 F Street, 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333333"/>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333333"/>
        </w:rPr>
        <w:t>Commissioners:</w:t>
      </w:r>
    </w:p>
    <w:p>
      <w:pPr>
        <w:spacing w:after="0" w:line="266" w:lineRule="exact"/>
        <w:rPr>
          <w:sz w:val="20"/>
          <w:szCs w:val="20"/>
          <w:color w:val="auto"/>
        </w:rPr>
      </w:pPr>
    </w:p>
    <w:p>
      <w:pPr>
        <w:spacing w:after="0" w:line="456" w:lineRule="auto"/>
        <w:rPr>
          <w:sz w:val="20"/>
          <w:szCs w:val="20"/>
          <w:color w:val="auto"/>
        </w:rPr>
      </w:pPr>
      <w:r>
        <w:rPr>
          <w:rFonts w:ascii="Arial" w:cs="Arial" w:eastAsia="Arial" w:hAnsi="Arial"/>
          <w:sz w:val="18"/>
          <w:szCs w:val="18"/>
          <w:color w:val="333333"/>
        </w:rPr>
        <w:t>We have read Item 4.01 of Form 8-K dated June 7, 2024, of Bakkt Holdings, Inc. and are in agreement with the statements contained in the second paragraph as it relates to the date of notification of our dismissal and the third and fourth paragraphs therein. We have no basis to agree or disagree with other statements of the registrant contained therein.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sectPr>
      <w:pgSz w:w="11900" w:h="16838" w:orient="portrait"/>
      <w:cols w:equalWidth="0" w:num="1">
        <w:col w:w="10740"/>
      </w:cols>
      <w:pgMar w:left="54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2024-06-07T15:52:36Z</dcterms:created>
  <dcterms:modified xsi:type="dcterms:W3CDTF">2024-06-07T15:52:36Z</dcterms:modified>
</cp:coreProperties>
</file>